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7EF45" w14:textId="183DE2DB" w:rsidR="003238C4" w:rsidRPr="00D74025" w:rsidRDefault="003238C4" w:rsidP="00CF0CD5">
      <w:pPr>
        <w:pStyle w:val="Default"/>
        <w:spacing w:line="360" w:lineRule="auto"/>
        <w:jc w:val="center"/>
        <w:rPr>
          <w:rFonts w:ascii="Arial" w:hAnsi="Arial" w:cs="Arial"/>
          <w:color w:val="000000" w:themeColor="text1"/>
        </w:rPr>
      </w:pPr>
      <w:bookmarkStart w:id="0" w:name="_Hlk118463759"/>
      <w:bookmarkEnd w:id="0"/>
      <w:r w:rsidRPr="00D74025">
        <w:rPr>
          <w:rFonts w:ascii="Arial" w:hAnsi="Arial" w:cs="Arial"/>
          <w:color w:val="000000" w:themeColor="text1"/>
        </w:rPr>
        <w:t>UNIVERSITY OF OKLAHOMA</w:t>
      </w:r>
    </w:p>
    <w:p w14:paraId="1934A269" w14:textId="77777777" w:rsidR="003238C4" w:rsidRPr="00D74025" w:rsidRDefault="003238C4" w:rsidP="00CF0CD5">
      <w:pPr>
        <w:pStyle w:val="Default"/>
        <w:spacing w:line="360" w:lineRule="auto"/>
        <w:jc w:val="center"/>
        <w:rPr>
          <w:rFonts w:ascii="Arial" w:hAnsi="Arial" w:cs="Arial"/>
          <w:color w:val="000000" w:themeColor="text1"/>
        </w:rPr>
      </w:pPr>
    </w:p>
    <w:p w14:paraId="79D2F930" w14:textId="13474820" w:rsidR="003238C4" w:rsidRPr="00D74025" w:rsidRDefault="003238C4" w:rsidP="00CF0CD5">
      <w:pPr>
        <w:pStyle w:val="Default"/>
        <w:spacing w:line="360" w:lineRule="auto"/>
        <w:jc w:val="center"/>
        <w:rPr>
          <w:rFonts w:ascii="Arial" w:hAnsi="Arial" w:cs="Arial"/>
          <w:color w:val="000000" w:themeColor="text1"/>
        </w:rPr>
      </w:pPr>
      <w:r w:rsidRPr="00D74025">
        <w:rPr>
          <w:rFonts w:ascii="Arial" w:hAnsi="Arial" w:cs="Arial"/>
          <w:color w:val="000000" w:themeColor="text1"/>
        </w:rPr>
        <w:t>GRADUATE COLLEGE</w:t>
      </w:r>
    </w:p>
    <w:p w14:paraId="30A6AD05" w14:textId="054877E8" w:rsidR="003238C4" w:rsidRPr="00D74025" w:rsidRDefault="003238C4" w:rsidP="00CF0CD5">
      <w:pPr>
        <w:pStyle w:val="Default"/>
        <w:spacing w:line="360" w:lineRule="auto"/>
        <w:jc w:val="center"/>
        <w:rPr>
          <w:rFonts w:ascii="Arial" w:hAnsi="Arial" w:cs="Arial"/>
          <w:color w:val="000000" w:themeColor="text1"/>
        </w:rPr>
      </w:pPr>
    </w:p>
    <w:p w14:paraId="7E41701E" w14:textId="2F772955" w:rsidR="003238C4" w:rsidRPr="00D74025" w:rsidRDefault="003238C4" w:rsidP="00CF0CD5">
      <w:pPr>
        <w:pStyle w:val="Default"/>
        <w:spacing w:line="360" w:lineRule="auto"/>
        <w:rPr>
          <w:rFonts w:ascii="Arial" w:hAnsi="Arial" w:cs="Arial"/>
          <w:color w:val="000000" w:themeColor="text1"/>
        </w:rPr>
      </w:pPr>
    </w:p>
    <w:p w14:paraId="0979743B" w14:textId="136CA074" w:rsidR="003238C4" w:rsidRPr="00D74025" w:rsidRDefault="003238C4" w:rsidP="00CF0CD5">
      <w:pPr>
        <w:pStyle w:val="Default"/>
        <w:spacing w:line="360" w:lineRule="auto"/>
        <w:jc w:val="center"/>
        <w:rPr>
          <w:rFonts w:ascii="Arial" w:hAnsi="Arial" w:cs="Arial"/>
          <w:color w:val="000000" w:themeColor="text1"/>
        </w:rPr>
      </w:pPr>
    </w:p>
    <w:p w14:paraId="39753705" w14:textId="60CC7BB4" w:rsidR="003238C4" w:rsidRPr="00D74025" w:rsidRDefault="003238C4" w:rsidP="00AA3CC6">
      <w:pPr>
        <w:pStyle w:val="Default"/>
        <w:spacing w:line="360" w:lineRule="auto"/>
        <w:rPr>
          <w:rFonts w:ascii="Arial" w:hAnsi="Arial" w:cs="Arial"/>
          <w:color w:val="000000" w:themeColor="text1"/>
        </w:rPr>
      </w:pPr>
    </w:p>
    <w:p w14:paraId="5984F883" w14:textId="5D3E9E4B" w:rsidR="003238C4" w:rsidRPr="00D74025" w:rsidRDefault="003238C4" w:rsidP="00CF0CD5">
      <w:pPr>
        <w:pStyle w:val="Default"/>
        <w:spacing w:line="360" w:lineRule="auto"/>
        <w:rPr>
          <w:rFonts w:ascii="Arial" w:hAnsi="Arial" w:cs="Arial"/>
          <w:color w:val="000000" w:themeColor="text1"/>
        </w:rPr>
      </w:pPr>
    </w:p>
    <w:p w14:paraId="464B81E1" w14:textId="59C27E63" w:rsidR="003238C4" w:rsidRPr="00D74025" w:rsidRDefault="003238C4" w:rsidP="00CF0CD5">
      <w:pPr>
        <w:pStyle w:val="Default"/>
        <w:spacing w:line="360" w:lineRule="auto"/>
        <w:jc w:val="center"/>
        <w:rPr>
          <w:rFonts w:ascii="Arial" w:hAnsi="Arial" w:cs="Arial"/>
          <w:color w:val="000000" w:themeColor="text1"/>
        </w:rPr>
      </w:pPr>
    </w:p>
    <w:p w14:paraId="15777A27" w14:textId="77777777" w:rsidR="003238C4" w:rsidRPr="00D74025" w:rsidRDefault="003238C4" w:rsidP="00CF0CD5">
      <w:pPr>
        <w:pStyle w:val="Default"/>
        <w:spacing w:line="360" w:lineRule="auto"/>
        <w:jc w:val="center"/>
        <w:rPr>
          <w:rFonts w:ascii="Arial" w:hAnsi="Arial" w:cs="Arial"/>
          <w:color w:val="000000" w:themeColor="text1"/>
        </w:rPr>
      </w:pPr>
    </w:p>
    <w:p w14:paraId="72BC8A7D" w14:textId="7F82AAA0" w:rsidR="00DA35A2" w:rsidRPr="00FD11C2" w:rsidRDefault="00DA35A2" w:rsidP="00CA4574">
      <w:pPr>
        <w:spacing w:line="480" w:lineRule="auto"/>
        <w:jc w:val="center"/>
        <w:rPr>
          <w:rFonts w:ascii="Arial" w:hAnsi="Arial" w:cs="Arial"/>
        </w:rPr>
      </w:pPr>
      <w:r w:rsidRPr="00FD11C2">
        <w:rPr>
          <w:rFonts w:ascii="Arial" w:hAnsi="Arial" w:cs="Arial"/>
        </w:rPr>
        <w:t>NOVEL ANNEXIN A5</w:t>
      </w:r>
      <w:r w:rsidR="00FD11C2">
        <w:rPr>
          <w:rFonts w:ascii="Arial" w:hAnsi="Arial" w:cs="Arial"/>
        </w:rPr>
        <w:t xml:space="preserve"> </w:t>
      </w:r>
      <w:r w:rsidRPr="00FD11C2">
        <w:rPr>
          <w:rFonts w:ascii="Arial" w:hAnsi="Arial" w:cs="Arial"/>
        </w:rPr>
        <w:t>- NANOPARTICLES CONJUGATES FOR TARGETED CANCER THERAPY</w:t>
      </w:r>
    </w:p>
    <w:p w14:paraId="493F1F46" w14:textId="159FA463" w:rsidR="003238C4" w:rsidRPr="00D74025" w:rsidRDefault="003238C4" w:rsidP="00CA4574">
      <w:pPr>
        <w:pStyle w:val="Default"/>
        <w:spacing w:line="480" w:lineRule="auto"/>
        <w:jc w:val="center"/>
        <w:rPr>
          <w:rFonts w:ascii="Arial" w:hAnsi="Arial" w:cs="Arial"/>
          <w:color w:val="000000" w:themeColor="text1"/>
        </w:rPr>
      </w:pPr>
    </w:p>
    <w:p w14:paraId="28722948" w14:textId="3EA6754A" w:rsidR="003238C4" w:rsidRPr="00D74025" w:rsidRDefault="003238C4" w:rsidP="00CF0CD5">
      <w:pPr>
        <w:pStyle w:val="Default"/>
        <w:spacing w:line="360" w:lineRule="auto"/>
        <w:jc w:val="center"/>
        <w:rPr>
          <w:rFonts w:ascii="Arial" w:hAnsi="Arial" w:cs="Arial"/>
          <w:color w:val="000000" w:themeColor="text1"/>
        </w:rPr>
      </w:pPr>
    </w:p>
    <w:p w14:paraId="12EE7253" w14:textId="60A496D8" w:rsidR="003238C4" w:rsidRPr="00D74025" w:rsidRDefault="003238C4" w:rsidP="00CF0CD5">
      <w:pPr>
        <w:pStyle w:val="Default"/>
        <w:spacing w:line="360" w:lineRule="auto"/>
        <w:jc w:val="center"/>
        <w:rPr>
          <w:rFonts w:ascii="Arial" w:hAnsi="Arial" w:cs="Arial"/>
          <w:color w:val="000000" w:themeColor="text1"/>
        </w:rPr>
      </w:pPr>
    </w:p>
    <w:p w14:paraId="253BBB41" w14:textId="7F8B7DD5" w:rsidR="003238C4" w:rsidRPr="00D74025" w:rsidRDefault="003238C4" w:rsidP="00CF0CD5">
      <w:pPr>
        <w:pStyle w:val="Default"/>
        <w:spacing w:line="360" w:lineRule="auto"/>
        <w:jc w:val="center"/>
        <w:rPr>
          <w:rFonts w:ascii="Arial" w:hAnsi="Arial" w:cs="Arial"/>
          <w:color w:val="000000" w:themeColor="text1"/>
        </w:rPr>
      </w:pPr>
    </w:p>
    <w:p w14:paraId="1B48546C" w14:textId="40DB69DB" w:rsidR="003238C4" w:rsidRPr="00D74025" w:rsidRDefault="003238C4" w:rsidP="00AA3CC6">
      <w:pPr>
        <w:pStyle w:val="Default"/>
        <w:spacing w:line="360" w:lineRule="auto"/>
        <w:rPr>
          <w:rFonts w:ascii="Arial" w:hAnsi="Arial" w:cs="Arial"/>
          <w:color w:val="000000" w:themeColor="text1"/>
        </w:rPr>
      </w:pPr>
    </w:p>
    <w:p w14:paraId="3C78E05C" w14:textId="77777777" w:rsidR="003238C4" w:rsidRPr="00D74025" w:rsidRDefault="003238C4" w:rsidP="00CF0CD5">
      <w:pPr>
        <w:pStyle w:val="Default"/>
        <w:spacing w:line="360" w:lineRule="auto"/>
        <w:jc w:val="center"/>
        <w:rPr>
          <w:rFonts w:ascii="Arial" w:hAnsi="Arial" w:cs="Arial"/>
          <w:color w:val="000000" w:themeColor="text1"/>
        </w:rPr>
      </w:pPr>
    </w:p>
    <w:p w14:paraId="1F27BFBE" w14:textId="72EE0283" w:rsidR="003238C4" w:rsidRPr="00D74025" w:rsidRDefault="003238C4" w:rsidP="00CF0CD5">
      <w:pPr>
        <w:pStyle w:val="Default"/>
        <w:spacing w:line="360" w:lineRule="auto"/>
        <w:jc w:val="center"/>
        <w:rPr>
          <w:rFonts w:ascii="Arial" w:hAnsi="Arial" w:cs="Arial"/>
          <w:color w:val="000000" w:themeColor="text1"/>
        </w:rPr>
      </w:pPr>
      <w:r w:rsidRPr="00D74025">
        <w:rPr>
          <w:rFonts w:ascii="Arial" w:hAnsi="Arial" w:cs="Arial"/>
          <w:color w:val="000000" w:themeColor="text1"/>
        </w:rPr>
        <w:t xml:space="preserve">A </w:t>
      </w:r>
      <w:r w:rsidR="00F17138" w:rsidRPr="00D74025">
        <w:rPr>
          <w:rFonts w:ascii="Arial" w:hAnsi="Arial" w:cs="Arial"/>
          <w:color w:val="000000" w:themeColor="text1"/>
        </w:rPr>
        <w:t>DISSERTATION</w:t>
      </w:r>
    </w:p>
    <w:p w14:paraId="52F3A201" w14:textId="4F4E0B15" w:rsidR="003238C4" w:rsidRPr="00D74025" w:rsidRDefault="003238C4" w:rsidP="00CF0CD5">
      <w:pPr>
        <w:pStyle w:val="Default"/>
        <w:spacing w:line="360" w:lineRule="auto"/>
        <w:jc w:val="center"/>
        <w:rPr>
          <w:rFonts w:ascii="Arial" w:hAnsi="Arial" w:cs="Arial"/>
          <w:color w:val="000000" w:themeColor="text1"/>
        </w:rPr>
      </w:pPr>
      <w:r w:rsidRPr="00D74025">
        <w:rPr>
          <w:rFonts w:ascii="Arial" w:hAnsi="Arial" w:cs="Arial"/>
          <w:color w:val="000000" w:themeColor="text1"/>
        </w:rPr>
        <w:t>SUBMITTED TO THE GRADUATE FACULTY</w:t>
      </w:r>
    </w:p>
    <w:p w14:paraId="679AF33A" w14:textId="0443EF2F" w:rsidR="003238C4" w:rsidRPr="00D74025" w:rsidRDefault="003238C4" w:rsidP="00CF0CD5">
      <w:pPr>
        <w:pStyle w:val="Default"/>
        <w:spacing w:line="360" w:lineRule="auto"/>
        <w:jc w:val="center"/>
        <w:rPr>
          <w:rFonts w:ascii="Arial" w:hAnsi="Arial" w:cs="Arial"/>
          <w:color w:val="000000" w:themeColor="text1"/>
        </w:rPr>
      </w:pPr>
      <w:r w:rsidRPr="00D74025">
        <w:rPr>
          <w:rFonts w:ascii="Arial" w:hAnsi="Arial" w:cs="Arial"/>
          <w:color w:val="000000" w:themeColor="text1"/>
        </w:rPr>
        <w:t>in partial fulfillment of the requirements for the</w:t>
      </w:r>
    </w:p>
    <w:p w14:paraId="3D3B95AC" w14:textId="77777777" w:rsidR="003238C4" w:rsidRPr="00D74025" w:rsidRDefault="003238C4" w:rsidP="00CF0CD5">
      <w:pPr>
        <w:pStyle w:val="Default"/>
        <w:spacing w:line="360" w:lineRule="auto"/>
        <w:jc w:val="center"/>
        <w:rPr>
          <w:rFonts w:ascii="Arial" w:hAnsi="Arial" w:cs="Arial"/>
          <w:color w:val="000000" w:themeColor="text1"/>
        </w:rPr>
      </w:pPr>
    </w:p>
    <w:p w14:paraId="3E71E35E" w14:textId="66E356A0" w:rsidR="003238C4" w:rsidRPr="00D74025" w:rsidRDefault="003238C4" w:rsidP="00CF0CD5">
      <w:pPr>
        <w:pStyle w:val="Default"/>
        <w:spacing w:line="360" w:lineRule="auto"/>
        <w:jc w:val="center"/>
        <w:rPr>
          <w:rFonts w:ascii="Arial" w:hAnsi="Arial" w:cs="Arial"/>
          <w:color w:val="000000" w:themeColor="text1"/>
        </w:rPr>
      </w:pPr>
      <w:r w:rsidRPr="00D74025">
        <w:rPr>
          <w:rFonts w:ascii="Arial" w:hAnsi="Arial" w:cs="Arial"/>
          <w:color w:val="000000" w:themeColor="text1"/>
        </w:rPr>
        <w:t>Degree of</w:t>
      </w:r>
    </w:p>
    <w:p w14:paraId="322C6B2F" w14:textId="33AAF88F" w:rsidR="003238C4" w:rsidRPr="00D74025" w:rsidRDefault="003238C4" w:rsidP="00CF0CD5">
      <w:pPr>
        <w:pStyle w:val="Default"/>
        <w:spacing w:line="360" w:lineRule="auto"/>
        <w:jc w:val="center"/>
        <w:rPr>
          <w:rFonts w:ascii="Arial" w:hAnsi="Arial" w:cs="Arial"/>
          <w:color w:val="000000" w:themeColor="text1"/>
        </w:rPr>
      </w:pPr>
      <w:r w:rsidRPr="00D74025">
        <w:rPr>
          <w:rFonts w:ascii="Arial" w:hAnsi="Arial" w:cs="Arial"/>
          <w:color w:val="000000" w:themeColor="text1"/>
        </w:rPr>
        <w:t>DOCTOR OF PHILOSO</w:t>
      </w:r>
      <w:r w:rsidR="00DC6AD5">
        <w:rPr>
          <w:rFonts w:ascii="Arial" w:hAnsi="Arial" w:cs="Arial"/>
          <w:color w:val="000000" w:themeColor="text1"/>
        </w:rPr>
        <w:t>PH</w:t>
      </w:r>
      <w:r w:rsidRPr="00D74025">
        <w:rPr>
          <w:rFonts w:ascii="Arial" w:hAnsi="Arial" w:cs="Arial"/>
          <w:color w:val="000000" w:themeColor="text1"/>
        </w:rPr>
        <w:t>Y</w:t>
      </w:r>
    </w:p>
    <w:p w14:paraId="58970EFB" w14:textId="0E0E1F36" w:rsidR="003238C4" w:rsidRPr="00D74025" w:rsidRDefault="003238C4" w:rsidP="00CF0CD5">
      <w:pPr>
        <w:pStyle w:val="Default"/>
        <w:spacing w:line="360" w:lineRule="auto"/>
        <w:jc w:val="center"/>
        <w:rPr>
          <w:rFonts w:ascii="Arial" w:hAnsi="Arial" w:cs="Arial"/>
          <w:color w:val="000000" w:themeColor="text1"/>
        </w:rPr>
      </w:pPr>
    </w:p>
    <w:p w14:paraId="4ED00626" w14:textId="77777777" w:rsidR="00800435" w:rsidRPr="00D74025" w:rsidRDefault="00800435" w:rsidP="00CF0CD5">
      <w:pPr>
        <w:pStyle w:val="Default"/>
        <w:spacing w:line="360" w:lineRule="auto"/>
        <w:jc w:val="center"/>
        <w:rPr>
          <w:rFonts w:ascii="Arial" w:hAnsi="Arial" w:cs="Arial"/>
          <w:color w:val="000000" w:themeColor="text1"/>
        </w:rPr>
      </w:pPr>
    </w:p>
    <w:p w14:paraId="6D18C256" w14:textId="3C5EDC4F" w:rsidR="003238C4" w:rsidRPr="00D74025" w:rsidRDefault="003238C4" w:rsidP="00CF0CD5">
      <w:pPr>
        <w:pStyle w:val="Default"/>
        <w:spacing w:line="360" w:lineRule="auto"/>
        <w:jc w:val="center"/>
        <w:rPr>
          <w:rFonts w:ascii="Arial" w:hAnsi="Arial" w:cs="Arial"/>
          <w:color w:val="000000" w:themeColor="text1"/>
        </w:rPr>
      </w:pPr>
      <w:r w:rsidRPr="00D74025">
        <w:rPr>
          <w:rFonts w:ascii="Arial" w:hAnsi="Arial" w:cs="Arial"/>
          <w:color w:val="000000" w:themeColor="text1"/>
        </w:rPr>
        <w:t>By</w:t>
      </w:r>
    </w:p>
    <w:p w14:paraId="69E45C65" w14:textId="3A610182" w:rsidR="003238C4" w:rsidRPr="00D74025" w:rsidRDefault="00800435" w:rsidP="00CF0CD5">
      <w:pPr>
        <w:pStyle w:val="Default"/>
        <w:spacing w:line="360" w:lineRule="auto"/>
        <w:jc w:val="center"/>
        <w:rPr>
          <w:rFonts w:ascii="Arial" w:hAnsi="Arial" w:cs="Arial"/>
          <w:color w:val="000000" w:themeColor="text1"/>
          <w:lang w:val="pt-BR"/>
        </w:rPr>
      </w:pPr>
      <w:r w:rsidRPr="00D74025">
        <w:rPr>
          <w:rFonts w:ascii="Arial" w:hAnsi="Arial" w:cs="Arial"/>
          <w:color w:val="000000" w:themeColor="text1"/>
          <w:lang w:val="pt-BR"/>
        </w:rPr>
        <w:t>GABRIELA NOGUEIRA FURTADO E FARIA</w:t>
      </w:r>
    </w:p>
    <w:p w14:paraId="78B971F8" w14:textId="309326A2" w:rsidR="003238C4" w:rsidRPr="00D74025" w:rsidRDefault="003238C4" w:rsidP="00CF0CD5">
      <w:pPr>
        <w:pStyle w:val="Default"/>
        <w:spacing w:line="360" w:lineRule="auto"/>
        <w:jc w:val="center"/>
        <w:rPr>
          <w:rFonts w:ascii="Arial" w:hAnsi="Arial" w:cs="Arial"/>
          <w:color w:val="000000" w:themeColor="text1"/>
          <w:lang w:val="pt-BR"/>
        </w:rPr>
      </w:pPr>
      <w:r w:rsidRPr="00D74025">
        <w:rPr>
          <w:rFonts w:ascii="Arial" w:hAnsi="Arial" w:cs="Arial"/>
          <w:color w:val="000000" w:themeColor="text1"/>
          <w:lang w:val="pt-BR"/>
        </w:rPr>
        <w:t>Norman, Oklahoma</w:t>
      </w:r>
    </w:p>
    <w:p w14:paraId="331E504E" w14:textId="6EDD8D36" w:rsidR="00F24251" w:rsidRPr="00D74025" w:rsidRDefault="00800435" w:rsidP="00CF0CD5">
      <w:pPr>
        <w:spacing w:line="360" w:lineRule="auto"/>
        <w:jc w:val="center"/>
        <w:rPr>
          <w:rFonts w:ascii="Arial" w:hAnsi="Arial" w:cs="Arial"/>
          <w:color w:val="000000" w:themeColor="text1"/>
        </w:rPr>
      </w:pPr>
      <w:r w:rsidRPr="00D74025">
        <w:rPr>
          <w:rFonts w:ascii="Arial" w:hAnsi="Arial" w:cs="Arial"/>
          <w:color w:val="000000" w:themeColor="text1"/>
        </w:rPr>
        <w:t>2022</w:t>
      </w:r>
      <w:r w:rsidR="00F24251" w:rsidRPr="00D74025">
        <w:rPr>
          <w:rFonts w:ascii="Arial" w:hAnsi="Arial" w:cs="Arial"/>
          <w:color w:val="000000" w:themeColor="text1"/>
        </w:rPr>
        <w:br w:type="page"/>
      </w:r>
    </w:p>
    <w:p w14:paraId="4A25CFBA" w14:textId="77777777" w:rsidR="00F24251" w:rsidRPr="00D74025" w:rsidRDefault="00F24251" w:rsidP="00CF0CD5">
      <w:pPr>
        <w:spacing w:line="360" w:lineRule="auto"/>
        <w:jc w:val="center"/>
        <w:rPr>
          <w:rFonts w:ascii="Arial" w:hAnsi="Arial" w:cs="Arial"/>
          <w:color w:val="000000" w:themeColor="text1"/>
        </w:rPr>
      </w:pPr>
    </w:p>
    <w:p w14:paraId="762F1096" w14:textId="251B8B7D" w:rsidR="00FD11C2" w:rsidRPr="00FD11C2" w:rsidRDefault="00FD11C2" w:rsidP="001F5D35">
      <w:pPr>
        <w:spacing w:line="480" w:lineRule="auto"/>
        <w:jc w:val="center"/>
        <w:rPr>
          <w:rFonts w:ascii="Arial" w:hAnsi="Arial" w:cs="Arial"/>
        </w:rPr>
      </w:pPr>
      <w:r w:rsidRPr="00FD11C2">
        <w:rPr>
          <w:rFonts w:ascii="Arial" w:hAnsi="Arial" w:cs="Arial"/>
        </w:rPr>
        <w:t>NOVEL ANNEXIN A5</w:t>
      </w:r>
      <w:r w:rsidR="007F677B">
        <w:rPr>
          <w:rFonts w:ascii="Arial" w:hAnsi="Arial" w:cs="Arial"/>
        </w:rPr>
        <w:t xml:space="preserve"> </w:t>
      </w:r>
      <w:r w:rsidRPr="00FD11C2">
        <w:rPr>
          <w:rFonts w:ascii="Arial" w:hAnsi="Arial" w:cs="Arial"/>
        </w:rPr>
        <w:t>- NANOPARTICLES CONJUGATES FOR TARGETED CANCER THERAPY</w:t>
      </w:r>
    </w:p>
    <w:p w14:paraId="53501FDF" w14:textId="43E39590" w:rsidR="00800435" w:rsidRPr="00D74025" w:rsidRDefault="00800435" w:rsidP="00CF0CD5">
      <w:pPr>
        <w:spacing w:line="360" w:lineRule="auto"/>
        <w:jc w:val="center"/>
        <w:rPr>
          <w:rFonts w:ascii="Arial" w:hAnsi="Arial" w:cs="Arial"/>
          <w:color w:val="000000" w:themeColor="text1"/>
        </w:rPr>
      </w:pPr>
    </w:p>
    <w:p w14:paraId="314DBC08" w14:textId="0E333A54" w:rsidR="006424E1" w:rsidRDefault="006424E1" w:rsidP="001F5D35">
      <w:pPr>
        <w:spacing w:line="360" w:lineRule="auto"/>
        <w:rPr>
          <w:rFonts w:ascii="Arial" w:hAnsi="Arial" w:cs="Arial"/>
          <w:color w:val="000000" w:themeColor="text1"/>
        </w:rPr>
      </w:pPr>
    </w:p>
    <w:p w14:paraId="5E515D90" w14:textId="77777777" w:rsidR="006424E1" w:rsidRPr="00D74025" w:rsidRDefault="006424E1" w:rsidP="00CF0CD5">
      <w:pPr>
        <w:spacing w:line="360" w:lineRule="auto"/>
        <w:jc w:val="center"/>
        <w:rPr>
          <w:rFonts w:ascii="Arial" w:hAnsi="Arial" w:cs="Arial"/>
          <w:color w:val="000000" w:themeColor="text1"/>
        </w:rPr>
      </w:pPr>
    </w:p>
    <w:p w14:paraId="23D6632E" w14:textId="4CBD0466" w:rsidR="00800435" w:rsidRPr="00D74025" w:rsidRDefault="00800435" w:rsidP="001F5D35">
      <w:pPr>
        <w:spacing w:line="480" w:lineRule="auto"/>
        <w:jc w:val="center"/>
        <w:rPr>
          <w:rFonts w:ascii="Arial" w:hAnsi="Arial" w:cs="Arial"/>
          <w:color w:val="000000" w:themeColor="text1"/>
        </w:rPr>
      </w:pPr>
      <w:r w:rsidRPr="00D74025">
        <w:rPr>
          <w:rFonts w:ascii="Arial" w:hAnsi="Arial" w:cs="Arial"/>
          <w:color w:val="000000" w:themeColor="text1"/>
        </w:rPr>
        <w:t xml:space="preserve">A </w:t>
      </w:r>
      <w:r w:rsidR="00F17138" w:rsidRPr="00D74025">
        <w:rPr>
          <w:rFonts w:ascii="Arial" w:hAnsi="Arial" w:cs="Arial"/>
          <w:color w:val="000000" w:themeColor="text1"/>
        </w:rPr>
        <w:t xml:space="preserve">DISSERTATION </w:t>
      </w:r>
      <w:r w:rsidRPr="00D74025">
        <w:rPr>
          <w:rFonts w:ascii="Arial" w:hAnsi="Arial" w:cs="Arial"/>
          <w:color w:val="000000" w:themeColor="text1"/>
        </w:rPr>
        <w:t xml:space="preserve">APPROVED FOR THE </w:t>
      </w:r>
    </w:p>
    <w:p w14:paraId="72A79F5E" w14:textId="63131DF6" w:rsidR="00800435" w:rsidRPr="00D74025" w:rsidRDefault="00E10A0C" w:rsidP="001F5D35">
      <w:pPr>
        <w:spacing w:line="480" w:lineRule="auto"/>
        <w:jc w:val="center"/>
        <w:rPr>
          <w:rFonts w:ascii="Arial" w:hAnsi="Arial" w:cs="Arial"/>
          <w:color w:val="000000" w:themeColor="text1"/>
        </w:rPr>
      </w:pPr>
      <w:r>
        <w:rPr>
          <w:rFonts w:ascii="Arial" w:hAnsi="Arial" w:cs="Arial"/>
          <w:color w:val="000000" w:themeColor="text1"/>
        </w:rPr>
        <w:t xml:space="preserve">SCHOOL OF </w:t>
      </w:r>
      <w:r w:rsidR="00800435" w:rsidRPr="00D74025">
        <w:rPr>
          <w:rFonts w:ascii="Arial" w:hAnsi="Arial" w:cs="Arial"/>
          <w:color w:val="000000" w:themeColor="text1"/>
        </w:rPr>
        <w:t>CHEMICAL, BIOLOGICAL AND MATERIALS ENGINEERING</w:t>
      </w:r>
    </w:p>
    <w:p w14:paraId="12605B4B" w14:textId="159B112F" w:rsidR="00800435" w:rsidRPr="00D74025" w:rsidRDefault="00800435" w:rsidP="00CF0CD5">
      <w:pPr>
        <w:spacing w:line="360" w:lineRule="auto"/>
        <w:jc w:val="center"/>
        <w:rPr>
          <w:rFonts w:ascii="Arial" w:hAnsi="Arial" w:cs="Arial"/>
          <w:color w:val="000000" w:themeColor="text1"/>
        </w:rPr>
      </w:pPr>
    </w:p>
    <w:p w14:paraId="4BECC19C" w14:textId="54CC4873" w:rsidR="00800435" w:rsidRPr="00D74025" w:rsidRDefault="00800435" w:rsidP="00CF0CD5">
      <w:pPr>
        <w:spacing w:line="360" w:lineRule="auto"/>
        <w:rPr>
          <w:rFonts w:ascii="Arial" w:hAnsi="Arial" w:cs="Arial"/>
          <w:color w:val="000000" w:themeColor="text1"/>
        </w:rPr>
      </w:pPr>
    </w:p>
    <w:p w14:paraId="3C0453B9" w14:textId="0D0CA1EC" w:rsidR="00800435" w:rsidRPr="00D74025" w:rsidRDefault="00800435" w:rsidP="00CF0CD5">
      <w:pPr>
        <w:spacing w:line="360" w:lineRule="auto"/>
        <w:jc w:val="center"/>
        <w:rPr>
          <w:rFonts w:ascii="Arial" w:hAnsi="Arial" w:cs="Arial"/>
          <w:color w:val="000000" w:themeColor="text1"/>
        </w:rPr>
      </w:pPr>
    </w:p>
    <w:p w14:paraId="38AC99AD" w14:textId="77777777" w:rsidR="00800435" w:rsidRPr="00D74025" w:rsidRDefault="00800435" w:rsidP="00CF0CD5">
      <w:pPr>
        <w:spacing w:line="360" w:lineRule="auto"/>
        <w:jc w:val="center"/>
        <w:rPr>
          <w:rFonts w:ascii="Arial" w:hAnsi="Arial" w:cs="Arial"/>
          <w:color w:val="000000" w:themeColor="text1"/>
        </w:rPr>
      </w:pPr>
    </w:p>
    <w:p w14:paraId="1FDF7568" w14:textId="2FFC3FA1" w:rsidR="00596822" w:rsidRPr="00D74025" w:rsidRDefault="00800435" w:rsidP="00CF0CD5">
      <w:pPr>
        <w:spacing w:line="360" w:lineRule="auto"/>
        <w:jc w:val="center"/>
        <w:rPr>
          <w:rFonts w:ascii="Arial" w:hAnsi="Arial" w:cs="Arial"/>
          <w:color w:val="000000" w:themeColor="text1"/>
        </w:rPr>
      </w:pPr>
      <w:r w:rsidRPr="00D74025">
        <w:rPr>
          <w:rFonts w:ascii="Arial" w:hAnsi="Arial" w:cs="Arial"/>
          <w:color w:val="000000" w:themeColor="text1"/>
        </w:rPr>
        <w:t xml:space="preserve">BY THE COMMITTEE CONSISTING OF </w:t>
      </w:r>
    </w:p>
    <w:p w14:paraId="738B2630" w14:textId="77777777" w:rsidR="00596822" w:rsidRPr="00D74025" w:rsidRDefault="00596822" w:rsidP="00CF0CD5">
      <w:pPr>
        <w:spacing w:line="360" w:lineRule="auto"/>
        <w:jc w:val="center"/>
        <w:rPr>
          <w:rFonts w:ascii="Arial" w:hAnsi="Arial" w:cs="Arial"/>
          <w:color w:val="000000" w:themeColor="text1"/>
        </w:rPr>
      </w:pPr>
    </w:p>
    <w:p w14:paraId="79523C19" w14:textId="0558170E" w:rsidR="00596822" w:rsidRPr="00D74025" w:rsidRDefault="00596822" w:rsidP="001F5D35">
      <w:pPr>
        <w:spacing w:line="360" w:lineRule="auto"/>
        <w:rPr>
          <w:rFonts w:ascii="Arial" w:hAnsi="Arial" w:cs="Arial"/>
          <w:color w:val="000000" w:themeColor="text1"/>
        </w:rPr>
      </w:pPr>
    </w:p>
    <w:p w14:paraId="6053C218" w14:textId="2966F5A1" w:rsidR="00800435" w:rsidRPr="00D74025" w:rsidRDefault="00800435" w:rsidP="00CF0CD5">
      <w:pPr>
        <w:spacing w:line="360" w:lineRule="auto"/>
        <w:jc w:val="right"/>
        <w:rPr>
          <w:rFonts w:ascii="Arial" w:hAnsi="Arial" w:cs="Arial"/>
          <w:color w:val="000000" w:themeColor="text1"/>
        </w:rPr>
      </w:pPr>
      <w:r w:rsidRPr="00D74025">
        <w:rPr>
          <w:rFonts w:ascii="Arial" w:hAnsi="Arial" w:cs="Arial"/>
          <w:color w:val="000000" w:themeColor="text1"/>
        </w:rPr>
        <w:t xml:space="preserve">Dr. Roger Harrison, Chair </w:t>
      </w:r>
    </w:p>
    <w:p w14:paraId="3B1C0A43" w14:textId="77777777" w:rsidR="00596822" w:rsidRPr="00D74025" w:rsidRDefault="00596822" w:rsidP="00CF0CD5">
      <w:pPr>
        <w:spacing w:line="360" w:lineRule="auto"/>
        <w:jc w:val="right"/>
        <w:rPr>
          <w:rFonts w:ascii="Arial" w:hAnsi="Arial" w:cs="Arial"/>
          <w:color w:val="000000" w:themeColor="text1"/>
        </w:rPr>
      </w:pPr>
    </w:p>
    <w:p w14:paraId="30A06BC9" w14:textId="0ADD93CF" w:rsidR="00596822" w:rsidRPr="002F5E40" w:rsidRDefault="00800435" w:rsidP="00CF0CD5">
      <w:pPr>
        <w:spacing w:line="360" w:lineRule="auto"/>
        <w:jc w:val="right"/>
        <w:rPr>
          <w:rFonts w:ascii="Arial" w:hAnsi="Arial" w:cs="Arial"/>
          <w:color w:val="000000" w:themeColor="text1"/>
          <w:lang w:val="pt-BR"/>
        </w:rPr>
      </w:pPr>
      <w:r w:rsidRPr="002F5E40">
        <w:rPr>
          <w:rFonts w:ascii="Arial" w:hAnsi="Arial" w:cs="Arial"/>
          <w:color w:val="000000" w:themeColor="text1"/>
          <w:lang w:val="pt-BR"/>
        </w:rPr>
        <w:t xml:space="preserve">Dr. </w:t>
      </w:r>
      <w:proofErr w:type="spellStart"/>
      <w:r w:rsidR="00AC5326" w:rsidRPr="002F5E40">
        <w:rPr>
          <w:rFonts w:ascii="Arial" w:hAnsi="Arial" w:cs="Arial"/>
          <w:color w:val="000000" w:themeColor="text1"/>
          <w:lang w:val="pt-BR"/>
        </w:rPr>
        <w:t>Vassilios</w:t>
      </w:r>
      <w:proofErr w:type="spellEnd"/>
      <w:r w:rsidR="00AC5326" w:rsidRPr="002F5E40">
        <w:rPr>
          <w:rFonts w:ascii="Arial" w:hAnsi="Arial" w:cs="Arial"/>
          <w:color w:val="000000" w:themeColor="text1"/>
          <w:lang w:val="pt-BR"/>
        </w:rPr>
        <w:t xml:space="preserve"> </w:t>
      </w:r>
      <w:proofErr w:type="spellStart"/>
      <w:r w:rsidR="003D12AB" w:rsidRPr="002F5E40">
        <w:rPr>
          <w:rFonts w:ascii="Arial" w:hAnsi="Arial" w:cs="Arial"/>
          <w:color w:val="000000" w:themeColor="text1"/>
          <w:lang w:val="pt-BR"/>
        </w:rPr>
        <w:t>Sikavitsas</w:t>
      </w:r>
      <w:proofErr w:type="spellEnd"/>
    </w:p>
    <w:p w14:paraId="6C03F479" w14:textId="77777777" w:rsidR="00596822" w:rsidRPr="002F5E40" w:rsidRDefault="00596822" w:rsidP="00CF0CD5">
      <w:pPr>
        <w:spacing w:line="360" w:lineRule="auto"/>
        <w:jc w:val="right"/>
        <w:rPr>
          <w:rFonts w:ascii="Arial" w:hAnsi="Arial" w:cs="Arial"/>
          <w:color w:val="000000" w:themeColor="text1"/>
          <w:lang w:val="pt-BR"/>
        </w:rPr>
      </w:pPr>
    </w:p>
    <w:p w14:paraId="49092D13" w14:textId="621BB7F8" w:rsidR="00596822" w:rsidRPr="00D74025" w:rsidRDefault="00800435" w:rsidP="00CF0CD5">
      <w:pPr>
        <w:spacing w:line="360" w:lineRule="auto"/>
        <w:jc w:val="right"/>
        <w:rPr>
          <w:rFonts w:ascii="Arial" w:hAnsi="Arial" w:cs="Arial"/>
          <w:color w:val="000000" w:themeColor="text1"/>
          <w:lang w:val="pt-BR"/>
        </w:rPr>
      </w:pPr>
      <w:r w:rsidRPr="00D74025">
        <w:rPr>
          <w:rFonts w:ascii="Arial" w:hAnsi="Arial" w:cs="Arial"/>
          <w:color w:val="000000" w:themeColor="text1"/>
          <w:lang w:val="pt-BR"/>
        </w:rPr>
        <w:t>D</w:t>
      </w:r>
      <w:r w:rsidR="00596822" w:rsidRPr="00D74025">
        <w:rPr>
          <w:rFonts w:ascii="Arial" w:hAnsi="Arial" w:cs="Arial"/>
          <w:color w:val="000000" w:themeColor="text1"/>
          <w:lang w:val="pt-BR"/>
        </w:rPr>
        <w:t xml:space="preserve">r. Daniel </w:t>
      </w:r>
      <w:proofErr w:type="spellStart"/>
      <w:r w:rsidR="00596822" w:rsidRPr="00D74025">
        <w:rPr>
          <w:rFonts w:ascii="Arial" w:hAnsi="Arial" w:cs="Arial"/>
          <w:color w:val="000000" w:themeColor="text1"/>
          <w:lang w:val="pt-BR"/>
        </w:rPr>
        <w:t>Resasco</w:t>
      </w:r>
      <w:proofErr w:type="spellEnd"/>
      <w:r w:rsidRPr="00D74025">
        <w:rPr>
          <w:rFonts w:ascii="Arial" w:hAnsi="Arial" w:cs="Arial"/>
          <w:color w:val="000000" w:themeColor="text1"/>
          <w:lang w:val="pt-BR"/>
        </w:rPr>
        <w:t xml:space="preserve"> </w:t>
      </w:r>
    </w:p>
    <w:p w14:paraId="59625370" w14:textId="77777777" w:rsidR="00596822" w:rsidRPr="00D74025" w:rsidRDefault="00596822" w:rsidP="00CF0CD5">
      <w:pPr>
        <w:spacing w:line="360" w:lineRule="auto"/>
        <w:jc w:val="right"/>
        <w:rPr>
          <w:rFonts w:ascii="Arial" w:hAnsi="Arial" w:cs="Arial"/>
          <w:color w:val="000000" w:themeColor="text1"/>
          <w:lang w:val="pt-BR"/>
        </w:rPr>
      </w:pPr>
    </w:p>
    <w:p w14:paraId="79ADFA82" w14:textId="77777777" w:rsidR="003D12AB" w:rsidRPr="002F5E40" w:rsidRDefault="00800435" w:rsidP="003D12AB">
      <w:pPr>
        <w:spacing w:line="360" w:lineRule="auto"/>
        <w:jc w:val="right"/>
        <w:rPr>
          <w:rFonts w:ascii="Arial" w:hAnsi="Arial" w:cs="Arial"/>
          <w:color w:val="000000" w:themeColor="text1"/>
          <w:lang w:val="pt-BR"/>
        </w:rPr>
      </w:pPr>
      <w:r w:rsidRPr="00D74025">
        <w:rPr>
          <w:rFonts w:ascii="Arial" w:hAnsi="Arial" w:cs="Arial"/>
          <w:color w:val="000000" w:themeColor="text1"/>
          <w:lang w:val="pt-BR"/>
        </w:rPr>
        <w:t xml:space="preserve">Dr. </w:t>
      </w:r>
      <w:r w:rsidR="00596822" w:rsidRPr="00D74025">
        <w:rPr>
          <w:rFonts w:ascii="Arial" w:hAnsi="Arial" w:cs="Arial"/>
          <w:color w:val="000000" w:themeColor="text1"/>
          <w:lang w:val="pt-BR"/>
        </w:rPr>
        <w:t>Dimitri</w:t>
      </w:r>
      <w:r w:rsidR="0022109F">
        <w:rPr>
          <w:rFonts w:ascii="Arial" w:hAnsi="Arial" w:cs="Arial"/>
          <w:color w:val="000000" w:themeColor="text1"/>
          <w:lang w:val="pt-BR"/>
        </w:rPr>
        <w:t>os</w:t>
      </w:r>
      <w:r w:rsidR="00596822" w:rsidRPr="00D74025">
        <w:rPr>
          <w:rFonts w:ascii="Arial" w:hAnsi="Arial" w:cs="Arial"/>
          <w:color w:val="000000" w:themeColor="text1"/>
          <w:lang w:val="pt-BR"/>
        </w:rPr>
        <w:t xml:space="preserve"> </w:t>
      </w:r>
      <w:proofErr w:type="spellStart"/>
      <w:r w:rsidR="003D12AB" w:rsidRPr="002F5E40">
        <w:rPr>
          <w:rFonts w:ascii="Arial" w:hAnsi="Arial" w:cs="Arial"/>
          <w:color w:val="000000" w:themeColor="text1"/>
          <w:lang w:val="pt-BR"/>
        </w:rPr>
        <w:t>Papavassiliou</w:t>
      </w:r>
      <w:proofErr w:type="spellEnd"/>
    </w:p>
    <w:p w14:paraId="2F23D8A4" w14:textId="2C27D6B7" w:rsidR="00800435" w:rsidRPr="00D74025" w:rsidRDefault="00800435" w:rsidP="00AC5326">
      <w:pPr>
        <w:spacing w:line="360" w:lineRule="auto"/>
        <w:rPr>
          <w:rFonts w:ascii="Arial" w:hAnsi="Arial" w:cs="Arial"/>
          <w:color w:val="000000" w:themeColor="text1"/>
          <w:lang w:val="pt-BR"/>
        </w:rPr>
      </w:pPr>
      <w:r w:rsidRPr="00D74025">
        <w:rPr>
          <w:rFonts w:ascii="Arial" w:hAnsi="Arial" w:cs="Arial"/>
          <w:color w:val="000000" w:themeColor="text1"/>
          <w:lang w:val="pt-BR"/>
        </w:rPr>
        <w:t xml:space="preserve"> </w:t>
      </w:r>
    </w:p>
    <w:p w14:paraId="3D009BBF" w14:textId="70214331" w:rsidR="00596822" w:rsidRPr="002F5E40" w:rsidRDefault="00800435" w:rsidP="00CF0CD5">
      <w:pPr>
        <w:spacing w:line="360" w:lineRule="auto"/>
        <w:jc w:val="right"/>
        <w:rPr>
          <w:rFonts w:ascii="Arial" w:hAnsi="Arial" w:cs="Arial"/>
          <w:color w:val="000000" w:themeColor="text1"/>
          <w:lang w:val="pt-BR"/>
        </w:rPr>
      </w:pPr>
      <w:r w:rsidRPr="002F5E40">
        <w:rPr>
          <w:rFonts w:ascii="Arial" w:hAnsi="Arial" w:cs="Arial"/>
          <w:color w:val="000000" w:themeColor="text1"/>
          <w:lang w:val="pt-BR"/>
        </w:rPr>
        <w:t xml:space="preserve">Dr. </w:t>
      </w:r>
      <w:proofErr w:type="spellStart"/>
      <w:r w:rsidR="00596822" w:rsidRPr="002F5E40">
        <w:rPr>
          <w:rFonts w:ascii="Arial" w:hAnsi="Arial" w:cs="Arial"/>
          <w:color w:val="000000" w:themeColor="text1"/>
          <w:lang w:val="pt-BR"/>
        </w:rPr>
        <w:t>Lacey</w:t>
      </w:r>
      <w:proofErr w:type="spellEnd"/>
      <w:r w:rsidR="00596822" w:rsidRPr="002F5E40">
        <w:rPr>
          <w:rFonts w:ascii="Arial" w:hAnsi="Arial" w:cs="Arial"/>
          <w:color w:val="000000" w:themeColor="text1"/>
          <w:lang w:val="pt-BR"/>
        </w:rPr>
        <w:t xml:space="preserve"> </w:t>
      </w:r>
      <w:proofErr w:type="spellStart"/>
      <w:r w:rsidR="00596822" w:rsidRPr="002F5E40">
        <w:rPr>
          <w:rFonts w:ascii="Arial" w:hAnsi="Arial" w:cs="Arial"/>
          <w:color w:val="000000" w:themeColor="text1"/>
          <w:lang w:val="pt-BR"/>
        </w:rPr>
        <w:t>McNally</w:t>
      </w:r>
      <w:proofErr w:type="spellEnd"/>
    </w:p>
    <w:p w14:paraId="7ADBDBEE" w14:textId="77777777" w:rsidR="00F17138" w:rsidRPr="002F5E40" w:rsidRDefault="00F17138" w:rsidP="00CF0CD5">
      <w:pPr>
        <w:spacing w:line="360" w:lineRule="auto"/>
        <w:jc w:val="right"/>
        <w:rPr>
          <w:rFonts w:ascii="Arial" w:hAnsi="Arial" w:cs="Arial"/>
          <w:color w:val="000000" w:themeColor="text1"/>
          <w:lang w:val="pt-BR"/>
        </w:rPr>
      </w:pPr>
    </w:p>
    <w:p w14:paraId="45F634F7" w14:textId="720D0BAF" w:rsidR="00F17138" w:rsidRPr="002F5E40" w:rsidRDefault="00596822" w:rsidP="00CF0CD5">
      <w:pPr>
        <w:spacing w:line="360" w:lineRule="auto"/>
        <w:jc w:val="right"/>
        <w:rPr>
          <w:rFonts w:ascii="Arial" w:hAnsi="Arial" w:cs="Arial"/>
          <w:color w:val="000000" w:themeColor="text1"/>
          <w:lang w:val="pt-BR"/>
        </w:rPr>
      </w:pPr>
      <w:r w:rsidRPr="002F5E40">
        <w:rPr>
          <w:rFonts w:ascii="Arial" w:hAnsi="Arial" w:cs="Arial"/>
          <w:color w:val="000000" w:themeColor="text1"/>
          <w:lang w:val="pt-BR"/>
        </w:rPr>
        <w:t xml:space="preserve">Dr. </w:t>
      </w:r>
      <w:proofErr w:type="spellStart"/>
      <w:r w:rsidR="00AC5326" w:rsidRPr="002F5E40">
        <w:rPr>
          <w:rFonts w:ascii="Arial" w:hAnsi="Arial" w:cs="Arial"/>
          <w:color w:val="000000" w:themeColor="text1"/>
          <w:lang w:val="pt-BR"/>
        </w:rPr>
        <w:t>Wajeeha</w:t>
      </w:r>
      <w:proofErr w:type="spellEnd"/>
      <w:r w:rsidRPr="002F5E40">
        <w:rPr>
          <w:rFonts w:ascii="Arial" w:hAnsi="Arial" w:cs="Arial"/>
          <w:color w:val="000000" w:themeColor="text1"/>
          <w:lang w:val="pt-BR"/>
        </w:rPr>
        <w:t xml:space="preserve"> </w:t>
      </w:r>
      <w:proofErr w:type="spellStart"/>
      <w:r w:rsidRPr="002F5E40">
        <w:rPr>
          <w:rFonts w:ascii="Arial" w:hAnsi="Arial" w:cs="Arial"/>
          <w:color w:val="000000" w:themeColor="text1"/>
          <w:lang w:val="pt-BR"/>
        </w:rPr>
        <w:t>Raza</w:t>
      </w:r>
      <w:r w:rsidR="00F24251" w:rsidRPr="002F5E40">
        <w:rPr>
          <w:rFonts w:ascii="Arial" w:hAnsi="Arial" w:cs="Arial"/>
          <w:color w:val="000000" w:themeColor="text1"/>
          <w:lang w:val="pt-BR"/>
        </w:rPr>
        <w:t>q</w:t>
      </w:r>
      <w:proofErr w:type="spellEnd"/>
    </w:p>
    <w:p w14:paraId="623C6A26" w14:textId="42C11BCE" w:rsidR="00F17138" w:rsidRPr="002F5E40" w:rsidRDefault="00F17138" w:rsidP="00CF0CD5">
      <w:pPr>
        <w:spacing w:line="360" w:lineRule="auto"/>
        <w:jc w:val="center"/>
        <w:rPr>
          <w:rFonts w:ascii="Arial" w:hAnsi="Arial" w:cs="Arial"/>
          <w:color w:val="000000" w:themeColor="text1"/>
          <w:lang w:val="pt-BR"/>
        </w:rPr>
      </w:pPr>
    </w:p>
    <w:p w14:paraId="05548C2D" w14:textId="179241C3" w:rsidR="00F17138" w:rsidRPr="002F5E40" w:rsidRDefault="00F17138" w:rsidP="00CF0CD5">
      <w:pPr>
        <w:spacing w:line="360" w:lineRule="auto"/>
        <w:jc w:val="center"/>
        <w:rPr>
          <w:rFonts w:ascii="Arial" w:hAnsi="Arial" w:cs="Arial"/>
          <w:color w:val="000000" w:themeColor="text1"/>
          <w:lang w:val="pt-BR"/>
        </w:rPr>
      </w:pPr>
    </w:p>
    <w:p w14:paraId="60F19E25" w14:textId="304CD625" w:rsidR="00F17138" w:rsidRPr="002F5E40" w:rsidRDefault="00F17138" w:rsidP="00CF0CD5">
      <w:pPr>
        <w:spacing w:line="360" w:lineRule="auto"/>
        <w:jc w:val="center"/>
        <w:rPr>
          <w:rFonts w:ascii="Arial" w:hAnsi="Arial" w:cs="Arial"/>
          <w:color w:val="000000" w:themeColor="text1"/>
          <w:lang w:val="pt-BR"/>
        </w:rPr>
      </w:pPr>
    </w:p>
    <w:p w14:paraId="0EC02814" w14:textId="7CCE4A8C" w:rsidR="00F17138" w:rsidRPr="002F5E40" w:rsidRDefault="00F17138" w:rsidP="00CF0CD5">
      <w:pPr>
        <w:spacing w:line="360" w:lineRule="auto"/>
        <w:jc w:val="center"/>
        <w:rPr>
          <w:rFonts w:ascii="Arial" w:hAnsi="Arial" w:cs="Arial"/>
          <w:color w:val="000000" w:themeColor="text1"/>
          <w:lang w:val="pt-BR"/>
        </w:rPr>
      </w:pPr>
    </w:p>
    <w:p w14:paraId="110EE169" w14:textId="02EA3910" w:rsidR="00F17138" w:rsidRPr="002F5E40" w:rsidRDefault="00F17138" w:rsidP="00CF0CD5">
      <w:pPr>
        <w:spacing w:line="360" w:lineRule="auto"/>
        <w:jc w:val="center"/>
        <w:rPr>
          <w:rFonts w:ascii="Arial" w:hAnsi="Arial" w:cs="Arial"/>
          <w:color w:val="000000" w:themeColor="text1"/>
          <w:lang w:val="pt-BR"/>
        </w:rPr>
      </w:pPr>
    </w:p>
    <w:p w14:paraId="6E9BCBF7" w14:textId="69ECA290" w:rsidR="00F17138" w:rsidRPr="002F5E40" w:rsidRDefault="00F17138" w:rsidP="00CF0CD5">
      <w:pPr>
        <w:spacing w:line="360" w:lineRule="auto"/>
        <w:jc w:val="center"/>
        <w:rPr>
          <w:rFonts w:ascii="Arial" w:hAnsi="Arial" w:cs="Arial"/>
          <w:color w:val="000000" w:themeColor="text1"/>
          <w:lang w:val="pt-BR"/>
        </w:rPr>
      </w:pPr>
    </w:p>
    <w:p w14:paraId="36256B5E" w14:textId="5494D50E" w:rsidR="00F17138" w:rsidRPr="002F5E40" w:rsidRDefault="00F17138" w:rsidP="00CF0CD5">
      <w:pPr>
        <w:spacing w:line="360" w:lineRule="auto"/>
        <w:jc w:val="center"/>
        <w:rPr>
          <w:rFonts w:ascii="Arial" w:hAnsi="Arial" w:cs="Arial"/>
          <w:color w:val="000000" w:themeColor="text1"/>
          <w:lang w:val="pt-BR"/>
        </w:rPr>
      </w:pPr>
    </w:p>
    <w:p w14:paraId="6CBE671B" w14:textId="5F865BA9" w:rsidR="00F17138" w:rsidRPr="002F5E40" w:rsidRDefault="00F17138" w:rsidP="00CF0CD5">
      <w:pPr>
        <w:spacing w:line="360" w:lineRule="auto"/>
        <w:jc w:val="center"/>
        <w:rPr>
          <w:rFonts w:ascii="Arial" w:hAnsi="Arial" w:cs="Arial"/>
          <w:color w:val="000000" w:themeColor="text1"/>
          <w:lang w:val="pt-BR"/>
        </w:rPr>
      </w:pPr>
    </w:p>
    <w:p w14:paraId="40774F1E" w14:textId="3C22FAE1" w:rsidR="00F17138" w:rsidRPr="002F5E40" w:rsidRDefault="00F17138" w:rsidP="00CF0CD5">
      <w:pPr>
        <w:spacing w:line="360" w:lineRule="auto"/>
        <w:jc w:val="center"/>
        <w:rPr>
          <w:rFonts w:ascii="Arial" w:hAnsi="Arial" w:cs="Arial"/>
          <w:color w:val="000000" w:themeColor="text1"/>
          <w:lang w:val="pt-BR"/>
        </w:rPr>
      </w:pPr>
    </w:p>
    <w:p w14:paraId="24FF606F" w14:textId="74233BDE" w:rsidR="00F17138" w:rsidRPr="002F5E40" w:rsidRDefault="00F17138" w:rsidP="00CF0CD5">
      <w:pPr>
        <w:spacing w:line="360" w:lineRule="auto"/>
        <w:jc w:val="center"/>
        <w:rPr>
          <w:rFonts w:ascii="Arial" w:hAnsi="Arial" w:cs="Arial"/>
          <w:color w:val="000000" w:themeColor="text1"/>
          <w:lang w:val="pt-BR"/>
        </w:rPr>
      </w:pPr>
    </w:p>
    <w:p w14:paraId="06BCA0AC" w14:textId="0D6CA50E" w:rsidR="00F17138" w:rsidRPr="002F5E40" w:rsidRDefault="00F17138" w:rsidP="00CF0CD5">
      <w:pPr>
        <w:spacing w:line="360" w:lineRule="auto"/>
        <w:jc w:val="center"/>
        <w:rPr>
          <w:rFonts w:ascii="Arial" w:hAnsi="Arial" w:cs="Arial"/>
          <w:color w:val="000000" w:themeColor="text1"/>
          <w:lang w:val="pt-BR"/>
        </w:rPr>
      </w:pPr>
    </w:p>
    <w:p w14:paraId="1C04B0E7" w14:textId="7B0344D6" w:rsidR="00F17138" w:rsidRPr="002F5E40" w:rsidRDefault="00F17138" w:rsidP="00CF0CD5">
      <w:pPr>
        <w:spacing w:line="360" w:lineRule="auto"/>
        <w:jc w:val="center"/>
        <w:rPr>
          <w:rFonts w:ascii="Arial" w:hAnsi="Arial" w:cs="Arial"/>
          <w:color w:val="000000" w:themeColor="text1"/>
          <w:lang w:val="pt-BR"/>
        </w:rPr>
      </w:pPr>
    </w:p>
    <w:p w14:paraId="4774CB6A" w14:textId="66AC7D25" w:rsidR="00F17138" w:rsidRPr="002F5E40" w:rsidRDefault="00F17138" w:rsidP="00CF0CD5">
      <w:pPr>
        <w:spacing w:line="360" w:lineRule="auto"/>
        <w:jc w:val="center"/>
        <w:rPr>
          <w:rFonts w:ascii="Arial" w:hAnsi="Arial" w:cs="Arial"/>
          <w:color w:val="000000" w:themeColor="text1"/>
          <w:lang w:val="pt-BR"/>
        </w:rPr>
      </w:pPr>
    </w:p>
    <w:p w14:paraId="0249D3E7" w14:textId="65530820" w:rsidR="00F17138" w:rsidRPr="002F5E40" w:rsidRDefault="00F17138" w:rsidP="00CF0CD5">
      <w:pPr>
        <w:spacing w:line="360" w:lineRule="auto"/>
        <w:jc w:val="center"/>
        <w:rPr>
          <w:rFonts w:ascii="Arial" w:hAnsi="Arial" w:cs="Arial"/>
          <w:color w:val="000000" w:themeColor="text1"/>
          <w:lang w:val="pt-BR"/>
        </w:rPr>
      </w:pPr>
    </w:p>
    <w:p w14:paraId="3D6BB135" w14:textId="677A1937" w:rsidR="00F17138" w:rsidRPr="002F5E40" w:rsidRDefault="00F17138" w:rsidP="00CF0CD5">
      <w:pPr>
        <w:spacing w:line="360" w:lineRule="auto"/>
        <w:jc w:val="center"/>
        <w:rPr>
          <w:rFonts w:ascii="Arial" w:hAnsi="Arial" w:cs="Arial"/>
          <w:color w:val="000000" w:themeColor="text1"/>
          <w:lang w:val="pt-BR"/>
        </w:rPr>
      </w:pPr>
    </w:p>
    <w:p w14:paraId="52264073" w14:textId="20836414" w:rsidR="00F17138" w:rsidRPr="002F5E40" w:rsidRDefault="00F17138" w:rsidP="00CF0CD5">
      <w:pPr>
        <w:spacing w:line="360" w:lineRule="auto"/>
        <w:jc w:val="center"/>
        <w:rPr>
          <w:rFonts w:ascii="Arial" w:hAnsi="Arial" w:cs="Arial"/>
          <w:color w:val="000000" w:themeColor="text1"/>
          <w:lang w:val="pt-BR"/>
        </w:rPr>
      </w:pPr>
    </w:p>
    <w:p w14:paraId="6BA3271C" w14:textId="6921C760" w:rsidR="00F17138" w:rsidRPr="002F5E40" w:rsidRDefault="00F17138" w:rsidP="00CF0CD5">
      <w:pPr>
        <w:spacing w:line="360" w:lineRule="auto"/>
        <w:jc w:val="center"/>
        <w:rPr>
          <w:rFonts w:ascii="Arial" w:hAnsi="Arial" w:cs="Arial"/>
          <w:color w:val="000000" w:themeColor="text1"/>
          <w:lang w:val="pt-BR"/>
        </w:rPr>
      </w:pPr>
    </w:p>
    <w:p w14:paraId="4FEAAA55" w14:textId="78954D67" w:rsidR="00F24251" w:rsidRPr="002F5E40" w:rsidRDefault="00F24251" w:rsidP="00CF0CD5">
      <w:pPr>
        <w:spacing w:line="360" w:lineRule="auto"/>
        <w:jc w:val="center"/>
        <w:rPr>
          <w:rFonts w:ascii="Arial" w:hAnsi="Arial" w:cs="Arial"/>
          <w:color w:val="000000" w:themeColor="text1"/>
          <w:lang w:val="pt-BR"/>
        </w:rPr>
      </w:pPr>
    </w:p>
    <w:p w14:paraId="12C7500C" w14:textId="035697EE" w:rsidR="00F24251" w:rsidRPr="002F5E40" w:rsidRDefault="00F24251" w:rsidP="00CF0CD5">
      <w:pPr>
        <w:spacing w:line="360" w:lineRule="auto"/>
        <w:jc w:val="center"/>
        <w:rPr>
          <w:rFonts w:ascii="Arial" w:hAnsi="Arial" w:cs="Arial"/>
          <w:color w:val="000000" w:themeColor="text1"/>
          <w:lang w:val="pt-BR"/>
        </w:rPr>
      </w:pPr>
    </w:p>
    <w:p w14:paraId="2C0F4873" w14:textId="615B2616" w:rsidR="00F24251" w:rsidRPr="002F5E40" w:rsidRDefault="00F24251" w:rsidP="00CF0CD5">
      <w:pPr>
        <w:spacing w:line="360" w:lineRule="auto"/>
        <w:jc w:val="center"/>
        <w:rPr>
          <w:rFonts w:ascii="Arial" w:hAnsi="Arial" w:cs="Arial"/>
          <w:color w:val="000000" w:themeColor="text1"/>
          <w:lang w:val="pt-BR"/>
        </w:rPr>
      </w:pPr>
    </w:p>
    <w:p w14:paraId="00D110AF" w14:textId="77777777" w:rsidR="00F24251" w:rsidRPr="002F5E40" w:rsidRDefault="00F24251" w:rsidP="00CF0CD5">
      <w:pPr>
        <w:spacing w:line="360" w:lineRule="auto"/>
        <w:jc w:val="center"/>
        <w:rPr>
          <w:rFonts w:ascii="Arial" w:hAnsi="Arial" w:cs="Arial"/>
          <w:color w:val="000000" w:themeColor="text1"/>
          <w:lang w:val="pt-BR"/>
        </w:rPr>
      </w:pPr>
    </w:p>
    <w:p w14:paraId="0963CEF9" w14:textId="5507E4B9" w:rsidR="00F17138" w:rsidRDefault="00F17138" w:rsidP="00CF0CD5">
      <w:pPr>
        <w:spacing w:line="360" w:lineRule="auto"/>
        <w:jc w:val="center"/>
        <w:rPr>
          <w:rFonts w:ascii="Arial" w:hAnsi="Arial" w:cs="Arial"/>
          <w:color w:val="000000" w:themeColor="text1"/>
          <w:lang w:val="pt-BR"/>
        </w:rPr>
      </w:pPr>
    </w:p>
    <w:p w14:paraId="2C17C93C" w14:textId="77777777" w:rsidR="001F5D35" w:rsidRDefault="001F5D35" w:rsidP="00CF0CD5">
      <w:pPr>
        <w:spacing w:line="360" w:lineRule="auto"/>
        <w:jc w:val="center"/>
        <w:rPr>
          <w:rFonts w:ascii="Arial" w:hAnsi="Arial" w:cs="Arial"/>
          <w:color w:val="000000" w:themeColor="text1"/>
          <w:lang w:val="pt-BR"/>
        </w:rPr>
      </w:pPr>
    </w:p>
    <w:p w14:paraId="500E2491" w14:textId="77777777" w:rsidR="001F5D35" w:rsidRDefault="001F5D35" w:rsidP="00CF0CD5">
      <w:pPr>
        <w:spacing w:line="360" w:lineRule="auto"/>
        <w:jc w:val="center"/>
        <w:rPr>
          <w:rFonts w:ascii="Arial" w:hAnsi="Arial" w:cs="Arial"/>
          <w:color w:val="000000" w:themeColor="text1"/>
          <w:lang w:val="pt-BR"/>
        </w:rPr>
      </w:pPr>
    </w:p>
    <w:p w14:paraId="3FC1285A" w14:textId="77777777" w:rsidR="001F5D35" w:rsidRDefault="001F5D35" w:rsidP="00CF0CD5">
      <w:pPr>
        <w:spacing w:line="360" w:lineRule="auto"/>
        <w:jc w:val="center"/>
        <w:rPr>
          <w:rFonts w:ascii="Arial" w:hAnsi="Arial" w:cs="Arial"/>
          <w:color w:val="000000" w:themeColor="text1"/>
          <w:lang w:val="pt-BR"/>
        </w:rPr>
      </w:pPr>
    </w:p>
    <w:p w14:paraId="5B345BA2" w14:textId="77777777" w:rsidR="001F5D35" w:rsidRDefault="001F5D35" w:rsidP="00CF0CD5">
      <w:pPr>
        <w:spacing w:line="360" w:lineRule="auto"/>
        <w:jc w:val="center"/>
        <w:rPr>
          <w:rFonts w:ascii="Arial" w:hAnsi="Arial" w:cs="Arial"/>
          <w:color w:val="000000" w:themeColor="text1"/>
          <w:lang w:val="pt-BR"/>
        </w:rPr>
      </w:pPr>
    </w:p>
    <w:p w14:paraId="1CA6B8FE" w14:textId="77777777" w:rsidR="00F567F1" w:rsidRPr="002F5E40" w:rsidRDefault="00F567F1" w:rsidP="00CF0CD5">
      <w:pPr>
        <w:spacing w:line="360" w:lineRule="auto"/>
        <w:jc w:val="center"/>
        <w:rPr>
          <w:rFonts w:ascii="Arial" w:hAnsi="Arial" w:cs="Arial"/>
          <w:color w:val="000000" w:themeColor="text1"/>
          <w:lang w:val="pt-BR"/>
        </w:rPr>
      </w:pPr>
    </w:p>
    <w:p w14:paraId="2ADE64E0" w14:textId="30D0ACC8" w:rsidR="00F17138" w:rsidRPr="002F5E40" w:rsidRDefault="00F17138" w:rsidP="00CF0CD5">
      <w:pPr>
        <w:spacing w:line="360" w:lineRule="auto"/>
        <w:jc w:val="center"/>
        <w:rPr>
          <w:rFonts w:ascii="Arial" w:hAnsi="Arial" w:cs="Arial"/>
          <w:color w:val="000000" w:themeColor="text1"/>
          <w:lang w:val="pt-BR"/>
        </w:rPr>
      </w:pPr>
    </w:p>
    <w:p w14:paraId="50815277" w14:textId="0C4588F5" w:rsidR="00F17138" w:rsidRPr="002F5E40" w:rsidRDefault="00F17138" w:rsidP="00CF0CD5">
      <w:pPr>
        <w:spacing w:line="360" w:lineRule="auto"/>
        <w:jc w:val="center"/>
        <w:rPr>
          <w:rFonts w:ascii="Arial" w:hAnsi="Arial" w:cs="Arial"/>
          <w:color w:val="000000" w:themeColor="text1"/>
          <w:lang w:val="pt-BR"/>
        </w:rPr>
      </w:pPr>
    </w:p>
    <w:p w14:paraId="62A3DDCB" w14:textId="438096D4" w:rsidR="00F17138" w:rsidRPr="002F5E40" w:rsidRDefault="00F17138" w:rsidP="00CF0CD5">
      <w:pPr>
        <w:spacing w:line="360" w:lineRule="auto"/>
        <w:jc w:val="center"/>
        <w:rPr>
          <w:rFonts w:ascii="Arial" w:hAnsi="Arial" w:cs="Arial"/>
          <w:color w:val="000000" w:themeColor="text1"/>
          <w:lang w:val="pt-BR"/>
        </w:rPr>
      </w:pPr>
    </w:p>
    <w:p w14:paraId="48AE2161" w14:textId="77777777" w:rsidR="00F17138" w:rsidRPr="002F5E40" w:rsidRDefault="00F17138" w:rsidP="00CF0CD5">
      <w:pPr>
        <w:spacing w:line="360" w:lineRule="auto"/>
        <w:rPr>
          <w:rFonts w:ascii="Arial" w:hAnsi="Arial" w:cs="Arial"/>
          <w:color w:val="000000" w:themeColor="text1"/>
          <w:lang w:val="pt-BR"/>
        </w:rPr>
      </w:pPr>
    </w:p>
    <w:p w14:paraId="60009D52" w14:textId="12A039D2" w:rsidR="00F17138" w:rsidRPr="002F5E40" w:rsidRDefault="00F17138" w:rsidP="00CF0CD5">
      <w:pPr>
        <w:spacing w:line="360" w:lineRule="auto"/>
        <w:jc w:val="center"/>
        <w:rPr>
          <w:rFonts w:ascii="Arial" w:hAnsi="Arial" w:cs="Arial"/>
          <w:color w:val="000000" w:themeColor="text1"/>
          <w:lang w:val="pt-BR"/>
        </w:rPr>
      </w:pPr>
    </w:p>
    <w:p w14:paraId="27D6D767" w14:textId="7B340D8E" w:rsidR="00F17138" w:rsidRPr="002F5E40" w:rsidRDefault="00F17138" w:rsidP="00CF0CD5">
      <w:pPr>
        <w:spacing w:line="360" w:lineRule="auto"/>
        <w:jc w:val="center"/>
        <w:rPr>
          <w:rFonts w:ascii="Arial" w:hAnsi="Arial" w:cs="Arial"/>
          <w:color w:val="000000" w:themeColor="text1"/>
          <w:lang w:val="pt-BR"/>
        </w:rPr>
      </w:pPr>
    </w:p>
    <w:p w14:paraId="0F495F4B" w14:textId="05D70B3F" w:rsidR="00F17138" w:rsidRPr="00D74025" w:rsidRDefault="00F17138" w:rsidP="00CF0CD5">
      <w:pPr>
        <w:pStyle w:val="Default"/>
        <w:spacing w:line="360" w:lineRule="auto"/>
        <w:jc w:val="center"/>
        <w:rPr>
          <w:rFonts w:ascii="Arial" w:hAnsi="Arial" w:cs="Arial"/>
          <w:color w:val="000000" w:themeColor="text1"/>
          <w:lang w:val="pt-BR"/>
        </w:rPr>
      </w:pPr>
      <w:r w:rsidRPr="00D74025">
        <w:rPr>
          <w:rFonts w:ascii="Arial" w:hAnsi="Arial" w:cs="Arial"/>
          <w:color w:val="000000" w:themeColor="text1"/>
          <w:lang w:val="pt-BR"/>
        </w:rPr>
        <w:t xml:space="preserve">© Copyright </w:t>
      </w:r>
      <w:proofErr w:type="spellStart"/>
      <w:r w:rsidRPr="00D74025">
        <w:rPr>
          <w:rFonts w:ascii="Arial" w:hAnsi="Arial" w:cs="Arial"/>
          <w:color w:val="000000" w:themeColor="text1"/>
          <w:lang w:val="pt-BR"/>
        </w:rPr>
        <w:t>by</w:t>
      </w:r>
      <w:proofErr w:type="spellEnd"/>
      <w:r w:rsidRPr="00D74025">
        <w:rPr>
          <w:rFonts w:ascii="Arial" w:hAnsi="Arial" w:cs="Arial"/>
          <w:color w:val="000000" w:themeColor="text1"/>
          <w:lang w:val="pt-BR"/>
        </w:rPr>
        <w:t xml:space="preserve"> GABRIELA NOGUEIRA FURTADO E FARIA 2022</w:t>
      </w:r>
    </w:p>
    <w:p w14:paraId="4F52D54A" w14:textId="77777777" w:rsidR="0022449C" w:rsidRPr="00D74025" w:rsidRDefault="00F17138" w:rsidP="00CF0CD5">
      <w:pPr>
        <w:spacing w:line="360" w:lineRule="auto"/>
        <w:jc w:val="center"/>
        <w:rPr>
          <w:rFonts w:ascii="Arial" w:hAnsi="Arial" w:cs="Arial"/>
          <w:color w:val="000000" w:themeColor="text1"/>
        </w:rPr>
        <w:sectPr w:rsidR="0022449C" w:rsidRPr="00D74025" w:rsidSect="00B779B8">
          <w:footerReference w:type="even" r:id="rId8"/>
          <w:footerReference w:type="default" r:id="rId9"/>
          <w:pgSz w:w="12240" w:h="15840"/>
          <w:pgMar w:top="1440" w:right="1440" w:bottom="1440" w:left="1440" w:header="720" w:footer="720" w:gutter="0"/>
          <w:pgNumType w:fmt="upperRoman" w:start="1"/>
          <w:cols w:space="720"/>
          <w:titlePg/>
          <w:docGrid w:linePitch="360"/>
        </w:sectPr>
      </w:pPr>
      <w:r w:rsidRPr="00D74025">
        <w:rPr>
          <w:rFonts w:ascii="Arial" w:hAnsi="Arial" w:cs="Arial"/>
          <w:color w:val="000000" w:themeColor="text1"/>
        </w:rPr>
        <w:t>All Rights Reserved.</w:t>
      </w:r>
    </w:p>
    <w:p w14:paraId="50D206ED" w14:textId="7CF696F1" w:rsidR="00564539" w:rsidRPr="007F677B" w:rsidRDefault="00564539" w:rsidP="005F2BDD">
      <w:pPr>
        <w:autoSpaceDE w:val="0"/>
        <w:autoSpaceDN w:val="0"/>
        <w:adjustRightInd w:val="0"/>
        <w:jc w:val="center"/>
        <w:rPr>
          <w:rFonts w:ascii="Arial" w:hAnsi="Arial" w:cs="Arial"/>
          <w:color w:val="000000" w:themeColor="text1"/>
        </w:rPr>
      </w:pPr>
      <w:r w:rsidRPr="007F677B">
        <w:rPr>
          <w:rFonts w:ascii="Arial" w:hAnsi="Arial" w:cs="Arial"/>
          <w:color w:val="000000" w:themeColor="text1"/>
        </w:rPr>
        <w:lastRenderedPageBreak/>
        <w:t xml:space="preserve">This </w:t>
      </w:r>
      <w:r w:rsidR="00F7451F" w:rsidRPr="007F677B">
        <w:rPr>
          <w:rFonts w:ascii="Arial" w:hAnsi="Arial" w:cs="Arial"/>
          <w:color w:val="000000" w:themeColor="text1"/>
        </w:rPr>
        <w:t>dissertation</w:t>
      </w:r>
      <w:r w:rsidRPr="007F677B">
        <w:rPr>
          <w:rFonts w:ascii="Arial" w:hAnsi="Arial" w:cs="Arial"/>
          <w:color w:val="000000" w:themeColor="text1"/>
        </w:rPr>
        <w:t xml:space="preserve"> is dedicated to</w:t>
      </w:r>
    </w:p>
    <w:p w14:paraId="24608545" w14:textId="0BEE83AF" w:rsidR="00564539" w:rsidRPr="007F677B" w:rsidRDefault="00564539" w:rsidP="005F2BDD">
      <w:pPr>
        <w:autoSpaceDE w:val="0"/>
        <w:autoSpaceDN w:val="0"/>
        <w:adjustRightInd w:val="0"/>
        <w:jc w:val="center"/>
        <w:rPr>
          <w:rFonts w:ascii="Arial" w:hAnsi="Arial" w:cs="Arial"/>
          <w:color w:val="000000" w:themeColor="text1"/>
          <w:lang w:val="pt-BR"/>
        </w:rPr>
      </w:pPr>
      <w:proofErr w:type="spellStart"/>
      <w:r w:rsidRPr="007F677B">
        <w:rPr>
          <w:rFonts w:ascii="Arial" w:hAnsi="Arial" w:cs="Arial"/>
          <w:color w:val="000000" w:themeColor="text1"/>
          <w:lang w:val="pt-BR"/>
        </w:rPr>
        <w:t>my</w:t>
      </w:r>
      <w:proofErr w:type="spellEnd"/>
      <w:r w:rsidRPr="007F677B">
        <w:rPr>
          <w:rFonts w:ascii="Arial" w:hAnsi="Arial" w:cs="Arial"/>
          <w:color w:val="000000" w:themeColor="text1"/>
          <w:lang w:val="pt-BR"/>
        </w:rPr>
        <w:t xml:space="preserve"> </w:t>
      </w:r>
      <w:proofErr w:type="spellStart"/>
      <w:r w:rsidRPr="007F677B">
        <w:rPr>
          <w:rFonts w:ascii="Arial" w:hAnsi="Arial" w:cs="Arial"/>
          <w:color w:val="000000" w:themeColor="text1"/>
          <w:lang w:val="pt-BR"/>
        </w:rPr>
        <w:t>parents</w:t>
      </w:r>
      <w:proofErr w:type="spellEnd"/>
      <w:r w:rsidRPr="007F677B">
        <w:rPr>
          <w:rFonts w:ascii="Arial" w:hAnsi="Arial" w:cs="Arial"/>
          <w:color w:val="000000" w:themeColor="text1"/>
          <w:lang w:val="pt-BR"/>
        </w:rPr>
        <w:t>, Iracema e Carlos,</w:t>
      </w:r>
    </w:p>
    <w:p w14:paraId="76DC8948" w14:textId="77777777" w:rsidR="00D806A8" w:rsidRPr="007F677B" w:rsidRDefault="00564539" w:rsidP="005F2BDD">
      <w:pPr>
        <w:autoSpaceDE w:val="0"/>
        <w:autoSpaceDN w:val="0"/>
        <w:adjustRightInd w:val="0"/>
        <w:jc w:val="center"/>
        <w:rPr>
          <w:rFonts w:ascii="Arial" w:hAnsi="Arial" w:cs="Arial"/>
          <w:color w:val="000000" w:themeColor="text1"/>
        </w:rPr>
      </w:pPr>
      <w:r w:rsidRPr="007F677B">
        <w:rPr>
          <w:rFonts w:ascii="Arial" w:hAnsi="Arial" w:cs="Arial"/>
          <w:color w:val="000000" w:themeColor="text1"/>
        </w:rPr>
        <w:t>my brother, Mateus</w:t>
      </w:r>
      <w:r w:rsidR="005F2BDD" w:rsidRPr="007F677B">
        <w:rPr>
          <w:rFonts w:ascii="Arial" w:hAnsi="Arial" w:cs="Arial"/>
          <w:color w:val="000000" w:themeColor="text1"/>
        </w:rPr>
        <w:t xml:space="preserve">, </w:t>
      </w:r>
    </w:p>
    <w:p w14:paraId="25E5735F" w14:textId="7C8E215D" w:rsidR="00564539" w:rsidRPr="007F677B" w:rsidRDefault="005F2BDD" w:rsidP="005F2BDD">
      <w:pPr>
        <w:autoSpaceDE w:val="0"/>
        <w:autoSpaceDN w:val="0"/>
        <w:adjustRightInd w:val="0"/>
        <w:jc w:val="center"/>
        <w:rPr>
          <w:rFonts w:ascii="Arial" w:hAnsi="Arial" w:cs="Arial"/>
          <w:color w:val="000000" w:themeColor="text1"/>
        </w:rPr>
      </w:pPr>
      <w:r w:rsidRPr="007F677B">
        <w:rPr>
          <w:rFonts w:ascii="Arial" w:hAnsi="Arial" w:cs="Arial"/>
          <w:color w:val="000000" w:themeColor="text1"/>
        </w:rPr>
        <w:t xml:space="preserve">and </w:t>
      </w:r>
      <w:r w:rsidR="00D806A8" w:rsidRPr="007F677B">
        <w:rPr>
          <w:rFonts w:ascii="Arial" w:hAnsi="Arial" w:cs="Arial"/>
          <w:color w:val="000000" w:themeColor="text1"/>
        </w:rPr>
        <w:t xml:space="preserve">my </w:t>
      </w:r>
      <w:r w:rsidRPr="007F677B">
        <w:rPr>
          <w:rFonts w:ascii="Arial" w:hAnsi="Arial" w:cs="Arial"/>
          <w:color w:val="000000" w:themeColor="text1"/>
        </w:rPr>
        <w:t>h</w:t>
      </w:r>
      <w:r w:rsidR="008D5636" w:rsidRPr="007F677B">
        <w:rPr>
          <w:rFonts w:ascii="Arial" w:hAnsi="Arial" w:cs="Arial"/>
          <w:color w:val="000000" w:themeColor="text1"/>
        </w:rPr>
        <w:t>usband</w:t>
      </w:r>
      <w:r w:rsidRPr="007F677B">
        <w:rPr>
          <w:rFonts w:ascii="Arial" w:hAnsi="Arial" w:cs="Arial"/>
          <w:color w:val="000000" w:themeColor="text1"/>
        </w:rPr>
        <w:t xml:space="preserve"> JR.</w:t>
      </w:r>
    </w:p>
    <w:p w14:paraId="73A2E9C3" w14:textId="77777777" w:rsidR="00C55ECD" w:rsidRPr="007F677B" w:rsidRDefault="00C55ECD" w:rsidP="005F2BDD">
      <w:pPr>
        <w:autoSpaceDE w:val="0"/>
        <w:autoSpaceDN w:val="0"/>
        <w:adjustRightInd w:val="0"/>
        <w:jc w:val="center"/>
        <w:rPr>
          <w:rFonts w:ascii="Arial" w:hAnsi="Arial" w:cs="Arial"/>
          <w:color w:val="000000" w:themeColor="text1"/>
        </w:rPr>
      </w:pPr>
    </w:p>
    <w:p w14:paraId="53893DDE" w14:textId="49589BA2" w:rsidR="00564539" w:rsidRPr="007F677B" w:rsidRDefault="00D806A8" w:rsidP="005F2BDD">
      <w:pPr>
        <w:autoSpaceDE w:val="0"/>
        <w:autoSpaceDN w:val="0"/>
        <w:adjustRightInd w:val="0"/>
        <w:jc w:val="center"/>
        <w:rPr>
          <w:rFonts w:ascii="Arial" w:hAnsi="Arial" w:cs="Arial"/>
          <w:color w:val="000000" w:themeColor="text1"/>
          <w:lang w:val="pt-BR"/>
        </w:rPr>
      </w:pPr>
      <w:proofErr w:type="spellStart"/>
      <w:r w:rsidRPr="007F677B">
        <w:rPr>
          <w:rFonts w:ascii="Arial" w:hAnsi="Arial" w:cs="Arial"/>
          <w:color w:val="000000" w:themeColor="text1"/>
          <w:lang w:val="pt-BR"/>
        </w:rPr>
        <w:t>Mamis</w:t>
      </w:r>
      <w:proofErr w:type="spellEnd"/>
      <w:r w:rsidRPr="007F677B">
        <w:rPr>
          <w:rFonts w:ascii="Arial" w:hAnsi="Arial" w:cs="Arial"/>
          <w:color w:val="000000" w:themeColor="text1"/>
          <w:lang w:val="pt-BR"/>
        </w:rPr>
        <w:t xml:space="preserve">, </w:t>
      </w:r>
      <w:r w:rsidR="00DA6A87" w:rsidRPr="007F677B">
        <w:rPr>
          <w:rFonts w:ascii="Arial" w:hAnsi="Arial" w:cs="Arial"/>
          <w:color w:val="000000" w:themeColor="text1"/>
          <w:lang w:val="pt-BR"/>
        </w:rPr>
        <w:t xml:space="preserve">obrigada por me permitir sonhar </w:t>
      </w:r>
      <w:r w:rsidR="00F942BE" w:rsidRPr="007F677B">
        <w:rPr>
          <w:rFonts w:ascii="Arial" w:hAnsi="Arial" w:cs="Arial"/>
          <w:color w:val="000000" w:themeColor="text1"/>
          <w:lang w:val="pt-BR"/>
        </w:rPr>
        <w:t>alto</w:t>
      </w:r>
      <w:r w:rsidR="00DA6A87" w:rsidRPr="007F677B">
        <w:rPr>
          <w:rFonts w:ascii="Arial" w:hAnsi="Arial" w:cs="Arial"/>
          <w:color w:val="000000" w:themeColor="text1"/>
          <w:lang w:val="pt-BR"/>
        </w:rPr>
        <w:t>.</w:t>
      </w:r>
    </w:p>
    <w:p w14:paraId="5080DD3F" w14:textId="7C65A193" w:rsidR="00DA6A87" w:rsidRPr="007F677B" w:rsidRDefault="008D5636" w:rsidP="005F2BDD">
      <w:pPr>
        <w:autoSpaceDE w:val="0"/>
        <w:autoSpaceDN w:val="0"/>
        <w:adjustRightInd w:val="0"/>
        <w:jc w:val="center"/>
        <w:rPr>
          <w:rFonts w:ascii="Arial" w:hAnsi="Arial" w:cs="Arial"/>
          <w:color w:val="000000" w:themeColor="text1"/>
        </w:rPr>
      </w:pPr>
      <w:r w:rsidRPr="007F677B">
        <w:rPr>
          <w:rFonts w:ascii="Arial" w:hAnsi="Arial" w:cs="Arial"/>
          <w:color w:val="000000" w:themeColor="text1"/>
        </w:rPr>
        <w:t xml:space="preserve">Hubby, you </w:t>
      </w:r>
      <w:r w:rsidR="00171403" w:rsidRPr="007F677B">
        <w:rPr>
          <w:rFonts w:ascii="Arial" w:hAnsi="Arial" w:cs="Arial"/>
          <w:color w:val="000000" w:themeColor="text1"/>
        </w:rPr>
        <w:t>remind</w:t>
      </w:r>
      <w:r w:rsidR="00CB40BB">
        <w:rPr>
          <w:rFonts w:ascii="Arial" w:hAnsi="Arial" w:cs="Arial"/>
          <w:color w:val="000000" w:themeColor="text1"/>
        </w:rPr>
        <w:t>ed</w:t>
      </w:r>
      <w:r w:rsidR="00171403" w:rsidRPr="007F677B">
        <w:rPr>
          <w:rFonts w:ascii="Arial" w:hAnsi="Arial" w:cs="Arial"/>
          <w:color w:val="000000" w:themeColor="text1"/>
        </w:rPr>
        <w:t xml:space="preserve"> </w:t>
      </w:r>
      <w:r w:rsidR="004A6D39" w:rsidRPr="007F677B">
        <w:rPr>
          <w:rFonts w:ascii="Arial" w:hAnsi="Arial" w:cs="Arial"/>
          <w:color w:val="000000" w:themeColor="text1"/>
        </w:rPr>
        <w:t xml:space="preserve">me of </w:t>
      </w:r>
      <w:r w:rsidR="00CB40BB">
        <w:rPr>
          <w:rFonts w:ascii="Arial" w:hAnsi="Arial" w:cs="Arial"/>
          <w:color w:val="000000" w:themeColor="text1"/>
        </w:rPr>
        <w:t>my</w:t>
      </w:r>
      <w:r w:rsidR="00171403" w:rsidRPr="007F677B">
        <w:rPr>
          <w:rFonts w:ascii="Arial" w:hAnsi="Arial" w:cs="Arial"/>
          <w:color w:val="000000" w:themeColor="text1"/>
        </w:rPr>
        <w:t xml:space="preserve"> strength</w:t>
      </w:r>
      <w:r w:rsidR="004A6D39" w:rsidRPr="007F677B">
        <w:rPr>
          <w:rFonts w:ascii="Arial" w:hAnsi="Arial" w:cs="Arial"/>
          <w:color w:val="000000" w:themeColor="text1"/>
        </w:rPr>
        <w:t>.</w:t>
      </w:r>
    </w:p>
    <w:p w14:paraId="25A69F4C" w14:textId="77777777" w:rsidR="00C55ECD" w:rsidRPr="007F677B" w:rsidRDefault="00C55ECD" w:rsidP="005F2BDD">
      <w:pPr>
        <w:autoSpaceDE w:val="0"/>
        <w:autoSpaceDN w:val="0"/>
        <w:adjustRightInd w:val="0"/>
        <w:jc w:val="center"/>
        <w:rPr>
          <w:rFonts w:ascii="Arial" w:hAnsi="Arial" w:cs="Arial"/>
          <w:color w:val="000000" w:themeColor="text1"/>
        </w:rPr>
      </w:pPr>
    </w:p>
    <w:p w14:paraId="53175F64" w14:textId="1EF01CD0" w:rsidR="00564539" w:rsidRPr="007F677B" w:rsidRDefault="00564539" w:rsidP="005F2BDD">
      <w:pPr>
        <w:autoSpaceDE w:val="0"/>
        <w:autoSpaceDN w:val="0"/>
        <w:adjustRightInd w:val="0"/>
        <w:jc w:val="center"/>
        <w:rPr>
          <w:rFonts w:ascii="Arial" w:hAnsi="Arial" w:cs="Arial"/>
          <w:color w:val="000000" w:themeColor="text1"/>
        </w:rPr>
      </w:pPr>
      <w:r w:rsidRPr="007F677B">
        <w:rPr>
          <w:rFonts w:ascii="Arial" w:hAnsi="Arial" w:cs="Arial"/>
          <w:color w:val="000000" w:themeColor="text1"/>
        </w:rPr>
        <w:t>Thank you.</w:t>
      </w:r>
      <w:r w:rsidR="00C55ECD" w:rsidRPr="007F677B">
        <w:rPr>
          <w:rFonts w:ascii="Arial" w:hAnsi="Arial" w:cs="Arial"/>
          <w:color w:val="000000" w:themeColor="text1"/>
        </w:rPr>
        <w:t xml:space="preserve"> Amo </w:t>
      </w:r>
      <w:proofErr w:type="spellStart"/>
      <w:r w:rsidR="00C55ECD" w:rsidRPr="007F677B">
        <w:rPr>
          <w:rFonts w:ascii="Arial" w:hAnsi="Arial" w:cs="Arial"/>
          <w:color w:val="000000" w:themeColor="text1"/>
        </w:rPr>
        <w:t>vocês</w:t>
      </w:r>
      <w:proofErr w:type="spellEnd"/>
      <w:r w:rsidR="00C55ECD" w:rsidRPr="007F677B">
        <w:rPr>
          <w:rFonts w:ascii="Arial" w:hAnsi="Arial" w:cs="Arial"/>
          <w:color w:val="000000" w:themeColor="text1"/>
        </w:rPr>
        <w:t>.</w:t>
      </w:r>
    </w:p>
    <w:p w14:paraId="1E676A68" w14:textId="0069DBE5" w:rsidR="00274D42" w:rsidRPr="00D74025" w:rsidRDefault="00274D42" w:rsidP="00CF0CD5">
      <w:pPr>
        <w:spacing w:line="360" w:lineRule="auto"/>
        <w:rPr>
          <w:rFonts w:ascii="Arial" w:hAnsi="Arial" w:cs="Arial"/>
          <w:color w:val="000000" w:themeColor="text1"/>
        </w:rPr>
      </w:pPr>
    </w:p>
    <w:p w14:paraId="782597EF" w14:textId="5542B16C" w:rsidR="00274D42" w:rsidRPr="00D74025" w:rsidRDefault="00274D42" w:rsidP="00CF0CD5">
      <w:pPr>
        <w:spacing w:line="360" w:lineRule="auto"/>
        <w:rPr>
          <w:rFonts w:ascii="Arial" w:hAnsi="Arial" w:cs="Arial"/>
          <w:color w:val="000000" w:themeColor="text1"/>
        </w:rPr>
      </w:pPr>
    </w:p>
    <w:p w14:paraId="7A9D5F5C" w14:textId="0260588B" w:rsidR="00274D42" w:rsidRPr="00D74025" w:rsidRDefault="00274D42" w:rsidP="00CF0CD5">
      <w:pPr>
        <w:spacing w:line="360" w:lineRule="auto"/>
        <w:rPr>
          <w:rFonts w:ascii="Arial" w:hAnsi="Arial" w:cs="Arial"/>
          <w:color w:val="000000" w:themeColor="text1"/>
        </w:rPr>
      </w:pPr>
    </w:p>
    <w:p w14:paraId="45317362" w14:textId="15245ADC" w:rsidR="00274D42" w:rsidRPr="00D74025" w:rsidRDefault="00274D42" w:rsidP="00CF0CD5">
      <w:pPr>
        <w:spacing w:line="360" w:lineRule="auto"/>
        <w:rPr>
          <w:rFonts w:ascii="Arial" w:hAnsi="Arial" w:cs="Arial"/>
          <w:color w:val="000000" w:themeColor="text1"/>
        </w:rPr>
      </w:pPr>
    </w:p>
    <w:p w14:paraId="2EBE75C0" w14:textId="5BB819B2" w:rsidR="00274D42" w:rsidRPr="00D74025" w:rsidRDefault="00274D42" w:rsidP="00CF0CD5">
      <w:pPr>
        <w:spacing w:line="360" w:lineRule="auto"/>
        <w:rPr>
          <w:rFonts w:ascii="Arial" w:hAnsi="Arial" w:cs="Arial"/>
          <w:color w:val="000000" w:themeColor="text1"/>
        </w:rPr>
      </w:pPr>
    </w:p>
    <w:p w14:paraId="40BE9E6D" w14:textId="6BD0907D" w:rsidR="00274D42" w:rsidRPr="00D74025" w:rsidRDefault="00274D42" w:rsidP="00CF0CD5">
      <w:pPr>
        <w:spacing w:line="360" w:lineRule="auto"/>
        <w:rPr>
          <w:rFonts w:ascii="Arial" w:hAnsi="Arial" w:cs="Arial"/>
          <w:color w:val="000000" w:themeColor="text1"/>
        </w:rPr>
      </w:pPr>
    </w:p>
    <w:p w14:paraId="3B4403E5" w14:textId="3B564507" w:rsidR="00274D42" w:rsidRPr="00D74025" w:rsidRDefault="00274D42" w:rsidP="00CF0CD5">
      <w:pPr>
        <w:spacing w:line="360" w:lineRule="auto"/>
        <w:rPr>
          <w:rFonts w:ascii="Arial" w:hAnsi="Arial" w:cs="Arial"/>
          <w:color w:val="000000" w:themeColor="text1"/>
        </w:rPr>
      </w:pPr>
    </w:p>
    <w:p w14:paraId="77A2F967" w14:textId="4246D8C8" w:rsidR="00274D42" w:rsidRPr="00D74025" w:rsidRDefault="00274D42" w:rsidP="00CF0CD5">
      <w:pPr>
        <w:spacing w:line="360" w:lineRule="auto"/>
        <w:rPr>
          <w:rFonts w:ascii="Arial" w:hAnsi="Arial" w:cs="Arial"/>
          <w:color w:val="000000" w:themeColor="text1"/>
        </w:rPr>
      </w:pPr>
    </w:p>
    <w:p w14:paraId="32F74DF1" w14:textId="5475F5DC" w:rsidR="00274D42" w:rsidRPr="00D74025" w:rsidRDefault="00274D42" w:rsidP="00CF0CD5">
      <w:pPr>
        <w:spacing w:line="360" w:lineRule="auto"/>
        <w:rPr>
          <w:rFonts w:ascii="Arial" w:hAnsi="Arial" w:cs="Arial"/>
          <w:color w:val="000000" w:themeColor="text1"/>
        </w:rPr>
      </w:pPr>
    </w:p>
    <w:p w14:paraId="4C65D48F" w14:textId="79985168" w:rsidR="00274D42" w:rsidRPr="00D74025" w:rsidRDefault="00274D42" w:rsidP="00CF0CD5">
      <w:pPr>
        <w:spacing w:line="360" w:lineRule="auto"/>
        <w:rPr>
          <w:rFonts w:ascii="Arial" w:hAnsi="Arial" w:cs="Arial"/>
          <w:color w:val="000000" w:themeColor="text1"/>
        </w:rPr>
      </w:pPr>
    </w:p>
    <w:p w14:paraId="6377EC5A" w14:textId="0AB3365B" w:rsidR="00274D42" w:rsidRPr="00D74025" w:rsidRDefault="00274D42" w:rsidP="00CF0CD5">
      <w:pPr>
        <w:spacing w:line="360" w:lineRule="auto"/>
        <w:rPr>
          <w:rFonts w:ascii="Arial" w:hAnsi="Arial" w:cs="Arial"/>
          <w:color w:val="000000" w:themeColor="text1"/>
        </w:rPr>
      </w:pPr>
    </w:p>
    <w:p w14:paraId="1838E5A0" w14:textId="59CDF72D" w:rsidR="00274D42" w:rsidRPr="00D74025" w:rsidRDefault="00274D42" w:rsidP="00CF0CD5">
      <w:pPr>
        <w:spacing w:line="360" w:lineRule="auto"/>
        <w:rPr>
          <w:rFonts w:ascii="Arial" w:hAnsi="Arial" w:cs="Arial"/>
          <w:color w:val="000000" w:themeColor="text1"/>
        </w:rPr>
      </w:pPr>
    </w:p>
    <w:p w14:paraId="4D906133" w14:textId="36EDB1ED" w:rsidR="00274D42" w:rsidRPr="00D74025" w:rsidRDefault="00274D42" w:rsidP="00CF0CD5">
      <w:pPr>
        <w:spacing w:line="360" w:lineRule="auto"/>
        <w:rPr>
          <w:rFonts w:ascii="Arial" w:hAnsi="Arial" w:cs="Arial"/>
          <w:color w:val="000000" w:themeColor="text1"/>
        </w:rPr>
      </w:pPr>
    </w:p>
    <w:p w14:paraId="57CFA71D" w14:textId="544AF174" w:rsidR="00274D42" w:rsidRPr="00D74025" w:rsidRDefault="00274D42" w:rsidP="00CF0CD5">
      <w:pPr>
        <w:spacing w:line="360" w:lineRule="auto"/>
        <w:rPr>
          <w:rFonts w:ascii="Arial" w:hAnsi="Arial" w:cs="Arial"/>
          <w:color w:val="000000" w:themeColor="text1"/>
        </w:rPr>
      </w:pPr>
    </w:p>
    <w:p w14:paraId="5A1DDAE3" w14:textId="466317F2" w:rsidR="00274D42" w:rsidRPr="00D74025" w:rsidRDefault="00274D42" w:rsidP="00CF0CD5">
      <w:pPr>
        <w:spacing w:line="360" w:lineRule="auto"/>
        <w:rPr>
          <w:rFonts w:ascii="Arial" w:hAnsi="Arial" w:cs="Arial"/>
          <w:color w:val="000000" w:themeColor="text1"/>
        </w:rPr>
      </w:pPr>
    </w:p>
    <w:p w14:paraId="629A84D1" w14:textId="5CE620F6" w:rsidR="00274D42" w:rsidRPr="00D74025" w:rsidRDefault="00274D42" w:rsidP="00CF0CD5">
      <w:pPr>
        <w:spacing w:line="360" w:lineRule="auto"/>
        <w:rPr>
          <w:rFonts w:ascii="Arial" w:hAnsi="Arial" w:cs="Arial"/>
          <w:color w:val="000000" w:themeColor="text1"/>
        </w:rPr>
      </w:pPr>
    </w:p>
    <w:p w14:paraId="038B71CF" w14:textId="1799D005" w:rsidR="00274D42" w:rsidRPr="00D74025" w:rsidRDefault="00274D42" w:rsidP="00CF0CD5">
      <w:pPr>
        <w:spacing w:line="360" w:lineRule="auto"/>
        <w:rPr>
          <w:rFonts w:ascii="Arial" w:hAnsi="Arial" w:cs="Arial"/>
          <w:color w:val="000000" w:themeColor="text1"/>
        </w:rPr>
      </w:pPr>
    </w:p>
    <w:p w14:paraId="02CDFDAD" w14:textId="33898F9E" w:rsidR="00274D42" w:rsidRPr="00D74025" w:rsidRDefault="00274D42" w:rsidP="00CF0CD5">
      <w:pPr>
        <w:spacing w:line="360" w:lineRule="auto"/>
        <w:rPr>
          <w:rFonts w:ascii="Arial" w:hAnsi="Arial" w:cs="Arial"/>
          <w:color w:val="000000" w:themeColor="text1"/>
        </w:rPr>
      </w:pPr>
    </w:p>
    <w:p w14:paraId="3F577BF7" w14:textId="1A3B7BDD" w:rsidR="00274D42" w:rsidRPr="00D74025" w:rsidRDefault="00274D42" w:rsidP="00CF0CD5">
      <w:pPr>
        <w:spacing w:line="360" w:lineRule="auto"/>
        <w:rPr>
          <w:rFonts w:ascii="Arial" w:hAnsi="Arial" w:cs="Arial"/>
          <w:color w:val="000000" w:themeColor="text1"/>
        </w:rPr>
      </w:pPr>
    </w:p>
    <w:p w14:paraId="770B8B8C" w14:textId="10F577E4" w:rsidR="00274D42" w:rsidRPr="00D74025" w:rsidRDefault="00274D42" w:rsidP="00CF0CD5">
      <w:pPr>
        <w:spacing w:line="360" w:lineRule="auto"/>
        <w:rPr>
          <w:rFonts w:ascii="Arial" w:hAnsi="Arial" w:cs="Arial"/>
          <w:color w:val="000000" w:themeColor="text1"/>
        </w:rPr>
      </w:pPr>
    </w:p>
    <w:p w14:paraId="34052D63" w14:textId="45AAF459" w:rsidR="00274D42" w:rsidRPr="00D74025" w:rsidRDefault="00274D42" w:rsidP="00CF0CD5">
      <w:pPr>
        <w:spacing w:line="360" w:lineRule="auto"/>
        <w:rPr>
          <w:rFonts w:ascii="Arial" w:hAnsi="Arial" w:cs="Arial"/>
          <w:color w:val="000000" w:themeColor="text1"/>
        </w:rPr>
      </w:pPr>
    </w:p>
    <w:p w14:paraId="4A6CDBD0" w14:textId="4D39A077" w:rsidR="00274D42" w:rsidRPr="00D74025" w:rsidRDefault="00274D42" w:rsidP="00CF0CD5">
      <w:pPr>
        <w:spacing w:line="360" w:lineRule="auto"/>
        <w:rPr>
          <w:rFonts w:ascii="Arial" w:hAnsi="Arial" w:cs="Arial"/>
          <w:color w:val="000000" w:themeColor="text1"/>
        </w:rPr>
      </w:pPr>
    </w:p>
    <w:p w14:paraId="36CDD045" w14:textId="10BBB525" w:rsidR="00274D42" w:rsidRPr="00D74025" w:rsidRDefault="00274D42" w:rsidP="00CF0CD5">
      <w:pPr>
        <w:spacing w:line="360" w:lineRule="auto"/>
        <w:rPr>
          <w:rFonts w:ascii="Arial" w:hAnsi="Arial" w:cs="Arial"/>
          <w:color w:val="000000" w:themeColor="text1"/>
        </w:rPr>
      </w:pPr>
    </w:p>
    <w:p w14:paraId="0C210A43" w14:textId="6A935A32" w:rsidR="00274D42" w:rsidRPr="00D74025" w:rsidRDefault="00274D42" w:rsidP="00CF0CD5">
      <w:pPr>
        <w:spacing w:line="360" w:lineRule="auto"/>
        <w:rPr>
          <w:rFonts w:ascii="Arial" w:hAnsi="Arial" w:cs="Arial"/>
          <w:color w:val="000000" w:themeColor="text1"/>
        </w:rPr>
      </w:pPr>
    </w:p>
    <w:p w14:paraId="31F8104C" w14:textId="14960F2D" w:rsidR="00274D42" w:rsidRPr="00D74025" w:rsidRDefault="00274D42" w:rsidP="00CF0CD5">
      <w:pPr>
        <w:spacing w:line="360" w:lineRule="auto"/>
        <w:rPr>
          <w:rFonts w:ascii="Arial" w:hAnsi="Arial" w:cs="Arial"/>
          <w:color w:val="000000" w:themeColor="text1"/>
        </w:rPr>
      </w:pPr>
    </w:p>
    <w:p w14:paraId="7683BF2F" w14:textId="7B061851" w:rsidR="00274D42" w:rsidRPr="00322623" w:rsidRDefault="00274D42" w:rsidP="00CF0CD5">
      <w:pPr>
        <w:spacing w:line="360" w:lineRule="auto"/>
        <w:jc w:val="center"/>
        <w:rPr>
          <w:rFonts w:ascii="Arial" w:hAnsi="Arial" w:cs="Arial"/>
          <w:b/>
          <w:bCs/>
          <w:color w:val="000000" w:themeColor="text1"/>
          <w:sz w:val="28"/>
          <w:szCs w:val="28"/>
        </w:rPr>
      </w:pPr>
      <w:r w:rsidRPr="00322623">
        <w:rPr>
          <w:rFonts w:ascii="Arial" w:hAnsi="Arial" w:cs="Arial"/>
          <w:b/>
          <w:bCs/>
          <w:color w:val="000000" w:themeColor="text1"/>
          <w:sz w:val="28"/>
          <w:szCs w:val="28"/>
        </w:rPr>
        <w:lastRenderedPageBreak/>
        <w:t>Acknowledgements</w:t>
      </w:r>
    </w:p>
    <w:p w14:paraId="33DFD363" w14:textId="2CBD4F76" w:rsidR="00274D42" w:rsidRPr="00D74025" w:rsidRDefault="00274D42" w:rsidP="00CF0CD5">
      <w:pPr>
        <w:spacing w:line="360" w:lineRule="auto"/>
        <w:rPr>
          <w:rFonts w:ascii="Arial" w:hAnsi="Arial" w:cs="Arial"/>
          <w:color w:val="000000" w:themeColor="text1"/>
        </w:rPr>
      </w:pPr>
    </w:p>
    <w:p w14:paraId="68D318F1" w14:textId="6981600C" w:rsidR="00C269F2" w:rsidRDefault="00C269F2" w:rsidP="00C269F2">
      <w:pPr>
        <w:spacing w:line="360" w:lineRule="auto"/>
        <w:ind w:firstLine="1440"/>
        <w:jc w:val="both"/>
        <w:rPr>
          <w:rFonts w:ascii="Arial" w:hAnsi="Arial" w:cs="Arial"/>
          <w:color w:val="000000" w:themeColor="text1"/>
        </w:rPr>
      </w:pPr>
      <w:r>
        <w:rPr>
          <w:rFonts w:ascii="Arial" w:hAnsi="Arial" w:cs="Arial"/>
          <w:color w:val="000000" w:themeColor="text1"/>
        </w:rPr>
        <w:t xml:space="preserve">I would like to thank my committee, Dr. Vassilios </w:t>
      </w:r>
      <w:proofErr w:type="spellStart"/>
      <w:r>
        <w:rPr>
          <w:rFonts w:ascii="Arial" w:hAnsi="Arial" w:cs="Arial"/>
          <w:color w:val="000000" w:themeColor="text1"/>
        </w:rPr>
        <w:t>Sikavitsas</w:t>
      </w:r>
      <w:proofErr w:type="spellEnd"/>
      <w:r>
        <w:rPr>
          <w:rFonts w:ascii="Arial" w:hAnsi="Arial" w:cs="Arial"/>
          <w:color w:val="000000" w:themeColor="text1"/>
        </w:rPr>
        <w:t xml:space="preserve">, Dr. Daniel </w:t>
      </w:r>
      <w:proofErr w:type="spellStart"/>
      <w:r>
        <w:rPr>
          <w:rFonts w:ascii="Arial" w:hAnsi="Arial" w:cs="Arial"/>
          <w:color w:val="000000" w:themeColor="text1"/>
        </w:rPr>
        <w:t>Resasco</w:t>
      </w:r>
      <w:proofErr w:type="spellEnd"/>
      <w:r>
        <w:rPr>
          <w:rFonts w:ascii="Arial" w:hAnsi="Arial" w:cs="Arial"/>
          <w:color w:val="000000" w:themeColor="text1"/>
        </w:rPr>
        <w:t xml:space="preserve">, Dr. </w:t>
      </w:r>
      <w:proofErr w:type="spellStart"/>
      <w:r w:rsidRPr="00B22E70">
        <w:rPr>
          <w:rFonts w:ascii="Arial" w:hAnsi="Arial" w:cs="Arial"/>
          <w:color w:val="000000" w:themeColor="text1"/>
        </w:rPr>
        <w:t>Dimitrios</w:t>
      </w:r>
      <w:proofErr w:type="spellEnd"/>
      <w:r w:rsidRPr="00B22E70">
        <w:rPr>
          <w:rFonts w:ascii="Arial" w:hAnsi="Arial" w:cs="Arial"/>
          <w:color w:val="000000" w:themeColor="text1"/>
        </w:rPr>
        <w:t xml:space="preserve"> </w:t>
      </w:r>
      <w:proofErr w:type="spellStart"/>
      <w:r w:rsidRPr="003D12AB">
        <w:rPr>
          <w:rFonts w:ascii="Arial" w:hAnsi="Arial" w:cs="Arial"/>
          <w:color w:val="000000" w:themeColor="text1"/>
        </w:rPr>
        <w:t>Papavassiliou</w:t>
      </w:r>
      <w:proofErr w:type="spellEnd"/>
      <w:r>
        <w:rPr>
          <w:rFonts w:ascii="Arial" w:hAnsi="Arial" w:cs="Arial"/>
          <w:color w:val="000000" w:themeColor="text1"/>
        </w:rPr>
        <w:t xml:space="preserve">, Dr. Lacey McNally, Dr. </w:t>
      </w:r>
      <w:proofErr w:type="spellStart"/>
      <w:r>
        <w:rPr>
          <w:rFonts w:ascii="Arial" w:hAnsi="Arial" w:cs="Arial"/>
          <w:color w:val="000000" w:themeColor="text1"/>
        </w:rPr>
        <w:t>Wajeeha</w:t>
      </w:r>
      <w:proofErr w:type="spellEnd"/>
      <w:r>
        <w:rPr>
          <w:rFonts w:ascii="Arial" w:hAnsi="Arial" w:cs="Arial"/>
          <w:color w:val="000000" w:themeColor="text1"/>
        </w:rPr>
        <w:t xml:space="preserve"> </w:t>
      </w:r>
      <w:proofErr w:type="spellStart"/>
      <w:r>
        <w:rPr>
          <w:rFonts w:ascii="Arial" w:hAnsi="Arial" w:cs="Arial"/>
          <w:color w:val="000000" w:themeColor="text1"/>
        </w:rPr>
        <w:t>Razaq</w:t>
      </w:r>
      <w:proofErr w:type="spellEnd"/>
      <w:r>
        <w:rPr>
          <w:rFonts w:ascii="Arial" w:hAnsi="Arial" w:cs="Arial"/>
          <w:color w:val="000000" w:themeColor="text1"/>
        </w:rPr>
        <w:t>, and Dr. Roger Harrison, for their support and guidance during the Ph.D. program. A special thank</w:t>
      </w:r>
      <w:r w:rsidR="006054BF">
        <w:rPr>
          <w:rFonts w:ascii="Arial" w:hAnsi="Arial" w:cs="Arial"/>
          <w:color w:val="000000" w:themeColor="text1"/>
        </w:rPr>
        <w:t>s</w:t>
      </w:r>
      <w:r>
        <w:rPr>
          <w:rFonts w:ascii="Arial" w:hAnsi="Arial" w:cs="Arial"/>
          <w:color w:val="000000" w:themeColor="text1"/>
        </w:rPr>
        <w:t xml:space="preserve"> is dedicated to Dr. Harrison for his instruction and support during every day of this journey, in which he was patient and caring for my development as a scientist. </w:t>
      </w:r>
    </w:p>
    <w:p w14:paraId="670BE730" w14:textId="1B9325A5" w:rsidR="00871E1E" w:rsidRDefault="00871E1E" w:rsidP="00871E1E">
      <w:pPr>
        <w:spacing w:line="360" w:lineRule="auto"/>
        <w:ind w:firstLine="1440"/>
        <w:jc w:val="both"/>
        <w:rPr>
          <w:rFonts w:ascii="Arial" w:hAnsi="Arial" w:cs="Arial"/>
          <w:color w:val="000000" w:themeColor="text1"/>
        </w:rPr>
      </w:pPr>
      <w:r>
        <w:rPr>
          <w:rFonts w:ascii="Calibri" w:hAnsi="Calibri" w:cs="Calibri"/>
        </w:rPr>
        <w:t>﻿</w:t>
      </w:r>
      <w:r w:rsidRPr="00EB649A">
        <w:rPr>
          <w:rFonts w:ascii="Arial" w:hAnsi="Arial" w:cs="Arial"/>
          <w:color w:val="000000" w:themeColor="text1"/>
        </w:rPr>
        <w:t xml:space="preserve"> </w:t>
      </w:r>
      <w:r>
        <w:rPr>
          <w:rFonts w:ascii="Arial" w:hAnsi="Arial" w:cs="Arial"/>
          <w:color w:val="000000" w:themeColor="text1"/>
        </w:rPr>
        <w:t xml:space="preserve">I’d like to thank our collaborators at the University of Oklahoma, Dr. Caleb Fulton, and Dr. Kieran Mullen, for sharing their knowledge and empowering such enriching and interdisciplinary projects. I also want to thank Dr. Ricardo Prada </w:t>
      </w:r>
      <w:proofErr w:type="spellStart"/>
      <w:r>
        <w:rPr>
          <w:rFonts w:ascii="Arial" w:hAnsi="Arial" w:cs="Arial"/>
          <w:color w:val="000000" w:themeColor="text1"/>
        </w:rPr>
        <w:t>Silvy</w:t>
      </w:r>
      <w:proofErr w:type="spellEnd"/>
      <w:r>
        <w:rPr>
          <w:rFonts w:ascii="Arial" w:hAnsi="Arial" w:cs="Arial"/>
          <w:color w:val="000000" w:themeColor="text1"/>
        </w:rPr>
        <w:t xml:space="preserve"> and Dr. Sathish </w:t>
      </w:r>
      <w:proofErr w:type="spellStart"/>
      <w:r w:rsidRPr="009D4B16">
        <w:rPr>
          <w:rFonts w:ascii="Arial" w:hAnsi="Arial" w:cs="Arial"/>
          <w:color w:val="000000" w:themeColor="text1"/>
        </w:rPr>
        <w:t>Lageshetty</w:t>
      </w:r>
      <w:proofErr w:type="spellEnd"/>
      <w:r>
        <w:rPr>
          <w:rFonts w:ascii="Arial" w:hAnsi="Arial" w:cs="Arial"/>
          <w:color w:val="000000" w:themeColor="text1"/>
        </w:rPr>
        <w:t xml:space="preserve"> from CHASM</w:t>
      </w:r>
      <w:r>
        <w:rPr>
          <w:rFonts w:ascii="Arial" w:hAnsi="Arial" w:cs="Arial"/>
          <w:color w:val="000000" w:themeColor="text1"/>
        </w:rPr>
        <w:sym w:font="Symbol" w:char="F0E4"/>
      </w:r>
      <w:r>
        <w:rPr>
          <w:rFonts w:ascii="Arial" w:hAnsi="Arial" w:cs="Arial"/>
          <w:color w:val="000000" w:themeColor="text1"/>
        </w:rPr>
        <w:t xml:space="preserve"> for sharing their expertise and supplying carbon nanotubes</w:t>
      </w:r>
      <w:r w:rsidR="00B0454A">
        <w:rPr>
          <w:rFonts w:ascii="Arial" w:hAnsi="Arial" w:cs="Arial"/>
          <w:color w:val="000000" w:themeColor="text1"/>
        </w:rPr>
        <w:t>;</w:t>
      </w:r>
      <w:r>
        <w:rPr>
          <w:rFonts w:ascii="Arial" w:hAnsi="Arial" w:cs="Arial"/>
          <w:color w:val="000000" w:themeColor="text1"/>
        </w:rPr>
        <w:t xml:space="preserve"> </w:t>
      </w:r>
      <w:r w:rsidR="00B0454A">
        <w:rPr>
          <w:rFonts w:ascii="Arial" w:hAnsi="Arial" w:cs="Arial"/>
          <w:color w:val="000000" w:themeColor="text1"/>
        </w:rPr>
        <w:t>t</w:t>
      </w:r>
      <w:r>
        <w:rPr>
          <w:rFonts w:ascii="Arial" w:hAnsi="Arial" w:cs="Arial"/>
          <w:color w:val="000000" w:themeColor="text1"/>
        </w:rPr>
        <w:t>he IACUC at the University of Oklahoma and the animal facilities management</w:t>
      </w:r>
      <w:r w:rsidR="00B0454A">
        <w:rPr>
          <w:rFonts w:ascii="Arial" w:hAnsi="Arial" w:cs="Arial"/>
          <w:color w:val="000000" w:themeColor="text1"/>
        </w:rPr>
        <w:t>;</w:t>
      </w:r>
      <w:r>
        <w:rPr>
          <w:rFonts w:ascii="Arial" w:hAnsi="Arial" w:cs="Arial"/>
          <w:color w:val="000000" w:themeColor="text1"/>
        </w:rPr>
        <w:t xml:space="preserve"> </w:t>
      </w:r>
      <w:r w:rsidR="00B0454A">
        <w:rPr>
          <w:rFonts w:ascii="Arial" w:hAnsi="Arial" w:cs="Arial"/>
          <w:color w:val="000000" w:themeColor="text1"/>
        </w:rPr>
        <w:t>a</w:t>
      </w:r>
      <w:r>
        <w:rPr>
          <w:rFonts w:ascii="Arial" w:hAnsi="Arial" w:cs="Arial"/>
          <w:color w:val="000000" w:themeColor="text1"/>
        </w:rPr>
        <w:t>ll the veterinarian technicians monitored the mice</w:t>
      </w:r>
      <w:r w:rsidRPr="006E2D88">
        <w:rPr>
          <w:rFonts w:ascii="Arial" w:hAnsi="Arial" w:cs="Arial"/>
          <w:color w:val="000000" w:themeColor="text1"/>
        </w:rPr>
        <w:t xml:space="preserve"> </w:t>
      </w:r>
      <w:r>
        <w:rPr>
          <w:rFonts w:ascii="Arial" w:hAnsi="Arial" w:cs="Arial"/>
          <w:color w:val="000000" w:themeColor="text1"/>
        </w:rPr>
        <w:t xml:space="preserve">daily, including Sandra Doan, Gail Goodson, Madison </w:t>
      </w:r>
      <w:proofErr w:type="spellStart"/>
      <w:r>
        <w:rPr>
          <w:rFonts w:ascii="Arial" w:hAnsi="Arial" w:cs="Arial"/>
          <w:color w:val="000000" w:themeColor="text1"/>
        </w:rPr>
        <w:t>Vakulik</w:t>
      </w:r>
      <w:proofErr w:type="spellEnd"/>
      <w:r>
        <w:rPr>
          <w:rFonts w:ascii="Arial" w:hAnsi="Arial" w:cs="Arial"/>
          <w:color w:val="000000" w:themeColor="text1"/>
        </w:rPr>
        <w:t xml:space="preserve">, and Baylee Bahm; the veterinarians Dr. Wendy Williams and Dr. </w:t>
      </w:r>
      <w:proofErr w:type="spellStart"/>
      <w:r>
        <w:rPr>
          <w:rFonts w:ascii="Arial" w:hAnsi="Arial" w:cs="Arial"/>
          <w:color w:val="000000" w:themeColor="text1"/>
        </w:rPr>
        <w:t>Leeza</w:t>
      </w:r>
      <w:proofErr w:type="spellEnd"/>
      <w:r>
        <w:rPr>
          <w:rFonts w:ascii="Arial" w:hAnsi="Arial" w:cs="Arial"/>
          <w:color w:val="000000" w:themeColor="text1"/>
        </w:rPr>
        <w:t xml:space="preserve"> Birdwell for their insights on the animal care; Dr. Amy Burke for animal training.</w:t>
      </w:r>
    </w:p>
    <w:p w14:paraId="5CB15CD0" w14:textId="1DF2498F" w:rsidR="009A2B19" w:rsidRPr="005C2C12" w:rsidRDefault="009A2B19" w:rsidP="005C2C12">
      <w:pPr>
        <w:spacing w:line="360" w:lineRule="auto"/>
        <w:ind w:firstLine="1440"/>
        <w:jc w:val="both"/>
        <w:rPr>
          <w:b/>
          <w:bCs/>
        </w:rPr>
      </w:pPr>
      <w:r w:rsidRPr="009A2B19">
        <w:rPr>
          <w:rFonts w:ascii="Calibri" w:hAnsi="Calibri" w:cs="Calibri"/>
          <w:color w:val="000000" w:themeColor="text1"/>
        </w:rPr>
        <w:t>﻿</w:t>
      </w:r>
      <w:r w:rsidR="005C2C12" w:rsidRPr="005C2C12">
        <w:rPr>
          <w:rFonts w:ascii="Arial" w:hAnsi="Arial" w:cs="Arial"/>
          <w:color w:val="000000" w:themeColor="text1"/>
        </w:rPr>
        <w:t xml:space="preserve"> </w:t>
      </w:r>
      <w:r w:rsidR="005C2C12" w:rsidRPr="009A2B19">
        <w:rPr>
          <w:rFonts w:ascii="Arial" w:hAnsi="Arial" w:cs="Arial"/>
          <w:color w:val="000000" w:themeColor="text1"/>
        </w:rPr>
        <w:t>I thank all my funding sources:</w:t>
      </w:r>
      <w:r w:rsidR="005C2C12">
        <w:rPr>
          <w:rFonts w:ascii="Arial" w:hAnsi="Arial" w:cs="Arial"/>
          <w:color w:val="000000" w:themeColor="text1"/>
        </w:rPr>
        <w:t xml:space="preserve"> </w:t>
      </w:r>
      <w:r w:rsidR="005C2C12" w:rsidRPr="00187463">
        <w:rPr>
          <w:rFonts w:ascii="Calibri" w:hAnsi="Calibri" w:cs="Calibri"/>
          <w:color w:val="000000" w:themeColor="text1"/>
        </w:rPr>
        <w:t>﻿</w:t>
      </w:r>
      <w:r w:rsidR="005C2C12" w:rsidRPr="00187463">
        <w:rPr>
          <w:rFonts w:ascii="Arial" w:hAnsi="Arial" w:cs="Arial"/>
          <w:color w:val="000000" w:themeColor="text1"/>
        </w:rPr>
        <w:t>Universidad Nacional de San</w:t>
      </w:r>
      <w:r w:rsidR="005C2C12">
        <w:rPr>
          <w:rFonts w:ascii="Arial" w:hAnsi="Arial" w:cs="Arial"/>
          <w:color w:val="000000" w:themeColor="text1"/>
        </w:rPr>
        <w:t xml:space="preserve"> </w:t>
      </w:r>
      <w:r w:rsidR="005C2C12" w:rsidRPr="00187463">
        <w:rPr>
          <w:rFonts w:ascii="Arial" w:hAnsi="Arial" w:cs="Arial"/>
          <w:color w:val="000000" w:themeColor="text1"/>
        </w:rPr>
        <w:t>Agustin de Arequipa, Peru</w:t>
      </w:r>
      <w:r w:rsidR="005C2C12">
        <w:rPr>
          <w:rFonts w:ascii="Arial" w:hAnsi="Arial" w:cs="Arial"/>
          <w:color w:val="000000" w:themeColor="text1"/>
        </w:rPr>
        <w:t xml:space="preserve">, </w:t>
      </w:r>
      <w:r w:rsidR="005C2C12" w:rsidRPr="00873BAF">
        <w:rPr>
          <w:rFonts w:ascii="Arial" w:hAnsi="Arial" w:cs="Arial"/>
          <w:color w:val="000000" w:themeColor="text1"/>
        </w:rPr>
        <w:t xml:space="preserve">and </w:t>
      </w:r>
      <w:r w:rsidR="005C2C12" w:rsidRPr="00873BAF">
        <w:rPr>
          <w:rFonts w:ascii="Calibri" w:hAnsi="Calibri" w:cs="Calibri"/>
          <w:color w:val="000000" w:themeColor="text1"/>
        </w:rPr>
        <w:t>﻿</w:t>
      </w:r>
      <w:r w:rsidR="005C2C12" w:rsidRPr="00873BAF">
        <w:rPr>
          <w:rFonts w:ascii="Arial" w:hAnsi="Arial" w:cs="Arial"/>
          <w:color w:val="000000" w:themeColor="text1"/>
        </w:rPr>
        <w:t>the Oklahoma</w:t>
      </w:r>
      <w:r w:rsidR="005C2C12" w:rsidRPr="00187463">
        <w:rPr>
          <w:rFonts w:ascii="Arial" w:hAnsi="Arial" w:cs="Arial"/>
          <w:color w:val="000000" w:themeColor="text1"/>
        </w:rPr>
        <w:t xml:space="preserve"> Center for the Advancement of Science and Technology</w:t>
      </w:r>
      <w:r w:rsidR="005C2C12">
        <w:rPr>
          <w:rFonts w:ascii="Arial" w:hAnsi="Arial" w:cs="Arial"/>
          <w:color w:val="000000" w:themeColor="text1"/>
        </w:rPr>
        <w:t>.</w:t>
      </w:r>
    </w:p>
    <w:p w14:paraId="60EA144D" w14:textId="7F967F50" w:rsidR="00575227" w:rsidRDefault="00D7735A" w:rsidP="00575227">
      <w:pPr>
        <w:spacing w:line="360" w:lineRule="auto"/>
        <w:ind w:firstLine="1440"/>
        <w:jc w:val="both"/>
        <w:rPr>
          <w:rFonts w:ascii="Arial" w:hAnsi="Arial" w:cs="Arial"/>
          <w:color w:val="000000" w:themeColor="text1"/>
        </w:rPr>
      </w:pPr>
      <w:r w:rsidRPr="00D7735A">
        <w:rPr>
          <w:rFonts w:ascii="Calibri" w:hAnsi="Calibri" w:cs="Calibri"/>
          <w:color w:val="000000" w:themeColor="text1"/>
        </w:rPr>
        <w:t>﻿</w:t>
      </w:r>
      <w:r w:rsidR="00575227" w:rsidRPr="00575227">
        <w:rPr>
          <w:rFonts w:ascii="Arial" w:hAnsi="Arial" w:cs="Arial"/>
          <w:color w:val="000000" w:themeColor="text1"/>
        </w:rPr>
        <w:t xml:space="preserve"> </w:t>
      </w:r>
      <w:r w:rsidR="00575227" w:rsidRPr="00D7735A">
        <w:rPr>
          <w:rFonts w:ascii="Arial" w:hAnsi="Arial" w:cs="Arial"/>
          <w:color w:val="000000" w:themeColor="text1"/>
        </w:rPr>
        <w:t>I am very grateful to my colleagues in the Harrison laboratory</w:t>
      </w:r>
      <w:r w:rsidR="00575227">
        <w:rPr>
          <w:rFonts w:ascii="Arial" w:hAnsi="Arial" w:cs="Arial"/>
          <w:color w:val="000000" w:themeColor="text1"/>
        </w:rPr>
        <w:t xml:space="preserve">, </w:t>
      </w:r>
      <w:r w:rsidR="00C1613A">
        <w:rPr>
          <w:rFonts w:ascii="Arial" w:hAnsi="Arial" w:cs="Arial"/>
          <w:color w:val="000000" w:themeColor="text1"/>
        </w:rPr>
        <w:t xml:space="preserve">Alexis Woodward, </w:t>
      </w:r>
      <w:r w:rsidR="00575227">
        <w:rPr>
          <w:rFonts w:ascii="Arial" w:hAnsi="Arial" w:cs="Arial"/>
          <w:color w:val="000000" w:themeColor="text1"/>
        </w:rPr>
        <w:t xml:space="preserve">Clement </w:t>
      </w:r>
      <w:proofErr w:type="spellStart"/>
      <w:r w:rsidR="00575227">
        <w:rPr>
          <w:rFonts w:ascii="Arial" w:hAnsi="Arial" w:cs="Arial"/>
          <w:color w:val="000000" w:themeColor="text1"/>
        </w:rPr>
        <w:t>Karch</w:t>
      </w:r>
      <w:proofErr w:type="spellEnd"/>
      <w:r w:rsidR="00575227" w:rsidRPr="00D7735A">
        <w:rPr>
          <w:rFonts w:ascii="Arial" w:hAnsi="Arial" w:cs="Arial"/>
          <w:color w:val="000000" w:themeColor="text1"/>
        </w:rPr>
        <w:t xml:space="preserve">, </w:t>
      </w:r>
      <w:r w:rsidR="00575227">
        <w:rPr>
          <w:rFonts w:ascii="Arial" w:hAnsi="Arial" w:cs="Arial"/>
          <w:color w:val="000000" w:themeColor="text1"/>
        </w:rPr>
        <w:t xml:space="preserve">Adam </w:t>
      </w:r>
      <w:proofErr w:type="spellStart"/>
      <w:r w:rsidR="00575227">
        <w:rPr>
          <w:rFonts w:ascii="Arial" w:hAnsi="Arial" w:cs="Arial"/>
          <w:color w:val="000000" w:themeColor="text1"/>
        </w:rPr>
        <w:t>Aissanou</w:t>
      </w:r>
      <w:proofErr w:type="spellEnd"/>
      <w:r w:rsidR="00575227">
        <w:rPr>
          <w:rFonts w:ascii="Arial" w:hAnsi="Arial" w:cs="Arial"/>
          <w:color w:val="000000" w:themeColor="text1"/>
        </w:rPr>
        <w:t xml:space="preserve">, </w:t>
      </w:r>
      <w:proofErr w:type="spellStart"/>
      <w:r w:rsidR="00575227">
        <w:rPr>
          <w:rFonts w:ascii="Arial" w:hAnsi="Arial" w:cs="Arial"/>
          <w:color w:val="000000" w:themeColor="text1"/>
        </w:rPr>
        <w:t>Sampurna</w:t>
      </w:r>
      <w:proofErr w:type="spellEnd"/>
      <w:r w:rsidR="00575227">
        <w:rPr>
          <w:rFonts w:ascii="Arial" w:hAnsi="Arial" w:cs="Arial"/>
          <w:color w:val="000000" w:themeColor="text1"/>
        </w:rPr>
        <w:t xml:space="preserve"> </w:t>
      </w:r>
      <w:proofErr w:type="spellStart"/>
      <w:r w:rsidR="00575227">
        <w:rPr>
          <w:rFonts w:ascii="Arial" w:hAnsi="Arial" w:cs="Arial"/>
          <w:color w:val="000000" w:themeColor="text1"/>
        </w:rPr>
        <w:t>Chakraborti</w:t>
      </w:r>
      <w:proofErr w:type="spellEnd"/>
      <w:r w:rsidR="00575227">
        <w:rPr>
          <w:rFonts w:ascii="Arial" w:hAnsi="Arial" w:cs="Arial"/>
          <w:color w:val="000000" w:themeColor="text1"/>
        </w:rPr>
        <w:t xml:space="preserve">, and Ben Southard, </w:t>
      </w:r>
      <w:r w:rsidR="00575227" w:rsidRPr="00D7735A">
        <w:rPr>
          <w:rFonts w:ascii="Arial" w:hAnsi="Arial" w:cs="Arial"/>
          <w:color w:val="000000" w:themeColor="text1"/>
        </w:rPr>
        <w:t>who have provided significant assistance</w:t>
      </w:r>
      <w:r w:rsidR="00575227">
        <w:rPr>
          <w:rFonts w:ascii="Arial" w:hAnsi="Arial" w:cs="Arial"/>
          <w:color w:val="000000" w:themeColor="text1"/>
        </w:rPr>
        <w:t xml:space="preserve"> in this work</w:t>
      </w:r>
      <w:r w:rsidR="006054BF">
        <w:rPr>
          <w:rFonts w:ascii="Arial" w:hAnsi="Arial" w:cs="Arial"/>
          <w:color w:val="000000" w:themeColor="text1"/>
        </w:rPr>
        <w:t xml:space="preserve">. </w:t>
      </w:r>
      <w:r w:rsidR="00575227">
        <w:rPr>
          <w:rFonts w:ascii="Arial" w:hAnsi="Arial" w:cs="Arial"/>
          <w:color w:val="000000" w:themeColor="text1"/>
        </w:rPr>
        <w:t xml:space="preserve">Alexis Woodward </w:t>
      </w:r>
      <w:r w:rsidR="00644414">
        <w:rPr>
          <w:rFonts w:ascii="Arial" w:hAnsi="Arial" w:cs="Arial"/>
          <w:color w:val="000000" w:themeColor="text1"/>
        </w:rPr>
        <w:t xml:space="preserve">is </w:t>
      </w:r>
      <w:r w:rsidR="00863013">
        <w:rPr>
          <w:rFonts w:ascii="Arial" w:hAnsi="Arial" w:cs="Arial"/>
          <w:color w:val="000000" w:themeColor="text1"/>
        </w:rPr>
        <w:t xml:space="preserve">owed a special thanks </w:t>
      </w:r>
      <w:r w:rsidR="00575227">
        <w:rPr>
          <w:rFonts w:ascii="Arial" w:hAnsi="Arial" w:cs="Arial"/>
          <w:color w:val="000000" w:themeColor="text1"/>
        </w:rPr>
        <w:t xml:space="preserve">for being present and encouraging </w:t>
      </w:r>
      <w:r w:rsidR="00575227" w:rsidRPr="00D7735A">
        <w:rPr>
          <w:rFonts w:ascii="Arial" w:hAnsi="Arial" w:cs="Arial"/>
          <w:color w:val="000000" w:themeColor="text1"/>
        </w:rPr>
        <w:t>throughout my</w:t>
      </w:r>
      <w:r w:rsidR="00575227">
        <w:rPr>
          <w:rFonts w:ascii="Arial" w:hAnsi="Arial" w:cs="Arial"/>
          <w:color w:val="000000" w:themeColor="text1"/>
        </w:rPr>
        <w:t xml:space="preserve"> </w:t>
      </w:r>
      <w:r w:rsidR="00575227" w:rsidRPr="00D7735A">
        <w:rPr>
          <w:rFonts w:ascii="Arial" w:hAnsi="Arial" w:cs="Arial"/>
          <w:color w:val="000000" w:themeColor="text1"/>
        </w:rPr>
        <w:t xml:space="preserve">four </w:t>
      </w:r>
      <w:r w:rsidR="00575227">
        <w:rPr>
          <w:rFonts w:ascii="Arial" w:hAnsi="Arial" w:cs="Arial"/>
          <w:color w:val="000000" w:themeColor="text1"/>
        </w:rPr>
        <w:t>and a half years</w:t>
      </w:r>
      <w:r w:rsidR="00575227" w:rsidRPr="00D7735A">
        <w:rPr>
          <w:rFonts w:ascii="Arial" w:hAnsi="Arial" w:cs="Arial"/>
          <w:color w:val="000000" w:themeColor="text1"/>
        </w:rPr>
        <w:t xml:space="preserve"> at the University of Oklahoma</w:t>
      </w:r>
      <w:r w:rsidR="00575227">
        <w:rPr>
          <w:rFonts w:ascii="Arial" w:hAnsi="Arial" w:cs="Arial"/>
          <w:color w:val="000000" w:themeColor="text1"/>
        </w:rPr>
        <w:t>.</w:t>
      </w:r>
    </w:p>
    <w:p w14:paraId="2BA1BD8A" w14:textId="5E96AF71" w:rsidR="0054362C" w:rsidRDefault="000C1AEB" w:rsidP="0054362C">
      <w:pPr>
        <w:spacing w:line="360" w:lineRule="auto"/>
        <w:ind w:firstLine="1440"/>
        <w:jc w:val="both"/>
        <w:rPr>
          <w:rFonts w:ascii="Arial" w:hAnsi="Arial" w:cs="Arial"/>
          <w:color w:val="000000" w:themeColor="text1"/>
        </w:rPr>
      </w:pPr>
      <w:r w:rsidRPr="000C1AEB">
        <w:rPr>
          <w:rFonts w:ascii="Calibri" w:hAnsi="Calibri" w:cs="Calibri"/>
          <w:color w:val="000000" w:themeColor="text1"/>
        </w:rPr>
        <w:t>﻿</w:t>
      </w:r>
      <w:r w:rsidR="0054362C" w:rsidRPr="0054362C">
        <w:rPr>
          <w:rFonts w:ascii="Arial" w:hAnsi="Arial" w:cs="Arial"/>
          <w:color w:val="000000" w:themeColor="text1"/>
        </w:rPr>
        <w:t xml:space="preserve"> </w:t>
      </w:r>
      <w:r w:rsidR="0054362C" w:rsidRPr="000C1AEB">
        <w:rPr>
          <w:rFonts w:ascii="Arial" w:hAnsi="Arial" w:cs="Arial"/>
          <w:color w:val="000000" w:themeColor="text1"/>
        </w:rPr>
        <w:t>I would also like to thank all the staff and</w:t>
      </w:r>
      <w:r w:rsidR="0054362C">
        <w:rPr>
          <w:rFonts w:ascii="Arial" w:hAnsi="Arial" w:cs="Arial"/>
          <w:color w:val="000000" w:themeColor="text1"/>
        </w:rPr>
        <w:t xml:space="preserve"> </w:t>
      </w:r>
      <w:r w:rsidR="0054362C" w:rsidRPr="000C1AEB">
        <w:rPr>
          <w:rFonts w:ascii="Arial" w:hAnsi="Arial" w:cs="Arial"/>
          <w:color w:val="000000" w:themeColor="text1"/>
        </w:rPr>
        <w:t>graduate students who have been part of the Chemical,</w:t>
      </w:r>
      <w:r w:rsidR="0054362C">
        <w:rPr>
          <w:rFonts w:ascii="Arial" w:hAnsi="Arial" w:cs="Arial"/>
          <w:color w:val="000000" w:themeColor="text1"/>
        </w:rPr>
        <w:t xml:space="preserve"> </w:t>
      </w:r>
      <w:r w:rsidR="0054362C" w:rsidRPr="000C1AEB">
        <w:rPr>
          <w:rFonts w:ascii="Arial" w:hAnsi="Arial" w:cs="Arial"/>
          <w:color w:val="000000" w:themeColor="text1"/>
        </w:rPr>
        <w:t>Biological, and Materials Engineering departments</w:t>
      </w:r>
      <w:r w:rsidR="0054362C">
        <w:rPr>
          <w:rFonts w:ascii="Arial" w:hAnsi="Arial" w:cs="Arial"/>
          <w:color w:val="000000" w:themeColor="text1"/>
        </w:rPr>
        <w:t xml:space="preserve">, especially </w:t>
      </w:r>
      <w:r w:rsidR="00873BAF">
        <w:rPr>
          <w:rFonts w:ascii="Arial" w:hAnsi="Arial" w:cs="Arial"/>
          <w:color w:val="000000" w:themeColor="text1"/>
        </w:rPr>
        <w:t xml:space="preserve">Andrew D’Amico, </w:t>
      </w:r>
      <w:r w:rsidR="0054362C">
        <w:rPr>
          <w:rFonts w:ascii="Arial" w:hAnsi="Arial" w:cs="Arial"/>
          <w:color w:val="000000" w:themeColor="text1"/>
        </w:rPr>
        <w:t xml:space="preserve">Terri Colliver, </w:t>
      </w:r>
      <w:proofErr w:type="spellStart"/>
      <w:r w:rsidR="0054362C">
        <w:rPr>
          <w:rFonts w:ascii="Arial" w:hAnsi="Arial" w:cs="Arial"/>
          <w:color w:val="000000" w:themeColor="text1"/>
        </w:rPr>
        <w:t>Madena</w:t>
      </w:r>
      <w:proofErr w:type="spellEnd"/>
      <w:r w:rsidR="0054362C">
        <w:rPr>
          <w:rFonts w:ascii="Arial" w:hAnsi="Arial" w:cs="Arial"/>
          <w:color w:val="000000" w:themeColor="text1"/>
        </w:rPr>
        <w:t xml:space="preserve"> </w:t>
      </w:r>
      <w:r w:rsidR="0054362C" w:rsidRPr="007F7BD6">
        <w:rPr>
          <w:rFonts w:ascii="Arial" w:hAnsi="Arial" w:cs="Arial"/>
          <w:color w:val="000000" w:themeColor="text1"/>
        </w:rPr>
        <w:t>McGinnis</w:t>
      </w:r>
      <w:r w:rsidR="0054362C">
        <w:rPr>
          <w:rFonts w:ascii="Arial" w:hAnsi="Arial" w:cs="Arial"/>
          <w:color w:val="000000" w:themeColor="text1"/>
        </w:rPr>
        <w:t xml:space="preserve">, Nicole </w:t>
      </w:r>
      <w:proofErr w:type="spellStart"/>
      <w:r w:rsidR="0054362C">
        <w:rPr>
          <w:rFonts w:ascii="Arial" w:hAnsi="Arial" w:cs="Arial"/>
          <w:color w:val="000000" w:themeColor="text1"/>
        </w:rPr>
        <w:t>Palmeter</w:t>
      </w:r>
      <w:proofErr w:type="spellEnd"/>
      <w:r w:rsidR="0054362C">
        <w:rPr>
          <w:rFonts w:ascii="Arial" w:hAnsi="Arial" w:cs="Arial"/>
          <w:color w:val="000000" w:themeColor="text1"/>
        </w:rPr>
        <w:t>, Rett Norman, and Donna King</w:t>
      </w:r>
      <w:r w:rsidR="00863013">
        <w:rPr>
          <w:rFonts w:ascii="Arial" w:hAnsi="Arial" w:cs="Arial"/>
          <w:color w:val="000000" w:themeColor="text1"/>
        </w:rPr>
        <w:t>.</w:t>
      </w:r>
      <w:r w:rsidR="0054362C">
        <w:rPr>
          <w:rFonts w:ascii="Arial" w:hAnsi="Arial" w:cs="Arial"/>
          <w:color w:val="000000" w:themeColor="text1"/>
        </w:rPr>
        <w:t xml:space="preserve"> The </w:t>
      </w:r>
      <w:proofErr w:type="spellStart"/>
      <w:r w:rsidR="0054362C">
        <w:rPr>
          <w:rFonts w:ascii="Arial" w:hAnsi="Arial" w:cs="Arial"/>
          <w:color w:val="000000" w:themeColor="text1"/>
        </w:rPr>
        <w:t>ChEGS</w:t>
      </w:r>
      <w:proofErr w:type="spellEnd"/>
      <w:r w:rsidR="0054362C">
        <w:rPr>
          <w:rFonts w:ascii="Arial" w:hAnsi="Arial" w:cs="Arial"/>
          <w:color w:val="000000" w:themeColor="text1"/>
        </w:rPr>
        <w:t xml:space="preserve"> officers, Elton Correa, Mason </w:t>
      </w:r>
      <w:proofErr w:type="spellStart"/>
      <w:r w:rsidR="0054362C">
        <w:rPr>
          <w:rFonts w:ascii="Arial" w:hAnsi="Arial" w:cs="Arial"/>
          <w:color w:val="000000" w:themeColor="text1"/>
        </w:rPr>
        <w:t>Rhue</w:t>
      </w:r>
      <w:proofErr w:type="spellEnd"/>
      <w:r w:rsidR="0054362C">
        <w:rPr>
          <w:rFonts w:ascii="Arial" w:hAnsi="Arial" w:cs="Arial"/>
          <w:color w:val="000000" w:themeColor="text1"/>
        </w:rPr>
        <w:t xml:space="preserve">, Lucas Condes, Kylie Foster, Hesham </w:t>
      </w:r>
      <w:proofErr w:type="spellStart"/>
      <w:r w:rsidR="0054362C">
        <w:rPr>
          <w:rFonts w:ascii="Arial" w:hAnsi="Arial" w:cs="Arial"/>
          <w:color w:val="000000" w:themeColor="text1"/>
        </w:rPr>
        <w:t>Aboukeila</w:t>
      </w:r>
      <w:proofErr w:type="spellEnd"/>
      <w:r w:rsidR="0054362C">
        <w:rPr>
          <w:rFonts w:ascii="Arial" w:hAnsi="Arial" w:cs="Arial"/>
          <w:color w:val="000000" w:themeColor="text1"/>
        </w:rPr>
        <w:t xml:space="preserve">, Luis </w:t>
      </w:r>
      <w:proofErr w:type="spellStart"/>
      <w:r w:rsidR="0054362C">
        <w:rPr>
          <w:rFonts w:ascii="Arial" w:hAnsi="Arial" w:cs="Arial"/>
          <w:color w:val="000000" w:themeColor="text1"/>
        </w:rPr>
        <w:t>Trevisi</w:t>
      </w:r>
      <w:proofErr w:type="spellEnd"/>
      <w:r w:rsidR="0054362C">
        <w:rPr>
          <w:rFonts w:ascii="Arial" w:hAnsi="Arial" w:cs="Arial"/>
          <w:color w:val="000000" w:themeColor="text1"/>
        </w:rPr>
        <w:t xml:space="preserve">, and Thomas Salas, for making the experience of leading </w:t>
      </w:r>
      <w:proofErr w:type="spellStart"/>
      <w:r w:rsidR="0054362C">
        <w:rPr>
          <w:rFonts w:ascii="Arial" w:hAnsi="Arial" w:cs="Arial"/>
          <w:color w:val="000000" w:themeColor="text1"/>
        </w:rPr>
        <w:t>ChEGS</w:t>
      </w:r>
      <w:proofErr w:type="spellEnd"/>
      <w:r w:rsidR="0054362C">
        <w:rPr>
          <w:rFonts w:ascii="Arial" w:hAnsi="Arial" w:cs="Arial"/>
          <w:color w:val="000000" w:themeColor="text1"/>
        </w:rPr>
        <w:t xml:space="preserve"> easier and more pleasant; Kylie</w:t>
      </w:r>
      <w:r w:rsidR="00863013">
        <w:rPr>
          <w:rFonts w:ascii="Arial" w:hAnsi="Arial" w:cs="Arial"/>
          <w:color w:val="000000" w:themeColor="text1"/>
        </w:rPr>
        <w:t>,</w:t>
      </w:r>
      <w:r w:rsidR="0054362C">
        <w:rPr>
          <w:rFonts w:ascii="Arial" w:hAnsi="Arial" w:cs="Arial"/>
          <w:color w:val="000000" w:themeColor="text1"/>
        </w:rPr>
        <w:t xml:space="preserve"> for the help with flow cytometry</w:t>
      </w:r>
      <w:r w:rsidR="007B737C">
        <w:rPr>
          <w:rFonts w:ascii="Arial" w:hAnsi="Arial" w:cs="Arial"/>
          <w:color w:val="000000" w:themeColor="text1"/>
        </w:rPr>
        <w:t xml:space="preserve"> </w:t>
      </w:r>
      <w:proofErr w:type="gramStart"/>
      <w:r w:rsidR="007B737C">
        <w:rPr>
          <w:rFonts w:ascii="Arial" w:hAnsi="Arial" w:cs="Arial"/>
          <w:color w:val="000000" w:themeColor="text1"/>
        </w:rPr>
        <w:t xml:space="preserve">and </w:t>
      </w:r>
      <w:r w:rsidR="0054362C">
        <w:rPr>
          <w:rFonts w:ascii="Arial" w:hAnsi="Arial" w:cs="Arial"/>
          <w:color w:val="000000" w:themeColor="text1"/>
        </w:rPr>
        <w:t xml:space="preserve"> Daniel</w:t>
      </w:r>
      <w:proofErr w:type="gramEnd"/>
      <w:r w:rsidR="0054362C">
        <w:rPr>
          <w:rFonts w:ascii="Arial" w:hAnsi="Arial" w:cs="Arial"/>
          <w:color w:val="000000" w:themeColor="text1"/>
        </w:rPr>
        <w:t xml:space="preserve"> </w:t>
      </w:r>
      <w:proofErr w:type="spellStart"/>
      <w:r w:rsidR="0054362C">
        <w:rPr>
          <w:rFonts w:ascii="Arial" w:hAnsi="Arial" w:cs="Arial"/>
          <w:color w:val="000000" w:themeColor="text1"/>
        </w:rPr>
        <w:t>Karami</w:t>
      </w:r>
      <w:proofErr w:type="spellEnd"/>
      <w:r w:rsidR="0054362C">
        <w:rPr>
          <w:rFonts w:ascii="Arial" w:hAnsi="Arial" w:cs="Arial"/>
          <w:color w:val="000000" w:themeColor="text1"/>
        </w:rPr>
        <w:t xml:space="preserve"> and Parker Bryant for sharing equipment</w:t>
      </w:r>
      <w:r w:rsidR="007B737C">
        <w:rPr>
          <w:rFonts w:ascii="Arial" w:hAnsi="Arial" w:cs="Arial"/>
          <w:color w:val="000000" w:themeColor="text1"/>
        </w:rPr>
        <w:t>.</w:t>
      </w:r>
      <w:r w:rsidR="0054362C">
        <w:rPr>
          <w:rFonts w:ascii="Arial" w:hAnsi="Arial" w:cs="Arial"/>
          <w:color w:val="000000" w:themeColor="text1"/>
        </w:rPr>
        <w:t xml:space="preserve"> I’d like to thank all my friends at </w:t>
      </w:r>
      <w:r w:rsidR="0054362C">
        <w:rPr>
          <w:rFonts w:ascii="Arial" w:hAnsi="Arial" w:cs="Arial"/>
          <w:color w:val="000000" w:themeColor="text1"/>
        </w:rPr>
        <w:lastRenderedPageBreak/>
        <w:t>the University of Oklahoma, especially Aishwarya K</w:t>
      </w:r>
      <w:r w:rsidR="0054362C" w:rsidRPr="00716F47">
        <w:rPr>
          <w:rFonts w:ascii="Arial" w:hAnsi="Arial" w:cs="Arial"/>
          <w:color w:val="000000" w:themeColor="text1"/>
        </w:rPr>
        <w:t>rishnaswamy</w:t>
      </w:r>
      <w:r w:rsidR="0054362C">
        <w:rPr>
          <w:rFonts w:ascii="Arial" w:hAnsi="Arial" w:cs="Arial"/>
          <w:color w:val="000000" w:themeColor="text1"/>
        </w:rPr>
        <w:t xml:space="preserve">, Sanjana </w:t>
      </w:r>
      <w:proofErr w:type="spellStart"/>
      <w:r w:rsidR="0054362C">
        <w:rPr>
          <w:rFonts w:ascii="Arial" w:hAnsi="Arial" w:cs="Arial"/>
          <w:color w:val="000000" w:themeColor="text1"/>
        </w:rPr>
        <w:t>Mudduluru</w:t>
      </w:r>
      <w:proofErr w:type="spellEnd"/>
      <w:r w:rsidR="0054362C">
        <w:rPr>
          <w:rFonts w:ascii="Arial" w:hAnsi="Arial" w:cs="Arial"/>
          <w:color w:val="000000" w:themeColor="text1"/>
        </w:rPr>
        <w:t>, and Gabriela Chaves.</w:t>
      </w:r>
    </w:p>
    <w:p w14:paraId="232E4582" w14:textId="71320141" w:rsidR="003C5D81" w:rsidRDefault="003C5D81" w:rsidP="00206C2E">
      <w:pPr>
        <w:spacing w:line="360" w:lineRule="auto"/>
        <w:ind w:firstLine="1440"/>
        <w:jc w:val="both"/>
        <w:rPr>
          <w:rFonts w:ascii="Arial" w:hAnsi="Arial" w:cs="Arial"/>
          <w:color w:val="000000" w:themeColor="text1"/>
        </w:rPr>
      </w:pPr>
      <w:r>
        <w:rPr>
          <w:rFonts w:ascii="Arial" w:hAnsi="Arial" w:cs="Arial"/>
          <w:color w:val="000000" w:themeColor="text1"/>
        </w:rPr>
        <w:t>I</w:t>
      </w:r>
      <w:r w:rsidR="004139E5" w:rsidRPr="004139E5">
        <w:rPr>
          <w:rFonts w:ascii="Arial" w:hAnsi="Arial" w:cs="Arial"/>
          <w:color w:val="000000" w:themeColor="text1"/>
        </w:rPr>
        <w:t xml:space="preserve"> need to acknowledge the mice that gave their lives for this project. I believe that their deaths were not in vain. Without them, little could we do for the advancement of </w:t>
      </w:r>
      <w:r w:rsidR="00307D18">
        <w:rPr>
          <w:rFonts w:ascii="Arial" w:hAnsi="Arial" w:cs="Arial"/>
          <w:color w:val="000000" w:themeColor="text1"/>
        </w:rPr>
        <w:t xml:space="preserve">health </w:t>
      </w:r>
      <w:r w:rsidR="004139E5" w:rsidRPr="004139E5">
        <w:rPr>
          <w:rFonts w:ascii="Arial" w:hAnsi="Arial" w:cs="Arial"/>
          <w:color w:val="000000" w:themeColor="text1"/>
        </w:rPr>
        <w:t>science</w:t>
      </w:r>
      <w:r w:rsidR="00307D18">
        <w:rPr>
          <w:rFonts w:ascii="Arial" w:hAnsi="Arial" w:cs="Arial"/>
          <w:color w:val="000000" w:themeColor="text1"/>
        </w:rPr>
        <w:t>s</w:t>
      </w:r>
      <w:r w:rsidR="004139E5" w:rsidRPr="004139E5">
        <w:rPr>
          <w:rFonts w:ascii="Arial" w:hAnsi="Arial" w:cs="Arial"/>
          <w:color w:val="000000" w:themeColor="text1"/>
        </w:rPr>
        <w:t>.</w:t>
      </w:r>
    </w:p>
    <w:p w14:paraId="35CECE24" w14:textId="237B6808" w:rsidR="0048744D" w:rsidRPr="00ED6436" w:rsidRDefault="00ED6436" w:rsidP="0048744D">
      <w:pPr>
        <w:spacing w:line="360" w:lineRule="auto"/>
        <w:ind w:firstLine="1440"/>
        <w:jc w:val="both"/>
        <w:rPr>
          <w:rFonts w:ascii="Arial" w:hAnsi="Arial" w:cs="Arial"/>
          <w:color w:val="000000" w:themeColor="text1"/>
        </w:rPr>
      </w:pPr>
      <w:r w:rsidRPr="00ED6436">
        <w:rPr>
          <w:rFonts w:ascii="Calibri" w:hAnsi="Calibri" w:cs="Calibri"/>
          <w:color w:val="000000" w:themeColor="text1"/>
        </w:rPr>
        <w:t>﻿</w:t>
      </w:r>
      <w:r w:rsidR="0048744D" w:rsidRPr="0048744D">
        <w:rPr>
          <w:rFonts w:ascii="Arial" w:hAnsi="Arial" w:cs="Arial"/>
          <w:color w:val="000000" w:themeColor="text1"/>
        </w:rPr>
        <w:t xml:space="preserve"> </w:t>
      </w:r>
      <w:r w:rsidR="0048744D" w:rsidRPr="00ED6436">
        <w:rPr>
          <w:rFonts w:ascii="Arial" w:hAnsi="Arial" w:cs="Arial"/>
          <w:color w:val="000000" w:themeColor="text1"/>
        </w:rPr>
        <w:t xml:space="preserve">Lastly, I would like to thank my family: </w:t>
      </w:r>
      <w:r w:rsidR="0048744D">
        <w:rPr>
          <w:rFonts w:ascii="Arial" w:hAnsi="Arial" w:cs="Arial"/>
          <w:color w:val="000000" w:themeColor="text1"/>
        </w:rPr>
        <w:t>my husband, Joseph Shaw</w:t>
      </w:r>
      <w:r w:rsidR="00E0453F" w:rsidRPr="00E0453F">
        <w:rPr>
          <w:rFonts w:ascii="Arial" w:hAnsi="Arial" w:cs="Arial"/>
          <w:color w:val="000000" w:themeColor="text1"/>
        </w:rPr>
        <w:t>, for the hugs and for being present no matter what</w:t>
      </w:r>
      <w:r w:rsidR="00E0453F">
        <w:rPr>
          <w:rFonts w:ascii="Arial" w:hAnsi="Arial" w:cs="Arial"/>
          <w:color w:val="000000" w:themeColor="text1"/>
        </w:rPr>
        <w:t xml:space="preserve">; </w:t>
      </w:r>
      <w:r w:rsidR="0048744D" w:rsidRPr="00ED6436">
        <w:rPr>
          <w:rFonts w:ascii="Arial" w:hAnsi="Arial" w:cs="Arial"/>
          <w:color w:val="000000" w:themeColor="text1"/>
        </w:rPr>
        <w:t xml:space="preserve">parents, </w:t>
      </w:r>
      <w:proofErr w:type="spellStart"/>
      <w:r w:rsidR="0048744D">
        <w:rPr>
          <w:rFonts w:ascii="Arial" w:hAnsi="Arial" w:cs="Arial"/>
          <w:color w:val="000000" w:themeColor="text1"/>
        </w:rPr>
        <w:t>Iracema</w:t>
      </w:r>
      <w:proofErr w:type="spellEnd"/>
      <w:r w:rsidR="0048744D">
        <w:rPr>
          <w:rFonts w:ascii="Arial" w:hAnsi="Arial" w:cs="Arial"/>
          <w:color w:val="000000" w:themeColor="text1"/>
        </w:rPr>
        <w:t xml:space="preserve"> Rodrigues </w:t>
      </w:r>
      <w:proofErr w:type="gramStart"/>
      <w:r w:rsidR="0048744D">
        <w:rPr>
          <w:rFonts w:ascii="Arial" w:hAnsi="Arial" w:cs="Arial"/>
          <w:color w:val="000000" w:themeColor="text1"/>
        </w:rPr>
        <w:t>Furtado</w:t>
      </w:r>
      <w:proofErr w:type="gramEnd"/>
      <w:r w:rsidR="0048744D">
        <w:rPr>
          <w:rFonts w:ascii="Arial" w:hAnsi="Arial" w:cs="Arial"/>
          <w:color w:val="000000" w:themeColor="text1"/>
        </w:rPr>
        <w:t xml:space="preserve"> and Carlos Nogueira de </w:t>
      </w:r>
      <w:proofErr w:type="spellStart"/>
      <w:r w:rsidR="0048744D">
        <w:rPr>
          <w:rFonts w:ascii="Arial" w:hAnsi="Arial" w:cs="Arial"/>
          <w:color w:val="000000" w:themeColor="text1"/>
        </w:rPr>
        <w:t>Faria</w:t>
      </w:r>
      <w:proofErr w:type="spellEnd"/>
      <w:r w:rsidR="007B737C">
        <w:rPr>
          <w:rFonts w:ascii="Arial" w:hAnsi="Arial" w:cs="Arial"/>
          <w:color w:val="000000" w:themeColor="text1"/>
        </w:rPr>
        <w:t>;</w:t>
      </w:r>
      <w:r w:rsidR="0048744D" w:rsidRPr="00ED6436">
        <w:rPr>
          <w:rFonts w:ascii="Arial" w:hAnsi="Arial" w:cs="Arial"/>
          <w:color w:val="000000" w:themeColor="text1"/>
        </w:rPr>
        <w:t xml:space="preserve"> my brother </w:t>
      </w:r>
      <w:r w:rsidR="0048744D">
        <w:rPr>
          <w:rFonts w:ascii="Arial" w:hAnsi="Arial" w:cs="Arial"/>
          <w:color w:val="000000" w:themeColor="text1"/>
        </w:rPr>
        <w:t xml:space="preserve">Matheus Furtado e </w:t>
      </w:r>
      <w:proofErr w:type="spellStart"/>
      <w:r w:rsidR="0048744D">
        <w:rPr>
          <w:rFonts w:ascii="Arial" w:hAnsi="Arial" w:cs="Arial"/>
          <w:color w:val="000000" w:themeColor="text1"/>
        </w:rPr>
        <w:t>Faria</w:t>
      </w:r>
      <w:proofErr w:type="spellEnd"/>
      <w:r w:rsidR="00AE4BDF">
        <w:rPr>
          <w:rFonts w:ascii="Arial" w:hAnsi="Arial" w:cs="Arial"/>
          <w:color w:val="000000" w:themeColor="text1"/>
        </w:rPr>
        <w:t>;</w:t>
      </w:r>
      <w:r w:rsidR="0048744D">
        <w:rPr>
          <w:rFonts w:ascii="Arial" w:hAnsi="Arial" w:cs="Arial"/>
          <w:color w:val="000000" w:themeColor="text1"/>
        </w:rPr>
        <w:t xml:space="preserve"> and my parents-in-law, Megan FitzGerald and Daniel Roman, for all the love, attention, encouragement, inspiration, and pray</w:t>
      </w:r>
      <w:r w:rsidR="00AE4BDF">
        <w:rPr>
          <w:rFonts w:ascii="Arial" w:hAnsi="Arial" w:cs="Arial"/>
          <w:color w:val="000000" w:themeColor="text1"/>
        </w:rPr>
        <w:t>ers</w:t>
      </w:r>
      <w:r w:rsidR="0048744D">
        <w:rPr>
          <w:rFonts w:ascii="Arial" w:hAnsi="Arial" w:cs="Arial"/>
          <w:color w:val="000000" w:themeColor="text1"/>
        </w:rPr>
        <w:t xml:space="preserve">. Also, </w:t>
      </w:r>
      <w:r w:rsidR="0048744D" w:rsidRPr="00ED6436">
        <w:rPr>
          <w:rFonts w:ascii="Arial" w:hAnsi="Arial" w:cs="Arial"/>
          <w:color w:val="000000" w:themeColor="text1"/>
        </w:rPr>
        <w:t>my</w:t>
      </w:r>
      <w:r w:rsidR="0048744D">
        <w:rPr>
          <w:rFonts w:ascii="Arial" w:hAnsi="Arial" w:cs="Arial"/>
          <w:color w:val="000000" w:themeColor="text1"/>
        </w:rPr>
        <w:t xml:space="preserve"> aunts and uncles, especially Irene Furtado Moreira, my cousins, and my friends in Brazil, </w:t>
      </w:r>
      <w:r w:rsidR="0048744D" w:rsidRPr="00ED6436">
        <w:rPr>
          <w:rFonts w:ascii="Arial" w:hAnsi="Arial" w:cs="Arial"/>
          <w:color w:val="000000" w:themeColor="text1"/>
        </w:rPr>
        <w:t>for always being supportive, encouraging, and loving. I would not be</w:t>
      </w:r>
      <w:r w:rsidR="0048744D">
        <w:rPr>
          <w:rFonts w:ascii="Arial" w:hAnsi="Arial" w:cs="Arial"/>
          <w:color w:val="000000" w:themeColor="text1"/>
        </w:rPr>
        <w:t xml:space="preserve"> </w:t>
      </w:r>
      <w:r w:rsidR="0048744D" w:rsidRPr="00ED6436">
        <w:rPr>
          <w:rFonts w:ascii="Arial" w:hAnsi="Arial" w:cs="Arial"/>
          <w:color w:val="000000" w:themeColor="text1"/>
        </w:rPr>
        <w:t xml:space="preserve">getting a </w:t>
      </w:r>
      <w:r w:rsidR="0048744D">
        <w:rPr>
          <w:rFonts w:ascii="Arial" w:hAnsi="Arial" w:cs="Arial"/>
          <w:color w:val="000000" w:themeColor="text1"/>
        </w:rPr>
        <w:t>Ph.D.</w:t>
      </w:r>
      <w:r w:rsidR="0048744D" w:rsidRPr="00ED6436">
        <w:rPr>
          <w:rFonts w:ascii="Arial" w:hAnsi="Arial" w:cs="Arial"/>
          <w:color w:val="000000" w:themeColor="text1"/>
        </w:rPr>
        <w:t xml:space="preserve"> without the love and support of </w:t>
      </w:r>
      <w:r w:rsidR="0048744D">
        <w:rPr>
          <w:rFonts w:ascii="Arial" w:hAnsi="Arial" w:cs="Arial"/>
          <w:color w:val="000000" w:themeColor="text1"/>
        </w:rPr>
        <w:t>everyone</w:t>
      </w:r>
      <w:r w:rsidR="0048744D" w:rsidRPr="00ED6436">
        <w:rPr>
          <w:rFonts w:ascii="Arial" w:hAnsi="Arial" w:cs="Arial"/>
          <w:color w:val="000000" w:themeColor="text1"/>
        </w:rPr>
        <w:t xml:space="preserve"> mentioned here.</w:t>
      </w:r>
    </w:p>
    <w:p w14:paraId="08D3C2E4" w14:textId="59C7045B" w:rsidR="00C500C7" w:rsidRPr="00ED6436" w:rsidRDefault="00C500C7" w:rsidP="00C500C7">
      <w:pPr>
        <w:spacing w:line="360" w:lineRule="auto"/>
        <w:ind w:firstLine="1440"/>
        <w:jc w:val="both"/>
        <w:rPr>
          <w:rFonts w:ascii="Arial" w:hAnsi="Arial" w:cs="Arial"/>
          <w:color w:val="000000" w:themeColor="text1"/>
        </w:rPr>
      </w:pPr>
    </w:p>
    <w:p w14:paraId="6C99C847" w14:textId="3EE85887" w:rsidR="00ED6436" w:rsidRDefault="00ED6436" w:rsidP="00ED6436">
      <w:pPr>
        <w:spacing w:line="360" w:lineRule="auto"/>
        <w:ind w:firstLine="1440"/>
        <w:jc w:val="both"/>
        <w:rPr>
          <w:rFonts w:ascii="Arial" w:hAnsi="Arial" w:cs="Arial"/>
          <w:color w:val="000000" w:themeColor="text1"/>
        </w:rPr>
      </w:pPr>
      <w:r w:rsidRPr="00ED6436">
        <w:rPr>
          <w:rFonts w:ascii="Arial" w:hAnsi="Arial" w:cs="Arial"/>
          <w:color w:val="000000" w:themeColor="text1"/>
        </w:rPr>
        <w:t>Thank y</w:t>
      </w:r>
      <w:r w:rsidR="00AE46C0">
        <w:rPr>
          <w:rFonts w:ascii="Arial" w:hAnsi="Arial" w:cs="Arial"/>
          <w:color w:val="000000" w:themeColor="text1"/>
        </w:rPr>
        <w:t>ou.</w:t>
      </w:r>
    </w:p>
    <w:p w14:paraId="4CB003FD" w14:textId="77777777" w:rsidR="00EF6353" w:rsidRDefault="00EF6353" w:rsidP="00E02F99">
      <w:pPr>
        <w:spacing w:line="360" w:lineRule="auto"/>
        <w:ind w:firstLine="1440"/>
        <w:jc w:val="both"/>
        <w:rPr>
          <w:rFonts w:ascii="Arial" w:hAnsi="Arial" w:cs="Arial"/>
          <w:color w:val="000000" w:themeColor="text1"/>
        </w:rPr>
      </w:pPr>
    </w:p>
    <w:p w14:paraId="65F385A2" w14:textId="77777777" w:rsidR="00EF6353" w:rsidRDefault="00EF6353" w:rsidP="00E02F99">
      <w:pPr>
        <w:spacing w:line="360" w:lineRule="auto"/>
        <w:ind w:firstLine="1440"/>
        <w:jc w:val="both"/>
        <w:rPr>
          <w:rFonts w:ascii="Arial" w:hAnsi="Arial" w:cs="Arial"/>
          <w:color w:val="000000" w:themeColor="text1"/>
        </w:rPr>
      </w:pPr>
    </w:p>
    <w:p w14:paraId="00F2C411" w14:textId="77777777" w:rsidR="00E019C1" w:rsidRPr="00D74025" w:rsidRDefault="00E019C1" w:rsidP="000C1AEB">
      <w:pPr>
        <w:spacing w:line="360" w:lineRule="auto"/>
        <w:rPr>
          <w:rFonts w:ascii="Arial" w:hAnsi="Arial" w:cs="Arial"/>
          <w:color w:val="000000" w:themeColor="text1"/>
        </w:rPr>
      </w:pPr>
    </w:p>
    <w:p w14:paraId="124429D5" w14:textId="5C057C96" w:rsidR="00274D42" w:rsidRPr="00D74025" w:rsidRDefault="00274D42" w:rsidP="00CF0CD5">
      <w:pPr>
        <w:spacing w:line="360" w:lineRule="auto"/>
        <w:rPr>
          <w:rFonts w:ascii="Arial" w:hAnsi="Arial" w:cs="Arial"/>
          <w:color w:val="000000" w:themeColor="text1"/>
        </w:rPr>
      </w:pPr>
    </w:p>
    <w:p w14:paraId="22E28336" w14:textId="4A792CF3" w:rsidR="00274D42" w:rsidRPr="00D74025" w:rsidRDefault="00274D42" w:rsidP="00CF0CD5">
      <w:pPr>
        <w:spacing w:line="360" w:lineRule="auto"/>
        <w:rPr>
          <w:rFonts w:ascii="Arial" w:hAnsi="Arial" w:cs="Arial"/>
          <w:color w:val="000000" w:themeColor="text1"/>
        </w:rPr>
      </w:pPr>
      <w:r w:rsidRPr="00D74025">
        <w:rPr>
          <w:rFonts w:ascii="Arial" w:hAnsi="Arial" w:cs="Arial"/>
          <w:color w:val="000000" w:themeColor="text1"/>
        </w:rPr>
        <w:br w:type="page"/>
      </w:r>
    </w:p>
    <w:p w14:paraId="4D9E1599" w14:textId="44AF7E3A" w:rsidR="00791D13" w:rsidRPr="00D74025" w:rsidRDefault="00791D13" w:rsidP="00CF0CD5">
      <w:pPr>
        <w:spacing w:line="360" w:lineRule="auto"/>
        <w:rPr>
          <w:rFonts w:ascii="Arial" w:hAnsi="Arial" w:cs="Arial"/>
          <w:color w:val="000000" w:themeColor="text1"/>
        </w:rPr>
      </w:pPr>
    </w:p>
    <w:sdt>
      <w:sdtPr>
        <w:rPr>
          <w:rFonts w:ascii="Arial" w:eastAsiaTheme="minorHAnsi" w:hAnsi="Arial" w:cs="Arial"/>
          <w:b w:val="0"/>
          <w:bCs w:val="0"/>
          <w:color w:val="000000" w:themeColor="text1"/>
          <w:sz w:val="24"/>
          <w:szCs w:val="24"/>
        </w:rPr>
        <w:id w:val="-1471979082"/>
        <w:docPartObj>
          <w:docPartGallery w:val="Table of Contents"/>
          <w:docPartUnique/>
        </w:docPartObj>
      </w:sdtPr>
      <w:sdtEndPr>
        <w:rPr>
          <w:rFonts w:ascii="Times New Roman" w:eastAsia="Times New Roman" w:hAnsi="Times New Roman" w:cs="Times New Roman"/>
          <w:noProof/>
        </w:rPr>
      </w:sdtEndPr>
      <w:sdtContent>
        <w:p w14:paraId="63C47D96" w14:textId="14171232" w:rsidR="00667EF2" w:rsidRPr="00B86DA1" w:rsidRDefault="00667EF2" w:rsidP="00B86DA1">
          <w:pPr>
            <w:pStyle w:val="TOCHeading"/>
            <w:spacing w:line="360" w:lineRule="auto"/>
            <w:jc w:val="center"/>
            <w:rPr>
              <w:rFonts w:ascii="Arial" w:hAnsi="Arial" w:cs="Arial"/>
              <w:color w:val="000000" w:themeColor="text1"/>
            </w:rPr>
          </w:pPr>
          <w:r w:rsidRPr="00B86DA1">
            <w:rPr>
              <w:rFonts w:ascii="Arial" w:hAnsi="Arial" w:cs="Arial"/>
              <w:color w:val="000000" w:themeColor="text1"/>
            </w:rPr>
            <w:t>Table of Contents</w:t>
          </w:r>
        </w:p>
        <w:p w14:paraId="3BD0BEB2" w14:textId="642A3D0D" w:rsidR="00657BD0" w:rsidRPr="002E5F0A" w:rsidRDefault="00E13DDF" w:rsidP="002E5F0A">
          <w:pPr>
            <w:pStyle w:val="TOC1"/>
            <w:tabs>
              <w:tab w:val="right" w:leader="hyphen" w:pos="9350"/>
            </w:tabs>
            <w:spacing w:line="360" w:lineRule="auto"/>
            <w:rPr>
              <w:rFonts w:ascii="Arial" w:eastAsiaTheme="minorEastAsia" w:hAnsi="Arial" w:cs="Arial"/>
              <w:b w:val="0"/>
              <w:bCs w:val="0"/>
              <w:i w:val="0"/>
              <w:iCs w:val="0"/>
              <w:noProof/>
            </w:rPr>
          </w:pPr>
          <w:r w:rsidRPr="002E5F0A">
            <w:rPr>
              <w:rFonts w:ascii="Arial" w:hAnsi="Arial" w:cs="Arial"/>
              <w:b w:val="0"/>
              <w:bCs w:val="0"/>
              <w:i w:val="0"/>
              <w:iCs w:val="0"/>
              <w:color w:val="000000" w:themeColor="text1"/>
            </w:rPr>
            <w:fldChar w:fldCharType="begin"/>
          </w:r>
          <w:r w:rsidRPr="002E5F0A">
            <w:rPr>
              <w:rFonts w:ascii="Arial" w:hAnsi="Arial" w:cs="Arial"/>
              <w:b w:val="0"/>
              <w:bCs w:val="0"/>
              <w:i w:val="0"/>
              <w:iCs w:val="0"/>
              <w:color w:val="000000" w:themeColor="text1"/>
            </w:rPr>
            <w:instrText xml:space="preserve"> TOC \o "1-4" \h \z \u </w:instrText>
          </w:r>
          <w:r w:rsidRPr="002E5F0A">
            <w:rPr>
              <w:rFonts w:ascii="Arial" w:hAnsi="Arial" w:cs="Arial"/>
              <w:b w:val="0"/>
              <w:bCs w:val="0"/>
              <w:i w:val="0"/>
              <w:iCs w:val="0"/>
              <w:color w:val="000000" w:themeColor="text1"/>
            </w:rPr>
            <w:fldChar w:fldCharType="separate"/>
          </w:r>
          <w:hyperlink w:anchor="_Toc121217221" w:history="1">
            <w:r w:rsidR="00657BD0" w:rsidRPr="002E5F0A">
              <w:rPr>
                <w:rStyle w:val="Hyperlink"/>
                <w:rFonts w:ascii="Arial" w:hAnsi="Arial" w:cs="Arial"/>
                <w:b w:val="0"/>
                <w:bCs w:val="0"/>
                <w:noProof/>
              </w:rPr>
              <w:t>CHAPTER 1 - INTRODUCTION</w:t>
            </w:r>
            <w:r w:rsidR="00657BD0" w:rsidRPr="002E5F0A">
              <w:rPr>
                <w:rFonts w:ascii="Arial" w:hAnsi="Arial" w:cs="Arial"/>
                <w:b w:val="0"/>
                <w:bCs w:val="0"/>
                <w:noProof/>
                <w:webHidden/>
              </w:rPr>
              <w:tab/>
            </w:r>
            <w:r w:rsidR="00657BD0" w:rsidRPr="002E5F0A">
              <w:rPr>
                <w:rFonts w:ascii="Arial" w:hAnsi="Arial" w:cs="Arial"/>
                <w:b w:val="0"/>
                <w:bCs w:val="0"/>
                <w:noProof/>
                <w:webHidden/>
              </w:rPr>
              <w:fldChar w:fldCharType="begin"/>
            </w:r>
            <w:r w:rsidR="00657BD0" w:rsidRPr="002E5F0A">
              <w:rPr>
                <w:rFonts w:ascii="Arial" w:hAnsi="Arial" w:cs="Arial"/>
                <w:b w:val="0"/>
                <w:bCs w:val="0"/>
                <w:noProof/>
                <w:webHidden/>
              </w:rPr>
              <w:instrText xml:space="preserve"> PAGEREF _Toc121217221 \h </w:instrText>
            </w:r>
            <w:r w:rsidR="00657BD0" w:rsidRPr="002E5F0A">
              <w:rPr>
                <w:rFonts w:ascii="Arial" w:hAnsi="Arial" w:cs="Arial"/>
                <w:b w:val="0"/>
                <w:bCs w:val="0"/>
                <w:noProof/>
                <w:webHidden/>
              </w:rPr>
            </w:r>
            <w:r w:rsidR="00657BD0" w:rsidRPr="002E5F0A">
              <w:rPr>
                <w:rFonts w:ascii="Arial" w:hAnsi="Arial" w:cs="Arial"/>
                <w:b w:val="0"/>
                <w:bCs w:val="0"/>
                <w:noProof/>
                <w:webHidden/>
              </w:rPr>
              <w:fldChar w:fldCharType="separate"/>
            </w:r>
            <w:r w:rsidR="002C4B25">
              <w:rPr>
                <w:rFonts w:ascii="Arial" w:hAnsi="Arial" w:cs="Arial"/>
                <w:b w:val="0"/>
                <w:bCs w:val="0"/>
                <w:noProof/>
                <w:webHidden/>
              </w:rPr>
              <w:t>1</w:t>
            </w:r>
            <w:r w:rsidR="00657BD0" w:rsidRPr="002E5F0A">
              <w:rPr>
                <w:rFonts w:ascii="Arial" w:hAnsi="Arial" w:cs="Arial"/>
                <w:b w:val="0"/>
                <w:bCs w:val="0"/>
                <w:noProof/>
                <w:webHidden/>
              </w:rPr>
              <w:fldChar w:fldCharType="end"/>
            </w:r>
          </w:hyperlink>
        </w:p>
        <w:p w14:paraId="523088D5" w14:textId="19ACE722"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222" w:history="1">
            <w:r w:rsidR="00657BD0" w:rsidRPr="002E5F0A">
              <w:rPr>
                <w:rStyle w:val="Hyperlink"/>
                <w:rFonts w:ascii="Arial" w:hAnsi="Arial" w:cs="Arial"/>
                <w:b w:val="0"/>
                <w:bCs w:val="0"/>
                <w:noProof/>
                <w:sz w:val="24"/>
                <w:szCs w:val="24"/>
              </w:rPr>
              <w:t>1.1 The cell and its plasma membrane</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_Toc121217222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w:t>
            </w:r>
            <w:r w:rsidR="00657BD0" w:rsidRPr="002E5F0A">
              <w:rPr>
                <w:rFonts w:ascii="Arial" w:hAnsi="Arial" w:cs="Arial"/>
                <w:b w:val="0"/>
                <w:bCs w:val="0"/>
                <w:noProof/>
                <w:webHidden/>
                <w:sz w:val="24"/>
                <w:szCs w:val="24"/>
              </w:rPr>
              <w:fldChar w:fldCharType="end"/>
            </w:r>
          </w:hyperlink>
        </w:p>
        <w:p w14:paraId="2AFE28E0" w14:textId="3CBE5870"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23" w:history="1">
            <w:r w:rsidR="00657BD0" w:rsidRPr="002E5F0A">
              <w:rPr>
                <w:rStyle w:val="Hyperlink"/>
                <w:rFonts w:ascii="Arial" w:hAnsi="Arial" w:cs="Arial"/>
                <w:noProof/>
                <w:sz w:val="24"/>
                <w:szCs w:val="24"/>
              </w:rPr>
              <w:t>1.1.1 Plasma membrane asymmetry: the default state of cells</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_Toc121217223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4</w:t>
            </w:r>
            <w:r w:rsidR="00657BD0" w:rsidRPr="002E5F0A">
              <w:rPr>
                <w:rFonts w:ascii="Arial" w:hAnsi="Arial" w:cs="Arial"/>
                <w:noProof/>
                <w:webHidden/>
                <w:sz w:val="24"/>
                <w:szCs w:val="24"/>
              </w:rPr>
              <w:fldChar w:fldCharType="end"/>
            </w:r>
          </w:hyperlink>
        </w:p>
        <w:p w14:paraId="7372D684" w14:textId="3BF457DC"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24" w:history="1">
            <w:r w:rsidR="00657BD0" w:rsidRPr="002E5F0A">
              <w:rPr>
                <w:rStyle w:val="Hyperlink"/>
                <w:rFonts w:ascii="Arial" w:hAnsi="Arial" w:cs="Arial"/>
                <w:noProof/>
                <w:sz w:val="24"/>
                <w:szCs w:val="24"/>
              </w:rPr>
              <w:t>1.1.2 Scramblase Activation and Phosphatidylserine Exposure</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_Toc121217224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8</w:t>
            </w:r>
            <w:r w:rsidR="00657BD0" w:rsidRPr="002E5F0A">
              <w:rPr>
                <w:rFonts w:ascii="Arial" w:hAnsi="Arial" w:cs="Arial"/>
                <w:noProof/>
                <w:webHidden/>
                <w:sz w:val="24"/>
                <w:szCs w:val="24"/>
              </w:rPr>
              <w:fldChar w:fldCharType="end"/>
            </w:r>
          </w:hyperlink>
        </w:p>
        <w:p w14:paraId="179C6830" w14:textId="299D32DB"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25" w:history="1">
            <w:r w:rsidR="00657BD0" w:rsidRPr="002E5F0A">
              <w:rPr>
                <w:rStyle w:val="Hyperlink"/>
                <w:rFonts w:ascii="Arial" w:hAnsi="Arial" w:cs="Arial"/>
                <w:noProof/>
                <w:sz w:val="24"/>
                <w:szCs w:val="24"/>
              </w:rPr>
              <w:t>1.1.3 PS externalization on cancer cells and tumor vasculature</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_Toc121217225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12</w:t>
            </w:r>
            <w:r w:rsidR="00657BD0" w:rsidRPr="002E5F0A">
              <w:rPr>
                <w:rFonts w:ascii="Arial" w:hAnsi="Arial" w:cs="Arial"/>
                <w:noProof/>
                <w:webHidden/>
                <w:sz w:val="24"/>
                <w:szCs w:val="24"/>
              </w:rPr>
              <w:fldChar w:fldCharType="end"/>
            </w:r>
          </w:hyperlink>
        </w:p>
        <w:p w14:paraId="6655B202" w14:textId="4877523B"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226" w:history="1">
            <w:r w:rsidR="00657BD0" w:rsidRPr="002E5F0A">
              <w:rPr>
                <w:rStyle w:val="Hyperlink"/>
                <w:rFonts w:ascii="Arial" w:hAnsi="Arial" w:cs="Arial"/>
                <w:b w:val="0"/>
                <w:bCs w:val="0"/>
                <w:noProof/>
                <w:sz w:val="24"/>
                <w:szCs w:val="24"/>
              </w:rPr>
              <w:t>1.2 Annexin A5 binds to externalized phosphatidylserine</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_Toc121217226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14</w:t>
            </w:r>
            <w:r w:rsidR="00657BD0" w:rsidRPr="002E5F0A">
              <w:rPr>
                <w:rFonts w:ascii="Arial" w:hAnsi="Arial" w:cs="Arial"/>
                <w:b w:val="0"/>
                <w:bCs w:val="0"/>
                <w:noProof/>
                <w:webHidden/>
                <w:sz w:val="24"/>
                <w:szCs w:val="24"/>
              </w:rPr>
              <w:fldChar w:fldCharType="end"/>
            </w:r>
          </w:hyperlink>
        </w:p>
        <w:p w14:paraId="009AD5E4" w14:textId="53A0934F"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227" w:history="1">
            <w:r w:rsidR="00657BD0" w:rsidRPr="002E5F0A">
              <w:rPr>
                <w:rStyle w:val="Hyperlink"/>
                <w:rFonts w:ascii="Arial" w:hAnsi="Arial" w:cs="Arial"/>
                <w:b w:val="0"/>
                <w:bCs w:val="0"/>
                <w:noProof/>
                <w:sz w:val="24"/>
                <w:szCs w:val="24"/>
              </w:rPr>
              <w:t>1.3. Perspectives on Cancer</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_Toc121217227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20</w:t>
            </w:r>
            <w:r w:rsidR="00657BD0" w:rsidRPr="002E5F0A">
              <w:rPr>
                <w:rFonts w:ascii="Arial" w:hAnsi="Arial" w:cs="Arial"/>
                <w:b w:val="0"/>
                <w:bCs w:val="0"/>
                <w:noProof/>
                <w:webHidden/>
                <w:sz w:val="24"/>
                <w:szCs w:val="24"/>
              </w:rPr>
              <w:fldChar w:fldCharType="end"/>
            </w:r>
          </w:hyperlink>
        </w:p>
        <w:p w14:paraId="4F0C332A" w14:textId="034EF2B8"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28" w:history="1">
            <w:r w:rsidR="00657BD0" w:rsidRPr="002E5F0A">
              <w:rPr>
                <w:rStyle w:val="Hyperlink"/>
                <w:rFonts w:ascii="Arial" w:hAnsi="Arial" w:cs="Arial"/>
                <w:noProof/>
                <w:sz w:val="24"/>
                <w:szCs w:val="24"/>
              </w:rPr>
              <w:t>1.3.1 Cancer and its relevance worldwide</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_Toc121217228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20</w:t>
            </w:r>
            <w:r w:rsidR="00657BD0" w:rsidRPr="002E5F0A">
              <w:rPr>
                <w:rFonts w:ascii="Arial" w:hAnsi="Arial" w:cs="Arial"/>
                <w:noProof/>
                <w:webHidden/>
                <w:sz w:val="24"/>
                <w:szCs w:val="24"/>
              </w:rPr>
              <w:fldChar w:fldCharType="end"/>
            </w:r>
          </w:hyperlink>
        </w:p>
        <w:p w14:paraId="2213B9F6" w14:textId="60F8A027"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29" w:history="1">
            <w:r w:rsidR="00657BD0" w:rsidRPr="002E5F0A">
              <w:rPr>
                <w:rStyle w:val="Hyperlink"/>
                <w:rFonts w:ascii="Arial" w:hAnsi="Arial" w:cs="Arial"/>
                <w:noProof/>
                <w:sz w:val="24"/>
                <w:szCs w:val="24"/>
              </w:rPr>
              <w:t>1.3.2 What’s cancer? The hallmarks</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_Toc121217229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21</w:t>
            </w:r>
            <w:r w:rsidR="00657BD0" w:rsidRPr="002E5F0A">
              <w:rPr>
                <w:rFonts w:ascii="Arial" w:hAnsi="Arial" w:cs="Arial"/>
                <w:noProof/>
                <w:webHidden/>
                <w:sz w:val="24"/>
                <w:szCs w:val="24"/>
              </w:rPr>
              <w:fldChar w:fldCharType="end"/>
            </w:r>
          </w:hyperlink>
        </w:p>
        <w:p w14:paraId="69D1E04A" w14:textId="4D0E390B"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30" w:history="1">
            <w:r w:rsidR="00657BD0" w:rsidRPr="002E5F0A">
              <w:rPr>
                <w:rStyle w:val="Hyperlink"/>
                <w:rFonts w:ascii="Arial" w:hAnsi="Arial" w:cs="Arial"/>
                <w:noProof/>
                <w:sz w:val="24"/>
                <w:szCs w:val="24"/>
              </w:rPr>
              <w:t>1.3.3 Breast cancer</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_Toc121217230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29</w:t>
            </w:r>
            <w:r w:rsidR="00657BD0" w:rsidRPr="002E5F0A">
              <w:rPr>
                <w:rFonts w:ascii="Arial" w:hAnsi="Arial" w:cs="Arial"/>
                <w:noProof/>
                <w:webHidden/>
                <w:sz w:val="24"/>
                <w:szCs w:val="24"/>
              </w:rPr>
              <w:fldChar w:fldCharType="end"/>
            </w:r>
          </w:hyperlink>
        </w:p>
        <w:p w14:paraId="3396737D" w14:textId="1F315468"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31" w:history="1">
            <w:r w:rsidR="00657BD0" w:rsidRPr="002E5F0A">
              <w:rPr>
                <w:rStyle w:val="Hyperlink"/>
                <w:rFonts w:ascii="Arial" w:hAnsi="Arial" w:cs="Arial"/>
                <w:noProof/>
                <w:sz w:val="24"/>
                <w:szCs w:val="24"/>
              </w:rPr>
              <w:t>1.3.4 Breast cancer classifications and available therapies</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_Toc121217231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30</w:t>
            </w:r>
            <w:r w:rsidR="00657BD0" w:rsidRPr="002E5F0A">
              <w:rPr>
                <w:rFonts w:ascii="Arial" w:hAnsi="Arial" w:cs="Arial"/>
                <w:noProof/>
                <w:webHidden/>
                <w:sz w:val="24"/>
                <w:szCs w:val="24"/>
              </w:rPr>
              <w:fldChar w:fldCharType="end"/>
            </w:r>
          </w:hyperlink>
        </w:p>
        <w:p w14:paraId="2DD95EE0" w14:textId="3D148196"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32" w:history="1">
            <w:r w:rsidR="00657BD0" w:rsidRPr="002E5F0A">
              <w:rPr>
                <w:rStyle w:val="Hyperlink"/>
                <w:rFonts w:ascii="Arial" w:hAnsi="Arial" w:cs="Arial"/>
                <w:noProof/>
                <w:sz w:val="24"/>
                <w:szCs w:val="24"/>
              </w:rPr>
              <w:t>1.3.5 Triple negative breast cancer</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_Toc121217232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36</w:t>
            </w:r>
            <w:r w:rsidR="00657BD0" w:rsidRPr="002E5F0A">
              <w:rPr>
                <w:rFonts w:ascii="Arial" w:hAnsi="Arial" w:cs="Arial"/>
                <w:noProof/>
                <w:webHidden/>
                <w:sz w:val="24"/>
                <w:szCs w:val="24"/>
              </w:rPr>
              <w:fldChar w:fldCharType="end"/>
            </w:r>
          </w:hyperlink>
        </w:p>
        <w:p w14:paraId="07197066" w14:textId="0D89725F"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233" w:history="1">
            <w:r w:rsidR="00657BD0" w:rsidRPr="002E5F0A">
              <w:rPr>
                <w:rStyle w:val="Hyperlink"/>
                <w:rFonts w:ascii="Arial" w:hAnsi="Arial" w:cs="Arial"/>
                <w:b w:val="0"/>
                <w:bCs w:val="0"/>
                <w:noProof/>
                <w:sz w:val="24"/>
                <w:szCs w:val="24"/>
              </w:rPr>
              <w:t>1.4 Novel strategies for cancer treatment</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_Toc121217233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41</w:t>
            </w:r>
            <w:r w:rsidR="00657BD0" w:rsidRPr="002E5F0A">
              <w:rPr>
                <w:rFonts w:ascii="Arial" w:hAnsi="Arial" w:cs="Arial"/>
                <w:b w:val="0"/>
                <w:bCs w:val="0"/>
                <w:noProof/>
                <w:webHidden/>
                <w:sz w:val="24"/>
                <w:szCs w:val="24"/>
              </w:rPr>
              <w:fldChar w:fldCharType="end"/>
            </w:r>
          </w:hyperlink>
        </w:p>
        <w:p w14:paraId="75F9B54B" w14:textId="1D9DD8A9"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34" w:history="1">
            <w:r w:rsidR="00657BD0" w:rsidRPr="002E5F0A">
              <w:rPr>
                <w:rStyle w:val="Hyperlink"/>
                <w:rFonts w:ascii="Arial" w:hAnsi="Arial" w:cs="Arial"/>
                <w:noProof/>
                <w:sz w:val="24"/>
                <w:szCs w:val="24"/>
              </w:rPr>
              <w:t>1.4.1 Photothermal therapy</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_Toc121217234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41</w:t>
            </w:r>
            <w:r w:rsidR="00657BD0" w:rsidRPr="002E5F0A">
              <w:rPr>
                <w:rFonts w:ascii="Arial" w:hAnsi="Arial" w:cs="Arial"/>
                <w:noProof/>
                <w:webHidden/>
                <w:sz w:val="24"/>
                <w:szCs w:val="24"/>
              </w:rPr>
              <w:fldChar w:fldCharType="end"/>
            </w:r>
          </w:hyperlink>
        </w:p>
        <w:p w14:paraId="07ACFFF3" w14:textId="0EF57AED"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35" w:history="1">
            <w:r w:rsidR="00657BD0" w:rsidRPr="002E5F0A">
              <w:rPr>
                <w:rStyle w:val="Hyperlink"/>
                <w:rFonts w:ascii="Arial" w:hAnsi="Arial" w:cs="Arial"/>
                <w:noProof/>
                <w:sz w:val="24"/>
                <w:szCs w:val="24"/>
              </w:rPr>
              <w:t>1.4.2 Immunotherapy</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_Toc121217235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49</w:t>
            </w:r>
            <w:r w:rsidR="00657BD0" w:rsidRPr="002E5F0A">
              <w:rPr>
                <w:rFonts w:ascii="Arial" w:hAnsi="Arial" w:cs="Arial"/>
                <w:noProof/>
                <w:webHidden/>
                <w:sz w:val="24"/>
                <w:szCs w:val="24"/>
              </w:rPr>
              <w:fldChar w:fldCharType="end"/>
            </w:r>
          </w:hyperlink>
        </w:p>
        <w:p w14:paraId="12E3D0F1" w14:textId="26BEBA20"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36" w:history="1">
            <w:r w:rsidR="00657BD0" w:rsidRPr="002E5F0A">
              <w:rPr>
                <w:rStyle w:val="Hyperlink"/>
                <w:rFonts w:ascii="Arial" w:hAnsi="Arial" w:cs="Arial"/>
                <w:noProof/>
                <w:sz w:val="24"/>
                <w:szCs w:val="24"/>
              </w:rPr>
              <w:t>1.4.4 Radiofrequency ablation</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_Toc121217236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53</w:t>
            </w:r>
            <w:r w:rsidR="00657BD0" w:rsidRPr="002E5F0A">
              <w:rPr>
                <w:rFonts w:ascii="Arial" w:hAnsi="Arial" w:cs="Arial"/>
                <w:noProof/>
                <w:webHidden/>
                <w:sz w:val="24"/>
                <w:szCs w:val="24"/>
              </w:rPr>
              <w:fldChar w:fldCharType="end"/>
            </w:r>
          </w:hyperlink>
        </w:p>
        <w:p w14:paraId="48D361DA" w14:textId="0B0FDBD8"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37" w:history="1">
            <w:r w:rsidR="00657BD0" w:rsidRPr="002E5F0A">
              <w:rPr>
                <w:rStyle w:val="Hyperlink"/>
                <w:rFonts w:ascii="Arial" w:hAnsi="Arial" w:cs="Arial"/>
                <w:noProof/>
                <w:sz w:val="24"/>
                <w:szCs w:val="24"/>
              </w:rPr>
              <w:t>1.4.5 Targeted single-walled carbon nanotubes as photosensitizer and radiofrequency responsive material</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_Toc121217237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55</w:t>
            </w:r>
            <w:r w:rsidR="00657BD0" w:rsidRPr="002E5F0A">
              <w:rPr>
                <w:rFonts w:ascii="Arial" w:hAnsi="Arial" w:cs="Arial"/>
                <w:noProof/>
                <w:webHidden/>
                <w:sz w:val="24"/>
                <w:szCs w:val="24"/>
              </w:rPr>
              <w:fldChar w:fldCharType="end"/>
            </w:r>
          </w:hyperlink>
        </w:p>
        <w:p w14:paraId="705DB9CA" w14:textId="74E4ADD3"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38" w:history="1">
            <w:r w:rsidR="00657BD0" w:rsidRPr="002E5F0A">
              <w:rPr>
                <w:rStyle w:val="Hyperlink"/>
                <w:rFonts w:ascii="Arial" w:hAnsi="Arial" w:cs="Arial"/>
                <w:noProof/>
                <w:sz w:val="24"/>
                <w:szCs w:val="24"/>
              </w:rPr>
              <w:t>1.4.6 Theranostic platform composed of protein-drug conjugate linked to gold nanoparticles</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_Toc121217238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58</w:t>
            </w:r>
            <w:r w:rsidR="00657BD0" w:rsidRPr="002E5F0A">
              <w:rPr>
                <w:rFonts w:ascii="Arial" w:hAnsi="Arial" w:cs="Arial"/>
                <w:noProof/>
                <w:webHidden/>
                <w:sz w:val="24"/>
                <w:szCs w:val="24"/>
              </w:rPr>
              <w:fldChar w:fldCharType="end"/>
            </w:r>
          </w:hyperlink>
        </w:p>
        <w:p w14:paraId="56AD732B" w14:textId="4580FC4F" w:rsidR="00657BD0" w:rsidRPr="002E5F0A" w:rsidRDefault="00DE0DE2" w:rsidP="002E5F0A">
          <w:pPr>
            <w:pStyle w:val="TOC1"/>
            <w:tabs>
              <w:tab w:val="right" w:leader="hyphen" w:pos="9350"/>
            </w:tabs>
            <w:spacing w:line="360" w:lineRule="auto"/>
            <w:rPr>
              <w:rFonts w:ascii="Arial" w:eastAsiaTheme="minorEastAsia" w:hAnsi="Arial" w:cs="Arial"/>
              <w:b w:val="0"/>
              <w:bCs w:val="0"/>
              <w:i w:val="0"/>
              <w:iCs w:val="0"/>
              <w:noProof/>
            </w:rPr>
          </w:pPr>
          <w:hyperlink w:anchor="_Toc121217239" w:history="1">
            <w:r w:rsidR="00657BD0" w:rsidRPr="002E5F0A">
              <w:rPr>
                <w:rStyle w:val="Hyperlink"/>
                <w:rFonts w:ascii="Arial" w:hAnsi="Arial" w:cs="Arial"/>
                <w:b w:val="0"/>
                <w:bCs w:val="0"/>
                <w:noProof/>
              </w:rPr>
              <w:t>CHAPTER 2 - MATERIALS AND METHODS</w:t>
            </w:r>
            <w:r w:rsidR="00657BD0" w:rsidRPr="002E5F0A">
              <w:rPr>
                <w:rFonts w:ascii="Arial" w:hAnsi="Arial" w:cs="Arial"/>
                <w:b w:val="0"/>
                <w:bCs w:val="0"/>
                <w:noProof/>
                <w:webHidden/>
              </w:rPr>
              <w:tab/>
            </w:r>
            <w:r w:rsidR="00657BD0" w:rsidRPr="002E5F0A">
              <w:rPr>
                <w:rFonts w:ascii="Arial" w:hAnsi="Arial" w:cs="Arial"/>
                <w:b w:val="0"/>
                <w:bCs w:val="0"/>
                <w:noProof/>
                <w:webHidden/>
              </w:rPr>
              <w:fldChar w:fldCharType="begin"/>
            </w:r>
            <w:r w:rsidR="00657BD0" w:rsidRPr="002E5F0A">
              <w:rPr>
                <w:rFonts w:ascii="Arial" w:hAnsi="Arial" w:cs="Arial"/>
                <w:b w:val="0"/>
                <w:bCs w:val="0"/>
                <w:noProof/>
                <w:webHidden/>
              </w:rPr>
              <w:instrText xml:space="preserve"> PAGEREF _Toc121217239 \h </w:instrText>
            </w:r>
            <w:r w:rsidR="00657BD0" w:rsidRPr="002E5F0A">
              <w:rPr>
                <w:rFonts w:ascii="Arial" w:hAnsi="Arial" w:cs="Arial"/>
                <w:b w:val="0"/>
                <w:bCs w:val="0"/>
                <w:noProof/>
                <w:webHidden/>
              </w:rPr>
            </w:r>
            <w:r w:rsidR="00657BD0" w:rsidRPr="002E5F0A">
              <w:rPr>
                <w:rFonts w:ascii="Arial" w:hAnsi="Arial" w:cs="Arial"/>
                <w:b w:val="0"/>
                <w:bCs w:val="0"/>
                <w:noProof/>
                <w:webHidden/>
              </w:rPr>
              <w:fldChar w:fldCharType="separate"/>
            </w:r>
            <w:r w:rsidR="002C4B25">
              <w:rPr>
                <w:rFonts w:ascii="Arial" w:hAnsi="Arial" w:cs="Arial"/>
                <w:b w:val="0"/>
                <w:bCs w:val="0"/>
                <w:noProof/>
                <w:webHidden/>
              </w:rPr>
              <w:t>62</w:t>
            </w:r>
            <w:r w:rsidR="00657BD0" w:rsidRPr="002E5F0A">
              <w:rPr>
                <w:rFonts w:ascii="Arial" w:hAnsi="Arial" w:cs="Arial"/>
                <w:b w:val="0"/>
                <w:bCs w:val="0"/>
                <w:noProof/>
                <w:webHidden/>
              </w:rPr>
              <w:fldChar w:fldCharType="end"/>
            </w:r>
          </w:hyperlink>
        </w:p>
        <w:p w14:paraId="57280AF7" w14:textId="6E1265B9"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240" w:history="1">
            <w:r w:rsidR="00657BD0" w:rsidRPr="002E5F0A">
              <w:rPr>
                <w:rStyle w:val="Hyperlink"/>
                <w:rFonts w:ascii="Arial" w:hAnsi="Arial" w:cs="Arial"/>
                <w:b w:val="0"/>
                <w:bCs w:val="0"/>
                <w:noProof/>
                <w:sz w:val="24"/>
                <w:szCs w:val="24"/>
              </w:rPr>
              <w:t>2.1 Materials</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_Toc121217240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63</w:t>
            </w:r>
            <w:r w:rsidR="00657BD0" w:rsidRPr="002E5F0A">
              <w:rPr>
                <w:rFonts w:ascii="Arial" w:hAnsi="Arial" w:cs="Arial"/>
                <w:b w:val="0"/>
                <w:bCs w:val="0"/>
                <w:noProof/>
                <w:webHidden/>
                <w:sz w:val="24"/>
                <w:szCs w:val="24"/>
              </w:rPr>
              <w:fldChar w:fldCharType="end"/>
            </w:r>
          </w:hyperlink>
        </w:p>
        <w:p w14:paraId="36399779" w14:textId="60070236"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41" w:history="1">
            <w:r w:rsidR="00657BD0" w:rsidRPr="002E5F0A">
              <w:rPr>
                <w:rStyle w:val="Hyperlink"/>
                <w:rFonts w:ascii="Arial" w:hAnsi="Arial" w:cs="Arial"/>
                <w:noProof/>
                <w:sz w:val="24"/>
                <w:szCs w:val="24"/>
              </w:rPr>
              <w:t>2.1.1 Protein production and purification</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_Toc121217241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63</w:t>
            </w:r>
            <w:r w:rsidR="00657BD0" w:rsidRPr="002E5F0A">
              <w:rPr>
                <w:rFonts w:ascii="Arial" w:hAnsi="Arial" w:cs="Arial"/>
                <w:noProof/>
                <w:webHidden/>
                <w:sz w:val="24"/>
                <w:szCs w:val="24"/>
              </w:rPr>
              <w:fldChar w:fldCharType="end"/>
            </w:r>
          </w:hyperlink>
        </w:p>
        <w:p w14:paraId="5A74CC74" w14:textId="1E970C60"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42" w:history="1">
            <w:r w:rsidR="00657BD0" w:rsidRPr="002E5F0A">
              <w:rPr>
                <w:rStyle w:val="Hyperlink"/>
                <w:rFonts w:ascii="Arial" w:hAnsi="Arial" w:cs="Arial"/>
                <w:noProof/>
                <w:sz w:val="24"/>
                <w:szCs w:val="24"/>
              </w:rPr>
              <w:t>2.1.2 SWCNT-ANXA5 conjugation</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_Toc121217242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63</w:t>
            </w:r>
            <w:r w:rsidR="00657BD0" w:rsidRPr="002E5F0A">
              <w:rPr>
                <w:rFonts w:ascii="Arial" w:hAnsi="Arial" w:cs="Arial"/>
                <w:noProof/>
                <w:webHidden/>
                <w:sz w:val="24"/>
                <w:szCs w:val="24"/>
              </w:rPr>
              <w:fldChar w:fldCharType="end"/>
            </w:r>
          </w:hyperlink>
        </w:p>
        <w:p w14:paraId="4DD473A1" w14:textId="77B200F5"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43" w:history="1">
            <w:r w:rsidR="00657BD0" w:rsidRPr="002E5F0A">
              <w:rPr>
                <w:rStyle w:val="Hyperlink"/>
                <w:rFonts w:ascii="Arial" w:hAnsi="Arial" w:cs="Arial"/>
                <w:noProof/>
                <w:sz w:val="24"/>
                <w:szCs w:val="24"/>
              </w:rPr>
              <w:t>2.1.3 Cell culture</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_Toc121217243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64</w:t>
            </w:r>
            <w:r w:rsidR="00657BD0" w:rsidRPr="002E5F0A">
              <w:rPr>
                <w:rFonts w:ascii="Arial" w:hAnsi="Arial" w:cs="Arial"/>
                <w:noProof/>
                <w:webHidden/>
                <w:sz w:val="24"/>
                <w:szCs w:val="24"/>
              </w:rPr>
              <w:fldChar w:fldCharType="end"/>
            </w:r>
          </w:hyperlink>
        </w:p>
        <w:p w14:paraId="6A64BA22" w14:textId="3F727C35"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44" w:history="1">
            <w:r w:rsidR="00657BD0" w:rsidRPr="002E5F0A">
              <w:rPr>
                <w:rStyle w:val="Hyperlink"/>
                <w:rFonts w:ascii="Arial" w:hAnsi="Arial" w:cs="Arial"/>
                <w:noProof/>
                <w:sz w:val="24"/>
                <w:szCs w:val="24"/>
              </w:rPr>
              <w:t xml:space="preserve">2.1.4 </w:t>
            </w:r>
            <w:r w:rsidR="00657BD0" w:rsidRPr="002E5F0A">
              <w:rPr>
                <w:rStyle w:val="Hyperlink"/>
                <w:rFonts w:ascii="Arial" w:hAnsi="Arial" w:cs="Arial"/>
                <w:i/>
                <w:iCs/>
                <w:noProof/>
                <w:sz w:val="24"/>
                <w:szCs w:val="24"/>
              </w:rPr>
              <w:t xml:space="preserve">In vivo </w:t>
            </w:r>
            <w:r w:rsidR="00657BD0" w:rsidRPr="002E5F0A">
              <w:rPr>
                <w:rStyle w:val="Hyperlink"/>
                <w:rFonts w:ascii="Arial" w:hAnsi="Arial" w:cs="Arial"/>
                <w:noProof/>
                <w:sz w:val="24"/>
                <w:szCs w:val="24"/>
              </w:rPr>
              <w:t>studies</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_Toc121217244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64</w:t>
            </w:r>
            <w:r w:rsidR="00657BD0" w:rsidRPr="002E5F0A">
              <w:rPr>
                <w:rFonts w:ascii="Arial" w:hAnsi="Arial" w:cs="Arial"/>
                <w:noProof/>
                <w:webHidden/>
                <w:sz w:val="24"/>
                <w:szCs w:val="24"/>
              </w:rPr>
              <w:fldChar w:fldCharType="end"/>
            </w:r>
          </w:hyperlink>
        </w:p>
        <w:p w14:paraId="3545919B" w14:textId="6460232C"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45" w:history="1">
            <w:r w:rsidR="00657BD0" w:rsidRPr="002E5F0A">
              <w:rPr>
                <w:rStyle w:val="Hyperlink"/>
                <w:rFonts w:ascii="Arial" w:hAnsi="Arial" w:cs="Arial"/>
                <w:noProof/>
                <w:sz w:val="24"/>
                <w:szCs w:val="24"/>
              </w:rPr>
              <w:t>2.1.5 Gold nanoparticle conjugation</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_Toc121217245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64</w:t>
            </w:r>
            <w:r w:rsidR="00657BD0" w:rsidRPr="002E5F0A">
              <w:rPr>
                <w:rFonts w:ascii="Arial" w:hAnsi="Arial" w:cs="Arial"/>
                <w:noProof/>
                <w:webHidden/>
                <w:sz w:val="24"/>
                <w:szCs w:val="24"/>
              </w:rPr>
              <w:fldChar w:fldCharType="end"/>
            </w:r>
          </w:hyperlink>
        </w:p>
        <w:p w14:paraId="48EFA653" w14:textId="3EF5430B"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246" w:history="1">
            <w:r w:rsidR="00657BD0" w:rsidRPr="002E5F0A">
              <w:rPr>
                <w:rStyle w:val="Hyperlink"/>
                <w:rFonts w:ascii="Arial" w:hAnsi="Arial" w:cs="Arial"/>
                <w:b w:val="0"/>
                <w:bCs w:val="0"/>
                <w:noProof/>
                <w:sz w:val="24"/>
                <w:szCs w:val="24"/>
              </w:rPr>
              <w:t>2.2 SWCNT-ANXA5 conjugate</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_Toc121217246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66</w:t>
            </w:r>
            <w:r w:rsidR="00657BD0" w:rsidRPr="002E5F0A">
              <w:rPr>
                <w:rFonts w:ascii="Arial" w:hAnsi="Arial" w:cs="Arial"/>
                <w:b w:val="0"/>
                <w:bCs w:val="0"/>
                <w:noProof/>
                <w:webHidden/>
                <w:sz w:val="24"/>
                <w:szCs w:val="24"/>
              </w:rPr>
              <w:fldChar w:fldCharType="end"/>
            </w:r>
          </w:hyperlink>
        </w:p>
        <w:p w14:paraId="2CCC8EC7" w14:textId="12C6F344"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47" w:history="1">
            <w:r w:rsidR="00657BD0" w:rsidRPr="002E5F0A">
              <w:rPr>
                <w:rStyle w:val="Hyperlink"/>
                <w:rFonts w:ascii="Arial" w:hAnsi="Arial" w:cs="Arial"/>
                <w:noProof/>
                <w:sz w:val="24"/>
                <w:szCs w:val="24"/>
              </w:rPr>
              <w:t>2.2.1 ANXA5 conjugation to SWCNT</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_Toc121217247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66</w:t>
            </w:r>
            <w:r w:rsidR="00657BD0" w:rsidRPr="002E5F0A">
              <w:rPr>
                <w:rFonts w:ascii="Arial" w:hAnsi="Arial" w:cs="Arial"/>
                <w:noProof/>
                <w:webHidden/>
                <w:sz w:val="24"/>
                <w:szCs w:val="24"/>
              </w:rPr>
              <w:fldChar w:fldCharType="end"/>
            </w:r>
          </w:hyperlink>
        </w:p>
        <w:p w14:paraId="3E8E2CDA" w14:textId="43C461CC"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48" w:history="1">
            <w:r w:rsidR="00657BD0" w:rsidRPr="002E5F0A">
              <w:rPr>
                <w:rStyle w:val="Hyperlink"/>
                <w:rFonts w:ascii="Arial" w:hAnsi="Arial" w:cs="Arial"/>
                <w:noProof/>
                <w:sz w:val="24"/>
                <w:szCs w:val="24"/>
              </w:rPr>
              <w:t>2.2.2 SWCNT standard curve</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_Toc121217248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67</w:t>
            </w:r>
            <w:r w:rsidR="00657BD0" w:rsidRPr="002E5F0A">
              <w:rPr>
                <w:rFonts w:ascii="Arial" w:hAnsi="Arial" w:cs="Arial"/>
                <w:noProof/>
                <w:webHidden/>
                <w:sz w:val="24"/>
                <w:szCs w:val="24"/>
              </w:rPr>
              <w:fldChar w:fldCharType="end"/>
            </w:r>
          </w:hyperlink>
        </w:p>
        <w:p w14:paraId="6F5B88C0" w14:textId="7D66AFC5"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49" w:history="1">
            <w:r w:rsidR="00657BD0" w:rsidRPr="002E5F0A">
              <w:rPr>
                <w:rStyle w:val="Hyperlink"/>
                <w:rFonts w:ascii="Arial" w:hAnsi="Arial" w:cs="Arial"/>
                <w:noProof/>
                <w:sz w:val="24"/>
                <w:szCs w:val="24"/>
              </w:rPr>
              <w:t>2.2.3 SWCNT-ANXA5 characterization</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_Toc121217249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67</w:t>
            </w:r>
            <w:r w:rsidR="00657BD0" w:rsidRPr="002E5F0A">
              <w:rPr>
                <w:rFonts w:ascii="Arial" w:hAnsi="Arial" w:cs="Arial"/>
                <w:noProof/>
                <w:webHidden/>
                <w:sz w:val="24"/>
                <w:szCs w:val="24"/>
              </w:rPr>
              <w:fldChar w:fldCharType="end"/>
            </w:r>
          </w:hyperlink>
        </w:p>
        <w:p w14:paraId="259A1A9F" w14:textId="2080400E"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50" w:history="1">
            <w:r w:rsidR="00657BD0" w:rsidRPr="002E5F0A">
              <w:rPr>
                <w:rStyle w:val="Hyperlink"/>
                <w:rFonts w:ascii="Arial" w:hAnsi="Arial" w:cs="Arial"/>
                <w:noProof/>
                <w:sz w:val="24"/>
                <w:szCs w:val="24"/>
              </w:rPr>
              <w:t>2.2.4 SWCNT-ANXA5 sterilization</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_Toc121217250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68</w:t>
            </w:r>
            <w:r w:rsidR="00657BD0" w:rsidRPr="002E5F0A">
              <w:rPr>
                <w:rFonts w:ascii="Arial" w:hAnsi="Arial" w:cs="Arial"/>
                <w:noProof/>
                <w:webHidden/>
                <w:sz w:val="24"/>
                <w:szCs w:val="24"/>
              </w:rPr>
              <w:fldChar w:fldCharType="end"/>
            </w:r>
          </w:hyperlink>
        </w:p>
        <w:p w14:paraId="23FC1CC1" w14:textId="18940145"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251" w:history="1">
            <w:r w:rsidR="00657BD0" w:rsidRPr="002E5F0A">
              <w:rPr>
                <w:rStyle w:val="Hyperlink"/>
                <w:rFonts w:ascii="Arial" w:hAnsi="Arial" w:cs="Arial"/>
                <w:b w:val="0"/>
                <w:bCs w:val="0"/>
                <w:noProof/>
                <w:sz w:val="24"/>
                <w:szCs w:val="24"/>
              </w:rPr>
              <w:t>2.3 Cell culture</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_Toc121217251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68</w:t>
            </w:r>
            <w:r w:rsidR="00657BD0" w:rsidRPr="002E5F0A">
              <w:rPr>
                <w:rFonts w:ascii="Arial" w:hAnsi="Arial" w:cs="Arial"/>
                <w:b w:val="0"/>
                <w:bCs w:val="0"/>
                <w:noProof/>
                <w:webHidden/>
                <w:sz w:val="24"/>
                <w:szCs w:val="24"/>
              </w:rPr>
              <w:fldChar w:fldCharType="end"/>
            </w:r>
          </w:hyperlink>
        </w:p>
        <w:p w14:paraId="19E7ED89" w14:textId="2CDA1D96"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252" w:history="1">
            <w:r w:rsidR="00657BD0" w:rsidRPr="002E5F0A">
              <w:rPr>
                <w:rStyle w:val="Hyperlink"/>
                <w:rFonts w:ascii="Arial" w:hAnsi="Arial" w:cs="Arial"/>
                <w:b w:val="0"/>
                <w:bCs w:val="0"/>
                <w:noProof/>
                <w:sz w:val="24"/>
                <w:szCs w:val="24"/>
              </w:rPr>
              <w:t xml:space="preserve">2.4 </w:t>
            </w:r>
            <w:r w:rsidR="00657BD0" w:rsidRPr="002E5F0A">
              <w:rPr>
                <w:rStyle w:val="Hyperlink"/>
                <w:rFonts w:ascii="Arial" w:hAnsi="Arial" w:cs="Arial"/>
                <w:b w:val="0"/>
                <w:bCs w:val="0"/>
                <w:i/>
                <w:iCs/>
                <w:noProof/>
                <w:sz w:val="24"/>
                <w:szCs w:val="24"/>
              </w:rPr>
              <w:t>In vitro</w:t>
            </w:r>
            <w:r w:rsidR="00657BD0" w:rsidRPr="002E5F0A">
              <w:rPr>
                <w:rStyle w:val="Hyperlink"/>
                <w:rFonts w:ascii="Arial" w:hAnsi="Arial" w:cs="Arial"/>
                <w:b w:val="0"/>
                <w:bCs w:val="0"/>
                <w:noProof/>
                <w:sz w:val="24"/>
                <w:szCs w:val="24"/>
              </w:rPr>
              <w:t xml:space="preserve"> studies with SWCNT-ANXA5-mediated PTT</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_Toc121217252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69</w:t>
            </w:r>
            <w:r w:rsidR="00657BD0" w:rsidRPr="002E5F0A">
              <w:rPr>
                <w:rFonts w:ascii="Arial" w:hAnsi="Arial" w:cs="Arial"/>
                <w:b w:val="0"/>
                <w:bCs w:val="0"/>
                <w:noProof/>
                <w:webHidden/>
                <w:sz w:val="24"/>
                <w:szCs w:val="24"/>
              </w:rPr>
              <w:fldChar w:fldCharType="end"/>
            </w:r>
          </w:hyperlink>
        </w:p>
        <w:p w14:paraId="719056F1" w14:textId="130BD15B"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253" w:history="1">
            <w:r w:rsidR="00657BD0" w:rsidRPr="002E5F0A">
              <w:rPr>
                <w:rStyle w:val="Hyperlink"/>
                <w:rFonts w:ascii="Arial" w:hAnsi="Arial" w:cs="Arial"/>
                <w:b w:val="0"/>
                <w:bCs w:val="0"/>
                <w:noProof/>
                <w:sz w:val="24"/>
                <w:szCs w:val="24"/>
              </w:rPr>
              <w:t xml:space="preserve">2.5 </w:t>
            </w:r>
            <w:r w:rsidR="00657BD0" w:rsidRPr="002E5F0A">
              <w:rPr>
                <w:rStyle w:val="Hyperlink"/>
                <w:rFonts w:ascii="Arial" w:hAnsi="Arial" w:cs="Arial"/>
                <w:b w:val="0"/>
                <w:bCs w:val="0"/>
                <w:i/>
                <w:iCs/>
                <w:noProof/>
                <w:sz w:val="24"/>
                <w:szCs w:val="24"/>
              </w:rPr>
              <w:t>In vivo</w:t>
            </w:r>
            <w:r w:rsidR="00657BD0" w:rsidRPr="002E5F0A">
              <w:rPr>
                <w:rStyle w:val="Hyperlink"/>
                <w:rFonts w:ascii="Arial" w:hAnsi="Arial" w:cs="Arial"/>
                <w:b w:val="0"/>
                <w:bCs w:val="0"/>
                <w:noProof/>
                <w:sz w:val="24"/>
                <w:szCs w:val="24"/>
              </w:rPr>
              <w:t xml:space="preserve"> studies with SWCNT-ANXA5-mediated PTT</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_Toc121217253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71</w:t>
            </w:r>
            <w:r w:rsidR="00657BD0" w:rsidRPr="002E5F0A">
              <w:rPr>
                <w:rFonts w:ascii="Arial" w:hAnsi="Arial" w:cs="Arial"/>
                <w:b w:val="0"/>
                <w:bCs w:val="0"/>
                <w:noProof/>
                <w:webHidden/>
                <w:sz w:val="24"/>
                <w:szCs w:val="24"/>
              </w:rPr>
              <w:fldChar w:fldCharType="end"/>
            </w:r>
          </w:hyperlink>
        </w:p>
        <w:p w14:paraId="496441E7" w14:textId="780ADBF3"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54" w:history="1">
            <w:r w:rsidR="00657BD0" w:rsidRPr="002E5F0A">
              <w:rPr>
                <w:rStyle w:val="Hyperlink"/>
                <w:rFonts w:ascii="Arial" w:hAnsi="Arial" w:cs="Arial"/>
                <w:noProof/>
                <w:sz w:val="24"/>
                <w:szCs w:val="24"/>
              </w:rPr>
              <w:t>2.5.1 Tumor implantation in BALB/cJ mice</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_Toc121217254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71</w:t>
            </w:r>
            <w:r w:rsidR="00657BD0" w:rsidRPr="002E5F0A">
              <w:rPr>
                <w:rFonts w:ascii="Arial" w:hAnsi="Arial" w:cs="Arial"/>
                <w:noProof/>
                <w:webHidden/>
                <w:sz w:val="24"/>
                <w:szCs w:val="24"/>
              </w:rPr>
              <w:fldChar w:fldCharType="end"/>
            </w:r>
          </w:hyperlink>
        </w:p>
        <w:p w14:paraId="2641198E" w14:textId="786BB33A"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55" w:history="1">
            <w:r w:rsidR="00657BD0" w:rsidRPr="002E5F0A">
              <w:rPr>
                <w:rStyle w:val="Hyperlink"/>
                <w:rFonts w:ascii="Arial" w:hAnsi="Arial" w:cs="Arial"/>
                <w:noProof/>
                <w:sz w:val="24"/>
                <w:szCs w:val="24"/>
              </w:rPr>
              <w:t>2.5.2 Mice health and tumor volume assessment</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_Toc121217255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72</w:t>
            </w:r>
            <w:r w:rsidR="00657BD0" w:rsidRPr="002E5F0A">
              <w:rPr>
                <w:rFonts w:ascii="Arial" w:hAnsi="Arial" w:cs="Arial"/>
                <w:noProof/>
                <w:webHidden/>
                <w:sz w:val="24"/>
                <w:szCs w:val="24"/>
              </w:rPr>
              <w:fldChar w:fldCharType="end"/>
            </w:r>
          </w:hyperlink>
        </w:p>
        <w:p w14:paraId="2A7E1FE0" w14:textId="45D2D450"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56" w:history="1">
            <w:r w:rsidR="00657BD0" w:rsidRPr="002E5F0A">
              <w:rPr>
                <w:rStyle w:val="Hyperlink"/>
                <w:rFonts w:ascii="Arial" w:hAnsi="Arial" w:cs="Arial"/>
                <w:noProof/>
                <w:sz w:val="24"/>
                <w:szCs w:val="24"/>
              </w:rPr>
              <w:t>2.5.3 Cytokine release in EMT6 tumors treated with combination therapy of PTT and anti-CTLA-4</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_Toc121217256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72</w:t>
            </w:r>
            <w:r w:rsidR="00657BD0" w:rsidRPr="002E5F0A">
              <w:rPr>
                <w:rFonts w:ascii="Arial" w:hAnsi="Arial" w:cs="Arial"/>
                <w:noProof/>
                <w:webHidden/>
                <w:sz w:val="24"/>
                <w:szCs w:val="24"/>
              </w:rPr>
              <w:fldChar w:fldCharType="end"/>
            </w:r>
          </w:hyperlink>
        </w:p>
        <w:p w14:paraId="43998C32" w14:textId="492DB445"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57" w:history="1">
            <w:r w:rsidR="00657BD0" w:rsidRPr="002E5F0A">
              <w:rPr>
                <w:rStyle w:val="Hyperlink"/>
                <w:rFonts w:ascii="Arial" w:hAnsi="Arial" w:cs="Arial"/>
                <w:noProof/>
                <w:sz w:val="24"/>
                <w:szCs w:val="24"/>
              </w:rPr>
              <w:t>2.5.4 Cytokine release related to intravenous versus intratumoral injection in EMT6 tumor bearing mice</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_Toc121217257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73</w:t>
            </w:r>
            <w:r w:rsidR="00657BD0" w:rsidRPr="002E5F0A">
              <w:rPr>
                <w:rFonts w:ascii="Arial" w:hAnsi="Arial" w:cs="Arial"/>
                <w:noProof/>
                <w:webHidden/>
                <w:sz w:val="24"/>
                <w:szCs w:val="24"/>
              </w:rPr>
              <w:fldChar w:fldCharType="end"/>
            </w:r>
          </w:hyperlink>
        </w:p>
        <w:p w14:paraId="74A4405D" w14:textId="62123EFF"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58" w:history="1">
            <w:r w:rsidR="00657BD0" w:rsidRPr="002E5F0A">
              <w:rPr>
                <w:rStyle w:val="Hyperlink"/>
                <w:rFonts w:ascii="Arial" w:hAnsi="Arial" w:cs="Arial"/>
                <w:noProof/>
                <w:sz w:val="24"/>
                <w:szCs w:val="24"/>
              </w:rPr>
              <w:t>2.5.5 Cytokine release related to tumor surface temperature in EMT6 tumor bearing mice</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_Toc121217258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74</w:t>
            </w:r>
            <w:r w:rsidR="00657BD0" w:rsidRPr="002E5F0A">
              <w:rPr>
                <w:rFonts w:ascii="Arial" w:hAnsi="Arial" w:cs="Arial"/>
                <w:noProof/>
                <w:webHidden/>
                <w:sz w:val="24"/>
                <w:szCs w:val="24"/>
              </w:rPr>
              <w:fldChar w:fldCharType="end"/>
            </w:r>
          </w:hyperlink>
        </w:p>
        <w:p w14:paraId="5C4626B2" w14:textId="4C2D0C18"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59" w:history="1">
            <w:r w:rsidR="00657BD0" w:rsidRPr="002E5F0A">
              <w:rPr>
                <w:rStyle w:val="Hyperlink"/>
                <w:rFonts w:ascii="Arial" w:hAnsi="Arial" w:cs="Arial"/>
                <w:noProof/>
                <w:sz w:val="24"/>
                <w:szCs w:val="24"/>
              </w:rPr>
              <w:t>2.5.6 Survival of EMT6 tumor bearing mice in combination therapy of PTT at 45</w:t>
            </w:r>
            <w:r w:rsidR="00657BD0" w:rsidRPr="002E5F0A">
              <w:rPr>
                <w:rStyle w:val="Hyperlink"/>
                <w:rFonts w:ascii="Arial" w:hAnsi="Arial" w:cs="Arial"/>
                <w:noProof/>
                <w:sz w:val="24"/>
                <w:szCs w:val="24"/>
              </w:rPr>
              <w:sym w:font="Symbol" w:char="F0B0"/>
            </w:r>
            <w:r w:rsidR="00657BD0" w:rsidRPr="002E5F0A">
              <w:rPr>
                <w:rStyle w:val="Hyperlink"/>
                <w:rFonts w:ascii="Arial" w:hAnsi="Arial" w:cs="Arial"/>
                <w:noProof/>
                <w:sz w:val="24"/>
                <w:szCs w:val="24"/>
              </w:rPr>
              <w:t>C and anti-PD-1</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_Toc121217259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75</w:t>
            </w:r>
            <w:r w:rsidR="00657BD0" w:rsidRPr="002E5F0A">
              <w:rPr>
                <w:rFonts w:ascii="Arial" w:hAnsi="Arial" w:cs="Arial"/>
                <w:noProof/>
                <w:webHidden/>
                <w:sz w:val="24"/>
                <w:szCs w:val="24"/>
              </w:rPr>
              <w:fldChar w:fldCharType="end"/>
            </w:r>
          </w:hyperlink>
        </w:p>
        <w:p w14:paraId="0A475EB2" w14:textId="66E30E60"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60" w:history="1">
            <w:r w:rsidR="00657BD0" w:rsidRPr="002E5F0A">
              <w:rPr>
                <w:rStyle w:val="Hyperlink"/>
                <w:rFonts w:ascii="Arial" w:hAnsi="Arial" w:cs="Arial"/>
                <w:noProof/>
                <w:sz w:val="24"/>
                <w:szCs w:val="24"/>
              </w:rPr>
              <w:t>2.5.7 Immune response of in combination therapy of PTT at 45</w:t>
            </w:r>
            <w:r w:rsidR="00657BD0" w:rsidRPr="002E5F0A">
              <w:rPr>
                <w:rStyle w:val="Hyperlink"/>
                <w:rFonts w:ascii="Arial" w:hAnsi="Arial" w:cs="Arial"/>
                <w:noProof/>
                <w:sz w:val="24"/>
                <w:szCs w:val="24"/>
              </w:rPr>
              <w:sym w:font="Symbol" w:char="F0B0"/>
            </w:r>
            <w:r w:rsidR="00657BD0" w:rsidRPr="002E5F0A">
              <w:rPr>
                <w:rStyle w:val="Hyperlink"/>
                <w:rFonts w:ascii="Arial" w:hAnsi="Arial" w:cs="Arial"/>
                <w:noProof/>
                <w:sz w:val="24"/>
                <w:szCs w:val="24"/>
              </w:rPr>
              <w:t>C and anti-PD-1 in EMT6 tumor-bearing mice.</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_Toc121217260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76</w:t>
            </w:r>
            <w:r w:rsidR="00657BD0" w:rsidRPr="002E5F0A">
              <w:rPr>
                <w:rFonts w:ascii="Arial" w:hAnsi="Arial" w:cs="Arial"/>
                <w:noProof/>
                <w:webHidden/>
                <w:sz w:val="24"/>
                <w:szCs w:val="24"/>
              </w:rPr>
              <w:fldChar w:fldCharType="end"/>
            </w:r>
          </w:hyperlink>
        </w:p>
        <w:p w14:paraId="6F0898F2" w14:textId="602E477D"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61" w:history="1">
            <w:r w:rsidR="00657BD0" w:rsidRPr="002E5F0A">
              <w:rPr>
                <w:rStyle w:val="Hyperlink"/>
                <w:rFonts w:ascii="Arial" w:hAnsi="Arial" w:cs="Arial"/>
                <w:noProof/>
                <w:sz w:val="24"/>
                <w:szCs w:val="24"/>
              </w:rPr>
              <w:t>2.5.8 Tumor control with PTT treatment keeping tumor surface temperature at 45</w:t>
            </w:r>
            <w:r w:rsidR="00657BD0" w:rsidRPr="002E5F0A">
              <w:rPr>
                <w:rStyle w:val="Hyperlink"/>
                <w:rFonts w:ascii="Arial" w:hAnsi="Arial" w:cs="Arial"/>
                <w:noProof/>
                <w:sz w:val="24"/>
                <w:szCs w:val="24"/>
              </w:rPr>
              <w:sym w:font="Symbol" w:char="F0B0"/>
            </w:r>
            <w:r w:rsidR="00657BD0" w:rsidRPr="002E5F0A">
              <w:rPr>
                <w:rStyle w:val="Hyperlink"/>
                <w:rFonts w:ascii="Arial" w:hAnsi="Arial" w:cs="Arial"/>
                <w:noProof/>
                <w:sz w:val="24"/>
                <w:szCs w:val="24"/>
              </w:rPr>
              <w:t>C for longer period of time</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_Toc121217261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78</w:t>
            </w:r>
            <w:r w:rsidR="00657BD0" w:rsidRPr="002E5F0A">
              <w:rPr>
                <w:rFonts w:ascii="Arial" w:hAnsi="Arial" w:cs="Arial"/>
                <w:noProof/>
                <w:webHidden/>
                <w:sz w:val="24"/>
                <w:szCs w:val="24"/>
              </w:rPr>
              <w:fldChar w:fldCharType="end"/>
            </w:r>
          </w:hyperlink>
        </w:p>
        <w:p w14:paraId="37E0644A" w14:textId="4F06768F"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62" w:history="1">
            <w:r w:rsidR="00657BD0" w:rsidRPr="002E5F0A">
              <w:rPr>
                <w:rStyle w:val="Hyperlink"/>
                <w:rFonts w:ascii="Arial" w:hAnsi="Arial" w:cs="Arial"/>
                <w:noProof/>
                <w:sz w:val="24"/>
                <w:szCs w:val="24"/>
              </w:rPr>
              <w:t>2.5.9 Long-term survival of combination therapy of anti-PD-1 and PTT at 45</w:t>
            </w:r>
            <w:r w:rsidR="00657BD0" w:rsidRPr="002E5F0A">
              <w:rPr>
                <w:rStyle w:val="Hyperlink"/>
                <w:rFonts w:ascii="Arial" w:hAnsi="Arial" w:cs="Arial"/>
                <w:noProof/>
                <w:sz w:val="24"/>
                <w:szCs w:val="24"/>
              </w:rPr>
              <w:sym w:font="Symbol" w:char="F0B0"/>
            </w:r>
            <w:r w:rsidR="00657BD0" w:rsidRPr="002E5F0A">
              <w:rPr>
                <w:rStyle w:val="Hyperlink"/>
                <w:rFonts w:ascii="Arial" w:hAnsi="Arial" w:cs="Arial"/>
                <w:noProof/>
                <w:sz w:val="24"/>
                <w:szCs w:val="24"/>
              </w:rPr>
              <w:t>C for 5 min in mice bearing EMT6 and 4T1 tumors</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_Toc121217262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79</w:t>
            </w:r>
            <w:r w:rsidR="00657BD0" w:rsidRPr="002E5F0A">
              <w:rPr>
                <w:rFonts w:ascii="Arial" w:hAnsi="Arial" w:cs="Arial"/>
                <w:noProof/>
                <w:webHidden/>
                <w:sz w:val="24"/>
                <w:szCs w:val="24"/>
              </w:rPr>
              <w:fldChar w:fldCharType="end"/>
            </w:r>
          </w:hyperlink>
        </w:p>
        <w:p w14:paraId="367445C6" w14:textId="66D299A4"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63" w:history="1">
            <w:r w:rsidR="00657BD0" w:rsidRPr="002E5F0A">
              <w:rPr>
                <w:rStyle w:val="Hyperlink"/>
                <w:rFonts w:ascii="Arial" w:hAnsi="Arial" w:cs="Arial"/>
                <w:noProof/>
                <w:sz w:val="24"/>
                <w:szCs w:val="24"/>
              </w:rPr>
              <w:t>2.5.10 Carbon nanotube biodistribution after intratumoral injection SWCNT-ANXA5</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_Toc121217263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80</w:t>
            </w:r>
            <w:r w:rsidR="00657BD0" w:rsidRPr="002E5F0A">
              <w:rPr>
                <w:rFonts w:ascii="Arial" w:hAnsi="Arial" w:cs="Arial"/>
                <w:noProof/>
                <w:webHidden/>
                <w:sz w:val="24"/>
                <w:szCs w:val="24"/>
              </w:rPr>
              <w:fldChar w:fldCharType="end"/>
            </w:r>
          </w:hyperlink>
        </w:p>
        <w:p w14:paraId="25A57D12" w14:textId="66A22CF8"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64" w:history="1">
            <w:r w:rsidR="00657BD0" w:rsidRPr="002E5F0A">
              <w:rPr>
                <w:rStyle w:val="Hyperlink"/>
                <w:rFonts w:ascii="Arial" w:hAnsi="Arial" w:cs="Arial"/>
                <w:noProof/>
                <w:sz w:val="24"/>
                <w:szCs w:val="24"/>
              </w:rPr>
              <w:t>2.5.11 Long-term survival of combination therapy of anti-PD-1, immunoadjuvant imiquimod and PTT in 4T1 tumor-bearing mice</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_Toc121217264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80</w:t>
            </w:r>
            <w:r w:rsidR="00657BD0" w:rsidRPr="002E5F0A">
              <w:rPr>
                <w:rFonts w:ascii="Arial" w:hAnsi="Arial" w:cs="Arial"/>
                <w:noProof/>
                <w:webHidden/>
                <w:sz w:val="24"/>
                <w:szCs w:val="24"/>
              </w:rPr>
              <w:fldChar w:fldCharType="end"/>
            </w:r>
          </w:hyperlink>
        </w:p>
        <w:p w14:paraId="58BBE199" w14:textId="0D4ABDBD"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65" w:history="1">
            <w:r w:rsidR="00657BD0" w:rsidRPr="002E5F0A">
              <w:rPr>
                <w:rStyle w:val="Hyperlink"/>
                <w:rFonts w:ascii="Arial" w:hAnsi="Arial" w:cs="Arial"/>
                <w:noProof/>
                <w:sz w:val="24"/>
                <w:szCs w:val="24"/>
              </w:rPr>
              <w:t>2.5.12 Immune response mechanistic analysis of combination therapy of anti-PD-1, immunoadjuvant imiquimod and PTT in 4T1 tumor-bearing mice</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_Toc121217265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82</w:t>
            </w:r>
            <w:r w:rsidR="00657BD0" w:rsidRPr="002E5F0A">
              <w:rPr>
                <w:rFonts w:ascii="Arial" w:hAnsi="Arial" w:cs="Arial"/>
                <w:noProof/>
                <w:webHidden/>
                <w:sz w:val="24"/>
                <w:szCs w:val="24"/>
              </w:rPr>
              <w:fldChar w:fldCharType="end"/>
            </w:r>
          </w:hyperlink>
        </w:p>
        <w:p w14:paraId="3ACA7E0E" w14:textId="33397F2D"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66" w:history="1">
            <w:r w:rsidR="00657BD0" w:rsidRPr="002E5F0A">
              <w:rPr>
                <w:rStyle w:val="Hyperlink"/>
                <w:rFonts w:ascii="Arial" w:hAnsi="Arial" w:cs="Arial"/>
                <w:noProof/>
                <w:sz w:val="24"/>
                <w:szCs w:val="24"/>
              </w:rPr>
              <w:t>2.5.13 Statistical Analysis</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_Toc121217266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83</w:t>
            </w:r>
            <w:r w:rsidR="00657BD0" w:rsidRPr="002E5F0A">
              <w:rPr>
                <w:rFonts w:ascii="Arial" w:hAnsi="Arial" w:cs="Arial"/>
                <w:noProof/>
                <w:webHidden/>
                <w:sz w:val="24"/>
                <w:szCs w:val="24"/>
              </w:rPr>
              <w:fldChar w:fldCharType="end"/>
            </w:r>
          </w:hyperlink>
        </w:p>
        <w:p w14:paraId="05529FE7" w14:textId="4525B80F"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267" w:history="1">
            <w:r w:rsidR="00657BD0" w:rsidRPr="002E5F0A">
              <w:rPr>
                <w:rStyle w:val="Hyperlink"/>
                <w:rFonts w:ascii="Arial" w:hAnsi="Arial" w:cs="Arial"/>
                <w:b w:val="0"/>
                <w:bCs w:val="0"/>
                <w:noProof/>
                <w:sz w:val="24"/>
                <w:szCs w:val="24"/>
              </w:rPr>
              <w:t xml:space="preserve">2.6 Preliminary, </w:t>
            </w:r>
            <w:r w:rsidR="00657BD0" w:rsidRPr="002E5F0A">
              <w:rPr>
                <w:rStyle w:val="Hyperlink"/>
                <w:rFonts w:ascii="Arial" w:hAnsi="Arial" w:cs="Arial"/>
                <w:b w:val="0"/>
                <w:bCs w:val="0"/>
                <w:i/>
                <w:iCs/>
                <w:noProof/>
                <w:sz w:val="24"/>
                <w:szCs w:val="24"/>
              </w:rPr>
              <w:t xml:space="preserve">in vitro </w:t>
            </w:r>
            <w:r w:rsidR="00657BD0" w:rsidRPr="002E5F0A">
              <w:rPr>
                <w:rStyle w:val="Hyperlink"/>
                <w:rFonts w:ascii="Arial" w:hAnsi="Arial" w:cs="Arial"/>
                <w:b w:val="0"/>
                <w:bCs w:val="0"/>
                <w:noProof/>
                <w:sz w:val="24"/>
                <w:szCs w:val="24"/>
              </w:rPr>
              <w:t>and</w:t>
            </w:r>
            <w:r w:rsidR="00657BD0" w:rsidRPr="002E5F0A">
              <w:rPr>
                <w:rStyle w:val="Hyperlink"/>
                <w:rFonts w:ascii="Arial" w:hAnsi="Arial" w:cs="Arial"/>
                <w:b w:val="0"/>
                <w:bCs w:val="0"/>
                <w:i/>
                <w:iCs/>
                <w:noProof/>
                <w:sz w:val="24"/>
                <w:szCs w:val="24"/>
              </w:rPr>
              <w:t xml:space="preserve"> in vivo</w:t>
            </w:r>
            <w:r w:rsidR="00657BD0" w:rsidRPr="002E5F0A">
              <w:rPr>
                <w:rStyle w:val="Hyperlink"/>
                <w:rFonts w:ascii="Arial" w:hAnsi="Arial" w:cs="Arial"/>
                <w:b w:val="0"/>
                <w:bCs w:val="0"/>
                <w:noProof/>
                <w:sz w:val="24"/>
                <w:szCs w:val="24"/>
              </w:rPr>
              <w:t xml:space="preserve"> studies with SWCNT-ANXA5 mediated radiofrequency ablation</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_Toc121217267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83</w:t>
            </w:r>
            <w:r w:rsidR="00657BD0" w:rsidRPr="002E5F0A">
              <w:rPr>
                <w:rFonts w:ascii="Arial" w:hAnsi="Arial" w:cs="Arial"/>
                <w:b w:val="0"/>
                <w:bCs w:val="0"/>
                <w:noProof/>
                <w:webHidden/>
                <w:sz w:val="24"/>
                <w:szCs w:val="24"/>
              </w:rPr>
              <w:fldChar w:fldCharType="end"/>
            </w:r>
          </w:hyperlink>
        </w:p>
        <w:p w14:paraId="4DCD18F7" w14:textId="1857FA37"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68" w:history="1">
            <w:r w:rsidR="00657BD0" w:rsidRPr="002E5F0A">
              <w:rPr>
                <w:rStyle w:val="Hyperlink"/>
                <w:rFonts w:ascii="Arial" w:hAnsi="Arial" w:cs="Arial"/>
                <w:noProof/>
                <w:sz w:val="24"/>
                <w:szCs w:val="24"/>
              </w:rPr>
              <w:t>2.6.1 Analysis of responsiveness to radiofrequency irradiation of (6,5) SWCNT and few walled carbon nanotubes in different surfactants</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_Toc121217268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83</w:t>
            </w:r>
            <w:r w:rsidR="00657BD0" w:rsidRPr="002E5F0A">
              <w:rPr>
                <w:rFonts w:ascii="Arial" w:hAnsi="Arial" w:cs="Arial"/>
                <w:noProof/>
                <w:webHidden/>
                <w:sz w:val="24"/>
                <w:szCs w:val="24"/>
              </w:rPr>
              <w:fldChar w:fldCharType="end"/>
            </w:r>
          </w:hyperlink>
        </w:p>
        <w:p w14:paraId="50439079" w14:textId="23507ABF"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69" w:history="1">
            <w:r w:rsidR="00657BD0" w:rsidRPr="002E5F0A">
              <w:rPr>
                <w:rStyle w:val="Hyperlink"/>
                <w:rFonts w:ascii="Arial" w:hAnsi="Arial" w:cs="Arial"/>
                <w:noProof/>
                <w:sz w:val="24"/>
                <w:szCs w:val="24"/>
              </w:rPr>
              <w:t>2.6.2 Assessment of surfactant effect on radiofrequency responsivity of (6,5) SWCNT</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_Toc121217269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85</w:t>
            </w:r>
            <w:r w:rsidR="00657BD0" w:rsidRPr="002E5F0A">
              <w:rPr>
                <w:rFonts w:ascii="Arial" w:hAnsi="Arial" w:cs="Arial"/>
                <w:noProof/>
                <w:webHidden/>
                <w:sz w:val="24"/>
                <w:szCs w:val="24"/>
              </w:rPr>
              <w:fldChar w:fldCharType="end"/>
            </w:r>
          </w:hyperlink>
        </w:p>
        <w:p w14:paraId="4B0A5C81" w14:textId="4B025CE2"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70" w:history="1">
            <w:r w:rsidR="00657BD0" w:rsidRPr="002E5F0A">
              <w:rPr>
                <w:rStyle w:val="Hyperlink"/>
                <w:rFonts w:ascii="Arial" w:hAnsi="Arial" w:cs="Arial"/>
                <w:noProof/>
                <w:sz w:val="24"/>
                <w:szCs w:val="24"/>
              </w:rPr>
              <w:t>2.6.3 Analysis of suspension of SWCNT in solvent ethanol</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_Toc121217270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86</w:t>
            </w:r>
            <w:r w:rsidR="00657BD0" w:rsidRPr="002E5F0A">
              <w:rPr>
                <w:rFonts w:ascii="Arial" w:hAnsi="Arial" w:cs="Arial"/>
                <w:noProof/>
                <w:webHidden/>
                <w:sz w:val="24"/>
                <w:szCs w:val="24"/>
              </w:rPr>
              <w:fldChar w:fldCharType="end"/>
            </w:r>
          </w:hyperlink>
        </w:p>
        <w:p w14:paraId="678BA5F1" w14:textId="323079AE"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71" w:history="1">
            <w:r w:rsidR="00657BD0" w:rsidRPr="002E5F0A">
              <w:rPr>
                <w:rStyle w:val="Hyperlink"/>
                <w:rFonts w:ascii="Arial" w:hAnsi="Arial" w:cs="Arial"/>
                <w:noProof/>
                <w:sz w:val="24"/>
                <w:szCs w:val="24"/>
              </w:rPr>
              <w:t>2.6.4 Analysis of SWCNT-ANXA5 response to radiofrequency irradiation</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_Toc121217271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87</w:t>
            </w:r>
            <w:r w:rsidR="00657BD0" w:rsidRPr="002E5F0A">
              <w:rPr>
                <w:rFonts w:ascii="Arial" w:hAnsi="Arial" w:cs="Arial"/>
                <w:noProof/>
                <w:webHidden/>
                <w:sz w:val="24"/>
                <w:szCs w:val="24"/>
              </w:rPr>
              <w:fldChar w:fldCharType="end"/>
            </w:r>
          </w:hyperlink>
        </w:p>
        <w:p w14:paraId="7369E9A9" w14:textId="35499AFA"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72" w:history="1">
            <w:r w:rsidR="00657BD0" w:rsidRPr="002E5F0A">
              <w:rPr>
                <w:rStyle w:val="Hyperlink"/>
                <w:rFonts w:ascii="Arial" w:hAnsi="Arial" w:cs="Arial"/>
                <w:noProof/>
                <w:sz w:val="24"/>
                <w:szCs w:val="24"/>
              </w:rPr>
              <w:t>2.6.5 Assessment of radiofrequency responsivity of CNT samples with different chiralities</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_Toc121217272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87</w:t>
            </w:r>
            <w:r w:rsidR="00657BD0" w:rsidRPr="002E5F0A">
              <w:rPr>
                <w:rFonts w:ascii="Arial" w:hAnsi="Arial" w:cs="Arial"/>
                <w:noProof/>
                <w:webHidden/>
                <w:sz w:val="24"/>
                <w:szCs w:val="24"/>
              </w:rPr>
              <w:fldChar w:fldCharType="end"/>
            </w:r>
          </w:hyperlink>
        </w:p>
        <w:p w14:paraId="4135F3CD" w14:textId="0639910C"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73" w:history="1">
            <w:r w:rsidR="00657BD0" w:rsidRPr="002E5F0A">
              <w:rPr>
                <w:rStyle w:val="Hyperlink"/>
                <w:rFonts w:ascii="Arial" w:hAnsi="Arial" w:cs="Arial"/>
                <w:noProof/>
                <w:sz w:val="24"/>
                <w:szCs w:val="24"/>
              </w:rPr>
              <w:t>2.6.6 Effect of geometry of liquid phase on the responsivity to radiofrequency field</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_Toc121217273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88</w:t>
            </w:r>
            <w:r w:rsidR="00657BD0" w:rsidRPr="002E5F0A">
              <w:rPr>
                <w:rFonts w:ascii="Arial" w:hAnsi="Arial" w:cs="Arial"/>
                <w:noProof/>
                <w:webHidden/>
                <w:sz w:val="24"/>
                <w:szCs w:val="24"/>
              </w:rPr>
              <w:fldChar w:fldCharType="end"/>
            </w:r>
          </w:hyperlink>
        </w:p>
        <w:p w14:paraId="4DD6DF9B" w14:textId="281504B8"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74" w:history="1">
            <w:r w:rsidR="00657BD0" w:rsidRPr="002E5F0A">
              <w:rPr>
                <w:rStyle w:val="Hyperlink"/>
                <w:rFonts w:ascii="Arial" w:hAnsi="Arial" w:cs="Arial"/>
                <w:noProof/>
                <w:sz w:val="24"/>
                <w:szCs w:val="24"/>
              </w:rPr>
              <w:t>2.6.7 Analysis of interface heating and ionization of (6,5) SWCNT in radiofrequency field</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_Toc121217274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89</w:t>
            </w:r>
            <w:r w:rsidR="00657BD0" w:rsidRPr="002E5F0A">
              <w:rPr>
                <w:rFonts w:ascii="Arial" w:hAnsi="Arial" w:cs="Arial"/>
                <w:noProof/>
                <w:webHidden/>
                <w:sz w:val="24"/>
                <w:szCs w:val="24"/>
              </w:rPr>
              <w:fldChar w:fldCharType="end"/>
            </w:r>
          </w:hyperlink>
        </w:p>
        <w:p w14:paraId="474D18DF" w14:textId="6DD47377"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75" w:history="1">
            <w:r w:rsidR="00657BD0" w:rsidRPr="002E5F0A">
              <w:rPr>
                <w:rStyle w:val="Hyperlink"/>
                <w:rFonts w:ascii="Arial" w:hAnsi="Arial" w:cs="Arial"/>
                <w:noProof/>
                <w:sz w:val="24"/>
                <w:szCs w:val="24"/>
              </w:rPr>
              <w:t>2.6.8 Study of resonant frequency of (6,5) SWCNT in radiofrequency field in 15 W power output regenerator coupled with matching network</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_Toc121217275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89</w:t>
            </w:r>
            <w:r w:rsidR="00657BD0" w:rsidRPr="002E5F0A">
              <w:rPr>
                <w:rFonts w:ascii="Arial" w:hAnsi="Arial" w:cs="Arial"/>
                <w:noProof/>
                <w:webHidden/>
                <w:sz w:val="24"/>
                <w:szCs w:val="24"/>
              </w:rPr>
              <w:fldChar w:fldCharType="end"/>
            </w:r>
          </w:hyperlink>
        </w:p>
        <w:p w14:paraId="73BFFB80" w14:textId="672BE81B"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76" w:history="1">
            <w:r w:rsidR="00657BD0" w:rsidRPr="002E5F0A">
              <w:rPr>
                <w:rStyle w:val="Hyperlink"/>
                <w:rFonts w:ascii="Arial" w:hAnsi="Arial" w:cs="Arial"/>
                <w:noProof/>
                <w:sz w:val="24"/>
                <w:szCs w:val="24"/>
              </w:rPr>
              <w:t>2.6.9 Statistical Analysis</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_Toc121217276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90</w:t>
            </w:r>
            <w:r w:rsidR="00657BD0" w:rsidRPr="002E5F0A">
              <w:rPr>
                <w:rFonts w:ascii="Arial" w:hAnsi="Arial" w:cs="Arial"/>
                <w:noProof/>
                <w:webHidden/>
                <w:sz w:val="24"/>
                <w:szCs w:val="24"/>
              </w:rPr>
              <w:fldChar w:fldCharType="end"/>
            </w:r>
          </w:hyperlink>
        </w:p>
        <w:p w14:paraId="27204B32" w14:textId="792A06E4"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277" w:history="1">
            <w:r w:rsidR="00657BD0" w:rsidRPr="002E5F0A">
              <w:rPr>
                <w:rStyle w:val="Hyperlink"/>
                <w:rFonts w:ascii="Arial" w:hAnsi="Arial" w:cs="Arial"/>
                <w:b w:val="0"/>
                <w:bCs w:val="0"/>
                <w:noProof/>
                <w:sz w:val="24"/>
                <w:szCs w:val="24"/>
              </w:rPr>
              <w:t>2.7 Gold nanoparticle – annexin A5 – DM1 conjugate</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_Toc121217277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90</w:t>
            </w:r>
            <w:r w:rsidR="00657BD0" w:rsidRPr="002E5F0A">
              <w:rPr>
                <w:rFonts w:ascii="Arial" w:hAnsi="Arial" w:cs="Arial"/>
                <w:b w:val="0"/>
                <w:bCs w:val="0"/>
                <w:noProof/>
                <w:webHidden/>
                <w:sz w:val="24"/>
                <w:szCs w:val="24"/>
              </w:rPr>
              <w:fldChar w:fldCharType="end"/>
            </w:r>
          </w:hyperlink>
        </w:p>
        <w:p w14:paraId="1CF19402" w14:textId="1E19386B"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78" w:history="1">
            <w:r w:rsidR="00657BD0" w:rsidRPr="002E5F0A">
              <w:rPr>
                <w:rStyle w:val="Hyperlink"/>
                <w:rFonts w:ascii="Arial" w:hAnsi="Arial" w:cs="Arial"/>
                <w:noProof/>
                <w:sz w:val="24"/>
                <w:szCs w:val="24"/>
              </w:rPr>
              <w:t>2.7.1 Conjugation</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_Toc121217278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90</w:t>
            </w:r>
            <w:r w:rsidR="00657BD0" w:rsidRPr="002E5F0A">
              <w:rPr>
                <w:rFonts w:ascii="Arial" w:hAnsi="Arial" w:cs="Arial"/>
                <w:noProof/>
                <w:webHidden/>
                <w:sz w:val="24"/>
                <w:szCs w:val="24"/>
              </w:rPr>
              <w:fldChar w:fldCharType="end"/>
            </w:r>
          </w:hyperlink>
        </w:p>
        <w:p w14:paraId="7AC7D834" w14:textId="40B70A95"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79" w:history="1">
            <w:r w:rsidR="00657BD0" w:rsidRPr="002E5F0A">
              <w:rPr>
                <w:rStyle w:val="Hyperlink"/>
                <w:rFonts w:ascii="Arial" w:hAnsi="Arial" w:cs="Arial"/>
                <w:noProof/>
                <w:sz w:val="24"/>
                <w:szCs w:val="24"/>
              </w:rPr>
              <w:t>2.7.2 Characterization</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_Toc121217279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93</w:t>
            </w:r>
            <w:r w:rsidR="00657BD0" w:rsidRPr="002E5F0A">
              <w:rPr>
                <w:rFonts w:ascii="Arial" w:hAnsi="Arial" w:cs="Arial"/>
                <w:noProof/>
                <w:webHidden/>
                <w:sz w:val="24"/>
                <w:szCs w:val="24"/>
              </w:rPr>
              <w:fldChar w:fldCharType="end"/>
            </w:r>
          </w:hyperlink>
        </w:p>
        <w:p w14:paraId="5FBE4E08" w14:textId="16A39B92"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80" w:history="1">
            <w:r w:rsidR="00657BD0" w:rsidRPr="002E5F0A">
              <w:rPr>
                <w:rStyle w:val="Hyperlink"/>
                <w:rFonts w:ascii="Arial" w:hAnsi="Arial" w:cs="Arial"/>
                <w:noProof/>
                <w:sz w:val="24"/>
                <w:szCs w:val="24"/>
              </w:rPr>
              <w:t xml:space="preserve">2.7.3 </w:t>
            </w:r>
            <w:r w:rsidR="00657BD0" w:rsidRPr="002E5F0A">
              <w:rPr>
                <w:rStyle w:val="Hyperlink"/>
                <w:rFonts w:ascii="Arial" w:hAnsi="Arial" w:cs="Arial"/>
                <w:i/>
                <w:iCs/>
                <w:noProof/>
                <w:sz w:val="24"/>
                <w:szCs w:val="24"/>
              </w:rPr>
              <w:t>In vitro</w:t>
            </w:r>
            <w:r w:rsidR="00657BD0" w:rsidRPr="002E5F0A">
              <w:rPr>
                <w:rStyle w:val="Hyperlink"/>
                <w:rFonts w:ascii="Arial" w:hAnsi="Arial" w:cs="Arial"/>
                <w:noProof/>
                <w:sz w:val="24"/>
                <w:szCs w:val="24"/>
              </w:rPr>
              <w:t xml:space="preserve"> studies</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_Toc121217280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94</w:t>
            </w:r>
            <w:r w:rsidR="00657BD0" w:rsidRPr="002E5F0A">
              <w:rPr>
                <w:rFonts w:ascii="Arial" w:hAnsi="Arial" w:cs="Arial"/>
                <w:noProof/>
                <w:webHidden/>
                <w:sz w:val="24"/>
                <w:szCs w:val="24"/>
              </w:rPr>
              <w:fldChar w:fldCharType="end"/>
            </w:r>
          </w:hyperlink>
        </w:p>
        <w:p w14:paraId="22C46E96" w14:textId="5121075F" w:rsidR="00657BD0" w:rsidRPr="002E5F0A" w:rsidRDefault="00DE0DE2" w:rsidP="002E5F0A">
          <w:pPr>
            <w:pStyle w:val="TOC1"/>
            <w:tabs>
              <w:tab w:val="right" w:leader="hyphen" w:pos="9350"/>
            </w:tabs>
            <w:spacing w:line="360" w:lineRule="auto"/>
            <w:rPr>
              <w:rFonts w:ascii="Arial" w:eastAsiaTheme="minorEastAsia" w:hAnsi="Arial" w:cs="Arial"/>
              <w:b w:val="0"/>
              <w:bCs w:val="0"/>
              <w:i w:val="0"/>
              <w:iCs w:val="0"/>
              <w:noProof/>
            </w:rPr>
          </w:pPr>
          <w:hyperlink w:anchor="_Toc121217281" w:history="1">
            <w:r w:rsidR="00657BD0" w:rsidRPr="002E5F0A">
              <w:rPr>
                <w:rStyle w:val="Hyperlink"/>
                <w:rFonts w:ascii="Arial" w:hAnsi="Arial" w:cs="Arial"/>
                <w:b w:val="0"/>
                <w:bCs w:val="0"/>
                <w:noProof/>
              </w:rPr>
              <w:t>CHAPTER 3 – RESULTS AND DISCUSSION</w:t>
            </w:r>
            <w:r w:rsidR="00657BD0" w:rsidRPr="002E5F0A">
              <w:rPr>
                <w:rFonts w:ascii="Arial" w:hAnsi="Arial" w:cs="Arial"/>
                <w:b w:val="0"/>
                <w:bCs w:val="0"/>
                <w:noProof/>
                <w:webHidden/>
              </w:rPr>
              <w:tab/>
            </w:r>
            <w:r w:rsidR="00657BD0" w:rsidRPr="002E5F0A">
              <w:rPr>
                <w:rFonts w:ascii="Arial" w:hAnsi="Arial" w:cs="Arial"/>
                <w:b w:val="0"/>
                <w:bCs w:val="0"/>
                <w:noProof/>
                <w:webHidden/>
              </w:rPr>
              <w:fldChar w:fldCharType="begin"/>
            </w:r>
            <w:r w:rsidR="00657BD0" w:rsidRPr="002E5F0A">
              <w:rPr>
                <w:rFonts w:ascii="Arial" w:hAnsi="Arial" w:cs="Arial"/>
                <w:b w:val="0"/>
                <w:bCs w:val="0"/>
                <w:noProof/>
                <w:webHidden/>
              </w:rPr>
              <w:instrText xml:space="preserve"> PAGEREF _Toc121217281 \h </w:instrText>
            </w:r>
            <w:r w:rsidR="00657BD0" w:rsidRPr="002E5F0A">
              <w:rPr>
                <w:rFonts w:ascii="Arial" w:hAnsi="Arial" w:cs="Arial"/>
                <w:b w:val="0"/>
                <w:bCs w:val="0"/>
                <w:noProof/>
                <w:webHidden/>
              </w:rPr>
            </w:r>
            <w:r w:rsidR="00657BD0" w:rsidRPr="002E5F0A">
              <w:rPr>
                <w:rFonts w:ascii="Arial" w:hAnsi="Arial" w:cs="Arial"/>
                <w:b w:val="0"/>
                <w:bCs w:val="0"/>
                <w:noProof/>
                <w:webHidden/>
              </w:rPr>
              <w:fldChar w:fldCharType="separate"/>
            </w:r>
            <w:r w:rsidR="002C4B25">
              <w:rPr>
                <w:rFonts w:ascii="Arial" w:hAnsi="Arial" w:cs="Arial"/>
                <w:b w:val="0"/>
                <w:bCs w:val="0"/>
                <w:noProof/>
                <w:webHidden/>
              </w:rPr>
              <w:t>95</w:t>
            </w:r>
            <w:r w:rsidR="00657BD0" w:rsidRPr="002E5F0A">
              <w:rPr>
                <w:rFonts w:ascii="Arial" w:hAnsi="Arial" w:cs="Arial"/>
                <w:b w:val="0"/>
                <w:bCs w:val="0"/>
                <w:noProof/>
                <w:webHidden/>
              </w:rPr>
              <w:fldChar w:fldCharType="end"/>
            </w:r>
          </w:hyperlink>
        </w:p>
        <w:p w14:paraId="64D336A0" w14:textId="45B3BDDC"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282" w:history="1">
            <w:r w:rsidR="00657BD0" w:rsidRPr="002E5F0A">
              <w:rPr>
                <w:rStyle w:val="Hyperlink"/>
                <w:rFonts w:ascii="Arial" w:hAnsi="Arial" w:cs="Arial"/>
                <w:b w:val="0"/>
                <w:bCs w:val="0"/>
                <w:noProof/>
                <w:sz w:val="24"/>
                <w:szCs w:val="24"/>
              </w:rPr>
              <w:t xml:space="preserve">3.1 </w:t>
            </w:r>
            <w:r w:rsidR="00657BD0" w:rsidRPr="002E5F0A">
              <w:rPr>
                <w:rStyle w:val="Hyperlink"/>
                <w:rFonts w:ascii="Arial" w:hAnsi="Arial" w:cs="Arial"/>
                <w:b w:val="0"/>
                <w:bCs w:val="0"/>
                <w:i/>
                <w:iCs/>
                <w:noProof/>
                <w:sz w:val="24"/>
                <w:szCs w:val="24"/>
              </w:rPr>
              <w:t xml:space="preserve">In vitro </w:t>
            </w:r>
            <w:r w:rsidR="00657BD0" w:rsidRPr="002E5F0A">
              <w:rPr>
                <w:rStyle w:val="Hyperlink"/>
                <w:rFonts w:ascii="Arial" w:hAnsi="Arial" w:cs="Arial"/>
                <w:b w:val="0"/>
                <w:bCs w:val="0"/>
                <w:noProof/>
                <w:sz w:val="24"/>
                <w:szCs w:val="24"/>
              </w:rPr>
              <w:t>studies with SWCNT-ANXA5-mediated PTT</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_Toc121217282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96</w:t>
            </w:r>
            <w:r w:rsidR="00657BD0" w:rsidRPr="002E5F0A">
              <w:rPr>
                <w:rFonts w:ascii="Arial" w:hAnsi="Arial" w:cs="Arial"/>
                <w:b w:val="0"/>
                <w:bCs w:val="0"/>
                <w:noProof/>
                <w:webHidden/>
                <w:sz w:val="24"/>
                <w:szCs w:val="24"/>
              </w:rPr>
              <w:fldChar w:fldCharType="end"/>
            </w:r>
          </w:hyperlink>
        </w:p>
        <w:p w14:paraId="15E37291" w14:textId="3982C53C"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283" w:history="1">
            <w:r w:rsidR="00657BD0" w:rsidRPr="002E5F0A">
              <w:rPr>
                <w:rStyle w:val="Hyperlink"/>
                <w:rFonts w:ascii="Arial" w:hAnsi="Arial" w:cs="Arial"/>
                <w:b w:val="0"/>
                <w:bCs w:val="0"/>
                <w:noProof/>
                <w:sz w:val="24"/>
                <w:szCs w:val="24"/>
              </w:rPr>
              <w:t xml:space="preserve">3.2 </w:t>
            </w:r>
            <w:r w:rsidR="00657BD0" w:rsidRPr="002E5F0A">
              <w:rPr>
                <w:rStyle w:val="Hyperlink"/>
                <w:rFonts w:ascii="Arial" w:hAnsi="Arial" w:cs="Arial"/>
                <w:b w:val="0"/>
                <w:bCs w:val="0"/>
                <w:i/>
                <w:iCs/>
                <w:noProof/>
                <w:sz w:val="24"/>
                <w:szCs w:val="24"/>
              </w:rPr>
              <w:t xml:space="preserve">In vivo </w:t>
            </w:r>
            <w:r w:rsidR="00657BD0" w:rsidRPr="002E5F0A">
              <w:rPr>
                <w:rStyle w:val="Hyperlink"/>
                <w:rFonts w:ascii="Arial" w:hAnsi="Arial" w:cs="Arial"/>
                <w:b w:val="0"/>
                <w:bCs w:val="0"/>
                <w:noProof/>
                <w:sz w:val="24"/>
                <w:szCs w:val="24"/>
              </w:rPr>
              <w:t>studies with SWCNT-ANXA5-mediated PTT</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_Toc121217283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107</w:t>
            </w:r>
            <w:r w:rsidR="00657BD0" w:rsidRPr="002E5F0A">
              <w:rPr>
                <w:rFonts w:ascii="Arial" w:hAnsi="Arial" w:cs="Arial"/>
                <w:b w:val="0"/>
                <w:bCs w:val="0"/>
                <w:noProof/>
                <w:webHidden/>
                <w:sz w:val="24"/>
                <w:szCs w:val="24"/>
              </w:rPr>
              <w:fldChar w:fldCharType="end"/>
            </w:r>
          </w:hyperlink>
        </w:p>
        <w:p w14:paraId="51AEE15E" w14:textId="5C1C5DE8"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84" w:history="1">
            <w:r w:rsidR="00657BD0" w:rsidRPr="002E5F0A">
              <w:rPr>
                <w:rStyle w:val="Hyperlink"/>
                <w:rFonts w:ascii="Arial" w:hAnsi="Arial" w:cs="Arial"/>
                <w:noProof/>
                <w:sz w:val="24"/>
                <w:szCs w:val="24"/>
              </w:rPr>
              <w:t>3.2.1 EMT6 tumor model treated with SWCNT-ANXA5 mediated PTT</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_Toc121217284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107</w:t>
            </w:r>
            <w:r w:rsidR="00657BD0" w:rsidRPr="002E5F0A">
              <w:rPr>
                <w:rFonts w:ascii="Arial" w:hAnsi="Arial" w:cs="Arial"/>
                <w:noProof/>
                <w:webHidden/>
                <w:sz w:val="24"/>
                <w:szCs w:val="24"/>
              </w:rPr>
              <w:fldChar w:fldCharType="end"/>
            </w:r>
          </w:hyperlink>
        </w:p>
        <w:p w14:paraId="3D08B1EF" w14:textId="3360DAB1"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85" w:history="1">
            <w:r w:rsidR="00657BD0" w:rsidRPr="002E5F0A">
              <w:rPr>
                <w:rStyle w:val="Hyperlink"/>
                <w:rFonts w:ascii="Arial" w:hAnsi="Arial" w:cs="Arial"/>
                <w:noProof/>
                <w:sz w:val="24"/>
                <w:szCs w:val="24"/>
              </w:rPr>
              <w:t>3.2.2 4T1 tumor model treated with SWCNT-ANXA5-mediated PTT</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_Toc121217285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124</w:t>
            </w:r>
            <w:r w:rsidR="00657BD0" w:rsidRPr="002E5F0A">
              <w:rPr>
                <w:rFonts w:ascii="Arial" w:hAnsi="Arial" w:cs="Arial"/>
                <w:noProof/>
                <w:webHidden/>
                <w:sz w:val="24"/>
                <w:szCs w:val="24"/>
              </w:rPr>
              <w:fldChar w:fldCharType="end"/>
            </w:r>
          </w:hyperlink>
        </w:p>
        <w:p w14:paraId="119EEF0D" w14:textId="4E75028F"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286" w:history="1">
            <w:r w:rsidR="00657BD0" w:rsidRPr="002E5F0A">
              <w:rPr>
                <w:rStyle w:val="Hyperlink"/>
                <w:rFonts w:ascii="Arial" w:hAnsi="Arial" w:cs="Arial"/>
                <w:b w:val="0"/>
                <w:bCs w:val="0"/>
                <w:noProof/>
                <w:sz w:val="24"/>
                <w:szCs w:val="24"/>
              </w:rPr>
              <w:t xml:space="preserve">3.3 Preliminary </w:t>
            </w:r>
            <w:r w:rsidR="00657BD0" w:rsidRPr="002E5F0A">
              <w:rPr>
                <w:rStyle w:val="Hyperlink"/>
                <w:rFonts w:ascii="Arial" w:hAnsi="Arial" w:cs="Arial"/>
                <w:b w:val="0"/>
                <w:bCs w:val="0"/>
                <w:i/>
                <w:iCs/>
                <w:noProof/>
                <w:sz w:val="24"/>
                <w:szCs w:val="24"/>
              </w:rPr>
              <w:t xml:space="preserve">in vitro </w:t>
            </w:r>
            <w:r w:rsidR="00657BD0" w:rsidRPr="002E5F0A">
              <w:rPr>
                <w:rStyle w:val="Hyperlink"/>
                <w:rFonts w:ascii="Arial" w:hAnsi="Arial" w:cs="Arial"/>
                <w:b w:val="0"/>
                <w:bCs w:val="0"/>
                <w:noProof/>
                <w:sz w:val="24"/>
                <w:szCs w:val="24"/>
              </w:rPr>
              <w:t>and</w:t>
            </w:r>
            <w:r w:rsidR="00657BD0" w:rsidRPr="002E5F0A">
              <w:rPr>
                <w:rStyle w:val="Hyperlink"/>
                <w:rFonts w:ascii="Arial" w:hAnsi="Arial" w:cs="Arial"/>
                <w:b w:val="0"/>
                <w:bCs w:val="0"/>
                <w:i/>
                <w:iCs/>
                <w:noProof/>
                <w:sz w:val="24"/>
                <w:szCs w:val="24"/>
              </w:rPr>
              <w:t xml:space="preserve"> in vivo</w:t>
            </w:r>
            <w:r w:rsidR="00657BD0" w:rsidRPr="002E5F0A">
              <w:rPr>
                <w:rStyle w:val="Hyperlink"/>
                <w:rFonts w:ascii="Arial" w:hAnsi="Arial" w:cs="Arial"/>
                <w:b w:val="0"/>
                <w:bCs w:val="0"/>
                <w:noProof/>
                <w:sz w:val="24"/>
                <w:szCs w:val="24"/>
              </w:rPr>
              <w:t xml:space="preserve"> studies with SWCNT-ANXA5 mediated radiofrequency ablation</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_Toc121217286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140</w:t>
            </w:r>
            <w:r w:rsidR="00657BD0" w:rsidRPr="002E5F0A">
              <w:rPr>
                <w:rFonts w:ascii="Arial" w:hAnsi="Arial" w:cs="Arial"/>
                <w:b w:val="0"/>
                <w:bCs w:val="0"/>
                <w:noProof/>
                <w:webHidden/>
                <w:sz w:val="24"/>
                <w:szCs w:val="24"/>
              </w:rPr>
              <w:fldChar w:fldCharType="end"/>
            </w:r>
          </w:hyperlink>
        </w:p>
        <w:p w14:paraId="1945754E" w14:textId="0A55D378"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87" w:history="1">
            <w:r w:rsidR="00657BD0" w:rsidRPr="002E5F0A">
              <w:rPr>
                <w:rStyle w:val="Hyperlink"/>
                <w:rFonts w:ascii="Arial" w:hAnsi="Arial" w:cs="Arial"/>
                <w:noProof/>
                <w:sz w:val="24"/>
                <w:szCs w:val="24"/>
              </w:rPr>
              <w:t>3.3.1 Preliminary studies with SWCNT-ANXA5 mediated radiofrequency ablation</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_Toc121217287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140</w:t>
            </w:r>
            <w:r w:rsidR="00657BD0" w:rsidRPr="002E5F0A">
              <w:rPr>
                <w:rFonts w:ascii="Arial" w:hAnsi="Arial" w:cs="Arial"/>
                <w:noProof/>
                <w:webHidden/>
                <w:sz w:val="24"/>
                <w:szCs w:val="24"/>
              </w:rPr>
              <w:fldChar w:fldCharType="end"/>
            </w:r>
          </w:hyperlink>
        </w:p>
        <w:p w14:paraId="18B1F1ED" w14:textId="69E5C762" w:rsidR="00657BD0" w:rsidRPr="002E5F0A" w:rsidRDefault="00DE0DE2" w:rsidP="002E5F0A">
          <w:pPr>
            <w:pStyle w:val="TOC3"/>
            <w:tabs>
              <w:tab w:val="right" w:leader="hyphen" w:pos="9350"/>
            </w:tabs>
            <w:spacing w:line="360" w:lineRule="auto"/>
            <w:rPr>
              <w:rFonts w:ascii="Arial" w:eastAsiaTheme="minorEastAsia" w:hAnsi="Arial" w:cs="Arial"/>
              <w:noProof/>
              <w:sz w:val="24"/>
              <w:szCs w:val="24"/>
            </w:rPr>
          </w:pPr>
          <w:hyperlink w:anchor="_Toc121217288" w:history="1">
            <w:r w:rsidR="00657BD0" w:rsidRPr="002E5F0A">
              <w:rPr>
                <w:rStyle w:val="Hyperlink"/>
                <w:rFonts w:ascii="Arial" w:hAnsi="Arial" w:cs="Arial"/>
                <w:noProof/>
                <w:sz w:val="24"/>
                <w:szCs w:val="24"/>
              </w:rPr>
              <w:t>3.3.2 SWCNT-ANXA5-mediated radiofrequency ablation in biological system</w:t>
            </w:r>
            <w:r w:rsidR="00657BD0" w:rsidRPr="002E5F0A">
              <w:rPr>
                <w:rFonts w:ascii="Arial" w:hAnsi="Arial" w:cs="Arial"/>
                <w:noProof/>
                <w:webHidden/>
                <w:sz w:val="24"/>
                <w:szCs w:val="24"/>
              </w:rPr>
              <w:tab/>
            </w:r>
            <w:r w:rsidR="00657BD0" w:rsidRPr="002E5F0A">
              <w:rPr>
                <w:rFonts w:ascii="Arial" w:hAnsi="Arial" w:cs="Arial"/>
                <w:noProof/>
                <w:webHidden/>
                <w:sz w:val="24"/>
                <w:szCs w:val="24"/>
              </w:rPr>
              <w:fldChar w:fldCharType="begin"/>
            </w:r>
            <w:r w:rsidR="00657BD0" w:rsidRPr="002E5F0A">
              <w:rPr>
                <w:rFonts w:ascii="Arial" w:hAnsi="Arial" w:cs="Arial"/>
                <w:noProof/>
                <w:webHidden/>
                <w:sz w:val="24"/>
                <w:szCs w:val="24"/>
              </w:rPr>
              <w:instrText xml:space="preserve"> PAGEREF _Toc121217288 \h </w:instrText>
            </w:r>
            <w:r w:rsidR="00657BD0" w:rsidRPr="002E5F0A">
              <w:rPr>
                <w:rFonts w:ascii="Arial" w:hAnsi="Arial" w:cs="Arial"/>
                <w:noProof/>
                <w:webHidden/>
                <w:sz w:val="24"/>
                <w:szCs w:val="24"/>
              </w:rPr>
            </w:r>
            <w:r w:rsidR="00657BD0" w:rsidRPr="002E5F0A">
              <w:rPr>
                <w:rFonts w:ascii="Arial" w:hAnsi="Arial" w:cs="Arial"/>
                <w:noProof/>
                <w:webHidden/>
                <w:sz w:val="24"/>
                <w:szCs w:val="24"/>
              </w:rPr>
              <w:fldChar w:fldCharType="separate"/>
            </w:r>
            <w:r w:rsidR="002C4B25">
              <w:rPr>
                <w:rFonts w:ascii="Arial" w:hAnsi="Arial" w:cs="Arial"/>
                <w:noProof/>
                <w:webHidden/>
                <w:sz w:val="24"/>
                <w:szCs w:val="24"/>
              </w:rPr>
              <w:t>157</w:t>
            </w:r>
            <w:r w:rsidR="00657BD0" w:rsidRPr="002E5F0A">
              <w:rPr>
                <w:rFonts w:ascii="Arial" w:hAnsi="Arial" w:cs="Arial"/>
                <w:noProof/>
                <w:webHidden/>
                <w:sz w:val="24"/>
                <w:szCs w:val="24"/>
              </w:rPr>
              <w:fldChar w:fldCharType="end"/>
            </w:r>
          </w:hyperlink>
        </w:p>
        <w:p w14:paraId="7D9ADA99" w14:textId="4E6C71D7"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289" w:history="1">
            <w:r w:rsidR="00657BD0" w:rsidRPr="002E5F0A">
              <w:rPr>
                <w:rStyle w:val="Hyperlink"/>
                <w:rFonts w:ascii="Arial" w:hAnsi="Arial" w:cs="Arial"/>
                <w:b w:val="0"/>
                <w:bCs w:val="0"/>
                <w:noProof/>
                <w:sz w:val="24"/>
                <w:szCs w:val="24"/>
              </w:rPr>
              <w:t>3.4 Gold nanoparticle – annexin A5 – DM1 conjugate</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_Toc121217289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162</w:t>
            </w:r>
            <w:r w:rsidR="00657BD0" w:rsidRPr="002E5F0A">
              <w:rPr>
                <w:rFonts w:ascii="Arial" w:hAnsi="Arial" w:cs="Arial"/>
                <w:b w:val="0"/>
                <w:bCs w:val="0"/>
                <w:noProof/>
                <w:webHidden/>
                <w:sz w:val="24"/>
                <w:szCs w:val="24"/>
              </w:rPr>
              <w:fldChar w:fldCharType="end"/>
            </w:r>
          </w:hyperlink>
        </w:p>
        <w:p w14:paraId="38C1270E" w14:textId="1E68676A" w:rsidR="00657BD0" w:rsidRPr="002E5F0A" w:rsidRDefault="00DE0DE2" w:rsidP="002E5F0A">
          <w:pPr>
            <w:pStyle w:val="TOC1"/>
            <w:tabs>
              <w:tab w:val="right" w:leader="hyphen" w:pos="9350"/>
            </w:tabs>
            <w:spacing w:line="360" w:lineRule="auto"/>
            <w:rPr>
              <w:rFonts w:ascii="Arial" w:eastAsiaTheme="minorEastAsia" w:hAnsi="Arial" w:cs="Arial"/>
              <w:b w:val="0"/>
              <w:bCs w:val="0"/>
              <w:i w:val="0"/>
              <w:iCs w:val="0"/>
              <w:noProof/>
            </w:rPr>
          </w:pPr>
          <w:hyperlink w:anchor="_Toc121217290" w:history="1">
            <w:r w:rsidR="00657BD0" w:rsidRPr="002E5F0A">
              <w:rPr>
                <w:rStyle w:val="Hyperlink"/>
                <w:rFonts w:ascii="Arial" w:hAnsi="Arial" w:cs="Arial"/>
                <w:b w:val="0"/>
                <w:bCs w:val="0"/>
                <w:noProof/>
              </w:rPr>
              <w:t>CHAPTER 4 – CONCLUSIONS AND FUTURE DIRECTIONS</w:t>
            </w:r>
            <w:r w:rsidR="00657BD0" w:rsidRPr="002E5F0A">
              <w:rPr>
                <w:rFonts w:ascii="Arial" w:hAnsi="Arial" w:cs="Arial"/>
                <w:b w:val="0"/>
                <w:bCs w:val="0"/>
                <w:noProof/>
                <w:webHidden/>
              </w:rPr>
              <w:tab/>
            </w:r>
            <w:r w:rsidR="00657BD0" w:rsidRPr="002E5F0A">
              <w:rPr>
                <w:rFonts w:ascii="Arial" w:hAnsi="Arial" w:cs="Arial"/>
                <w:b w:val="0"/>
                <w:bCs w:val="0"/>
                <w:noProof/>
                <w:webHidden/>
              </w:rPr>
              <w:fldChar w:fldCharType="begin"/>
            </w:r>
            <w:r w:rsidR="00657BD0" w:rsidRPr="002E5F0A">
              <w:rPr>
                <w:rFonts w:ascii="Arial" w:hAnsi="Arial" w:cs="Arial"/>
                <w:b w:val="0"/>
                <w:bCs w:val="0"/>
                <w:noProof/>
                <w:webHidden/>
              </w:rPr>
              <w:instrText xml:space="preserve"> PAGEREF _Toc121217290 \h </w:instrText>
            </w:r>
            <w:r w:rsidR="00657BD0" w:rsidRPr="002E5F0A">
              <w:rPr>
                <w:rFonts w:ascii="Arial" w:hAnsi="Arial" w:cs="Arial"/>
                <w:b w:val="0"/>
                <w:bCs w:val="0"/>
                <w:noProof/>
                <w:webHidden/>
              </w:rPr>
            </w:r>
            <w:r w:rsidR="00657BD0" w:rsidRPr="002E5F0A">
              <w:rPr>
                <w:rFonts w:ascii="Arial" w:hAnsi="Arial" w:cs="Arial"/>
                <w:b w:val="0"/>
                <w:bCs w:val="0"/>
                <w:noProof/>
                <w:webHidden/>
              </w:rPr>
              <w:fldChar w:fldCharType="separate"/>
            </w:r>
            <w:r w:rsidR="002C4B25">
              <w:rPr>
                <w:rFonts w:ascii="Arial" w:hAnsi="Arial" w:cs="Arial"/>
                <w:b w:val="0"/>
                <w:bCs w:val="0"/>
                <w:noProof/>
                <w:webHidden/>
              </w:rPr>
              <w:t>170</w:t>
            </w:r>
            <w:r w:rsidR="00657BD0" w:rsidRPr="002E5F0A">
              <w:rPr>
                <w:rFonts w:ascii="Arial" w:hAnsi="Arial" w:cs="Arial"/>
                <w:b w:val="0"/>
                <w:bCs w:val="0"/>
                <w:noProof/>
                <w:webHidden/>
              </w:rPr>
              <w:fldChar w:fldCharType="end"/>
            </w:r>
          </w:hyperlink>
        </w:p>
        <w:p w14:paraId="65040725" w14:textId="0109C5F6" w:rsidR="00657BD0" w:rsidRPr="002E5F0A" w:rsidRDefault="00DE0DE2" w:rsidP="002E5F0A">
          <w:pPr>
            <w:pStyle w:val="TOC1"/>
            <w:tabs>
              <w:tab w:val="right" w:leader="hyphen" w:pos="9350"/>
            </w:tabs>
            <w:spacing w:line="360" w:lineRule="auto"/>
            <w:rPr>
              <w:rFonts w:ascii="Arial" w:eastAsiaTheme="minorEastAsia" w:hAnsi="Arial" w:cs="Arial"/>
              <w:b w:val="0"/>
              <w:bCs w:val="0"/>
              <w:i w:val="0"/>
              <w:iCs w:val="0"/>
              <w:noProof/>
            </w:rPr>
          </w:pPr>
          <w:hyperlink w:anchor="_Toc121217291" w:history="1">
            <w:r w:rsidR="00657BD0" w:rsidRPr="002E5F0A">
              <w:rPr>
                <w:rStyle w:val="Hyperlink"/>
                <w:rFonts w:ascii="Arial" w:hAnsi="Arial" w:cs="Arial"/>
                <w:b w:val="0"/>
                <w:bCs w:val="0"/>
                <w:noProof/>
              </w:rPr>
              <w:t>REFERENCES</w:t>
            </w:r>
            <w:r w:rsidR="00657BD0" w:rsidRPr="002E5F0A">
              <w:rPr>
                <w:rFonts w:ascii="Arial" w:hAnsi="Arial" w:cs="Arial"/>
                <w:b w:val="0"/>
                <w:bCs w:val="0"/>
                <w:noProof/>
                <w:webHidden/>
              </w:rPr>
              <w:tab/>
            </w:r>
            <w:r w:rsidR="00657BD0" w:rsidRPr="002E5F0A">
              <w:rPr>
                <w:rFonts w:ascii="Arial" w:hAnsi="Arial" w:cs="Arial"/>
                <w:b w:val="0"/>
                <w:bCs w:val="0"/>
                <w:noProof/>
                <w:webHidden/>
              </w:rPr>
              <w:fldChar w:fldCharType="begin"/>
            </w:r>
            <w:r w:rsidR="00657BD0" w:rsidRPr="002E5F0A">
              <w:rPr>
                <w:rFonts w:ascii="Arial" w:hAnsi="Arial" w:cs="Arial"/>
                <w:b w:val="0"/>
                <w:bCs w:val="0"/>
                <w:noProof/>
                <w:webHidden/>
              </w:rPr>
              <w:instrText xml:space="preserve"> PAGEREF _Toc121217291 \h </w:instrText>
            </w:r>
            <w:r w:rsidR="00657BD0" w:rsidRPr="002E5F0A">
              <w:rPr>
                <w:rFonts w:ascii="Arial" w:hAnsi="Arial" w:cs="Arial"/>
                <w:b w:val="0"/>
                <w:bCs w:val="0"/>
                <w:noProof/>
                <w:webHidden/>
              </w:rPr>
            </w:r>
            <w:r w:rsidR="00657BD0" w:rsidRPr="002E5F0A">
              <w:rPr>
                <w:rFonts w:ascii="Arial" w:hAnsi="Arial" w:cs="Arial"/>
                <w:b w:val="0"/>
                <w:bCs w:val="0"/>
                <w:noProof/>
                <w:webHidden/>
              </w:rPr>
              <w:fldChar w:fldCharType="separate"/>
            </w:r>
            <w:r w:rsidR="002C4B25">
              <w:rPr>
                <w:rFonts w:ascii="Arial" w:hAnsi="Arial" w:cs="Arial"/>
                <w:b w:val="0"/>
                <w:bCs w:val="0"/>
                <w:noProof/>
                <w:webHidden/>
              </w:rPr>
              <w:t>173</w:t>
            </w:r>
            <w:r w:rsidR="00657BD0" w:rsidRPr="002E5F0A">
              <w:rPr>
                <w:rFonts w:ascii="Arial" w:hAnsi="Arial" w:cs="Arial"/>
                <w:b w:val="0"/>
                <w:bCs w:val="0"/>
                <w:noProof/>
                <w:webHidden/>
              </w:rPr>
              <w:fldChar w:fldCharType="end"/>
            </w:r>
          </w:hyperlink>
        </w:p>
        <w:p w14:paraId="66930615" w14:textId="5B771873" w:rsidR="00657BD0" w:rsidRPr="002E5F0A" w:rsidRDefault="00DE0DE2" w:rsidP="002E5F0A">
          <w:pPr>
            <w:pStyle w:val="TOC1"/>
            <w:tabs>
              <w:tab w:val="right" w:leader="hyphen" w:pos="9350"/>
            </w:tabs>
            <w:spacing w:line="360" w:lineRule="auto"/>
            <w:rPr>
              <w:rFonts w:ascii="Arial" w:eastAsiaTheme="minorEastAsia" w:hAnsi="Arial" w:cs="Arial"/>
              <w:b w:val="0"/>
              <w:bCs w:val="0"/>
              <w:i w:val="0"/>
              <w:iCs w:val="0"/>
              <w:noProof/>
            </w:rPr>
          </w:pPr>
          <w:hyperlink w:anchor="_Toc121217292" w:history="1">
            <w:r w:rsidR="00657BD0" w:rsidRPr="002E5F0A">
              <w:rPr>
                <w:rStyle w:val="Hyperlink"/>
                <w:rFonts w:ascii="Arial" w:hAnsi="Arial" w:cs="Arial"/>
                <w:b w:val="0"/>
                <w:bCs w:val="0"/>
                <w:noProof/>
              </w:rPr>
              <w:t>APPENDIX A – Supplemental data</w:t>
            </w:r>
            <w:r w:rsidR="00657BD0" w:rsidRPr="002E5F0A">
              <w:rPr>
                <w:rFonts w:ascii="Arial" w:hAnsi="Arial" w:cs="Arial"/>
                <w:b w:val="0"/>
                <w:bCs w:val="0"/>
                <w:noProof/>
                <w:webHidden/>
              </w:rPr>
              <w:tab/>
            </w:r>
            <w:r w:rsidR="00657BD0" w:rsidRPr="002E5F0A">
              <w:rPr>
                <w:rFonts w:ascii="Arial" w:hAnsi="Arial" w:cs="Arial"/>
                <w:b w:val="0"/>
                <w:bCs w:val="0"/>
                <w:noProof/>
                <w:webHidden/>
              </w:rPr>
              <w:fldChar w:fldCharType="begin"/>
            </w:r>
            <w:r w:rsidR="00657BD0" w:rsidRPr="002E5F0A">
              <w:rPr>
                <w:rFonts w:ascii="Arial" w:hAnsi="Arial" w:cs="Arial"/>
                <w:b w:val="0"/>
                <w:bCs w:val="0"/>
                <w:noProof/>
                <w:webHidden/>
              </w:rPr>
              <w:instrText xml:space="preserve"> PAGEREF _Toc121217292 \h </w:instrText>
            </w:r>
            <w:r w:rsidR="00657BD0" w:rsidRPr="002E5F0A">
              <w:rPr>
                <w:rFonts w:ascii="Arial" w:hAnsi="Arial" w:cs="Arial"/>
                <w:b w:val="0"/>
                <w:bCs w:val="0"/>
                <w:noProof/>
                <w:webHidden/>
              </w:rPr>
            </w:r>
            <w:r w:rsidR="00657BD0" w:rsidRPr="002E5F0A">
              <w:rPr>
                <w:rFonts w:ascii="Arial" w:hAnsi="Arial" w:cs="Arial"/>
                <w:b w:val="0"/>
                <w:bCs w:val="0"/>
                <w:noProof/>
                <w:webHidden/>
              </w:rPr>
              <w:fldChar w:fldCharType="separate"/>
            </w:r>
            <w:r w:rsidR="002C4B25">
              <w:rPr>
                <w:rFonts w:ascii="Arial" w:hAnsi="Arial" w:cs="Arial"/>
                <w:b w:val="0"/>
                <w:bCs w:val="0"/>
                <w:noProof/>
                <w:webHidden/>
              </w:rPr>
              <w:t>204</w:t>
            </w:r>
            <w:r w:rsidR="00657BD0" w:rsidRPr="002E5F0A">
              <w:rPr>
                <w:rFonts w:ascii="Arial" w:hAnsi="Arial" w:cs="Arial"/>
                <w:b w:val="0"/>
                <w:bCs w:val="0"/>
                <w:noProof/>
                <w:webHidden/>
              </w:rPr>
              <w:fldChar w:fldCharType="end"/>
            </w:r>
          </w:hyperlink>
        </w:p>
        <w:p w14:paraId="315D4632" w14:textId="11FF7159" w:rsidR="00657BD0" w:rsidRPr="002E5F0A" w:rsidRDefault="00DE0DE2" w:rsidP="002E5F0A">
          <w:pPr>
            <w:pStyle w:val="TOC1"/>
            <w:tabs>
              <w:tab w:val="right" w:leader="hyphen" w:pos="9350"/>
            </w:tabs>
            <w:spacing w:line="360" w:lineRule="auto"/>
            <w:rPr>
              <w:rFonts w:ascii="Arial" w:eastAsiaTheme="minorEastAsia" w:hAnsi="Arial" w:cs="Arial"/>
              <w:b w:val="0"/>
              <w:bCs w:val="0"/>
              <w:i w:val="0"/>
              <w:iCs w:val="0"/>
              <w:noProof/>
            </w:rPr>
          </w:pPr>
          <w:hyperlink w:anchor="_Toc121217293" w:history="1">
            <w:r w:rsidR="00657BD0" w:rsidRPr="002E5F0A">
              <w:rPr>
                <w:rStyle w:val="Hyperlink"/>
                <w:rFonts w:ascii="Arial" w:hAnsi="Arial" w:cs="Arial"/>
                <w:b w:val="0"/>
                <w:bCs w:val="0"/>
                <w:noProof/>
              </w:rPr>
              <w:t>APPENDIX B – Protein Protocols</w:t>
            </w:r>
            <w:r w:rsidR="00657BD0" w:rsidRPr="002E5F0A">
              <w:rPr>
                <w:rFonts w:ascii="Arial" w:hAnsi="Arial" w:cs="Arial"/>
                <w:b w:val="0"/>
                <w:bCs w:val="0"/>
                <w:noProof/>
                <w:webHidden/>
              </w:rPr>
              <w:tab/>
            </w:r>
            <w:r w:rsidR="00657BD0" w:rsidRPr="002E5F0A">
              <w:rPr>
                <w:rFonts w:ascii="Arial" w:hAnsi="Arial" w:cs="Arial"/>
                <w:b w:val="0"/>
                <w:bCs w:val="0"/>
                <w:noProof/>
                <w:webHidden/>
              </w:rPr>
              <w:fldChar w:fldCharType="begin"/>
            </w:r>
            <w:r w:rsidR="00657BD0" w:rsidRPr="002E5F0A">
              <w:rPr>
                <w:rFonts w:ascii="Arial" w:hAnsi="Arial" w:cs="Arial"/>
                <w:b w:val="0"/>
                <w:bCs w:val="0"/>
                <w:noProof/>
                <w:webHidden/>
              </w:rPr>
              <w:instrText xml:space="preserve"> PAGEREF _Toc121217293 \h </w:instrText>
            </w:r>
            <w:r w:rsidR="00657BD0" w:rsidRPr="002E5F0A">
              <w:rPr>
                <w:rFonts w:ascii="Arial" w:hAnsi="Arial" w:cs="Arial"/>
                <w:b w:val="0"/>
                <w:bCs w:val="0"/>
                <w:noProof/>
                <w:webHidden/>
              </w:rPr>
            </w:r>
            <w:r w:rsidR="00657BD0" w:rsidRPr="002E5F0A">
              <w:rPr>
                <w:rFonts w:ascii="Arial" w:hAnsi="Arial" w:cs="Arial"/>
                <w:b w:val="0"/>
                <w:bCs w:val="0"/>
                <w:noProof/>
                <w:webHidden/>
              </w:rPr>
              <w:fldChar w:fldCharType="separate"/>
            </w:r>
            <w:r w:rsidR="002C4B25">
              <w:rPr>
                <w:rFonts w:ascii="Arial" w:hAnsi="Arial" w:cs="Arial"/>
                <w:b w:val="0"/>
                <w:bCs w:val="0"/>
                <w:noProof/>
                <w:webHidden/>
              </w:rPr>
              <w:t>224</w:t>
            </w:r>
            <w:r w:rsidR="00657BD0" w:rsidRPr="002E5F0A">
              <w:rPr>
                <w:rFonts w:ascii="Arial" w:hAnsi="Arial" w:cs="Arial"/>
                <w:b w:val="0"/>
                <w:bCs w:val="0"/>
                <w:noProof/>
                <w:webHidden/>
              </w:rPr>
              <w:fldChar w:fldCharType="end"/>
            </w:r>
          </w:hyperlink>
        </w:p>
        <w:p w14:paraId="625ABB96" w14:textId="5A44113B"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294" w:history="1">
            <w:r w:rsidR="00657BD0" w:rsidRPr="002E5F0A">
              <w:rPr>
                <w:rStyle w:val="Hyperlink"/>
                <w:rFonts w:ascii="Arial" w:hAnsi="Arial" w:cs="Arial"/>
                <w:b w:val="0"/>
                <w:bCs w:val="0"/>
                <w:noProof/>
                <w:sz w:val="24"/>
                <w:szCs w:val="24"/>
              </w:rPr>
              <w:t>B1. Annexin production using LB media</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_Toc121217294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224</w:t>
            </w:r>
            <w:r w:rsidR="00657BD0" w:rsidRPr="002E5F0A">
              <w:rPr>
                <w:rFonts w:ascii="Arial" w:hAnsi="Arial" w:cs="Arial"/>
                <w:b w:val="0"/>
                <w:bCs w:val="0"/>
                <w:noProof/>
                <w:webHidden/>
                <w:sz w:val="24"/>
                <w:szCs w:val="24"/>
              </w:rPr>
              <w:fldChar w:fldCharType="end"/>
            </w:r>
          </w:hyperlink>
        </w:p>
        <w:p w14:paraId="4DDB5803" w14:textId="7CD1EBD8"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295" w:history="1">
            <w:r w:rsidR="00657BD0" w:rsidRPr="002E5F0A">
              <w:rPr>
                <w:rStyle w:val="Hyperlink"/>
                <w:rFonts w:ascii="Arial" w:hAnsi="Arial" w:cs="Arial"/>
                <w:b w:val="0"/>
                <w:bCs w:val="0"/>
                <w:noProof/>
                <w:sz w:val="24"/>
                <w:szCs w:val="24"/>
              </w:rPr>
              <w:t>B2. Annexin production using TB media</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_Toc121217295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230</w:t>
            </w:r>
            <w:r w:rsidR="00657BD0" w:rsidRPr="002E5F0A">
              <w:rPr>
                <w:rFonts w:ascii="Arial" w:hAnsi="Arial" w:cs="Arial"/>
                <w:b w:val="0"/>
                <w:bCs w:val="0"/>
                <w:noProof/>
                <w:webHidden/>
                <w:sz w:val="24"/>
                <w:szCs w:val="24"/>
              </w:rPr>
              <w:fldChar w:fldCharType="end"/>
            </w:r>
          </w:hyperlink>
        </w:p>
        <w:p w14:paraId="72CC41DB" w14:textId="054B420A"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296" w:history="1">
            <w:r w:rsidR="00657BD0" w:rsidRPr="002E5F0A">
              <w:rPr>
                <w:rStyle w:val="Hyperlink"/>
                <w:rFonts w:ascii="Arial" w:hAnsi="Arial" w:cs="Arial"/>
                <w:b w:val="0"/>
                <w:bCs w:val="0"/>
                <w:noProof/>
                <w:sz w:val="24"/>
                <w:szCs w:val="24"/>
              </w:rPr>
              <w:t>B3. Bradford protein assay</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_Toc121217296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236</w:t>
            </w:r>
            <w:r w:rsidR="00657BD0" w:rsidRPr="002E5F0A">
              <w:rPr>
                <w:rFonts w:ascii="Arial" w:hAnsi="Arial" w:cs="Arial"/>
                <w:b w:val="0"/>
                <w:bCs w:val="0"/>
                <w:noProof/>
                <w:webHidden/>
                <w:sz w:val="24"/>
                <w:szCs w:val="24"/>
              </w:rPr>
              <w:fldChar w:fldCharType="end"/>
            </w:r>
          </w:hyperlink>
        </w:p>
        <w:p w14:paraId="21075570" w14:textId="01E6EDFA"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297" w:history="1">
            <w:r w:rsidR="00657BD0" w:rsidRPr="002E5F0A">
              <w:rPr>
                <w:rStyle w:val="Hyperlink"/>
                <w:rFonts w:ascii="Arial" w:hAnsi="Arial" w:cs="Arial"/>
                <w:b w:val="0"/>
                <w:bCs w:val="0"/>
                <w:noProof/>
                <w:sz w:val="24"/>
                <w:szCs w:val="24"/>
              </w:rPr>
              <w:t>B4. SDS-page electrophoresis</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_Toc121217297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237</w:t>
            </w:r>
            <w:r w:rsidR="00657BD0" w:rsidRPr="002E5F0A">
              <w:rPr>
                <w:rFonts w:ascii="Arial" w:hAnsi="Arial" w:cs="Arial"/>
                <w:b w:val="0"/>
                <w:bCs w:val="0"/>
                <w:noProof/>
                <w:webHidden/>
                <w:sz w:val="24"/>
                <w:szCs w:val="24"/>
              </w:rPr>
              <w:fldChar w:fldCharType="end"/>
            </w:r>
          </w:hyperlink>
        </w:p>
        <w:p w14:paraId="31656C4D" w14:textId="3ABD0478"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298" w:history="1">
            <w:r w:rsidR="00657BD0" w:rsidRPr="002E5F0A">
              <w:rPr>
                <w:rStyle w:val="Hyperlink"/>
                <w:rFonts w:ascii="Arial" w:hAnsi="Arial" w:cs="Arial"/>
                <w:b w:val="0"/>
                <w:bCs w:val="0"/>
                <w:noProof/>
                <w:sz w:val="24"/>
                <w:szCs w:val="24"/>
              </w:rPr>
              <w:t>B5. SWCNT-ANXA5 conjugation</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_Toc121217298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238</w:t>
            </w:r>
            <w:r w:rsidR="00657BD0" w:rsidRPr="002E5F0A">
              <w:rPr>
                <w:rFonts w:ascii="Arial" w:hAnsi="Arial" w:cs="Arial"/>
                <w:b w:val="0"/>
                <w:bCs w:val="0"/>
                <w:noProof/>
                <w:webHidden/>
                <w:sz w:val="24"/>
                <w:szCs w:val="24"/>
              </w:rPr>
              <w:fldChar w:fldCharType="end"/>
            </w:r>
          </w:hyperlink>
        </w:p>
        <w:p w14:paraId="1AF88BCF" w14:textId="2D6DCE77"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299" w:history="1">
            <w:r w:rsidR="00657BD0" w:rsidRPr="002E5F0A">
              <w:rPr>
                <w:rStyle w:val="Hyperlink"/>
                <w:rFonts w:ascii="Arial" w:hAnsi="Arial" w:cs="Arial"/>
                <w:b w:val="0"/>
                <w:bCs w:val="0"/>
                <w:noProof/>
                <w:sz w:val="24"/>
                <w:szCs w:val="24"/>
              </w:rPr>
              <w:t>B6. SWCNT standard curve preparation</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_Toc121217299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240</w:t>
            </w:r>
            <w:r w:rsidR="00657BD0" w:rsidRPr="002E5F0A">
              <w:rPr>
                <w:rFonts w:ascii="Arial" w:hAnsi="Arial" w:cs="Arial"/>
                <w:b w:val="0"/>
                <w:bCs w:val="0"/>
                <w:noProof/>
                <w:webHidden/>
                <w:sz w:val="24"/>
                <w:szCs w:val="24"/>
              </w:rPr>
              <w:fldChar w:fldCharType="end"/>
            </w:r>
          </w:hyperlink>
        </w:p>
        <w:p w14:paraId="4C1842C4" w14:textId="70736F7E"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300" w:history="1">
            <w:r w:rsidR="00657BD0" w:rsidRPr="002E5F0A">
              <w:rPr>
                <w:rStyle w:val="Hyperlink"/>
                <w:rFonts w:ascii="Arial" w:hAnsi="Arial" w:cs="Arial"/>
                <w:b w:val="0"/>
                <w:bCs w:val="0"/>
                <w:noProof/>
                <w:sz w:val="24"/>
                <w:szCs w:val="24"/>
              </w:rPr>
              <w:t>B7. AuNP-annexin A5-DM1 conjugation</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_Toc121217300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241</w:t>
            </w:r>
            <w:r w:rsidR="00657BD0" w:rsidRPr="002E5F0A">
              <w:rPr>
                <w:rFonts w:ascii="Arial" w:hAnsi="Arial" w:cs="Arial"/>
                <w:b w:val="0"/>
                <w:bCs w:val="0"/>
                <w:noProof/>
                <w:webHidden/>
                <w:sz w:val="24"/>
                <w:szCs w:val="24"/>
              </w:rPr>
              <w:fldChar w:fldCharType="end"/>
            </w:r>
          </w:hyperlink>
        </w:p>
        <w:p w14:paraId="59C62661" w14:textId="044C7D62"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301" w:history="1">
            <w:r w:rsidR="00657BD0" w:rsidRPr="002E5F0A">
              <w:rPr>
                <w:rStyle w:val="Hyperlink"/>
                <w:rFonts w:ascii="Arial" w:hAnsi="Arial" w:cs="Arial"/>
                <w:b w:val="0"/>
                <w:bCs w:val="0"/>
                <w:noProof/>
                <w:sz w:val="24"/>
                <w:szCs w:val="24"/>
              </w:rPr>
              <w:t>B8. Nanoparticle protein conjugates sterilization and assessment of sterility</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_Toc121217301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244</w:t>
            </w:r>
            <w:r w:rsidR="00657BD0" w:rsidRPr="002E5F0A">
              <w:rPr>
                <w:rFonts w:ascii="Arial" w:hAnsi="Arial" w:cs="Arial"/>
                <w:b w:val="0"/>
                <w:bCs w:val="0"/>
                <w:noProof/>
                <w:webHidden/>
                <w:sz w:val="24"/>
                <w:szCs w:val="24"/>
              </w:rPr>
              <w:fldChar w:fldCharType="end"/>
            </w:r>
          </w:hyperlink>
        </w:p>
        <w:p w14:paraId="21BB3487" w14:textId="20D24404"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302" w:history="1">
            <w:r w:rsidR="00657BD0" w:rsidRPr="002E5F0A">
              <w:rPr>
                <w:rStyle w:val="Hyperlink"/>
                <w:rFonts w:ascii="Arial" w:hAnsi="Arial" w:cs="Arial"/>
                <w:b w:val="0"/>
                <w:bCs w:val="0"/>
                <w:noProof/>
                <w:sz w:val="24"/>
                <w:szCs w:val="24"/>
                <w:lang w:val="pt-BR"/>
              </w:rPr>
              <w:t>B9. AuNP-ANXA5-DM1 conjugate quantification</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_Toc121217302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244</w:t>
            </w:r>
            <w:r w:rsidR="00657BD0" w:rsidRPr="002E5F0A">
              <w:rPr>
                <w:rFonts w:ascii="Arial" w:hAnsi="Arial" w:cs="Arial"/>
                <w:b w:val="0"/>
                <w:bCs w:val="0"/>
                <w:noProof/>
                <w:webHidden/>
                <w:sz w:val="24"/>
                <w:szCs w:val="24"/>
              </w:rPr>
              <w:fldChar w:fldCharType="end"/>
            </w:r>
          </w:hyperlink>
        </w:p>
        <w:p w14:paraId="25DAD7FE" w14:textId="28E875FC" w:rsidR="00657BD0" w:rsidRPr="002E5F0A" w:rsidRDefault="00DE0DE2" w:rsidP="002E5F0A">
          <w:pPr>
            <w:pStyle w:val="TOC1"/>
            <w:tabs>
              <w:tab w:val="right" w:leader="hyphen" w:pos="9350"/>
            </w:tabs>
            <w:spacing w:line="360" w:lineRule="auto"/>
            <w:rPr>
              <w:rFonts w:ascii="Arial" w:eastAsiaTheme="minorEastAsia" w:hAnsi="Arial" w:cs="Arial"/>
              <w:b w:val="0"/>
              <w:bCs w:val="0"/>
              <w:i w:val="0"/>
              <w:iCs w:val="0"/>
              <w:noProof/>
            </w:rPr>
          </w:pPr>
          <w:hyperlink w:anchor="_Toc121217303" w:history="1">
            <w:r w:rsidR="00657BD0" w:rsidRPr="002E5F0A">
              <w:rPr>
                <w:rStyle w:val="Hyperlink"/>
                <w:rFonts w:ascii="Arial" w:hAnsi="Arial" w:cs="Arial"/>
                <w:b w:val="0"/>
                <w:bCs w:val="0"/>
                <w:noProof/>
              </w:rPr>
              <w:t>APPENDIX C – Cell Culture Protocols</w:t>
            </w:r>
            <w:r w:rsidR="00657BD0" w:rsidRPr="002E5F0A">
              <w:rPr>
                <w:rFonts w:ascii="Arial" w:hAnsi="Arial" w:cs="Arial"/>
                <w:b w:val="0"/>
                <w:bCs w:val="0"/>
                <w:noProof/>
                <w:webHidden/>
              </w:rPr>
              <w:tab/>
            </w:r>
            <w:r w:rsidR="00657BD0" w:rsidRPr="002E5F0A">
              <w:rPr>
                <w:rFonts w:ascii="Arial" w:hAnsi="Arial" w:cs="Arial"/>
                <w:b w:val="0"/>
                <w:bCs w:val="0"/>
                <w:noProof/>
                <w:webHidden/>
              </w:rPr>
              <w:fldChar w:fldCharType="begin"/>
            </w:r>
            <w:r w:rsidR="00657BD0" w:rsidRPr="002E5F0A">
              <w:rPr>
                <w:rFonts w:ascii="Arial" w:hAnsi="Arial" w:cs="Arial"/>
                <w:b w:val="0"/>
                <w:bCs w:val="0"/>
                <w:noProof/>
                <w:webHidden/>
              </w:rPr>
              <w:instrText xml:space="preserve"> PAGEREF _Toc121217303 \h </w:instrText>
            </w:r>
            <w:r w:rsidR="00657BD0" w:rsidRPr="002E5F0A">
              <w:rPr>
                <w:rFonts w:ascii="Arial" w:hAnsi="Arial" w:cs="Arial"/>
                <w:b w:val="0"/>
                <w:bCs w:val="0"/>
                <w:noProof/>
                <w:webHidden/>
              </w:rPr>
            </w:r>
            <w:r w:rsidR="00657BD0" w:rsidRPr="002E5F0A">
              <w:rPr>
                <w:rFonts w:ascii="Arial" w:hAnsi="Arial" w:cs="Arial"/>
                <w:b w:val="0"/>
                <w:bCs w:val="0"/>
                <w:noProof/>
                <w:webHidden/>
              </w:rPr>
              <w:fldChar w:fldCharType="separate"/>
            </w:r>
            <w:r w:rsidR="002C4B25">
              <w:rPr>
                <w:rFonts w:ascii="Arial" w:hAnsi="Arial" w:cs="Arial"/>
                <w:b w:val="0"/>
                <w:bCs w:val="0"/>
                <w:noProof/>
                <w:webHidden/>
              </w:rPr>
              <w:t>246</w:t>
            </w:r>
            <w:r w:rsidR="00657BD0" w:rsidRPr="002E5F0A">
              <w:rPr>
                <w:rFonts w:ascii="Arial" w:hAnsi="Arial" w:cs="Arial"/>
                <w:b w:val="0"/>
                <w:bCs w:val="0"/>
                <w:noProof/>
                <w:webHidden/>
              </w:rPr>
              <w:fldChar w:fldCharType="end"/>
            </w:r>
          </w:hyperlink>
        </w:p>
        <w:p w14:paraId="579CE08C" w14:textId="03A99C12"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304" w:history="1">
            <w:r w:rsidR="00657BD0" w:rsidRPr="002E5F0A">
              <w:rPr>
                <w:rStyle w:val="Hyperlink"/>
                <w:rFonts w:ascii="Arial" w:hAnsi="Arial" w:cs="Arial"/>
                <w:b w:val="0"/>
                <w:bCs w:val="0"/>
                <w:noProof/>
                <w:sz w:val="24"/>
                <w:szCs w:val="24"/>
              </w:rPr>
              <w:t>C1. Aseptic technique in vertical laminar flow</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_Toc121217304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246</w:t>
            </w:r>
            <w:r w:rsidR="00657BD0" w:rsidRPr="002E5F0A">
              <w:rPr>
                <w:rFonts w:ascii="Arial" w:hAnsi="Arial" w:cs="Arial"/>
                <w:b w:val="0"/>
                <w:bCs w:val="0"/>
                <w:noProof/>
                <w:webHidden/>
                <w:sz w:val="24"/>
                <w:szCs w:val="24"/>
              </w:rPr>
              <w:fldChar w:fldCharType="end"/>
            </w:r>
          </w:hyperlink>
        </w:p>
        <w:p w14:paraId="385F3A52" w14:textId="3291929D"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305" w:history="1">
            <w:r w:rsidR="00657BD0" w:rsidRPr="002E5F0A">
              <w:rPr>
                <w:rStyle w:val="Hyperlink"/>
                <w:rFonts w:ascii="Arial" w:hAnsi="Arial" w:cs="Arial"/>
                <w:b w:val="0"/>
                <w:bCs w:val="0"/>
                <w:noProof/>
                <w:sz w:val="24"/>
                <w:szCs w:val="24"/>
              </w:rPr>
              <w:t>C2. Feeding a monolayer culture in flasks</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_Toc121217305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248</w:t>
            </w:r>
            <w:r w:rsidR="00657BD0" w:rsidRPr="002E5F0A">
              <w:rPr>
                <w:rFonts w:ascii="Arial" w:hAnsi="Arial" w:cs="Arial"/>
                <w:b w:val="0"/>
                <w:bCs w:val="0"/>
                <w:noProof/>
                <w:webHidden/>
                <w:sz w:val="24"/>
                <w:szCs w:val="24"/>
              </w:rPr>
              <w:fldChar w:fldCharType="end"/>
            </w:r>
          </w:hyperlink>
        </w:p>
        <w:p w14:paraId="384D1F00" w14:textId="75BE4772"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306" w:history="1">
            <w:r w:rsidR="00657BD0" w:rsidRPr="002E5F0A">
              <w:rPr>
                <w:rStyle w:val="Hyperlink"/>
                <w:rFonts w:ascii="Arial" w:hAnsi="Arial" w:cs="Arial"/>
                <w:b w:val="0"/>
                <w:bCs w:val="0"/>
                <w:noProof/>
                <w:sz w:val="24"/>
                <w:szCs w:val="24"/>
              </w:rPr>
              <w:t>C3. Subculture of monolayer cells</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_Toc121217306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249</w:t>
            </w:r>
            <w:r w:rsidR="00657BD0" w:rsidRPr="002E5F0A">
              <w:rPr>
                <w:rFonts w:ascii="Arial" w:hAnsi="Arial" w:cs="Arial"/>
                <w:b w:val="0"/>
                <w:bCs w:val="0"/>
                <w:noProof/>
                <w:webHidden/>
                <w:sz w:val="24"/>
                <w:szCs w:val="24"/>
              </w:rPr>
              <w:fldChar w:fldCharType="end"/>
            </w:r>
          </w:hyperlink>
        </w:p>
        <w:p w14:paraId="01AB1A38" w14:textId="4F7CFC1D"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307" w:history="1">
            <w:r w:rsidR="00657BD0" w:rsidRPr="002E5F0A">
              <w:rPr>
                <w:rStyle w:val="Hyperlink"/>
                <w:rFonts w:ascii="Arial" w:hAnsi="Arial" w:cs="Arial"/>
                <w:b w:val="0"/>
                <w:bCs w:val="0"/>
                <w:noProof/>
                <w:sz w:val="24"/>
                <w:szCs w:val="24"/>
              </w:rPr>
              <w:t>C4. Endothelial cell culture</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_Toc121217307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252</w:t>
            </w:r>
            <w:r w:rsidR="00657BD0" w:rsidRPr="002E5F0A">
              <w:rPr>
                <w:rFonts w:ascii="Arial" w:hAnsi="Arial" w:cs="Arial"/>
                <w:b w:val="0"/>
                <w:bCs w:val="0"/>
                <w:noProof/>
                <w:webHidden/>
                <w:sz w:val="24"/>
                <w:szCs w:val="24"/>
              </w:rPr>
              <w:fldChar w:fldCharType="end"/>
            </w:r>
          </w:hyperlink>
        </w:p>
        <w:p w14:paraId="1C199A4E" w14:textId="324A4B29"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308" w:history="1">
            <w:r w:rsidR="00657BD0" w:rsidRPr="002E5F0A">
              <w:rPr>
                <w:rStyle w:val="Hyperlink"/>
                <w:rFonts w:ascii="Arial" w:hAnsi="Arial" w:cs="Arial"/>
                <w:b w:val="0"/>
                <w:bCs w:val="0"/>
                <w:noProof/>
                <w:sz w:val="24"/>
                <w:szCs w:val="24"/>
              </w:rPr>
              <w:t>C5. Counting cells with hemocytometer</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_Toc121217308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255</w:t>
            </w:r>
            <w:r w:rsidR="00657BD0" w:rsidRPr="002E5F0A">
              <w:rPr>
                <w:rFonts w:ascii="Arial" w:hAnsi="Arial" w:cs="Arial"/>
                <w:b w:val="0"/>
                <w:bCs w:val="0"/>
                <w:noProof/>
                <w:webHidden/>
                <w:sz w:val="24"/>
                <w:szCs w:val="24"/>
              </w:rPr>
              <w:fldChar w:fldCharType="end"/>
            </w:r>
          </w:hyperlink>
        </w:p>
        <w:p w14:paraId="1D417284" w14:textId="08E53B9C"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309" w:history="1">
            <w:r w:rsidR="00657BD0" w:rsidRPr="002E5F0A">
              <w:rPr>
                <w:rStyle w:val="Hyperlink"/>
                <w:rFonts w:ascii="Arial" w:hAnsi="Arial" w:cs="Arial"/>
                <w:b w:val="0"/>
                <w:bCs w:val="0"/>
                <w:noProof/>
                <w:sz w:val="24"/>
                <w:szCs w:val="24"/>
              </w:rPr>
              <w:t>C6. Freezing cells</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_Toc121217309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257</w:t>
            </w:r>
            <w:r w:rsidR="00657BD0" w:rsidRPr="002E5F0A">
              <w:rPr>
                <w:rFonts w:ascii="Arial" w:hAnsi="Arial" w:cs="Arial"/>
                <w:b w:val="0"/>
                <w:bCs w:val="0"/>
                <w:noProof/>
                <w:webHidden/>
                <w:sz w:val="24"/>
                <w:szCs w:val="24"/>
              </w:rPr>
              <w:fldChar w:fldCharType="end"/>
            </w:r>
          </w:hyperlink>
        </w:p>
        <w:p w14:paraId="72D2E3B4" w14:textId="0E03CDC0"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310" w:history="1">
            <w:r w:rsidR="00657BD0" w:rsidRPr="002E5F0A">
              <w:rPr>
                <w:rStyle w:val="Hyperlink"/>
                <w:rFonts w:ascii="Arial" w:hAnsi="Arial" w:cs="Arial"/>
                <w:b w:val="0"/>
                <w:bCs w:val="0"/>
                <w:noProof/>
                <w:sz w:val="24"/>
                <w:szCs w:val="24"/>
              </w:rPr>
              <w:t>C7. Alamar Blue assay</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_Toc121217310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258</w:t>
            </w:r>
            <w:r w:rsidR="00657BD0" w:rsidRPr="002E5F0A">
              <w:rPr>
                <w:rFonts w:ascii="Arial" w:hAnsi="Arial" w:cs="Arial"/>
                <w:b w:val="0"/>
                <w:bCs w:val="0"/>
                <w:noProof/>
                <w:webHidden/>
                <w:sz w:val="24"/>
                <w:szCs w:val="24"/>
              </w:rPr>
              <w:fldChar w:fldCharType="end"/>
            </w:r>
          </w:hyperlink>
        </w:p>
        <w:p w14:paraId="1F76619C" w14:textId="6368CD21"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311" w:history="1">
            <w:r w:rsidR="00657BD0" w:rsidRPr="002E5F0A">
              <w:rPr>
                <w:rStyle w:val="Hyperlink"/>
                <w:rFonts w:ascii="Arial" w:hAnsi="Arial" w:cs="Arial"/>
                <w:b w:val="0"/>
                <w:bCs w:val="0"/>
                <w:noProof/>
                <w:sz w:val="24"/>
                <w:szCs w:val="24"/>
              </w:rPr>
              <w:t>C8. SWCNT-annexin A5 laser treatment with temperature measurement</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_Toc121217311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259</w:t>
            </w:r>
            <w:r w:rsidR="00657BD0" w:rsidRPr="002E5F0A">
              <w:rPr>
                <w:rFonts w:ascii="Arial" w:hAnsi="Arial" w:cs="Arial"/>
                <w:b w:val="0"/>
                <w:bCs w:val="0"/>
                <w:noProof/>
                <w:webHidden/>
                <w:sz w:val="24"/>
                <w:szCs w:val="24"/>
              </w:rPr>
              <w:fldChar w:fldCharType="end"/>
            </w:r>
          </w:hyperlink>
        </w:p>
        <w:p w14:paraId="1B8B62D5" w14:textId="7630561F" w:rsidR="00657BD0" w:rsidRPr="002E5F0A" w:rsidRDefault="00DE0DE2" w:rsidP="002E5F0A">
          <w:pPr>
            <w:pStyle w:val="TOC1"/>
            <w:tabs>
              <w:tab w:val="right" w:leader="hyphen" w:pos="9350"/>
            </w:tabs>
            <w:spacing w:line="360" w:lineRule="auto"/>
            <w:rPr>
              <w:rFonts w:ascii="Arial" w:eastAsiaTheme="minorEastAsia" w:hAnsi="Arial" w:cs="Arial"/>
              <w:b w:val="0"/>
              <w:bCs w:val="0"/>
              <w:i w:val="0"/>
              <w:iCs w:val="0"/>
              <w:noProof/>
            </w:rPr>
          </w:pPr>
          <w:hyperlink w:anchor="_Toc121217312" w:history="1">
            <w:r w:rsidR="00657BD0" w:rsidRPr="002E5F0A">
              <w:rPr>
                <w:rStyle w:val="Hyperlink"/>
                <w:rFonts w:ascii="Arial" w:hAnsi="Arial" w:cs="Arial"/>
                <w:b w:val="0"/>
                <w:bCs w:val="0"/>
                <w:noProof/>
              </w:rPr>
              <w:t>APPENDIX D – Protocols for in vivo studies</w:t>
            </w:r>
            <w:r w:rsidR="00657BD0" w:rsidRPr="002E5F0A">
              <w:rPr>
                <w:rFonts w:ascii="Arial" w:hAnsi="Arial" w:cs="Arial"/>
                <w:b w:val="0"/>
                <w:bCs w:val="0"/>
                <w:noProof/>
                <w:webHidden/>
              </w:rPr>
              <w:tab/>
            </w:r>
            <w:r w:rsidR="00657BD0" w:rsidRPr="002E5F0A">
              <w:rPr>
                <w:rFonts w:ascii="Arial" w:hAnsi="Arial" w:cs="Arial"/>
                <w:b w:val="0"/>
                <w:bCs w:val="0"/>
                <w:noProof/>
                <w:webHidden/>
              </w:rPr>
              <w:fldChar w:fldCharType="begin"/>
            </w:r>
            <w:r w:rsidR="00657BD0" w:rsidRPr="002E5F0A">
              <w:rPr>
                <w:rFonts w:ascii="Arial" w:hAnsi="Arial" w:cs="Arial"/>
                <w:b w:val="0"/>
                <w:bCs w:val="0"/>
                <w:noProof/>
                <w:webHidden/>
              </w:rPr>
              <w:instrText xml:space="preserve"> PAGEREF _Toc121217312 \h </w:instrText>
            </w:r>
            <w:r w:rsidR="00657BD0" w:rsidRPr="002E5F0A">
              <w:rPr>
                <w:rFonts w:ascii="Arial" w:hAnsi="Arial" w:cs="Arial"/>
                <w:b w:val="0"/>
                <w:bCs w:val="0"/>
                <w:noProof/>
                <w:webHidden/>
              </w:rPr>
            </w:r>
            <w:r w:rsidR="00657BD0" w:rsidRPr="002E5F0A">
              <w:rPr>
                <w:rFonts w:ascii="Arial" w:hAnsi="Arial" w:cs="Arial"/>
                <w:b w:val="0"/>
                <w:bCs w:val="0"/>
                <w:noProof/>
                <w:webHidden/>
              </w:rPr>
              <w:fldChar w:fldCharType="separate"/>
            </w:r>
            <w:r w:rsidR="002C4B25">
              <w:rPr>
                <w:rFonts w:ascii="Arial" w:hAnsi="Arial" w:cs="Arial"/>
                <w:b w:val="0"/>
                <w:bCs w:val="0"/>
                <w:noProof/>
                <w:webHidden/>
              </w:rPr>
              <w:t>262</w:t>
            </w:r>
            <w:r w:rsidR="00657BD0" w:rsidRPr="002E5F0A">
              <w:rPr>
                <w:rFonts w:ascii="Arial" w:hAnsi="Arial" w:cs="Arial"/>
                <w:b w:val="0"/>
                <w:bCs w:val="0"/>
                <w:noProof/>
                <w:webHidden/>
              </w:rPr>
              <w:fldChar w:fldCharType="end"/>
            </w:r>
          </w:hyperlink>
        </w:p>
        <w:p w14:paraId="4D5B51F5" w14:textId="33F003FB"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313" w:history="1">
            <w:r w:rsidR="00657BD0" w:rsidRPr="002E5F0A">
              <w:rPr>
                <w:rStyle w:val="Hyperlink"/>
                <w:rFonts w:ascii="Arial" w:hAnsi="Arial" w:cs="Arial"/>
                <w:b w:val="0"/>
                <w:bCs w:val="0"/>
                <w:noProof/>
                <w:sz w:val="24"/>
                <w:szCs w:val="24"/>
              </w:rPr>
              <w:t>D1. EMT6 tumor induction in mice</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_Toc121217313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262</w:t>
            </w:r>
            <w:r w:rsidR="00657BD0" w:rsidRPr="002E5F0A">
              <w:rPr>
                <w:rFonts w:ascii="Arial" w:hAnsi="Arial" w:cs="Arial"/>
                <w:b w:val="0"/>
                <w:bCs w:val="0"/>
                <w:noProof/>
                <w:webHidden/>
                <w:sz w:val="24"/>
                <w:szCs w:val="24"/>
              </w:rPr>
              <w:fldChar w:fldCharType="end"/>
            </w:r>
          </w:hyperlink>
        </w:p>
        <w:p w14:paraId="4363EFE8" w14:textId="30ECEB65"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314" w:history="1">
            <w:r w:rsidR="00657BD0" w:rsidRPr="002E5F0A">
              <w:rPr>
                <w:rStyle w:val="Hyperlink"/>
                <w:rFonts w:ascii="Arial" w:hAnsi="Arial" w:cs="Arial"/>
                <w:b w:val="0"/>
                <w:bCs w:val="0"/>
                <w:noProof/>
                <w:sz w:val="24"/>
                <w:szCs w:val="24"/>
              </w:rPr>
              <w:t>D2. NIR-irradiation of mice</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_Toc121217314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263</w:t>
            </w:r>
            <w:r w:rsidR="00657BD0" w:rsidRPr="002E5F0A">
              <w:rPr>
                <w:rFonts w:ascii="Arial" w:hAnsi="Arial" w:cs="Arial"/>
                <w:b w:val="0"/>
                <w:bCs w:val="0"/>
                <w:noProof/>
                <w:webHidden/>
                <w:sz w:val="24"/>
                <w:szCs w:val="24"/>
              </w:rPr>
              <w:fldChar w:fldCharType="end"/>
            </w:r>
          </w:hyperlink>
        </w:p>
        <w:p w14:paraId="6BF77131" w14:textId="43E9A592"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315" w:history="1">
            <w:r w:rsidR="00657BD0" w:rsidRPr="002E5F0A">
              <w:rPr>
                <w:rStyle w:val="Hyperlink"/>
                <w:rFonts w:ascii="Arial" w:hAnsi="Arial" w:cs="Arial"/>
                <w:b w:val="0"/>
                <w:bCs w:val="0"/>
                <w:noProof/>
                <w:sz w:val="24"/>
                <w:szCs w:val="24"/>
              </w:rPr>
              <w:t>D3. RF irradiation of mice</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_Toc121217315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264</w:t>
            </w:r>
            <w:r w:rsidR="00657BD0" w:rsidRPr="002E5F0A">
              <w:rPr>
                <w:rFonts w:ascii="Arial" w:hAnsi="Arial" w:cs="Arial"/>
                <w:b w:val="0"/>
                <w:bCs w:val="0"/>
                <w:noProof/>
                <w:webHidden/>
                <w:sz w:val="24"/>
                <w:szCs w:val="24"/>
              </w:rPr>
              <w:fldChar w:fldCharType="end"/>
            </w:r>
          </w:hyperlink>
        </w:p>
        <w:p w14:paraId="0EBE63CF" w14:textId="0A07CFC9"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316" w:history="1">
            <w:r w:rsidR="00657BD0" w:rsidRPr="002E5F0A">
              <w:rPr>
                <w:rStyle w:val="Hyperlink"/>
                <w:rFonts w:ascii="Arial" w:hAnsi="Arial" w:cs="Arial"/>
                <w:b w:val="0"/>
                <w:bCs w:val="0"/>
                <w:noProof/>
                <w:sz w:val="24"/>
                <w:szCs w:val="24"/>
              </w:rPr>
              <w:t>D4. Euthanasia for blood collection</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_Toc121217316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264</w:t>
            </w:r>
            <w:r w:rsidR="00657BD0" w:rsidRPr="002E5F0A">
              <w:rPr>
                <w:rFonts w:ascii="Arial" w:hAnsi="Arial" w:cs="Arial"/>
                <w:b w:val="0"/>
                <w:bCs w:val="0"/>
                <w:noProof/>
                <w:webHidden/>
                <w:sz w:val="24"/>
                <w:szCs w:val="24"/>
              </w:rPr>
              <w:fldChar w:fldCharType="end"/>
            </w:r>
          </w:hyperlink>
        </w:p>
        <w:p w14:paraId="3907AB2E" w14:textId="6A75634E"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317" w:history="1">
            <w:r w:rsidR="00657BD0" w:rsidRPr="002E5F0A">
              <w:rPr>
                <w:rStyle w:val="Hyperlink"/>
                <w:rFonts w:ascii="Arial" w:hAnsi="Arial" w:cs="Arial"/>
                <w:b w:val="0"/>
                <w:bCs w:val="0"/>
                <w:noProof/>
                <w:sz w:val="24"/>
                <w:szCs w:val="24"/>
              </w:rPr>
              <w:t>D5. Spleen collection and splenic cells staining for flow cytometry</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_Toc121217317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265</w:t>
            </w:r>
            <w:r w:rsidR="00657BD0" w:rsidRPr="002E5F0A">
              <w:rPr>
                <w:rFonts w:ascii="Arial" w:hAnsi="Arial" w:cs="Arial"/>
                <w:b w:val="0"/>
                <w:bCs w:val="0"/>
                <w:noProof/>
                <w:webHidden/>
                <w:sz w:val="24"/>
                <w:szCs w:val="24"/>
              </w:rPr>
              <w:fldChar w:fldCharType="end"/>
            </w:r>
          </w:hyperlink>
        </w:p>
        <w:p w14:paraId="763ED947" w14:textId="3916BAD8"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318" w:history="1">
            <w:r w:rsidR="00657BD0" w:rsidRPr="002E5F0A">
              <w:rPr>
                <w:rStyle w:val="Hyperlink"/>
                <w:rFonts w:ascii="Arial" w:hAnsi="Arial" w:cs="Arial"/>
                <w:b w:val="0"/>
                <w:bCs w:val="0"/>
                <w:noProof/>
                <w:sz w:val="24"/>
                <w:szCs w:val="24"/>
              </w:rPr>
              <w:t>D6. Preparation of tissue lysate for SWCNT detection after biodistribution study</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_Toc121217318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267</w:t>
            </w:r>
            <w:r w:rsidR="00657BD0" w:rsidRPr="002E5F0A">
              <w:rPr>
                <w:rFonts w:ascii="Arial" w:hAnsi="Arial" w:cs="Arial"/>
                <w:b w:val="0"/>
                <w:bCs w:val="0"/>
                <w:noProof/>
                <w:webHidden/>
                <w:sz w:val="24"/>
                <w:szCs w:val="24"/>
              </w:rPr>
              <w:fldChar w:fldCharType="end"/>
            </w:r>
          </w:hyperlink>
        </w:p>
        <w:p w14:paraId="64226344" w14:textId="0D067828"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319" w:history="1">
            <w:r w:rsidR="00657BD0" w:rsidRPr="002E5F0A">
              <w:rPr>
                <w:rStyle w:val="Hyperlink"/>
                <w:rFonts w:ascii="Arial" w:hAnsi="Arial" w:cs="Arial"/>
                <w:b w:val="0"/>
                <w:bCs w:val="0"/>
                <w:noProof/>
                <w:sz w:val="24"/>
                <w:szCs w:val="24"/>
              </w:rPr>
              <w:t>D7. Preparation of injectable hydrogel</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_Toc121217319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268</w:t>
            </w:r>
            <w:r w:rsidR="00657BD0" w:rsidRPr="002E5F0A">
              <w:rPr>
                <w:rFonts w:ascii="Arial" w:hAnsi="Arial" w:cs="Arial"/>
                <w:b w:val="0"/>
                <w:bCs w:val="0"/>
                <w:noProof/>
                <w:webHidden/>
                <w:sz w:val="24"/>
                <w:szCs w:val="24"/>
              </w:rPr>
              <w:fldChar w:fldCharType="end"/>
            </w:r>
          </w:hyperlink>
        </w:p>
        <w:p w14:paraId="164705E4" w14:textId="4006FF5D" w:rsidR="00657BD0" w:rsidRPr="002E5F0A" w:rsidRDefault="00DE0DE2" w:rsidP="002E5F0A">
          <w:pPr>
            <w:pStyle w:val="TOC1"/>
            <w:tabs>
              <w:tab w:val="right" w:leader="hyphen" w:pos="9350"/>
            </w:tabs>
            <w:spacing w:line="360" w:lineRule="auto"/>
            <w:rPr>
              <w:rFonts w:ascii="Arial" w:eastAsiaTheme="minorEastAsia" w:hAnsi="Arial" w:cs="Arial"/>
              <w:b w:val="0"/>
              <w:bCs w:val="0"/>
              <w:i w:val="0"/>
              <w:iCs w:val="0"/>
              <w:noProof/>
            </w:rPr>
          </w:pPr>
          <w:hyperlink w:anchor="_Toc121217320" w:history="1">
            <w:r w:rsidR="00657BD0" w:rsidRPr="002E5F0A">
              <w:rPr>
                <w:rStyle w:val="Hyperlink"/>
                <w:rFonts w:ascii="Arial" w:hAnsi="Arial" w:cs="Arial"/>
                <w:b w:val="0"/>
                <w:bCs w:val="0"/>
                <w:noProof/>
              </w:rPr>
              <w:t>APPENDIX E – Other Protocols</w:t>
            </w:r>
            <w:r w:rsidR="00657BD0" w:rsidRPr="002E5F0A">
              <w:rPr>
                <w:rFonts w:ascii="Arial" w:hAnsi="Arial" w:cs="Arial"/>
                <w:b w:val="0"/>
                <w:bCs w:val="0"/>
                <w:noProof/>
                <w:webHidden/>
              </w:rPr>
              <w:tab/>
            </w:r>
            <w:r w:rsidR="00657BD0" w:rsidRPr="002E5F0A">
              <w:rPr>
                <w:rFonts w:ascii="Arial" w:hAnsi="Arial" w:cs="Arial"/>
                <w:b w:val="0"/>
                <w:bCs w:val="0"/>
                <w:noProof/>
                <w:webHidden/>
              </w:rPr>
              <w:fldChar w:fldCharType="begin"/>
            </w:r>
            <w:r w:rsidR="00657BD0" w:rsidRPr="002E5F0A">
              <w:rPr>
                <w:rFonts w:ascii="Arial" w:hAnsi="Arial" w:cs="Arial"/>
                <w:b w:val="0"/>
                <w:bCs w:val="0"/>
                <w:noProof/>
                <w:webHidden/>
              </w:rPr>
              <w:instrText xml:space="preserve"> PAGEREF _Toc121217320 \h </w:instrText>
            </w:r>
            <w:r w:rsidR="00657BD0" w:rsidRPr="002E5F0A">
              <w:rPr>
                <w:rFonts w:ascii="Arial" w:hAnsi="Arial" w:cs="Arial"/>
                <w:b w:val="0"/>
                <w:bCs w:val="0"/>
                <w:noProof/>
                <w:webHidden/>
              </w:rPr>
            </w:r>
            <w:r w:rsidR="00657BD0" w:rsidRPr="002E5F0A">
              <w:rPr>
                <w:rFonts w:ascii="Arial" w:hAnsi="Arial" w:cs="Arial"/>
                <w:b w:val="0"/>
                <w:bCs w:val="0"/>
                <w:noProof/>
                <w:webHidden/>
              </w:rPr>
              <w:fldChar w:fldCharType="separate"/>
            </w:r>
            <w:r w:rsidR="002C4B25">
              <w:rPr>
                <w:rFonts w:ascii="Arial" w:hAnsi="Arial" w:cs="Arial"/>
                <w:b w:val="0"/>
                <w:bCs w:val="0"/>
                <w:noProof/>
                <w:webHidden/>
              </w:rPr>
              <w:t>269</w:t>
            </w:r>
            <w:r w:rsidR="00657BD0" w:rsidRPr="002E5F0A">
              <w:rPr>
                <w:rFonts w:ascii="Arial" w:hAnsi="Arial" w:cs="Arial"/>
                <w:b w:val="0"/>
                <w:bCs w:val="0"/>
                <w:noProof/>
                <w:webHidden/>
              </w:rPr>
              <w:fldChar w:fldCharType="end"/>
            </w:r>
          </w:hyperlink>
        </w:p>
        <w:p w14:paraId="3DB9BBAB" w14:textId="1F34BF43"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321" w:history="1">
            <w:r w:rsidR="00657BD0" w:rsidRPr="002E5F0A">
              <w:rPr>
                <w:rStyle w:val="Hyperlink"/>
                <w:rFonts w:ascii="Arial" w:hAnsi="Arial" w:cs="Arial"/>
                <w:b w:val="0"/>
                <w:bCs w:val="0"/>
                <w:noProof/>
                <w:sz w:val="24"/>
                <w:szCs w:val="24"/>
                <w:lang w:val="en-GB"/>
              </w:rPr>
              <w:t>E1. RF measurements using network analyser</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_Toc121217321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269</w:t>
            </w:r>
            <w:r w:rsidR="00657BD0" w:rsidRPr="002E5F0A">
              <w:rPr>
                <w:rFonts w:ascii="Arial" w:hAnsi="Arial" w:cs="Arial"/>
                <w:b w:val="0"/>
                <w:bCs w:val="0"/>
                <w:noProof/>
                <w:webHidden/>
                <w:sz w:val="24"/>
                <w:szCs w:val="24"/>
              </w:rPr>
              <w:fldChar w:fldCharType="end"/>
            </w:r>
          </w:hyperlink>
        </w:p>
        <w:p w14:paraId="19615FAC" w14:textId="4A14081C" w:rsidR="00657BD0" w:rsidRPr="002E5F0A" w:rsidRDefault="00DE0DE2" w:rsidP="002E5F0A">
          <w:pPr>
            <w:pStyle w:val="TOC2"/>
            <w:tabs>
              <w:tab w:val="right" w:leader="hyphen" w:pos="9350"/>
            </w:tabs>
            <w:spacing w:line="360" w:lineRule="auto"/>
            <w:rPr>
              <w:rFonts w:ascii="Arial" w:eastAsiaTheme="minorEastAsia" w:hAnsi="Arial" w:cs="Arial"/>
              <w:b w:val="0"/>
              <w:bCs w:val="0"/>
              <w:noProof/>
              <w:sz w:val="24"/>
              <w:szCs w:val="24"/>
            </w:rPr>
          </w:pPr>
          <w:hyperlink w:anchor="_Toc121217322" w:history="1">
            <w:r w:rsidR="00657BD0" w:rsidRPr="002E5F0A">
              <w:rPr>
                <w:rStyle w:val="Hyperlink"/>
                <w:rFonts w:ascii="Arial" w:hAnsi="Arial" w:cs="Arial"/>
                <w:b w:val="0"/>
                <w:bCs w:val="0"/>
                <w:noProof/>
                <w:sz w:val="24"/>
                <w:szCs w:val="24"/>
              </w:rPr>
              <w:t>E2. Agarose gel casting and running horizontal electrophoresis</w:t>
            </w:r>
            <w:r w:rsidR="00657BD0" w:rsidRPr="002E5F0A">
              <w:rPr>
                <w:rFonts w:ascii="Arial" w:hAnsi="Arial" w:cs="Arial"/>
                <w:b w:val="0"/>
                <w:bCs w:val="0"/>
                <w:noProof/>
                <w:webHidden/>
                <w:sz w:val="24"/>
                <w:szCs w:val="24"/>
              </w:rPr>
              <w:tab/>
            </w:r>
            <w:r w:rsidR="00657BD0" w:rsidRPr="002E5F0A">
              <w:rPr>
                <w:rFonts w:ascii="Arial" w:hAnsi="Arial" w:cs="Arial"/>
                <w:b w:val="0"/>
                <w:bCs w:val="0"/>
                <w:noProof/>
                <w:webHidden/>
                <w:sz w:val="24"/>
                <w:szCs w:val="24"/>
              </w:rPr>
              <w:fldChar w:fldCharType="begin"/>
            </w:r>
            <w:r w:rsidR="00657BD0" w:rsidRPr="002E5F0A">
              <w:rPr>
                <w:rFonts w:ascii="Arial" w:hAnsi="Arial" w:cs="Arial"/>
                <w:b w:val="0"/>
                <w:bCs w:val="0"/>
                <w:noProof/>
                <w:webHidden/>
                <w:sz w:val="24"/>
                <w:szCs w:val="24"/>
              </w:rPr>
              <w:instrText xml:space="preserve"> PAGEREF _Toc121217322 \h </w:instrText>
            </w:r>
            <w:r w:rsidR="00657BD0" w:rsidRPr="002E5F0A">
              <w:rPr>
                <w:rFonts w:ascii="Arial" w:hAnsi="Arial" w:cs="Arial"/>
                <w:b w:val="0"/>
                <w:bCs w:val="0"/>
                <w:noProof/>
                <w:webHidden/>
                <w:sz w:val="24"/>
                <w:szCs w:val="24"/>
              </w:rPr>
            </w:r>
            <w:r w:rsidR="00657BD0" w:rsidRPr="002E5F0A">
              <w:rPr>
                <w:rFonts w:ascii="Arial" w:hAnsi="Arial" w:cs="Arial"/>
                <w:b w:val="0"/>
                <w:bCs w:val="0"/>
                <w:noProof/>
                <w:webHidden/>
                <w:sz w:val="24"/>
                <w:szCs w:val="24"/>
              </w:rPr>
              <w:fldChar w:fldCharType="separate"/>
            </w:r>
            <w:r w:rsidR="002C4B25">
              <w:rPr>
                <w:rFonts w:ascii="Arial" w:hAnsi="Arial" w:cs="Arial"/>
                <w:b w:val="0"/>
                <w:bCs w:val="0"/>
                <w:noProof/>
                <w:webHidden/>
                <w:sz w:val="24"/>
                <w:szCs w:val="24"/>
              </w:rPr>
              <w:t>270</w:t>
            </w:r>
            <w:r w:rsidR="00657BD0" w:rsidRPr="002E5F0A">
              <w:rPr>
                <w:rFonts w:ascii="Arial" w:hAnsi="Arial" w:cs="Arial"/>
                <w:b w:val="0"/>
                <w:bCs w:val="0"/>
                <w:noProof/>
                <w:webHidden/>
                <w:sz w:val="24"/>
                <w:szCs w:val="24"/>
              </w:rPr>
              <w:fldChar w:fldCharType="end"/>
            </w:r>
          </w:hyperlink>
        </w:p>
        <w:p w14:paraId="0412C9A0" w14:textId="47A00713" w:rsidR="00667EF2" w:rsidRPr="00D74025" w:rsidRDefault="00E13DDF" w:rsidP="002E5F0A">
          <w:pPr>
            <w:spacing w:line="360" w:lineRule="auto"/>
            <w:rPr>
              <w:color w:val="000000" w:themeColor="text1"/>
            </w:rPr>
          </w:pPr>
          <w:r w:rsidRPr="002E5F0A">
            <w:rPr>
              <w:rFonts w:ascii="Arial" w:hAnsi="Arial" w:cs="Arial"/>
              <w:i/>
              <w:iCs/>
              <w:color w:val="000000" w:themeColor="text1"/>
            </w:rPr>
            <w:fldChar w:fldCharType="end"/>
          </w:r>
        </w:p>
      </w:sdtContent>
    </w:sdt>
    <w:p w14:paraId="1B8A4346" w14:textId="2243A3DB" w:rsidR="00791D13" w:rsidRPr="00D74025" w:rsidRDefault="00791D13" w:rsidP="00CF0CD5">
      <w:pPr>
        <w:spacing w:line="360" w:lineRule="auto"/>
        <w:rPr>
          <w:rFonts w:ascii="Arial" w:hAnsi="Arial" w:cs="Arial"/>
          <w:color w:val="000000" w:themeColor="text1"/>
        </w:rPr>
      </w:pPr>
    </w:p>
    <w:p w14:paraId="17F1D0B8" w14:textId="0B69273F" w:rsidR="00DB2B1E" w:rsidRDefault="00DB2B1E" w:rsidP="00CF0CD5">
      <w:pPr>
        <w:spacing w:line="360" w:lineRule="auto"/>
        <w:rPr>
          <w:rFonts w:ascii="Arial" w:hAnsi="Arial" w:cs="Arial"/>
          <w:color w:val="000000" w:themeColor="text1"/>
        </w:rPr>
      </w:pPr>
      <w:r>
        <w:rPr>
          <w:rFonts w:ascii="Arial" w:hAnsi="Arial" w:cs="Arial"/>
          <w:color w:val="000000" w:themeColor="text1"/>
        </w:rPr>
        <w:br w:type="page"/>
      </w:r>
    </w:p>
    <w:p w14:paraId="157B3CB6" w14:textId="1CEFB468" w:rsidR="00F775AE" w:rsidRPr="00322623" w:rsidRDefault="00322623" w:rsidP="002558D4">
      <w:pPr>
        <w:spacing w:line="360" w:lineRule="auto"/>
        <w:jc w:val="center"/>
        <w:rPr>
          <w:rFonts w:ascii="Arial" w:hAnsi="Arial" w:cs="Arial"/>
          <w:b/>
          <w:bCs/>
          <w:color w:val="000000" w:themeColor="text1"/>
          <w:sz w:val="28"/>
          <w:szCs w:val="28"/>
        </w:rPr>
      </w:pPr>
      <w:r w:rsidRPr="00322623">
        <w:rPr>
          <w:rFonts w:ascii="Arial" w:hAnsi="Arial" w:cs="Arial"/>
          <w:b/>
          <w:bCs/>
          <w:color w:val="000000" w:themeColor="text1"/>
          <w:sz w:val="28"/>
          <w:szCs w:val="28"/>
        </w:rPr>
        <w:lastRenderedPageBreak/>
        <w:t>List of Figures</w:t>
      </w:r>
    </w:p>
    <w:p w14:paraId="54610826" w14:textId="77777777" w:rsidR="002558D4" w:rsidRPr="002E5F0A" w:rsidRDefault="002558D4" w:rsidP="002E5F0A">
      <w:pPr>
        <w:spacing w:line="360" w:lineRule="auto"/>
        <w:rPr>
          <w:rFonts w:ascii="Arial" w:hAnsi="Arial" w:cs="Arial"/>
          <w:color w:val="000000" w:themeColor="text1"/>
        </w:rPr>
      </w:pPr>
    </w:p>
    <w:p w14:paraId="7DE339FE" w14:textId="4508F1A7" w:rsidR="00657BD0" w:rsidRPr="002E5F0A" w:rsidRDefault="001E6FAA"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color w:val="000000" w:themeColor="text1"/>
        </w:rPr>
        <w:fldChar w:fldCharType="begin"/>
      </w:r>
      <w:r w:rsidRPr="002E5F0A">
        <w:rPr>
          <w:rFonts w:ascii="Arial" w:hAnsi="Arial" w:cs="Arial"/>
          <w:color w:val="000000" w:themeColor="text1"/>
        </w:rPr>
        <w:instrText xml:space="preserve"> TOC \c "Figure" </w:instrText>
      </w:r>
      <w:r w:rsidRPr="002E5F0A">
        <w:rPr>
          <w:rFonts w:ascii="Arial" w:hAnsi="Arial" w:cs="Arial"/>
          <w:color w:val="000000" w:themeColor="text1"/>
        </w:rPr>
        <w:fldChar w:fldCharType="separate"/>
      </w:r>
      <w:r w:rsidR="00657BD0" w:rsidRPr="002E5F0A">
        <w:rPr>
          <w:rFonts w:ascii="Arial" w:hAnsi="Arial" w:cs="Arial"/>
          <w:noProof/>
          <w:color w:val="000000" w:themeColor="text1"/>
        </w:rPr>
        <w:t>Figure 1: The phospholipid bilayer.</w:t>
      </w:r>
      <w:r w:rsidR="00657BD0" w:rsidRPr="002E5F0A">
        <w:rPr>
          <w:rFonts w:ascii="Arial" w:hAnsi="Arial" w:cs="Arial"/>
          <w:noProof/>
        </w:rPr>
        <w:tab/>
      </w:r>
      <w:r w:rsidR="00657BD0" w:rsidRPr="002E5F0A">
        <w:rPr>
          <w:rFonts w:ascii="Arial" w:hAnsi="Arial" w:cs="Arial"/>
          <w:noProof/>
        </w:rPr>
        <w:fldChar w:fldCharType="begin"/>
      </w:r>
      <w:r w:rsidR="00657BD0" w:rsidRPr="002E5F0A">
        <w:rPr>
          <w:rFonts w:ascii="Arial" w:hAnsi="Arial" w:cs="Arial"/>
          <w:noProof/>
        </w:rPr>
        <w:instrText xml:space="preserve"> PAGEREF _Toc121217323 \h </w:instrText>
      </w:r>
      <w:r w:rsidR="00657BD0" w:rsidRPr="002E5F0A">
        <w:rPr>
          <w:rFonts w:ascii="Arial" w:hAnsi="Arial" w:cs="Arial"/>
          <w:noProof/>
        </w:rPr>
      </w:r>
      <w:r w:rsidR="00657BD0" w:rsidRPr="002E5F0A">
        <w:rPr>
          <w:rFonts w:ascii="Arial" w:hAnsi="Arial" w:cs="Arial"/>
          <w:noProof/>
        </w:rPr>
        <w:fldChar w:fldCharType="separate"/>
      </w:r>
      <w:r w:rsidR="00433351">
        <w:rPr>
          <w:rFonts w:ascii="Arial" w:hAnsi="Arial" w:cs="Arial"/>
          <w:noProof/>
        </w:rPr>
        <w:t>2</w:t>
      </w:r>
      <w:r w:rsidR="00657BD0" w:rsidRPr="002E5F0A">
        <w:rPr>
          <w:rFonts w:ascii="Arial" w:hAnsi="Arial" w:cs="Arial"/>
          <w:noProof/>
        </w:rPr>
        <w:fldChar w:fldCharType="end"/>
      </w:r>
    </w:p>
    <w:p w14:paraId="1134C734" w14:textId="34EF5C12"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2: Updated fluid—mosaic membrane model (2014)..</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_Toc121217324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4</w:t>
      </w:r>
      <w:r w:rsidRPr="002E5F0A">
        <w:rPr>
          <w:rFonts w:ascii="Arial" w:hAnsi="Arial" w:cs="Arial"/>
          <w:noProof/>
        </w:rPr>
        <w:fldChar w:fldCharType="end"/>
      </w:r>
    </w:p>
    <w:p w14:paraId="30CAC82B" w14:textId="2861D58E"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3: Lipid steady-state composition of the plasma membrane.</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_Toc121217325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5</w:t>
      </w:r>
      <w:r w:rsidRPr="002E5F0A">
        <w:rPr>
          <w:rFonts w:ascii="Arial" w:hAnsi="Arial" w:cs="Arial"/>
          <w:noProof/>
        </w:rPr>
        <w:fldChar w:fldCharType="end"/>
      </w:r>
    </w:p>
    <w:p w14:paraId="6E6DEEE3" w14:textId="5E24A7AE"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4: Distribution of phospholipids on each leaflet of the red blood cell plasma membrane.</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_Toc121217326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6</w:t>
      </w:r>
      <w:r w:rsidRPr="002E5F0A">
        <w:rPr>
          <w:rFonts w:ascii="Arial" w:hAnsi="Arial" w:cs="Arial"/>
          <w:noProof/>
        </w:rPr>
        <w:fldChar w:fldCharType="end"/>
      </w:r>
    </w:p>
    <w:p w14:paraId="0A726F6E" w14:textId="51D4E382"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5: The three classes of phospholipid translocases: flippases, floppases, and scramblases..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_Toc121217327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7</w:t>
      </w:r>
      <w:r w:rsidRPr="002E5F0A">
        <w:rPr>
          <w:rFonts w:ascii="Arial" w:hAnsi="Arial" w:cs="Arial"/>
          <w:noProof/>
        </w:rPr>
        <w:fldChar w:fldCharType="end"/>
      </w:r>
    </w:p>
    <w:p w14:paraId="63299744" w14:textId="0A9120B5"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6: The credit card model for the mechanism of protein-mediated lipid transport..</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_Toc121217328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10</w:t>
      </w:r>
      <w:r w:rsidRPr="002E5F0A">
        <w:rPr>
          <w:rFonts w:ascii="Arial" w:hAnsi="Arial" w:cs="Arial"/>
          <w:noProof/>
        </w:rPr>
        <w:fldChar w:fldCharType="end"/>
      </w:r>
    </w:p>
    <w:p w14:paraId="4D9CF068" w14:textId="309FC50F"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7: Pathways phospholipid scrambling during blood coagulation and apoptosis.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_Toc121217329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11</w:t>
      </w:r>
      <w:r w:rsidRPr="002E5F0A">
        <w:rPr>
          <w:rFonts w:ascii="Arial" w:hAnsi="Arial" w:cs="Arial"/>
          <w:noProof/>
        </w:rPr>
        <w:fldChar w:fldCharType="end"/>
      </w:r>
    </w:p>
    <w:p w14:paraId="18BFA46B" w14:textId="46ABD2E7"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8: Three-dimensional model of human annexin A5.</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_Toc121217330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15</w:t>
      </w:r>
      <w:r w:rsidRPr="002E5F0A">
        <w:rPr>
          <w:rFonts w:ascii="Arial" w:hAnsi="Arial" w:cs="Arial"/>
          <w:noProof/>
        </w:rPr>
        <w:fldChar w:fldCharType="end"/>
      </w:r>
    </w:p>
    <w:p w14:paraId="0B136029" w14:textId="0EEF5F87"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9: Three-dimensional model of Ca</w:t>
      </w:r>
      <w:r w:rsidRPr="002E5F0A">
        <w:rPr>
          <w:rFonts w:ascii="Arial" w:hAnsi="Arial" w:cs="Arial"/>
          <w:noProof/>
          <w:color w:val="000000" w:themeColor="text1"/>
          <w:vertAlign w:val="superscript"/>
        </w:rPr>
        <w:t>2+</w:t>
      </w:r>
      <w:r w:rsidRPr="002E5F0A">
        <w:rPr>
          <w:rFonts w:ascii="Arial" w:hAnsi="Arial" w:cs="Arial"/>
          <w:noProof/>
          <w:color w:val="000000" w:themeColor="text1"/>
        </w:rPr>
        <w:t>-dependent binding of Annexin A5 to membrane model showing.</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_Toc121217331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16</w:t>
      </w:r>
      <w:r w:rsidRPr="002E5F0A">
        <w:rPr>
          <w:rFonts w:ascii="Arial" w:hAnsi="Arial" w:cs="Arial"/>
          <w:noProof/>
        </w:rPr>
        <w:fldChar w:fldCharType="end"/>
      </w:r>
    </w:p>
    <w:p w14:paraId="015CBCB8" w14:textId="2DD6091C"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10: Annexin A5 domains and trimerization:</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_Toc121217332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17</w:t>
      </w:r>
      <w:r w:rsidRPr="002E5F0A">
        <w:rPr>
          <w:rFonts w:ascii="Arial" w:hAnsi="Arial" w:cs="Arial"/>
          <w:noProof/>
        </w:rPr>
        <w:fldChar w:fldCharType="end"/>
      </w:r>
    </w:p>
    <w:p w14:paraId="5DC09EAE" w14:textId="2F5FC148"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11: Annexin A5 binding to phosphatidylserine induces endocytosis.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_Toc121217333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19</w:t>
      </w:r>
      <w:r w:rsidRPr="002E5F0A">
        <w:rPr>
          <w:rFonts w:ascii="Arial" w:hAnsi="Arial" w:cs="Arial"/>
          <w:noProof/>
        </w:rPr>
        <w:fldChar w:fldCharType="end"/>
      </w:r>
    </w:p>
    <w:p w14:paraId="41947020" w14:textId="56F49053"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12: Global map ranking cancer as a leading cause of death at ages below 70 years in 2019 for each country.</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_Toc121217334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20</w:t>
      </w:r>
      <w:r w:rsidRPr="002E5F0A">
        <w:rPr>
          <w:rFonts w:ascii="Arial" w:hAnsi="Arial" w:cs="Arial"/>
          <w:noProof/>
        </w:rPr>
        <w:fldChar w:fldCharType="end"/>
      </w:r>
    </w:p>
    <w:p w14:paraId="769E44AD" w14:textId="7C47CC01"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13: The hallmarks of cancer as of 2022.</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_Toc121217335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22</w:t>
      </w:r>
      <w:r w:rsidRPr="002E5F0A">
        <w:rPr>
          <w:rFonts w:ascii="Arial" w:hAnsi="Arial" w:cs="Arial"/>
          <w:noProof/>
        </w:rPr>
        <w:fldChar w:fldCharType="end"/>
      </w:r>
    </w:p>
    <w:p w14:paraId="30BDA4DF" w14:textId="2E6B70B2"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14: Model for the multistep metastatic process.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_Toc121217336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27</w:t>
      </w:r>
      <w:r w:rsidRPr="002E5F0A">
        <w:rPr>
          <w:rFonts w:ascii="Arial" w:hAnsi="Arial" w:cs="Arial"/>
          <w:noProof/>
        </w:rPr>
        <w:fldChar w:fldCharType="end"/>
      </w:r>
    </w:p>
    <w:p w14:paraId="766ADAF2" w14:textId="2B1FDC64"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15: Incidence and mortality age-standardized rates in high/very-high human development index (HDI) regions versus low/medium HDI regions among women in 2018.</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_Toc121217337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29</w:t>
      </w:r>
      <w:r w:rsidRPr="002E5F0A">
        <w:rPr>
          <w:rFonts w:ascii="Arial" w:hAnsi="Arial" w:cs="Arial"/>
          <w:noProof/>
        </w:rPr>
        <w:fldChar w:fldCharType="end"/>
      </w:r>
    </w:p>
    <w:p w14:paraId="7C5E713E" w14:textId="16EBB0C4"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16: Histological classification of breast cancer subtypes shows the heterogeneity in breast cancer due to growth patterns and architectural features.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_Toc121217338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32</w:t>
      </w:r>
      <w:r w:rsidRPr="002E5F0A">
        <w:rPr>
          <w:rFonts w:ascii="Arial" w:hAnsi="Arial" w:cs="Arial"/>
          <w:noProof/>
        </w:rPr>
        <w:fldChar w:fldCharType="end"/>
      </w:r>
    </w:p>
    <w:p w14:paraId="4E2B5720" w14:textId="0C5CFC1C"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17: Targetable pathways of oncogenic signaling pathways in TNBC.</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_Toc121217339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39</w:t>
      </w:r>
      <w:r w:rsidRPr="002E5F0A">
        <w:rPr>
          <w:rFonts w:ascii="Arial" w:hAnsi="Arial" w:cs="Arial"/>
          <w:noProof/>
        </w:rPr>
        <w:fldChar w:fldCharType="end"/>
      </w:r>
    </w:p>
    <w:p w14:paraId="6FBA4D59" w14:textId="52C4AE6C"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18: Mechanisms of photothermal effect during PTT.</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_Toc121217340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44</w:t>
      </w:r>
      <w:r w:rsidRPr="002E5F0A">
        <w:rPr>
          <w:rFonts w:ascii="Arial" w:hAnsi="Arial" w:cs="Arial"/>
          <w:noProof/>
        </w:rPr>
        <w:fldChar w:fldCharType="end"/>
      </w:r>
    </w:p>
    <w:p w14:paraId="593650A8" w14:textId="48333DCC"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19: Comparison of water and hemoglobin absorbance to carbon nanotubes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_Toc121217341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47</w:t>
      </w:r>
      <w:r w:rsidRPr="002E5F0A">
        <w:rPr>
          <w:rFonts w:ascii="Arial" w:hAnsi="Arial" w:cs="Arial"/>
          <w:noProof/>
        </w:rPr>
        <w:fldChar w:fldCharType="end"/>
      </w:r>
    </w:p>
    <w:p w14:paraId="13C12AA8" w14:textId="727087B5"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20: Immunogenicity of cell death.</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_Toc121217342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49</w:t>
      </w:r>
      <w:r w:rsidRPr="002E5F0A">
        <w:rPr>
          <w:rFonts w:ascii="Arial" w:hAnsi="Arial" w:cs="Arial"/>
          <w:noProof/>
        </w:rPr>
        <w:fldChar w:fldCharType="end"/>
      </w:r>
    </w:p>
    <w:p w14:paraId="748E188A" w14:textId="1127F000"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lastRenderedPageBreak/>
        <w:t>Figure 21: Interactions between PD-1 and PD-L1 on T cells and cancer cells and checkpoint inhibition.</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_Toc121217343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53</w:t>
      </w:r>
      <w:r w:rsidRPr="002E5F0A">
        <w:rPr>
          <w:rFonts w:ascii="Arial" w:hAnsi="Arial" w:cs="Arial"/>
          <w:noProof/>
        </w:rPr>
        <w:fldChar w:fldCharType="end"/>
      </w:r>
    </w:p>
    <w:p w14:paraId="0A50581A" w14:textId="5677A9E1"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22: SWCNT helicity map</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_Toc121217344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57</w:t>
      </w:r>
      <w:r w:rsidRPr="002E5F0A">
        <w:rPr>
          <w:rFonts w:ascii="Arial" w:hAnsi="Arial" w:cs="Arial"/>
          <w:noProof/>
        </w:rPr>
        <w:fldChar w:fldCharType="end"/>
      </w:r>
    </w:p>
    <w:p w14:paraId="47509B90" w14:textId="37C23823"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23: Schematic representation of the state of the catalyst components before and during the production of SWCNT.</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_Toc121217345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58</w:t>
      </w:r>
      <w:r w:rsidRPr="002E5F0A">
        <w:rPr>
          <w:rFonts w:ascii="Arial" w:hAnsi="Arial" w:cs="Arial"/>
          <w:noProof/>
        </w:rPr>
        <w:fldChar w:fldCharType="end"/>
      </w:r>
    </w:p>
    <w:p w14:paraId="7A6CAD0A" w14:textId="10B684CF"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24: Mertansine Chemical Structure</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_Toc121217346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61</w:t>
      </w:r>
      <w:r w:rsidRPr="002E5F0A">
        <w:rPr>
          <w:rFonts w:ascii="Arial" w:hAnsi="Arial" w:cs="Arial"/>
          <w:noProof/>
        </w:rPr>
        <w:fldChar w:fldCharType="end"/>
      </w:r>
    </w:p>
    <w:p w14:paraId="36374EA5" w14:textId="5159A32F"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eastAsiaTheme="minorEastAsia" w:hAnsi="Arial" w:cs="Arial"/>
          <w:noProof/>
          <w:color w:val="000000" w:themeColor="text1"/>
        </w:rPr>
        <w:t>Figure 25: Treatment schedule for the combination therapy of EMT6 tumor models with SWCNT-ANXA5 mediated photothermal therapy until 45</w:t>
      </w:r>
      <w:r w:rsidRPr="002E5F0A">
        <w:rPr>
          <w:rFonts w:ascii="Arial" w:eastAsiaTheme="minorEastAsia" w:hAnsi="Arial" w:cs="Arial"/>
          <w:noProof/>
          <w:color w:val="000000" w:themeColor="text1"/>
        </w:rPr>
        <w:sym w:font="Symbol" w:char="F0B0"/>
      </w:r>
      <w:r w:rsidRPr="002E5F0A">
        <w:rPr>
          <w:rFonts w:ascii="Arial" w:eastAsiaTheme="minorEastAsia" w:hAnsi="Arial" w:cs="Arial"/>
          <w:noProof/>
          <w:color w:val="000000" w:themeColor="text1"/>
        </w:rPr>
        <w:t>C and anti-PD-1.</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_Toc121217347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77</w:t>
      </w:r>
      <w:r w:rsidRPr="002E5F0A">
        <w:rPr>
          <w:rFonts w:ascii="Arial" w:hAnsi="Arial" w:cs="Arial"/>
          <w:noProof/>
        </w:rPr>
        <w:fldChar w:fldCharType="end"/>
      </w:r>
    </w:p>
    <w:p w14:paraId="02D0ED15" w14:textId="100AC566"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eastAsiaTheme="minorEastAsia" w:hAnsi="Arial" w:cs="Arial"/>
          <w:noProof/>
          <w:color w:val="000000" w:themeColor="text1"/>
        </w:rPr>
        <w:t>Figure 26: Treatment schedule for the combination therapy of 4T1 tumor models with SWCNT-ANXA5 mediated photothermal therapy until 55</w:t>
      </w:r>
      <w:r w:rsidRPr="002E5F0A">
        <w:rPr>
          <w:rFonts w:ascii="Arial" w:eastAsiaTheme="minorEastAsia" w:hAnsi="Arial" w:cs="Arial"/>
          <w:noProof/>
          <w:color w:val="000000" w:themeColor="text1"/>
        </w:rPr>
        <w:sym w:font="Symbol" w:char="F0B0"/>
      </w:r>
      <w:r w:rsidRPr="002E5F0A">
        <w:rPr>
          <w:rFonts w:ascii="Arial" w:eastAsiaTheme="minorEastAsia" w:hAnsi="Arial" w:cs="Arial"/>
          <w:noProof/>
          <w:color w:val="000000" w:themeColor="text1"/>
        </w:rPr>
        <w:t>C, anti-PD-1 and immunoadjuvant imiquimod.</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_Toc121217348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82</w:t>
      </w:r>
      <w:r w:rsidRPr="002E5F0A">
        <w:rPr>
          <w:rFonts w:ascii="Arial" w:hAnsi="Arial" w:cs="Arial"/>
          <w:noProof/>
        </w:rPr>
        <w:fldChar w:fldCharType="end"/>
      </w:r>
    </w:p>
    <w:p w14:paraId="2423E9A4" w14:textId="215D3A4E"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27: Matching network loading plates.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_Toc121217349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86</w:t>
      </w:r>
      <w:r w:rsidRPr="002E5F0A">
        <w:rPr>
          <w:rFonts w:ascii="Arial" w:hAnsi="Arial" w:cs="Arial"/>
          <w:noProof/>
        </w:rPr>
        <w:fldChar w:fldCharType="end"/>
      </w:r>
    </w:p>
    <w:p w14:paraId="10C6F61A" w14:textId="625EC8F3"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28: Scheme of AuNP-ANXA5-DM1 conjugation.</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_Toc121217350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94</w:t>
      </w:r>
      <w:r w:rsidRPr="002E5F0A">
        <w:rPr>
          <w:rFonts w:ascii="Arial" w:hAnsi="Arial" w:cs="Arial"/>
          <w:noProof/>
        </w:rPr>
        <w:fldChar w:fldCharType="end"/>
      </w:r>
    </w:p>
    <w:p w14:paraId="3BDBEC6F" w14:textId="3E551C34"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29: Temperature elevation of different solutions and SWCNT-ANXA5 conjugate suspension after NIR laser irradiation at room temperature.</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_Toc121217351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98</w:t>
      </w:r>
      <w:r w:rsidRPr="002E5F0A">
        <w:rPr>
          <w:rFonts w:ascii="Arial" w:hAnsi="Arial" w:cs="Arial"/>
          <w:noProof/>
        </w:rPr>
        <w:fldChar w:fldCharType="end"/>
      </w:r>
    </w:p>
    <w:p w14:paraId="7F0A1F82" w14:textId="2B6B7406"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30: Cell viability of EMT6 cells after NIR laser at treatment room temperature.</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_Toc121217352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100</w:t>
      </w:r>
      <w:r w:rsidRPr="002E5F0A">
        <w:rPr>
          <w:rFonts w:ascii="Arial" w:hAnsi="Arial" w:cs="Arial"/>
          <w:noProof/>
        </w:rPr>
        <w:fldChar w:fldCharType="end"/>
      </w:r>
    </w:p>
    <w:p w14:paraId="4267BF7A" w14:textId="6D8953C9"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31: Temperature elevation of EMT6 cells after NIR laser treatment at room temperature.</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_Toc121217353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101</w:t>
      </w:r>
      <w:r w:rsidRPr="002E5F0A">
        <w:rPr>
          <w:rFonts w:ascii="Arial" w:hAnsi="Arial" w:cs="Arial"/>
          <w:noProof/>
        </w:rPr>
        <w:fldChar w:fldCharType="end"/>
      </w:r>
    </w:p>
    <w:p w14:paraId="212991E6" w14:textId="2D426F2F"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32: Viability of EMT6 cells after NIR laser treatment at 37°C in an incubator.</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_Toc121217354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103</w:t>
      </w:r>
      <w:r w:rsidRPr="002E5F0A">
        <w:rPr>
          <w:rFonts w:ascii="Arial" w:hAnsi="Arial" w:cs="Arial"/>
          <w:noProof/>
        </w:rPr>
        <w:fldChar w:fldCharType="end"/>
      </w:r>
    </w:p>
    <w:p w14:paraId="52CEF195" w14:textId="49839305"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33: Viability of HUVEC cells after NIR laser treatment at 37°C in an incubator.</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_Toc121217355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105</w:t>
      </w:r>
      <w:r w:rsidRPr="002E5F0A">
        <w:rPr>
          <w:rFonts w:ascii="Arial" w:hAnsi="Arial" w:cs="Arial"/>
          <w:noProof/>
        </w:rPr>
        <w:fldChar w:fldCharType="end"/>
      </w:r>
    </w:p>
    <w:p w14:paraId="6816B07A" w14:textId="7AFB71B6"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34: Cytokine concentrations in serum 7 days after PTT in mice treated with combination therapy of SWCNT-ANXA5 mediated PTT and anti-CTLA-4</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_Toc121217356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109</w:t>
      </w:r>
      <w:r w:rsidRPr="002E5F0A">
        <w:rPr>
          <w:rFonts w:ascii="Arial" w:hAnsi="Arial" w:cs="Arial"/>
          <w:noProof/>
        </w:rPr>
        <w:fldChar w:fldCharType="end"/>
      </w:r>
    </w:p>
    <w:p w14:paraId="497D1FDF" w14:textId="72B27139"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35: TNF-</w:t>
      </w:r>
      <w:r w:rsidRPr="002E5F0A">
        <w:rPr>
          <w:rFonts w:ascii="Arial" w:hAnsi="Arial" w:cs="Arial"/>
          <w:noProof/>
          <w:color w:val="000000" w:themeColor="text1"/>
        </w:rPr>
        <w:sym w:font="Symbol" w:char="F061"/>
      </w:r>
      <w:r w:rsidRPr="002E5F0A">
        <w:rPr>
          <w:rFonts w:ascii="Arial" w:hAnsi="Arial" w:cs="Arial"/>
          <w:noProof/>
          <w:color w:val="000000" w:themeColor="text1"/>
          <w:lang w:val="el-GR"/>
        </w:rPr>
        <w:t xml:space="preserve"> </w:t>
      </w:r>
      <w:r w:rsidRPr="002E5F0A">
        <w:rPr>
          <w:rFonts w:ascii="Arial" w:hAnsi="Arial" w:cs="Arial"/>
          <w:noProof/>
          <w:color w:val="000000" w:themeColor="text1"/>
        </w:rPr>
        <w:t>concentrations in serum 24 hours after PTT in mice treated with IV injection or IT injection of SWCNT-ANXA5.</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_Toc121217357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110</w:t>
      </w:r>
      <w:r w:rsidRPr="002E5F0A">
        <w:rPr>
          <w:rFonts w:ascii="Arial" w:hAnsi="Arial" w:cs="Arial"/>
          <w:noProof/>
        </w:rPr>
        <w:fldChar w:fldCharType="end"/>
      </w:r>
    </w:p>
    <w:p w14:paraId="603C88E6" w14:textId="3C185939"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36:  Cytokine concentrations in serum 1 day (24 h) and 7 days (168 h) after PTT with different final temperatures.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_Toc121217358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113</w:t>
      </w:r>
      <w:r w:rsidRPr="002E5F0A">
        <w:rPr>
          <w:rFonts w:ascii="Arial" w:hAnsi="Arial" w:cs="Arial"/>
          <w:noProof/>
        </w:rPr>
        <w:fldChar w:fldCharType="end"/>
      </w:r>
    </w:p>
    <w:p w14:paraId="0D5CC60F" w14:textId="2B0E4A03"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37: Results of combinatorial photothermal therapy (PTT) and checkpoint inhibition (anti-PD-1) in EMT6 tumors.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_Toc121217359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116</w:t>
      </w:r>
      <w:r w:rsidRPr="002E5F0A">
        <w:rPr>
          <w:rFonts w:ascii="Arial" w:hAnsi="Arial" w:cs="Arial"/>
          <w:noProof/>
        </w:rPr>
        <w:fldChar w:fldCharType="end"/>
      </w:r>
    </w:p>
    <w:p w14:paraId="3B26F382" w14:textId="76EB2BDE"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lastRenderedPageBreak/>
        <w:t>Figure 38: Tumor Volumes on days 9, 14, and 21 after tumor inoculation of combinatorial photothermal therapy (PTT) and checkpoint inhibition (anti-PD-1) in EMT6 tumors.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_Toc121217360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116</w:t>
      </w:r>
      <w:r w:rsidRPr="002E5F0A">
        <w:rPr>
          <w:rFonts w:ascii="Arial" w:hAnsi="Arial" w:cs="Arial"/>
          <w:noProof/>
        </w:rPr>
        <w:fldChar w:fldCharType="end"/>
      </w:r>
    </w:p>
    <w:p w14:paraId="605895B2" w14:textId="67D1BE0C"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39: Splenic cell analysis of combinatorial photothermal therapy (PTT) and checkpoint inhibition (anti-PD-1) in EMT6 tumors.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_Toc121217361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118</w:t>
      </w:r>
      <w:r w:rsidRPr="002E5F0A">
        <w:rPr>
          <w:rFonts w:ascii="Arial" w:hAnsi="Arial" w:cs="Arial"/>
          <w:noProof/>
        </w:rPr>
        <w:fldChar w:fldCharType="end"/>
      </w:r>
    </w:p>
    <w:p w14:paraId="4173B4D7" w14:textId="3C8300BE"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40: Tumor control from SWCNT-ANXA5 mediated PTT at 45</w:t>
      </w:r>
      <w:r w:rsidRPr="002E5F0A">
        <w:rPr>
          <w:rFonts w:ascii="Arial" w:hAnsi="Arial" w:cs="Arial"/>
          <w:noProof/>
          <w:color w:val="000000" w:themeColor="text1"/>
        </w:rPr>
        <w:sym w:font="Symbol" w:char="F0B0"/>
      </w:r>
      <w:r w:rsidRPr="002E5F0A">
        <w:rPr>
          <w:rFonts w:ascii="Arial" w:hAnsi="Arial" w:cs="Arial"/>
          <w:noProof/>
          <w:color w:val="000000" w:themeColor="text1"/>
        </w:rPr>
        <w:t>C for longer irradiation times in EMT6 tumor model</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_Toc121217362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120</w:t>
      </w:r>
      <w:r w:rsidRPr="002E5F0A">
        <w:rPr>
          <w:rFonts w:ascii="Arial" w:hAnsi="Arial" w:cs="Arial"/>
          <w:noProof/>
        </w:rPr>
        <w:fldChar w:fldCharType="end"/>
      </w:r>
    </w:p>
    <w:p w14:paraId="0EED7A85" w14:textId="52469BD7"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41: Results of combinatorial therapy of checkpoint inhibition (anti-PD-1) and photothermal therapy (PTT) at 45</w:t>
      </w:r>
      <w:r w:rsidRPr="002E5F0A">
        <w:rPr>
          <w:rFonts w:ascii="Arial" w:hAnsi="Arial" w:cs="Arial"/>
          <w:noProof/>
          <w:color w:val="000000" w:themeColor="text1"/>
        </w:rPr>
        <w:sym w:font="Symbol" w:char="F0B0"/>
      </w:r>
      <w:r w:rsidRPr="002E5F0A">
        <w:rPr>
          <w:rFonts w:ascii="Arial" w:hAnsi="Arial" w:cs="Arial"/>
          <w:noProof/>
          <w:color w:val="000000" w:themeColor="text1"/>
        </w:rPr>
        <w:t>C (immediately stopped or kept for 5 min) and in EMT6 tumors.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_Toc121217363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122</w:t>
      </w:r>
      <w:r w:rsidRPr="002E5F0A">
        <w:rPr>
          <w:rFonts w:ascii="Arial" w:hAnsi="Arial" w:cs="Arial"/>
          <w:noProof/>
        </w:rPr>
        <w:fldChar w:fldCharType="end"/>
      </w:r>
    </w:p>
    <w:p w14:paraId="4781EEB2" w14:textId="0AB86CCC"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42: Results of combinatorial therapy of checkpoint inhibition (anti-PD-1) and photothermal therapy (PTT) at 45</w:t>
      </w:r>
      <w:r w:rsidRPr="002E5F0A">
        <w:rPr>
          <w:rFonts w:ascii="Arial" w:hAnsi="Arial" w:cs="Arial"/>
          <w:noProof/>
          <w:color w:val="000000" w:themeColor="text1"/>
        </w:rPr>
        <w:sym w:font="Symbol" w:char="F0B0"/>
      </w:r>
      <w:r w:rsidRPr="002E5F0A">
        <w:rPr>
          <w:rFonts w:ascii="Arial" w:hAnsi="Arial" w:cs="Arial"/>
          <w:noProof/>
          <w:color w:val="000000" w:themeColor="text1"/>
        </w:rPr>
        <w:t>C (immediately stopped or kept for 5 min) in 4T1 tumors.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_Toc121217364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126</w:t>
      </w:r>
      <w:r w:rsidRPr="002E5F0A">
        <w:rPr>
          <w:rFonts w:ascii="Arial" w:hAnsi="Arial" w:cs="Arial"/>
          <w:noProof/>
        </w:rPr>
        <w:fldChar w:fldCharType="end"/>
      </w:r>
    </w:p>
    <w:p w14:paraId="5EAF0D36" w14:textId="0AD63DDC"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43: The anti-cancer innate immunity cycle.</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_Toc121217365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129</w:t>
      </w:r>
      <w:r w:rsidRPr="002E5F0A">
        <w:rPr>
          <w:rFonts w:ascii="Arial" w:hAnsi="Arial" w:cs="Arial"/>
          <w:noProof/>
        </w:rPr>
        <w:fldChar w:fldCharType="end"/>
      </w:r>
    </w:p>
    <w:p w14:paraId="7C9AB5B1" w14:textId="7356D316"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44: chemical structure of imiquimod (IMQ).</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_Toc121217366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131</w:t>
      </w:r>
      <w:r w:rsidRPr="002E5F0A">
        <w:rPr>
          <w:rFonts w:ascii="Arial" w:hAnsi="Arial" w:cs="Arial"/>
          <w:noProof/>
        </w:rPr>
        <w:fldChar w:fldCharType="end"/>
      </w:r>
    </w:p>
    <w:p w14:paraId="563948C7" w14:textId="6D5243EA"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45: Long term survival study of combinatorial therapy of anti-PD-1, imiquimod-loaded hydrogel and photothermal therapy (PTT) at 55</w:t>
      </w:r>
      <w:r w:rsidRPr="002E5F0A">
        <w:rPr>
          <w:rFonts w:ascii="Arial" w:hAnsi="Arial" w:cs="Arial"/>
          <w:noProof/>
          <w:color w:val="000000" w:themeColor="text1"/>
        </w:rPr>
        <w:sym w:font="Symbol" w:char="F0B0"/>
      </w:r>
      <w:r w:rsidRPr="002E5F0A">
        <w:rPr>
          <w:rFonts w:ascii="Arial" w:hAnsi="Arial" w:cs="Arial"/>
          <w:noProof/>
          <w:color w:val="000000" w:themeColor="text1"/>
        </w:rPr>
        <w:t>C in 4T1 tumors.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_Toc121217367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133</w:t>
      </w:r>
      <w:r w:rsidRPr="002E5F0A">
        <w:rPr>
          <w:rFonts w:ascii="Arial" w:hAnsi="Arial" w:cs="Arial"/>
          <w:noProof/>
        </w:rPr>
        <w:fldChar w:fldCharType="end"/>
      </w:r>
    </w:p>
    <w:p w14:paraId="6EA9CF56" w14:textId="298C6F0E"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46: Serum cytokine concentration of combinatorial therapy of anti-PD-1, imiquimod-loaded hydrogel and photothermal therapy (PTT) at 55</w:t>
      </w:r>
      <w:r w:rsidRPr="002E5F0A">
        <w:rPr>
          <w:rFonts w:ascii="Arial" w:hAnsi="Arial" w:cs="Arial"/>
          <w:noProof/>
          <w:color w:val="000000" w:themeColor="text1"/>
        </w:rPr>
        <w:sym w:font="Symbol" w:char="F0B0"/>
      </w:r>
      <w:r w:rsidRPr="002E5F0A">
        <w:rPr>
          <w:rFonts w:ascii="Arial" w:hAnsi="Arial" w:cs="Arial"/>
          <w:noProof/>
          <w:color w:val="000000" w:themeColor="text1"/>
        </w:rPr>
        <w:t>C in 4T1 tumors.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_Toc121217368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136</w:t>
      </w:r>
      <w:r w:rsidRPr="002E5F0A">
        <w:rPr>
          <w:rFonts w:ascii="Arial" w:hAnsi="Arial" w:cs="Arial"/>
          <w:noProof/>
        </w:rPr>
        <w:fldChar w:fldCharType="end"/>
      </w:r>
    </w:p>
    <w:p w14:paraId="0383F64E" w14:textId="45788A01"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47: Analysis of splenic cells after combinatorial therapy of anti-PD-1, imiquimod-loaded hydrogel and photothermal therapy (PTT) at 55</w:t>
      </w:r>
      <w:r w:rsidRPr="002E5F0A">
        <w:rPr>
          <w:rFonts w:ascii="Arial" w:hAnsi="Arial" w:cs="Arial"/>
          <w:noProof/>
          <w:color w:val="000000" w:themeColor="text1"/>
        </w:rPr>
        <w:sym w:font="Symbol" w:char="F0B0"/>
      </w:r>
      <w:r w:rsidRPr="002E5F0A">
        <w:rPr>
          <w:rFonts w:ascii="Arial" w:hAnsi="Arial" w:cs="Arial"/>
          <w:noProof/>
          <w:color w:val="000000" w:themeColor="text1"/>
        </w:rPr>
        <w:t>C in 4T1 tumors.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_Toc121217369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138</w:t>
      </w:r>
      <w:r w:rsidRPr="002E5F0A">
        <w:rPr>
          <w:rFonts w:ascii="Arial" w:hAnsi="Arial" w:cs="Arial"/>
          <w:noProof/>
        </w:rPr>
        <w:fldChar w:fldCharType="end"/>
      </w:r>
    </w:p>
    <w:p w14:paraId="788CBCB7" w14:textId="5A73EC29"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48: Heating rate of (6,5) SWCNT and few walled CNT suspended in sodium dodecyl sulfate (SDS) in RF field..</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_Toc121217370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143</w:t>
      </w:r>
      <w:r w:rsidRPr="002E5F0A">
        <w:rPr>
          <w:rFonts w:ascii="Arial" w:hAnsi="Arial" w:cs="Arial"/>
          <w:noProof/>
        </w:rPr>
        <w:fldChar w:fldCharType="end"/>
      </w:r>
    </w:p>
    <w:p w14:paraId="4A30A307" w14:textId="709934C0"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49: Heating rate of (6,5) SWCNT and few walled CNT suspended in sodium deoxycholate (SDC) in 13,56 MHz RF field.</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_Toc121217371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144</w:t>
      </w:r>
      <w:r w:rsidRPr="002E5F0A">
        <w:rPr>
          <w:rFonts w:ascii="Arial" w:hAnsi="Arial" w:cs="Arial"/>
          <w:noProof/>
        </w:rPr>
        <w:fldChar w:fldCharType="end"/>
      </w:r>
    </w:p>
    <w:p w14:paraId="46EB28C5" w14:textId="7C1329C4"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50: Assessment of radiofrequency responsivity of (6,5) SWCNT suspended in different surfactants.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_Toc121217372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145</w:t>
      </w:r>
      <w:r w:rsidRPr="002E5F0A">
        <w:rPr>
          <w:rFonts w:ascii="Arial" w:hAnsi="Arial" w:cs="Arial"/>
          <w:noProof/>
        </w:rPr>
        <w:fldChar w:fldCharType="end"/>
      </w:r>
    </w:p>
    <w:p w14:paraId="4687F69E" w14:textId="6B1639A9"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51: Analysis of the effect of the suspension of (6,5) SWCNT in solvent ethanol.</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_Toc121217373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147</w:t>
      </w:r>
      <w:r w:rsidRPr="002E5F0A">
        <w:rPr>
          <w:rFonts w:ascii="Arial" w:hAnsi="Arial" w:cs="Arial"/>
          <w:noProof/>
        </w:rPr>
        <w:fldChar w:fldCharType="end"/>
      </w:r>
    </w:p>
    <w:p w14:paraId="690CD833" w14:textId="2A6B589B"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 xml:space="preserve">Figure 52: Heating rate of SWCNT-ANXA5 conjugate in 13.56 MHz RF field. </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_Toc121217374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148</w:t>
      </w:r>
      <w:r w:rsidRPr="002E5F0A">
        <w:rPr>
          <w:rFonts w:ascii="Arial" w:hAnsi="Arial" w:cs="Arial"/>
          <w:noProof/>
        </w:rPr>
        <w:fldChar w:fldCharType="end"/>
      </w:r>
    </w:p>
    <w:p w14:paraId="2CCEFD56" w14:textId="06521768"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lastRenderedPageBreak/>
        <w:t>Figure 53: Heating rate of different chiral CNT suspended in sodium dodecyl sulfate (SDS) in 13.56 MHz RF field.</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_Toc121217375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150</w:t>
      </w:r>
      <w:r w:rsidRPr="002E5F0A">
        <w:rPr>
          <w:rFonts w:ascii="Arial" w:hAnsi="Arial" w:cs="Arial"/>
          <w:noProof/>
        </w:rPr>
        <w:fldChar w:fldCharType="end"/>
      </w:r>
    </w:p>
    <w:p w14:paraId="1BD999CC" w14:textId="60D912B3"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54: Effect of the geometry of liquid phase on the heating rate of different samples in 13.56 MHz RF field.</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_Toc121217376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152</w:t>
      </w:r>
      <w:r w:rsidRPr="002E5F0A">
        <w:rPr>
          <w:rFonts w:ascii="Arial" w:hAnsi="Arial" w:cs="Arial"/>
          <w:noProof/>
        </w:rPr>
        <w:fldChar w:fldCharType="end"/>
      </w:r>
    </w:p>
    <w:p w14:paraId="05EDDA84" w14:textId="19C412B3"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55: Images of the 13.56 MHz RF field irradiation of (6,5) SWCNT and sample PXD2-2069 in a completely filled cuvette.</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_Toc121217377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154</w:t>
      </w:r>
      <w:r w:rsidRPr="002E5F0A">
        <w:rPr>
          <w:rFonts w:ascii="Arial" w:hAnsi="Arial" w:cs="Arial"/>
          <w:noProof/>
        </w:rPr>
        <w:fldChar w:fldCharType="end"/>
      </w:r>
    </w:p>
    <w:p w14:paraId="10E49E4C" w14:textId="40F249A9"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56:</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_Toc121217378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155</w:t>
      </w:r>
      <w:r w:rsidRPr="002E5F0A">
        <w:rPr>
          <w:rFonts w:ascii="Arial" w:hAnsi="Arial" w:cs="Arial"/>
          <w:noProof/>
        </w:rPr>
        <w:fldChar w:fldCharType="end"/>
      </w:r>
    </w:p>
    <w:p w14:paraId="2D9980C2" w14:textId="750DB8A2"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57:  Assessment of the effect of frequency in the responsivity of SWCNT to the RF irradiation at 15 W power output.</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_Toc121217379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156</w:t>
      </w:r>
      <w:r w:rsidRPr="002E5F0A">
        <w:rPr>
          <w:rFonts w:ascii="Arial" w:hAnsi="Arial" w:cs="Arial"/>
          <w:noProof/>
        </w:rPr>
        <w:fldChar w:fldCharType="end"/>
      </w:r>
    </w:p>
    <w:p w14:paraId="74ED6053" w14:textId="500C15E8"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58: Analysis of statistical significance between samples irradiated with 100 W output power.</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_Toc121217380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158</w:t>
      </w:r>
      <w:r w:rsidRPr="002E5F0A">
        <w:rPr>
          <w:rFonts w:ascii="Arial" w:hAnsi="Arial" w:cs="Arial"/>
          <w:noProof/>
        </w:rPr>
        <w:fldChar w:fldCharType="end"/>
      </w:r>
    </w:p>
    <w:p w14:paraId="519545CA" w14:textId="7B680A19"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rPr>
        <w:t>Figure 59: EMT6 cells in Petri dishes treated with 13.56 MHz RF field at 600 W.</w:t>
      </w:r>
      <w:r w:rsidRPr="002E5F0A">
        <w:rPr>
          <w:rFonts w:ascii="Arial" w:hAnsi="Arial" w:cs="Arial"/>
          <w:noProof/>
          <w:color w:val="000000" w:themeColor="text1"/>
        </w:rPr>
        <w:t>.</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_Toc121217381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159</w:t>
      </w:r>
      <w:r w:rsidRPr="002E5F0A">
        <w:rPr>
          <w:rFonts w:ascii="Arial" w:hAnsi="Arial" w:cs="Arial"/>
          <w:noProof/>
        </w:rPr>
        <w:fldChar w:fldCharType="end"/>
      </w:r>
    </w:p>
    <w:p w14:paraId="66A3371D" w14:textId="134065CF"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60: RF irradiation of euthanized mice at 400 W.</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_Toc121217382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161</w:t>
      </w:r>
      <w:r w:rsidRPr="002E5F0A">
        <w:rPr>
          <w:rFonts w:ascii="Arial" w:hAnsi="Arial" w:cs="Arial"/>
          <w:noProof/>
        </w:rPr>
        <w:fldChar w:fldCharType="end"/>
      </w:r>
    </w:p>
    <w:p w14:paraId="1E86407C" w14:textId="7B84377D"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61: Irradiation of tumor-bearing mice with 13.56 MHz RF field in small plates.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_Toc121217383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163</w:t>
      </w:r>
      <w:r w:rsidRPr="002E5F0A">
        <w:rPr>
          <w:rFonts w:ascii="Arial" w:hAnsi="Arial" w:cs="Arial"/>
          <w:noProof/>
        </w:rPr>
        <w:fldChar w:fldCharType="end"/>
      </w:r>
    </w:p>
    <w:p w14:paraId="1F648C92" w14:textId="4BD496FC"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62: DM1 standard curve.</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_Toc121217384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164</w:t>
      </w:r>
      <w:r w:rsidRPr="002E5F0A">
        <w:rPr>
          <w:rFonts w:ascii="Arial" w:hAnsi="Arial" w:cs="Arial"/>
          <w:noProof/>
        </w:rPr>
        <w:fldChar w:fldCharType="end"/>
      </w:r>
    </w:p>
    <w:p w14:paraId="6F71875E" w14:textId="6917F83E"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63: Annexin A5 contribution to 288 nm signal.</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_Toc121217385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165</w:t>
      </w:r>
      <w:r w:rsidRPr="002E5F0A">
        <w:rPr>
          <w:rFonts w:ascii="Arial" w:hAnsi="Arial" w:cs="Arial"/>
          <w:noProof/>
        </w:rPr>
        <w:fldChar w:fldCharType="end"/>
      </w:r>
    </w:p>
    <w:p w14:paraId="7163022E" w14:textId="7DAEBC2E"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64</w:t>
      </w:r>
      <w:r w:rsidRPr="002E5F0A">
        <w:rPr>
          <w:rFonts w:ascii="Arial" w:hAnsi="Arial" w:cs="Arial"/>
          <w:noProof/>
          <w:color w:val="000000" w:themeColor="text1"/>
          <w:lang w:val="en"/>
        </w:rPr>
        <w:t>: SDS-PAGE gel of ANXA5 and ANXA5-DM1.</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_Toc121217386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166</w:t>
      </w:r>
      <w:r w:rsidRPr="002E5F0A">
        <w:rPr>
          <w:rFonts w:ascii="Arial" w:hAnsi="Arial" w:cs="Arial"/>
          <w:noProof/>
        </w:rPr>
        <w:fldChar w:fldCharType="end"/>
      </w:r>
    </w:p>
    <w:p w14:paraId="7E57813D" w14:textId="58986ED2"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65: Contribution of AuNP to Bradford assay.</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_Toc121217387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167</w:t>
      </w:r>
      <w:r w:rsidRPr="002E5F0A">
        <w:rPr>
          <w:rFonts w:ascii="Arial" w:hAnsi="Arial" w:cs="Arial"/>
          <w:noProof/>
        </w:rPr>
        <w:fldChar w:fldCharType="end"/>
      </w:r>
    </w:p>
    <w:p w14:paraId="7E05FBF7" w14:textId="395B8A3D"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66: Agarose gel electrophoresis of AuNP and AuNP-ANXA5-DM1 conjugate.</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_Toc121217388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168</w:t>
      </w:r>
      <w:r w:rsidRPr="002E5F0A">
        <w:rPr>
          <w:rFonts w:ascii="Arial" w:hAnsi="Arial" w:cs="Arial"/>
          <w:noProof/>
        </w:rPr>
        <w:fldChar w:fldCharType="end"/>
      </w:r>
    </w:p>
    <w:p w14:paraId="46A027D8" w14:textId="4865BE58"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67: Cell viability of EMT6 cells treated with free DM1 and DM1 conjugates.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_Toc121217389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170</w:t>
      </w:r>
      <w:r w:rsidRPr="002E5F0A">
        <w:rPr>
          <w:rFonts w:ascii="Arial" w:hAnsi="Arial" w:cs="Arial"/>
          <w:noProof/>
        </w:rPr>
        <w:fldChar w:fldCharType="end"/>
      </w:r>
    </w:p>
    <w:p w14:paraId="09255FB7" w14:textId="0B1627BC"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 xml:space="preserve">Figure 68: Standard curve for low concentration SWCNT suspension using 250 </w:t>
      </w:r>
      <w:r w:rsidRPr="002E5F0A">
        <w:rPr>
          <w:rFonts w:ascii="Arial" w:hAnsi="Arial" w:cs="Arial"/>
          <w:noProof/>
          <w:color w:val="000000" w:themeColor="text1"/>
        </w:rPr>
        <w:sym w:font="Symbol" w:char="F06D"/>
      </w:r>
      <w:r w:rsidRPr="002E5F0A">
        <w:rPr>
          <w:rFonts w:ascii="Arial" w:hAnsi="Arial" w:cs="Arial"/>
          <w:noProof/>
          <w:color w:val="000000" w:themeColor="text1"/>
        </w:rPr>
        <w:t>L samples in 96-well plates.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_Toc121217390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206</w:t>
      </w:r>
      <w:r w:rsidRPr="002E5F0A">
        <w:rPr>
          <w:rFonts w:ascii="Arial" w:hAnsi="Arial" w:cs="Arial"/>
          <w:noProof/>
        </w:rPr>
        <w:fldChar w:fldCharType="end"/>
      </w:r>
    </w:p>
    <w:p w14:paraId="79D5A593" w14:textId="302B0F2B"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 xml:space="preserve">Figure 69: Standard curve for high concentration SWCNT suspension using 100 </w:t>
      </w:r>
      <w:r w:rsidRPr="002E5F0A">
        <w:rPr>
          <w:rFonts w:ascii="Arial" w:hAnsi="Arial" w:cs="Arial"/>
          <w:noProof/>
          <w:color w:val="000000" w:themeColor="text1"/>
        </w:rPr>
        <w:sym w:font="Symbol" w:char="F06D"/>
      </w:r>
      <w:r w:rsidRPr="002E5F0A">
        <w:rPr>
          <w:rFonts w:ascii="Arial" w:hAnsi="Arial" w:cs="Arial"/>
          <w:noProof/>
          <w:color w:val="000000" w:themeColor="text1"/>
        </w:rPr>
        <w:t>L samples in 96-well plates.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_Toc121217391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207</w:t>
      </w:r>
      <w:r w:rsidRPr="002E5F0A">
        <w:rPr>
          <w:rFonts w:ascii="Arial" w:hAnsi="Arial" w:cs="Arial"/>
          <w:noProof/>
        </w:rPr>
        <w:fldChar w:fldCharType="end"/>
      </w:r>
    </w:p>
    <w:p w14:paraId="143DFE27" w14:textId="19CB9610"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70: Protein standard for Bradford assay.</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_Toc121217392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208</w:t>
      </w:r>
      <w:r w:rsidRPr="002E5F0A">
        <w:rPr>
          <w:rFonts w:ascii="Arial" w:hAnsi="Arial" w:cs="Arial"/>
          <w:noProof/>
        </w:rPr>
        <w:fldChar w:fldCharType="end"/>
      </w:r>
    </w:p>
    <w:p w14:paraId="294BDA7D" w14:textId="25344B51"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71: IL-12 p70 concentration in serum 7 days after PTT in mice treated with combination therapy of SWCNT-ANXA5 mediated PTT and anti-CTLA-4</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_Toc121217393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209</w:t>
      </w:r>
      <w:r w:rsidRPr="002E5F0A">
        <w:rPr>
          <w:rFonts w:ascii="Arial" w:hAnsi="Arial" w:cs="Arial"/>
          <w:noProof/>
        </w:rPr>
        <w:fldChar w:fldCharType="end"/>
      </w:r>
    </w:p>
    <w:p w14:paraId="5E09A95A" w14:textId="6BE533E1"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72:  Extra data from cytokine concentrations in serum 1 day (24 h) and 7 days (168 h) after PTT with different final temperatures in EMT6 tumors.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_Toc121217394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210</w:t>
      </w:r>
      <w:r w:rsidRPr="002E5F0A">
        <w:rPr>
          <w:rFonts w:ascii="Arial" w:hAnsi="Arial" w:cs="Arial"/>
          <w:noProof/>
        </w:rPr>
        <w:fldChar w:fldCharType="end"/>
      </w:r>
    </w:p>
    <w:p w14:paraId="33B2C786" w14:textId="5FFEAE33"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73: Tumor volumes from combinatorial photothermal therapy (PTT) and checkpoint inhibition (anti-PD-1) in EMT6 tumors from days 5 to 25.</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_Toc121217395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211</w:t>
      </w:r>
      <w:r w:rsidRPr="002E5F0A">
        <w:rPr>
          <w:rFonts w:ascii="Arial" w:hAnsi="Arial" w:cs="Arial"/>
          <w:noProof/>
        </w:rPr>
        <w:fldChar w:fldCharType="end"/>
      </w:r>
    </w:p>
    <w:p w14:paraId="6C9D33BF" w14:textId="362E4EFB"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lastRenderedPageBreak/>
        <w:t>Figure 74: Tumor volumes from combinatorial photothermal therapy (PTT) and checkpoint inhibition (anti-PD-1) in EMT6 tumors from days 30 to 45.</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_Toc121217396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213</w:t>
      </w:r>
      <w:r w:rsidRPr="002E5F0A">
        <w:rPr>
          <w:rFonts w:ascii="Arial" w:hAnsi="Arial" w:cs="Arial"/>
          <w:noProof/>
        </w:rPr>
        <w:fldChar w:fldCharType="end"/>
      </w:r>
    </w:p>
    <w:p w14:paraId="65D71EF2" w14:textId="662F0EA7"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75: Tumor volumes at various days for combinatorial therapy of checkpoint inhibition (anti-PD-1) and photothermal therapy (PTT) at 45</w:t>
      </w:r>
      <w:r w:rsidRPr="002E5F0A">
        <w:rPr>
          <w:rFonts w:ascii="Arial" w:hAnsi="Arial" w:cs="Arial"/>
          <w:noProof/>
          <w:color w:val="000000" w:themeColor="text1"/>
        </w:rPr>
        <w:sym w:font="Symbol" w:char="F0B0"/>
      </w:r>
      <w:r w:rsidRPr="002E5F0A">
        <w:rPr>
          <w:rFonts w:ascii="Arial" w:hAnsi="Arial" w:cs="Arial"/>
          <w:noProof/>
          <w:color w:val="000000" w:themeColor="text1"/>
        </w:rPr>
        <w:t>C (immediately stopped or kept for 5 min) and in EMT6 tumors.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_Toc121217397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214</w:t>
      </w:r>
      <w:r w:rsidRPr="002E5F0A">
        <w:rPr>
          <w:rFonts w:ascii="Arial" w:hAnsi="Arial" w:cs="Arial"/>
          <w:noProof/>
        </w:rPr>
        <w:fldChar w:fldCharType="end"/>
      </w:r>
    </w:p>
    <w:p w14:paraId="08CB0DCC" w14:textId="0259402B"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76: Standard curve of imiquimod (IMQ) in methanol.</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_Toc121217398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216</w:t>
      </w:r>
      <w:r w:rsidRPr="002E5F0A">
        <w:rPr>
          <w:rFonts w:ascii="Arial" w:hAnsi="Arial" w:cs="Arial"/>
          <w:noProof/>
        </w:rPr>
        <w:fldChar w:fldCharType="end"/>
      </w:r>
    </w:p>
    <w:p w14:paraId="70DD0374" w14:textId="45409CF9"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77: Long-term survival study of combinatorial therapy of anti-PD-1, imiquimod-loaded hydrogel and photothermal therapy (PTT) at 55</w:t>
      </w:r>
      <w:r w:rsidRPr="002E5F0A">
        <w:rPr>
          <w:rFonts w:ascii="Arial" w:hAnsi="Arial" w:cs="Arial"/>
          <w:noProof/>
          <w:color w:val="000000" w:themeColor="text1"/>
        </w:rPr>
        <w:sym w:font="Symbol" w:char="F0B0"/>
      </w:r>
      <w:r w:rsidRPr="002E5F0A">
        <w:rPr>
          <w:rFonts w:ascii="Arial" w:hAnsi="Arial" w:cs="Arial"/>
          <w:noProof/>
          <w:color w:val="000000" w:themeColor="text1"/>
        </w:rPr>
        <w:t>C in 4T1 tumors.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_Toc121217399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217</w:t>
      </w:r>
      <w:r w:rsidRPr="002E5F0A">
        <w:rPr>
          <w:rFonts w:ascii="Arial" w:hAnsi="Arial" w:cs="Arial"/>
          <w:noProof/>
        </w:rPr>
        <w:fldChar w:fldCharType="end"/>
      </w:r>
    </w:p>
    <w:p w14:paraId="69DA69C1" w14:textId="633ACCE3"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78: Survival curves of individual groups compared to control in long-term survival study of combinatorial therapy of anti-PD-1, imiquimod-loaded hydrogel and photothermal therapy (PTT) at 55</w:t>
      </w:r>
      <w:r w:rsidRPr="002E5F0A">
        <w:rPr>
          <w:rFonts w:ascii="Arial" w:hAnsi="Arial" w:cs="Arial"/>
          <w:noProof/>
          <w:color w:val="000000" w:themeColor="text1"/>
        </w:rPr>
        <w:sym w:font="Symbol" w:char="F0B0"/>
      </w:r>
      <w:r w:rsidRPr="002E5F0A">
        <w:rPr>
          <w:rFonts w:ascii="Arial" w:hAnsi="Arial" w:cs="Arial"/>
          <w:noProof/>
          <w:color w:val="000000" w:themeColor="text1"/>
        </w:rPr>
        <w:t>C in 4T1 tumors.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_Toc121217400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219</w:t>
      </w:r>
      <w:r w:rsidRPr="002E5F0A">
        <w:rPr>
          <w:rFonts w:ascii="Arial" w:hAnsi="Arial" w:cs="Arial"/>
          <w:noProof/>
        </w:rPr>
        <w:fldChar w:fldCharType="end"/>
      </w:r>
    </w:p>
    <w:p w14:paraId="7B18119D" w14:textId="7754C2EF"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79: Tumor volumes from days 6 to 27 in long-term survival study of combinatorial therapy of anti-PD-1, imiquimod-loaded hydrogel and photothermal therapy (PTT) at 55</w:t>
      </w:r>
      <w:r w:rsidRPr="002E5F0A">
        <w:rPr>
          <w:rFonts w:ascii="Arial" w:hAnsi="Arial" w:cs="Arial"/>
          <w:noProof/>
          <w:color w:val="000000" w:themeColor="text1"/>
        </w:rPr>
        <w:sym w:font="Symbol" w:char="F0B0"/>
      </w:r>
      <w:r w:rsidRPr="002E5F0A">
        <w:rPr>
          <w:rFonts w:ascii="Arial" w:hAnsi="Arial" w:cs="Arial"/>
          <w:noProof/>
          <w:color w:val="000000" w:themeColor="text1"/>
        </w:rPr>
        <w:t>C in 4T1 tumors.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_Toc121217401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220</w:t>
      </w:r>
      <w:r w:rsidRPr="002E5F0A">
        <w:rPr>
          <w:rFonts w:ascii="Arial" w:hAnsi="Arial" w:cs="Arial"/>
          <w:noProof/>
        </w:rPr>
        <w:fldChar w:fldCharType="end"/>
      </w:r>
    </w:p>
    <w:p w14:paraId="6568A194" w14:textId="3C7C69F7"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80: Tumor volumes from days 31 to 50 in long-term survival study of combinatorial therapy of anti-PD-1, imiquimod-loaded hydrogel and photothermal therapy (PTT) at 55</w:t>
      </w:r>
      <w:r w:rsidRPr="002E5F0A">
        <w:rPr>
          <w:rFonts w:ascii="Arial" w:hAnsi="Arial" w:cs="Arial"/>
          <w:noProof/>
          <w:color w:val="000000" w:themeColor="text1"/>
        </w:rPr>
        <w:sym w:font="Symbol" w:char="F0B0"/>
      </w:r>
      <w:r w:rsidRPr="002E5F0A">
        <w:rPr>
          <w:rFonts w:ascii="Arial" w:hAnsi="Arial" w:cs="Arial"/>
          <w:noProof/>
          <w:color w:val="000000" w:themeColor="text1"/>
        </w:rPr>
        <w:t>C in 4T1 tumors.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_Toc121217402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222</w:t>
      </w:r>
      <w:r w:rsidRPr="002E5F0A">
        <w:rPr>
          <w:rFonts w:ascii="Arial" w:hAnsi="Arial" w:cs="Arial"/>
          <w:noProof/>
        </w:rPr>
        <w:fldChar w:fldCharType="end"/>
      </w:r>
    </w:p>
    <w:p w14:paraId="7A0B9A2E" w14:textId="0F83E0C2"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81: Thermal image analysis with ThermaCAM Researcher Pro 2.7 Software for experiment shown in Figure 58.</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_Toc121217403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223</w:t>
      </w:r>
      <w:r w:rsidRPr="002E5F0A">
        <w:rPr>
          <w:rFonts w:ascii="Arial" w:hAnsi="Arial" w:cs="Arial"/>
          <w:noProof/>
        </w:rPr>
        <w:fldChar w:fldCharType="end"/>
      </w:r>
    </w:p>
    <w:p w14:paraId="2A26DABC" w14:textId="5B32C906"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82: Details of the setup to concentrate the RF field to abdominal area of the mouse with smaller.</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_Toc121217404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223</w:t>
      </w:r>
      <w:r w:rsidRPr="002E5F0A">
        <w:rPr>
          <w:rFonts w:ascii="Arial" w:hAnsi="Arial" w:cs="Arial"/>
          <w:noProof/>
        </w:rPr>
        <w:fldChar w:fldCharType="end"/>
      </w:r>
    </w:p>
    <w:p w14:paraId="2FA23A3C" w14:textId="09050BAD"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83: Details of the setup to ground excess charges built up from RF irradiation on mouse extremities.</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_Toc121217405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224</w:t>
      </w:r>
      <w:r w:rsidRPr="002E5F0A">
        <w:rPr>
          <w:rFonts w:ascii="Arial" w:hAnsi="Arial" w:cs="Arial"/>
          <w:noProof/>
        </w:rPr>
        <w:fldChar w:fldCharType="end"/>
      </w:r>
    </w:p>
    <w:p w14:paraId="7DA0E4C3" w14:textId="34BFBE4D"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84: Standard curve of AuNP.</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_Toc121217406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225</w:t>
      </w:r>
      <w:r w:rsidRPr="002E5F0A">
        <w:rPr>
          <w:rFonts w:ascii="Arial" w:hAnsi="Arial" w:cs="Arial"/>
          <w:noProof/>
        </w:rPr>
        <w:fldChar w:fldCharType="end"/>
      </w:r>
    </w:p>
    <w:p w14:paraId="20750C4C" w14:textId="4E697847" w:rsidR="00657BD0" w:rsidRPr="002E5F0A" w:rsidRDefault="00657BD0" w:rsidP="002E5F0A">
      <w:pPr>
        <w:pStyle w:val="TableofFigures"/>
        <w:tabs>
          <w:tab w:val="right" w:leader="dot" w:pos="9350"/>
        </w:tabs>
        <w:spacing w:line="360" w:lineRule="auto"/>
        <w:rPr>
          <w:rFonts w:ascii="Arial" w:eastAsiaTheme="minorEastAsia" w:hAnsi="Arial" w:cs="Arial"/>
          <w:noProof/>
        </w:rPr>
      </w:pPr>
      <w:r w:rsidRPr="002E5F0A">
        <w:rPr>
          <w:rFonts w:ascii="Arial" w:hAnsi="Arial" w:cs="Arial"/>
          <w:noProof/>
          <w:color w:val="000000" w:themeColor="text1"/>
        </w:rPr>
        <w:t>Figure 85: Horizontal electrophoresis gel casting.</w:t>
      </w:r>
      <w:r w:rsidRPr="002E5F0A">
        <w:rPr>
          <w:rFonts w:ascii="Arial" w:hAnsi="Arial" w:cs="Arial"/>
          <w:noProof/>
        </w:rPr>
        <w:tab/>
      </w:r>
      <w:r w:rsidRPr="002E5F0A">
        <w:rPr>
          <w:rFonts w:ascii="Arial" w:hAnsi="Arial" w:cs="Arial"/>
          <w:noProof/>
        </w:rPr>
        <w:fldChar w:fldCharType="begin"/>
      </w:r>
      <w:r w:rsidRPr="002E5F0A">
        <w:rPr>
          <w:rFonts w:ascii="Arial" w:hAnsi="Arial" w:cs="Arial"/>
          <w:noProof/>
        </w:rPr>
        <w:instrText xml:space="preserve"> PAGEREF _Toc121217407 \h </w:instrText>
      </w:r>
      <w:r w:rsidRPr="002E5F0A">
        <w:rPr>
          <w:rFonts w:ascii="Arial" w:hAnsi="Arial" w:cs="Arial"/>
          <w:noProof/>
        </w:rPr>
      </w:r>
      <w:r w:rsidRPr="002E5F0A">
        <w:rPr>
          <w:rFonts w:ascii="Arial" w:hAnsi="Arial" w:cs="Arial"/>
          <w:noProof/>
        </w:rPr>
        <w:fldChar w:fldCharType="separate"/>
      </w:r>
      <w:r w:rsidR="00433351">
        <w:rPr>
          <w:rFonts w:ascii="Arial" w:hAnsi="Arial" w:cs="Arial"/>
          <w:noProof/>
        </w:rPr>
        <w:t>274</w:t>
      </w:r>
      <w:r w:rsidRPr="002E5F0A">
        <w:rPr>
          <w:rFonts w:ascii="Arial" w:hAnsi="Arial" w:cs="Arial"/>
          <w:noProof/>
        </w:rPr>
        <w:fldChar w:fldCharType="end"/>
      </w:r>
    </w:p>
    <w:p w14:paraId="1B4C70A9" w14:textId="45657209" w:rsidR="00F775AE" w:rsidRPr="00D74025" w:rsidRDefault="001E6FAA" w:rsidP="002E5F0A">
      <w:pPr>
        <w:spacing w:line="360" w:lineRule="auto"/>
        <w:jc w:val="both"/>
        <w:rPr>
          <w:rFonts w:ascii="Arial" w:hAnsi="Arial" w:cs="Arial"/>
          <w:color w:val="000000" w:themeColor="text1"/>
        </w:rPr>
      </w:pPr>
      <w:r w:rsidRPr="002E5F0A">
        <w:rPr>
          <w:rFonts w:ascii="Arial" w:hAnsi="Arial" w:cs="Arial"/>
          <w:color w:val="000000" w:themeColor="text1"/>
        </w:rPr>
        <w:fldChar w:fldCharType="end"/>
      </w:r>
    </w:p>
    <w:p w14:paraId="1CF5DBCB" w14:textId="793F2A0D" w:rsidR="00DB2B1E" w:rsidRDefault="00DB2B1E" w:rsidP="00CF0CD5">
      <w:pPr>
        <w:spacing w:line="360" w:lineRule="auto"/>
        <w:rPr>
          <w:rFonts w:ascii="Arial" w:hAnsi="Arial" w:cs="Arial"/>
          <w:color w:val="000000" w:themeColor="text1"/>
        </w:rPr>
      </w:pPr>
      <w:r>
        <w:rPr>
          <w:rFonts w:ascii="Arial" w:hAnsi="Arial" w:cs="Arial"/>
          <w:color w:val="000000" w:themeColor="text1"/>
        </w:rPr>
        <w:br w:type="page"/>
      </w:r>
    </w:p>
    <w:p w14:paraId="073D3F32" w14:textId="77777777" w:rsidR="00957A15" w:rsidRDefault="00957A15" w:rsidP="00CF0CD5">
      <w:pPr>
        <w:spacing w:line="360" w:lineRule="auto"/>
        <w:rPr>
          <w:rFonts w:ascii="Arial" w:hAnsi="Arial" w:cs="Arial"/>
          <w:color w:val="000000" w:themeColor="text1"/>
        </w:rPr>
      </w:pPr>
    </w:p>
    <w:p w14:paraId="2EF23CB6" w14:textId="60CE5337" w:rsidR="002558D4" w:rsidRDefault="00C35379" w:rsidP="004D2243">
      <w:pPr>
        <w:spacing w:line="360" w:lineRule="auto"/>
        <w:jc w:val="center"/>
        <w:rPr>
          <w:rFonts w:ascii="Arial" w:hAnsi="Arial" w:cs="Arial"/>
          <w:b/>
          <w:bCs/>
          <w:color w:val="000000" w:themeColor="text1"/>
          <w:sz w:val="28"/>
          <w:szCs w:val="28"/>
        </w:rPr>
      </w:pPr>
      <w:r w:rsidRPr="004C1C87">
        <w:rPr>
          <w:rFonts w:ascii="Arial" w:hAnsi="Arial" w:cs="Arial"/>
          <w:b/>
          <w:bCs/>
          <w:color w:val="000000" w:themeColor="text1"/>
          <w:sz w:val="28"/>
          <w:szCs w:val="28"/>
        </w:rPr>
        <w:t>List of Table</w:t>
      </w:r>
      <w:r w:rsidR="004C1C87" w:rsidRPr="004C1C87">
        <w:rPr>
          <w:rFonts w:ascii="Arial" w:hAnsi="Arial" w:cs="Arial"/>
          <w:b/>
          <w:bCs/>
          <w:color w:val="000000" w:themeColor="text1"/>
          <w:sz w:val="28"/>
          <w:szCs w:val="28"/>
        </w:rPr>
        <w:t>s</w:t>
      </w:r>
    </w:p>
    <w:p w14:paraId="665B43C3" w14:textId="77777777" w:rsidR="004A7BD1" w:rsidRPr="004C1C87" w:rsidRDefault="004A7BD1" w:rsidP="004D2243">
      <w:pPr>
        <w:spacing w:line="360" w:lineRule="auto"/>
        <w:jc w:val="center"/>
        <w:rPr>
          <w:rFonts w:ascii="Arial" w:hAnsi="Arial" w:cs="Arial"/>
          <w:b/>
          <w:bCs/>
          <w:color w:val="000000" w:themeColor="text1"/>
          <w:sz w:val="28"/>
          <w:szCs w:val="28"/>
        </w:rPr>
      </w:pPr>
    </w:p>
    <w:p w14:paraId="1386BEBE" w14:textId="4F693D49" w:rsidR="004C1C87" w:rsidRPr="00F664A4" w:rsidRDefault="002065AE" w:rsidP="00C15F48">
      <w:pPr>
        <w:pStyle w:val="TableofFigures"/>
        <w:tabs>
          <w:tab w:val="right" w:leader="dot" w:pos="9350"/>
        </w:tabs>
        <w:spacing w:line="360" w:lineRule="auto"/>
        <w:rPr>
          <w:rFonts w:ascii="Arial" w:eastAsiaTheme="minorEastAsia" w:hAnsi="Arial" w:cs="Arial"/>
          <w:noProof/>
        </w:rPr>
      </w:pPr>
      <w:r w:rsidRPr="00F664A4">
        <w:rPr>
          <w:rFonts w:ascii="Arial" w:hAnsi="Arial" w:cs="Arial"/>
          <w:color w:val="000000" w:themeColor="text1"/>
        </w:rPr>
        <w:fldChar w:fldCharType="begin"/>
      </w:r>
      <w:r w:rsidRPr="00F664A4">
        <w:rPr>
          <w:rFonts w:ascii="Arial" w:hAnsi="Arial" w:cs="Arial"/>
          <w:color w:val="000000" w:themeColor="text1"/>
        </w:rPr>
        <w:instrText xml:space="preserve"> TOC \h \z \c "Table" </w:instrText>
      </w:r>
      <w:r w:rsidRPr="00F664A4">
        <w:rPr>
          <w:rFonts w:ascii="Arial" w:hAnsi="Arial" w:cs="Arial"/>
          <w:color w:val="000000" w:themeColor="text1"/>
        </w:rPr>
        <w:fldChar w:fldCharType="separate"/>
      </w:r>
      <w:hyperlink w:anchor="_Toc118978429" w:history="1">
        <w:r w:rsidR="004C1C87" w:rsidRPr="00F664A4">
          <w:rPr>
            <w:rStyle w:val="Hyperlink"/>
            <w:rFonts w:ascii="Arial" w:hAnsi="Arial" w:cs="Arial"/>
            <w:b/>
            <w:bCs/>
            <w:noProof/>
          </w:rPr>
          <w:t>Table 1:</w:t>
        </w:r>
        <w:r w:rsidR="004C1C87" w:rsidRPr="00F664A4">
          <w:rPr>
            <w:rStyle w:val="Hyperlink"/>
            <w:rFonts w:ascii="Arial" w:hAnsi="Arial" w:cs="Arial"/>
            <w:noProof/>
          </w:rPr>
          <w:t xml:space="preserve"> Cell staining antibody cocktail for flow cytometric analysis of splenic cells</w:t>
        </w:r>
        <w:r w:rsidR="004C1C87" w:rsidRPr="00F664A4">
          <w:rPr>
            <w:rFonts w:ascii="Arial" w:hAnsi="Arial" w:cs="Arial"/>
            <w:noProof/>
            <w:webHidden/>
          </w:rPr>
          <w:tab/>
        </w:r>
        <w:r w:rsidR="004C1C87" w:rsidRPr="00F664A4">
          <w:rPr>
            <w:rFonts w:ascii="Arial" w:hAnsi="Arial" w:cs="Arial"/>
            <w:noProof/>
            <w:webHidden/>
          </w:rPr>
          <w:fldChar w:fldCharType="begin"/>
        </w:r>
        <w:r w:rsidR="004C1C87" w:rsidRPr="00F664A4">
          <w:rPr>
            <w:rFonts w:ascii="Arial" w:hAnsi="Arial" w:cs="Arial"/>
            <w:noProof/>
            <w:webHidden/>
          </w:rPr>
          <w:instrText xml:space="preserve"> PAGEREF _Toc118978429 \h </w:instrText>
        </w:r>
        <w:r w:rsidR="004C1C87" w:rsidRPr="00F664A4">
          <w:rPr>
            <w:rFonts w:ascii="Arial" w:hAnsi="Arial" w:cs="Arial"/>
            <w:noProof/>
            <w:webHidden/>
          </w:rPr>
        </w:r>
        <w:r w:rsidR="004C1C87" w:rsidRPr="00F664A4">
          <w:rPr>
            <w:rFonts w:ascii="Arial" w:hAnsi="Arial" w:cs="Arial"/>
            <w:noProof/>
            <w:webHidden/>
          </w:rPr>
          <w:fldChar w:fldCharType="separate"/>
        </w:r>
        <w:r w:rsidR="00433351">
          <w:rPr>
            <w:rFonts w:ascii="Arial" w:hAnsi="Arial" w:cs="Arial"/>
            <w:noProof/>
            <w:webHidden/>
          </w:rPr>
          <w:t>78</w:t>
        </w:r>
        <w:r w:rsidR="004C1C87" w:rsidRPr="00F664A4">
          <w:rPr>
            <w:rFonts w:ascii="Arial" w:hAnsi="Arial" w:cs="Arial"/>
            <w:noProof/>
            <w:webHidden/>
          </w:rPr>
          <w:fldChar w:fldCharType="end"/>
        </w:r>
      </w:hyperlink>
    </w:p>
    <w:p w14:paraId="3350357F" w14:textId="4404E221" w:rsidR="004C1C87" w:rsidRPr="00F664A4" w:rsidRDefault="00DE0DE2" w:rsidP="00C15F48">
      <w:pPr>
        <w:pStyle w:val="TableofFigures"/>
        <w:tabs>
          <w:tab w:val="right" w:leader="dot" w:pos="9350"/>
        </w:tabs>
        <w:spacing w:line="360" w:lineRule="auto"/>
        <w:rPr>
          <w:rFonts w:ascii="Arial" w:eastAsiaTheme="minorEastAsia" w:hAnsi="Arial" w:cs="Arial"/>
          <w:noProof/>
        </w:rPr>
      </w:pPr>
      <w:hyperlink w:anchor="_Toc118978430" w:history="1">
        <w:r w:rsidR="004C1C87" w:rsidRPr="00F664A4">
          <w:rPr>
            <w:rStyle w:val="Hyperlink"/>
            <w:rFonts w:ascii="Arial" w:hAnsi="Arial" w:cs="Arial"/>
            <w:b/>
            <w:bCs/>
            <w:noProof/>
          </w:rPr>
          <w:t>Table 2</w:t>
        </w:r>
        <w:r w:rsidR="004C1C87" w:rsidRPr="00F664A4">
          <w:rPr>
            <w:rStyle w:val="Hyperlink"/>
            <w:rFonts w:ascii="Arial" w:hAnsi="Arial" w:cs="Arial"/>
            <w:noProof/>
          </w:rPr>
          <w:t>: Chemical structure of the surfactants use</w:t>
        </w:r>
        <w:r w:rsidR="004C1C87" w:rsidRPr="00F664A4">
          <w:rPr>
            <w:rStyle w:val="Hyperlink"/>
            <w:rFonts w:ascii="Arial" w:hAnsi="Arial" w:cs="Arial"/>
            <w:noProof/>
          </w:rPr>
          <w:t>d</w:t>
        </w:r>
        <w:r w:rsidR="004C1C87" w:rsidRPr="00F664A4">
          <w:rPr>
            <w:rStyle w:val="Hyperlink"/>
            <w:rFonts w:ascii="Arial" w:hAnsi="Arial" w:cs="Arial"/>
            <w:noProof/>
          </w:rPr>
          <w:t xml:space="preserve"> for suspending (6,5) SWCNT</w:t>
        </w:r>
        <w:r w:rsidR="004C1C87" w:rsidRPr="00F664A4">
          <w:rPr>
            <w:rFonts w:ascii="Arial" w:hAnsi="Arial" w:cs="Arial"/>
            <w:noProof/>
            <w:webHidden/>
          </w:rPr>
          <w:tab/>
        </w:r>
        <w:r w:rsidR="004C1C87" w:rsidRPr="00F664A4">
          <w:rPr>
            <w:rFonts w:ascii="Arial" w:hAnsi="Arial" w:cs="Arial"/>
            <w:noProof/>
            <w:webHidden/>
          </w:rPr>
          <w:fldChar w:fldCharType="begin"/>
        </w:r>
        <w:r w:rsidR="004C1C87" w:rsidRPr="00F664A4">
          <w:rPr>
            <w:rFonts w:ascii="Arial" w:hAnsi="Arial" w:cs="Arial"/>
            <w:noProof/>
            <w:webHidden/>
          </w:rPr>
          <w:instrText xml:space="preserve"> PAGEREF _Toc118978430 \h </w:instrText>
        </w:r>
        <w:r w:rsidR="004C1C87" w:rsidRPr="00F664A4">
          <w:rPr>
            <w:rFonts w:ascii="Arial" w:hAnsi="Arial" w:cs="Arial"/>
            <w:noProof/>
            <w:webHidden/>
          </w:rPr>
        </w:r>
        <w:r w:rsidR="004C1C87" w:rsidRPr="00F664A4">
          <w:rPr>
            <w:rFonts w:ascii="Arial" w:hAnsi="Arial" w:cs="Arial"/>
            <w:noProof/>
            <w:webHidden/>
          </w:rPr>
          <w:fldChar w:fldCharType="separate"/>
        </w:r>
        <w:r w:rsidR="00433351">
          <w:rPr>
            <w:rFonts w:ascii="Arial" w:hAnsi="Arial" w:cs="Arial"/>
            <w:noProof/>
            <w:webHidden/>
          </w:rPr>
          <w:t>87</w:t>
        </w:r>
        <w:r w:rsidR="004C1C87" w:rsidRPr="00F664A4">
          <w:rPr>
            <w:rFonts w:ascii="Arial" w:hAnsi="Arial" w:cs="Arial"/>
            <w:noProof/>
            <w:webHidden/>
          </w:rPr>
          <w:fldChar w:fldCharType="end"/>
        </w:r>
      </w:hyperlink>
    </w:p>
    <w:p w14:paraId="27212500" w14:textId="79378892" w:rsidR="004C1C87" w:rsidRPr="00F664A4" w:rsidRDefault="00DE0DE2" w:rsidP="00C15F48">
      <w:pPr>
        <w:pStyle w:val="TableofFigures"/>
        <w:tabs>
          <w:tab w:val="right" w:leader="dot" w:pos="9350"/>
        </w:tabs>
        <w:spacing w:line="360" w:lineRule="auto"/>
        <w:rPr>
          <w:rFonts w:ascii="Arial" w:eastAsiaTheme="minorEastAsia" w:hAnsi="Arial" w:cs="Arial"/>
          <w:noProof/>
        </w:rPr>
      </w:pPr>
      <w:hyperlink w:anchor="_Toc118978431" w:history="1">
        <w:r w:rsidR="004C1C87" w:rsidRPr="00F664A4">
          <w:rPr>
            <w:rStyle w:val="Hyperlink"/>
            <w:rFonts w:ascii="Arial" w:hAnsi="Arial" w:cs="Arial"/>
            <w:b/>
            <w:bCs/>
            <w:noProof/>
          </w:rPr>
          <w:t>Table 3</w:t>
        </w:r>
        <w:r w:rsidR="004C1C87" w:rsidRPr="00F664A4">
          <w:rPr>
            <w:rStyle w:val="Hyperlink"/>
            <w:rFonts w:ascii="Arial" w:hAnsi="Arial" w:cs="Arial"/>
            <w:noProof/>
          </w:rPr>
          <w:t>: Percentage of each chirality type and length of C</w:t>
        </w:r>
        <w:r w:rsidR="004C1C87" w:rsidRPr="00F664A4">
          <w:rPr>
            <w:rStyle w:val="Hyperlink"/>
            <w:rFonts w:ascii="Arial" w:hAnsi="Arial" w:cs="Arial"/>
            <w:noProof/>
          </w:rPr>
          <w:t>N</w:t>
        </w:r>
        <w:r w:rsidR="004C1C87" w:rsidRPr="00F664A4">
          <w:rPr>
            <w:rStyle w:val="Hyperlink"/>
            <w:rFonts w:ascii="Arial" w:hAnsi="Arial" w:cs="Arial"/>
            <w:noProof/>
          </w:rPr>
          <w:t>T samples produced by CHASM™. Comparatively, the (6,5) SWCNT used in the PTT project has a length of ~1.5 </w:t>
        </w:r>
        <w:r w:rsidR="004C1C87" w:rsidRPr="00F664A4">
          <w:rPr>
            <w:rStyle w:val="Hyperlink"/>
            <w:rFonts w:ascii="Arial" w:hAnsi="Arial" w:cs="Arial"/>
            <w:noProof/>
          </w:rPr>
          <w:sym w:font="Symbol" w:char="F06D"/>
        </w:r>
        <w:r w:rsidR="004C1C87" w:rsidRPr="00F664A4">
          <w:rPr>
            <w:rStyle w:val="Hyperlink"/>
            <w:rFonts w:ascii="Arial" w:hAnsi="Arial" w:cs="Arial"/>
            <w:noProof/>
          </w:rPr>
          <w:t>m.</w:t>
        </w:r>
        <w:r w:rsidR="004C1C87" w:rsidRPr="00F664A4">
          <w:rPr>
            <w:rFonts w:ascii="Arial" w:hAnsi="Arial" w:cs="Arial"/>
            <w:noProof/>
            <w:webHidden/>
          </w:rPr>
          <w:tab/>
        </w:r>
        <w:r w:rsidR="004C1C87" w:rsidRPr="00F664A4">
          <w:rPr>
            <w:rFonts w:ascii="Arial" w:hAnsi="Arial" w:cs="Arial"/>
            <w:noProof/>
            <w:webHidden/>
          </w:rPr>
          <w:fldChar w:fldCharType="begin"/>
        </w:r>
        <w:r w:rsidR="004C1C87" w:rsidRPr="00F664A4">
          <w:rPr>
            <w:rFonts w:ascii="Arial" w:hAnsi="Arial" w:cs="Arial"/>
            <w:noProof/>
            <w:webHidden/>
          </w:rPr>
          <w:instrText xml:space="preserve"> PAGEREF _Toc118978431 \h </w:instrText>
        </w:r>
        <w:r w:rsidR="004C1C87" w:rsidRPr="00F664A4">
          <w:rPr>
            <w:rFonts w:ascii="Arial" w:hAnsi="Arial" w:cs="Arial"/>
            <w:noProof/>
            <w:webHidden/>
          </w:rPr>
        </w:r>
        <w:r w:rsidR="004C1C87" w:rsidRPr="00F664A4">
          <w:rPr>
            <w:rFonts w:ascii="Arial" w:hAnsi="Arial" w:cs="Arial"/>
            <w:noProof/>
            <w:webHidden/>
          </w:rPr>
          <w:fldChar w:fldCharType="separate"/>
        </w:r>
        <w:r w:rsidR="00433351">
          <w:rPr>
            <w:rFonts w:ascii="Arial" w:hAnsi="Arial" w:cs="Arial"/>
            <w:noProof/>
            <w:webHidden/>
          </w:rPr>
          <w:t>89</w:t>
        </w:r>
        <w:r w:rsidR="004C1C87" w:rsidRPr="00F664A4">
          <w:rPr>
            <w:rFonts w:ascii="Arial" w:hAnsi="Arial" w:cs="Arial"/>
            <w:noProof/>
            <w:webHidden/>
          </w:rPr>
          <w:fldChar w:fldCharType="end"/>
        </w:r>
      </w:hyperlink>
    </w:p>
    <w:p w14:paraId="628E76AD" w14:textId="3D953F00" w:rsidR="002558D4" w:rsidRDefault="002065AE" w:rsidP="00C15F48">
      <w:pPr>
        <w:spacing w:line="360" w:lineRule="auto"/>
        <w:rPr>
          <w:rFonts w:ascii="Arial" w:hAnsi="Arial" w:cs="Arial"/>
          <w:color w:val="000000" w:themeColor="text1"/>
        </w:rPr>
      </w:pPr>
      <w:r w:rsidRPr="00F664A4">
        <w:rPr>
          <w:rFonts w:ascii="Arial" w:hAnsi="Arial" w:cs="Arial"/>
          <w:color w:val="000000" w:themeColor="text1"/>
        </w:rPr>
        <w:fldChar w:fldCharType="end"/>
      </w:r>
    </w:p>
    <w:p w14:paraId="23D0F5ED" w14:textId="77777777" w:rsidR="002065AE" w:rsidRDefault="002065AE" w:rsidP="00CF0CD5">
      <w:pPr>
        <w:spacing w:line="360" w:lineRule="auto"/>
        <w:rPr>
          <w:rFonts w:ascii="Arial" w:hAnsi="Arial" w:cs="Arial"/>
          <w:color w:val="000000" w:themeColor="text1"/>
        </w:rPr>
      </w:pPr>
    </w:p>
    <w:p w14:paraId="541E016D" w14:textId="5643876D" w:rsidR="002065AE" w:rsidRDefault="004D2243" w:rsidP="004D2243">
      <w:pPr>
        <w:spacing w:line="360" w:lineRule="auto"/>
        <w:jc w:val="center"/>
        <w:rPr>
          <w:rFonts w:ascii="Arial" w:hAnsi="Arial" w:cs="Arial"/>
          <w:b/>
          <w:bCs/>
          <w:color w:val="000000" w:themeColor="text1"/>
          <w:sz w:val="28"/>
          <w:szCs w:val="28"/>
        </w:rPr>
      </w:pPr>
      <w:r w:rsidRPr="00C15F48">
        <w:rPr>
          <w:rFonts w:ascii="Arial" w:hAnsi="Arial" w:cs="Arial"/>
          <w:b/>
          <w:bCs/>
          <w:color w:val="000000" w:themeColor="text1"/>
          <w:sz w:val="28"/>
          <w:szCs w:val="28"/>
        </w:rPr>
        <w:t>List of Equation</w:t>
      </w:r>
      <w:r w:rsidR="00C15F48" w:rsidRPr="00C15F48">
        <w:rPr>
          <w:rFonts w:ascii="Arial" w:hAnsi="Arial" w:cs="Arial"/>
          <w:b/>
          <w:bCs/>
          <w:color w:val="000000" w:themeColor="text1"/>
          <w:sz w:val="28"/>
          <w:szCs w:val="28"/>
        </w:rPr>
        <w:t>s</w:t>
      </w:r>
    </w:p>
    <w:p w14:paraId="77AF368A" w14:textId="77777777" w:rsidR="004A7BD1" w:rsidRPr="00C15F48" w:rsidRDefault="004A7BD1" w:rsidP="004D2243">
      <w:pPr>
        <w:spacing w:line="360" w:lineRule="auto"/>
        <w:jc w:val="center"/>
        <w:rPr>
          <w:rFonts w:ascii="Arial" w:hAnsi="Arial" w:cs="Arial"/>
          <w:b/>
          <w:bCs/>
          <w:color w:val="000000" w:themeColor="text1"/>
          <w:sz w:val="28"/>
          <w:szCs w:val="28"/>
        </w:rPr>
      </w:pPr>
    </w:p>
    <w:p w14:paraId="367451F2" w14:textId="7178CA5C" w:rsidR="00DB2B1E" w:rsidRPr="00197987" w:rsidRDefault="002065AE" w:rsidP="00DB2B1E">
      <w:pPr>
        <w:pStyle w:val="TableofFigures"/>
        <w:tabs>
          <w:tab w:val="right" w:leader="dot" w:pos="9350"/>
        </w:tabs>
        <w:spacing w:line="360" w:lineRule="auto"/>
        <w:rPr>
          <w:rFonts w:ascii="Arial" w:eastAsiaTheme="minorEastAsia" w:hAnsi="Arial" w:cs="Arial"/>
          <w:noProof/>
        </w:rPr>
      </w:pPr>
      <w:r w:rsidRPr="00197987">
        <w:rPr>
          <w:rFonts w:ascii="Arial" w:hAnsi="Arial" w:cs="Arial"/>
          <w:color w:val="000000" w:themeColor="text1"/>
        </w:rPr>
        <w:fldChar w:fldCharType="begin"/>
      </w:r>
      <w:r w:rsidRPr="00197987">
        <w:rPr>
          <w:rFonts w:ascii="Arial" w:hAnsi="Arial" w:cs="Arial"/>
          <w:color w:val="000000" w:themeColor="text1"/>
        </w:rPr>
        <w:instrText xml:space="preserve"> TOC \h \z \c "Equation" </w:instrText>
      </w:r>
      <w:r w:rsidRPr="00197987">
        <w:rPr>
          <w:rFonts w:ascii="Arial" w:hAnsi="Arial" w:cs="Arial"/>
          <w:color w:val="000000" w:themeColor="text1"/>
        </w:rPr>
        <w:fldChar w:fldCharType="separate"/>
      </w:r>
      <w:hyperlink w:anchor="_Toc118978572" w:history="1">
        <w:r w:rsidR="00DB2B1E" w:rsidRPr="00197987">
          <w:rPr>
            <w:rStyle w:val="Hyperlink"/>
            <w:rFonts w:ascii="Arial" w:hAnsi="Arial" w:cs="Arial"/>
            <w:noProof/>
          </w:rPr>
          <w:t>Equation 1: Assessment of SWCNT-ANXA5 conjugation</w:t>
        </w:r>
        <w:r w:rsidR="00DB2B1E" w:rsidRPr="00197987">
          <w:rPr>
            <w:rFonts w:ascii="Arial" w:hAnsi="Arial" w:cs="Arial"/>
            <w:noProof/>
            <w:webHidden/>
          </w:rPr>
          <w:tab/>
        </w:r>
        <w:r w:rsidR="00DB2B1E" w:rsidRPr="00197987">
          <w:rPr>
            <w:rFonts w:ascii="Arial" w:hAnsi="Arial" w:cs="Arial"/>
            <w:noProof/>
            <w:webHidden/>
          </w:rPr>
          <w:fldChar w:fldCharType="begin"/>
        </w:r>
        <w:r w:rsidR="00DB2B1E" w:rsidRPr="00197987">
          <w:rPr>
            <w:rFonts w:ascii="Arial" w:hAnsi="Arial" w:cs="Arial"/>
            <w:noProof/>
            <w:webHidden/>
          </w:rPr>
          <w:instrText xml:space="preserve"> PAGEREF _Toc118978572 \h </w:instrText>
        </w:r>
        <w:r w:rsidR="00DB2B1E" w:rsidRPr="00197987">
          <w:rPr>
            <w:rFonts w:ascii="Arial" w:hAnsi="Arial" w:cs="Arial"/>
            <w:noProof/>
            <w:webHidden/>
          </w:rPr>
        </w:r>
        <w:r w:rsidR="00DB2B1E" w:rsidRPr="00197987">
          <w:rPr>
            <w:rFonts w:ascii="Arial" w:hAnsi="Arial" w:cs="Arial"/>
            <w:noProof/>
            <w:webHidden/>
          </w:rPr>
          <w:fldChar w:fldCharType="separate"/>
        </w:r>
        <w:r w:rsidR="00433351">
          <w:rPr>
            <w:rFonts w:ascii="Arial" w:hAnsi="Arial" w:cs="Arial"/>
            <w:noProof/>
            <w:webHidden/>
          </w:rPr>
          <w:t>69</w:t>
        </w:r>
        <w:r w:rsidR="00DB2B1E" w:rsidRPr="00197987">
          <w:rPr>
            <w:rFonts w:ascii="Arial" w:hAnsi="Arial" w:cs="Arial"/>
            <w:noProof/>
            <w:webHidden/>
          </w:rPr>
          <w:fldChar w:fldCharType="end"/>
        </w:r>
      </w:hyperlink>
    </w:p>
    <w:p w14:paraId="27788D61" w14:textId="73E2D3A0" w:rsidR="00DB2B1E" w:rsidRPr="00197987" w:rsidRDefault="00DE0DE2" w:rsidP="00DB2B1E">
      <w:pPr>
        <w:pStyle w:val="TableofFigures"/>
        <w:tabs>
          <w:tab w:val="right" w:leader="dot" w:pos="9350"/>
        </w:tabs>
        <w:spacing w:line="360" w:lineRule="auto"/>
        <w:rPr>
          <w:rFonts w:ascii="Arial" w:eastAsiaTheme="minorEastAsia" w:hAnsi="Arial" w:cs="Arial"/>
          <w:noProof/>
        </w:rPr>
      </w:pPr>
      <w:hyperlink w:anchor="_Toc118978573" w:history="1">
        <w:r w:rsidR="00DB2B1E" w:rsidRPr="00197987">
          <w:rPr>
            <w:rStyle w:val="Hyperlink"/>
            <w:rFonts w:ascii="Arial" w:hAnsi="Arial" w:cs="Arial"/>
            <w:noProof/>
          </w:rPr>
          <w:t>Equation 2: Cell viability quantification from absorbance units in Alamar Blue Assay</w:t>
        </w:r>
        <w:r w:rsidR="00DB2B1E" w:rsidRPr="00197987">
          <w:rPr>
            <w:rFonts w:ascii="Arial" w:hAnsi="Arial" w:cs="Arial"/>
            <w:noProof/>
            <w:webHidden/>
          </w:rPr>
          <w:tab/>
        </w:r>
        <w:r w:rsidR="00DB2B1E" w:rsidRPr="00197987">
          <w:rPr>
            <w:rFonts w:ascii="Arial" w:hAnsi="Arial" w:cs="Arial"/>
            <w:noProof/>
            <w:webHidden/>
          </w:rPr>
          <w:fldChar w:fldCharType="begin"/>
        </w:r>
        <w:r w:rsidR="00DB2B1E" w:rsidRPr="00197987">
          <w:rPr>
            <w:rFonts w:ascii="Arial" w:hAnsi="Arial" w:cs="Arial"/>
            <w:noProof/>
            <w:webHidden/>
          </w:rPr>
          <w:instrText xml:space="preserve"> PAGEREF _Toc118978573 \h </w:instrText>
        </w:r>
        <w:r w:rsidR="00DB2B1E" w:rsidRPr="00197987">
          <w:rPr>
            <w:rFonts w:ascii="Arial" w:hAnsi="Arial" w:cs="Arial"/>
            <w:noProof/>
            <w:webHidden/>
          </w:rPr>
        </w:r>
        <w:r w:rsidR="00DB2B1E" w:rsidRPr="00197987">
          <w:rPr>
            <w:rFonts w:ascii="Arial" w:hAnsi="Arial" w:cs="Arial"/>
            <w:noProof/>
            <w:webHidden/>
          </w:rPr>
          <w:fldChar w:fldCharType="separate"/>
        </w:r>
        <w:r w:rsidR="00433351">
          <w:rPr>
            <w:rFonts w:ascii="Arial" w:hAnsi="Arial" w:cs="Arial"/>
            <w:noProof/>
            <w:webHidden/>
          </w:rPr>
          <w:t>72</w:t>
        </w:r>
        <w:r w:rsidR="00DB2B1E" w:rsidRPr="00197987">
          <w:rPr>
            <w:rFonts w:ascii="Arial" w:hAnsi="Arial" w:cs="Arial"/>
            <w:noProof/>
            <w:webHidden/>
          </w:rPr>
          <w:fldChar w:fldCharType="end"/>
        </w:r>
      </w:hyperlink>
    </w:p>
    <w:p w14:paraId="56D47B42" w14:textId="3E250B12" w:rsidR="00DB2B1E" w:rsidRPr="00197987" w:rsidRDefault="00DE0DE2" w:rsidP="00DB2B1E">
      <w:pPr>
        <w:pStyle w:val="TableofFigures"/>
        <w:tabs>
          <w:tab w:val="right" w:leader="dot" w:pos="9350"/>
        </w:tabs>
        <w:spacing w:line="360" w:lineRule="auto"/>
        <w:rPr>
          <w:rFonts w:ascii="Arial" w:eastAsiaTheme="minorEastAsia" w:hAnsi="Arial" w:cs="Arial"/>
          <w:noProof/>
        </w:rPr>
      </w:pPr>
      <w:hyperlink w:anchor="_Toc118978574" w:history="1">
        <w:r w:rsidR="00DB2B1E" w:rsidRPr="00197987">
          <w:rPr>
            <w:rStyle w:val="Hyperlink"/>
            <w:rFonts w:ascii="Arial" w:hAnsi="Arial" w:cs="Arial"/>
            <w:noProof/>
          </w:rPr>
          <w:t>Equation 3: Tumor volume from size measurement</w:t>
        </w:r>
        <w:r w:rsidR="00DB2B1E" w:rsidRPr="00197987">
          <w:rPr>
            <w:rFonts w:ascii="Arial" w:hAnsi="Arial" w:cs="Arial"/>
            <w:noProof/>
            <w:webHidden/>
          </w:rPr>
          <w:tab/>
        </w:r>
        <w:r w:rsidR="00DB2B1E" w:rsidRPr="00197987">
          <w:rPr>
            <w:rFonts w:ascii="Arial" w:hAnsi="Arial" w:cs="Arial"/>
            <w:noProof/>
            <w:webHidden/>
          </w:rPr>
          <w:fldChar w:fldCharType="begin"/>
        </w:r>
        <w:r w:rsidR="00DB2B1E" w:rsidRPr="00197987">
          <w:rPr>
            <w:rFonts w:ascii="Arial" w:hAnsi="Arial" w:cs="Arial"/>
            <w:noProof/>
            <w:webHidden/>
          </w:rPr>
          <w:instrText xml:space="preserve"> PAGEREF _Toc118978574 \h </w:instrText>
        </w:r>
        <w:r w:rsidR="00DB2B1E" w:rsidRPr="00197987">
          <w:rPr>
            <w:rFonts w:ascii="Arial" w:hAnsi="Arial" w:cs="Arial"/>
            <w:noProof/>
            <w:webHidden/>
          </w:rPr>
        </w:r>
        <w:r w:rsidR="00DB2B1E" w:rsidRPr="00197987">
          <w:rPr>
            <w:rFonts w:ascii="Arial" w:hAnsi="Arial" w:cs="Arial"/>
            <w:noProof/>
            <w:webHidden/>
          </w:rPr>
          <w:fldChar w:fldCharType="separate"/>
        </w:r>
        <w:r w:rsidR="00433351">
          <w:rPr>
            <w:rFonts w:ascii="Arial" w:hAnsi="Arial" w:cs="Arial"/>
            <w:noProof/>
            <w:webHidden/>
          </w:rPr>
          <w:t>73</w:t>
        </w:r>
        <w:r w:rsidR="00DB2B1E" w:rsidRPr="00197987">
          <w:rPr>
            <w:rFonts w:ascii="Arial" w:hAnsi="Arial" w:cs="Arial"/>
            <w:noProof/>
            <w:webHidden/>
          </w:rPr>
          <w:fldChar w:fldCharType="end"/>
        </w:r>
      </w:hyperlink>
    </w:p>
    <w:p w14:paraId="552EE7DD" w14:textId="30897595" w:rsidR="001E5656" w:rsidRDefault="002065AE" w:rsidP="00DB2B1E">
      <w:pPr>
        <w:spacing w:line="360" w:lineRule="auto"/>
        <w:rPr>
          <w:rFonts w:ascii="Arial" w:hAnsi="Arial" w:cs="Arial"/>
          <w:color w:val="000000" w:themeColor="text1"/>
        </w:rPr>
      </w:pPr>
      <w:r w:rsidRPr="00197987">
        <w:rPr>
          <w:rFonts w:ascii="Arial" w:hAnsi="Arial" w:cs="Arial"/>
          <w:color w:val="000000" w:themeColor="text1"/>
        </w:rPr>
        <w:fldChar w:fldCharType="end"/>
      </w:r>
      <w:r w:rsidR="001E5656">
        <w:rPr>
          <w:rFonts w:ascii="Arial" w:hAnsi="Arial" w:cs="Arial"/>
          <w:color w:val="000000" w:themeColor="text1"/>
        </w:rPr>
        <w:br w:type="page"/>
      </w:r>
    </w:p>
    <w:p w14:paraId="5A86600B" w14:textId="02C5F98F" w:rsidR="002558D4" w:rsidRPr="001E5656" w:rsidRDefault="001E5656" w:rsidP="001E5656">
      <w:pPr>
        <w:spacing w:line="360" w:lineRule="auto"/>
        <w:jc w:val="center"/>
        <w:rPr>
          <w:rFonts w:ascii="Arial" w:hAnsi="Arial" w:cs="Arial"/>
          <w:b/>
          <w:bCs/>
          <w:color w:val="000000" w:themeColor="text1"/>
          <w:sz w:val="28"/>
          <w:szCs w:val="28"/>
        </w:rPr>
      </w:pPr>
      <w:r w:rsidRPr="001E5656">
        <w:rPr>
          <w:rFonts w:ascii="Arial" w:hAnsi="Arial" w:cs="Arial"/>
          <w:b/>
          <w:bCs/>
          <w:color w:val="000000" w:themeColor="text1"/>
          <w:sz w:val="28"/>
          <w:szCs w:val="28"/>
        </w:rPr>
        <w:lastRenderedPageBreak/>
        <w:t>Abstract</w:t>
      </w:r>
    </w:p>
    <w:p w14:paraId="75A838D3" w14:textId="77777777" w:rsidR="00B11A9C" w:rsidRPr="009540EA" w:rsidRDefault="00B11A9C" w:rsidP="00B11A9C">
      <w:pPr>
        <w:spacing w:line="360" w:lineRule="auto"/>
        <w:ind w:firstLine="1440"/>
        <w:jc w:val="both"/>
        <w:rPr>
          <w:rFonts w:ascii="Arial" w:hAnsi="Arial" w:cs="Arial"/>
          <w:color w:val="000000" w:themeColor="text1"/>
        </w:rPr>
      </w:pPr>
      <w:r w:rsidRPr="009540EA">
        <w:rPr>
          <w:rFonts w:ascii="Arial" w:hAnsi="Arial" w:cs="Arial"/>
          <w:color w:val="000000" w:themeColor="text1"/>
        </w:rPr>
        <w:t>Cancer is considered the single most critical barrier to improving life expectancy in every country. More specifically, the high prevalence of breast cancer is a global health concern, but there are no safe or effective treatments for it at its advanced stages. Those facts urge the development of novel treatment strategies.</w:t>
      </w:r>
    </w:p>
    <w:p w14:paraId="43846EF3" w14:textId="77777777" w:rsidR="000813CF" w:rsidRPr="009540EA" w:rsidRDefault="000813CF" w:rsidP="000813CF">
      <w:pPr>
        <w:spacing w:line="360" w:lineRule="auto"/>
        <w:ind w:firstLine="1440"/>
        <w:jc w:val="both"/>
        <w:rPr>
          <w:rFonts w:ascii="Arial" w:hAnsi="Arial" w:cs="Arial"/>
          <w:color w:val="000000" w:themeColor="text1"/>
        </w:rPr>
      </w:pPr>
      <w:r w:rsidRPr="009540EA">
        <w:rPr>
          <w:rFonts w:ascii="Arial" w:hAnsi="Arial" w:cs="Arial"/>
          <w:color w:val="000000" w:themeColor="text1"/>
        </w:rPr>
        <w:t xml:space="preserve">Annexin A5 (ANXA5) is a natural human protein </w:t>
      </w:r>
      <w:r w:rsidRPr="009540EA">
        <w:rPr>
          <w:rFonts w:ascii="Calibri" w:hAnsi="Calibri" w:cs="Calibri"/>
          <w:color w:val="000000" w:themeColor="text1"/>
        </w:rPr>
        <w:t>﻿</w:t>
      </w:r>
      <w:r w:rsidRPr="009540EA">
        <w:rPr>
          <w:rFonts w:ascii="Arial" w:hAnsi="Arial" w:cs="Arial"/>
          <w:color w:val="000000" w:themeColor="text1"/>
        </w:rPr>
        <w:t xml:space="preserve">that binds with high specificity to phosphatidylserine, a phospholipid tightly maintained in the inner leaflet of the cell membrane on most healthy cells but externalized in tumor cells, tumor vasculature, and metastatic cells. </w:t>
      </w:r>
      <w:r>
        <w:rPr>
          <w:rFonts w:ascii="Arial" w:hAnsi="Arial" w:cs="Arial"/>
          <w:color w:val="000000" w:themeColor="text1"/>
        </w:rPr>
        <w:t>We</w:t>
      </w:r>
      <w:r w:rsidRPr="009540EA">
        <w:rPr>
          <w:rFonts w:ascii="Arial" w:hAnsi="Arial" w:cs="Arial"/>
          <w:color w:val="000000" w:themeColor="text1"/>
        </w:rPr>
        <w:t xml:space="preserve"> have linked annexin A5 to </w:t>
      </w:r>
      <w:r>
        <w:rPr>
          <w:rFonts w:ascii="Arial" w:hAnsi="Arial" w:cs="Arial"/>
          <w:color w:val="000000" w:themeColor="text1"/>
        </w:rPr>
        <w:t>single-walled</w:t>
      </w:r>
      <w:r w:rsidRPr="009540EA">
        <w:rPr>
          <w:rFonts w:ascii="Arial" w:hAnsi="Arial" w:cs="Arial"/>
          <w:color w:val="000000" w:themeColor="text1"/>
        </w:rPr>
        <w:t xml:space="preserve"> carbon nanotubes (SWCNT) and gold nanoparticles (AuNP)</w:t>
      </w:r>
      <w:r>
        <w:rPr>
          <w:rFonts w:ascii="Arial" w:hAnsi="Arial" w:cs="Arial"/>
          <w:color w:val="000000" w:themeColor="text1"/>
        </w:rPr>
        <w:t xml:space="preserve"> in this work</w:t>
      </w:r>
      <w:r w:rsidRPr="009540EA">
        <w:rPr>
          <w:rFonts w:ascii="Arial" w:hAnsi="Arial" w:cs="Arial"/>
          <w:color w:val="000000" w:themeColor="text1"/>
        </w:rPr>
        <w:t>.</w:t>
      </w:r>
    </w:p>
    <w:p w14:paraId="556445A2" w14:textId="18D587DC" w:rsidR="005618A3" w:rsidRDefault="005618A3" w:rsidP="005618A3">
      <w:pPr>
        <w:spacing w:line="360" w:lineRule="auto"/>
        <w:ind w:firstLine="1440"/>
        <w:jc w:val="both"/>
        <w:rPr>
          <w:rFonts w:ascii="Arial" w:hAnsi="Arial" w:cs="Arial"/>
        </w:rPr>
      </w:pPr>
      <w:r w:rsidRPr="009540EA">
        <w:rPr>
          <w:rFonts w:ascii="Arial" w:hAnsi="Arial" w:cs="Arial"/>
        </w:rPr>
        <w:t xml:space="preserve">First, we have developed a targeted photosensitizer for photothermal therapy (PTT) of solid tumors through </w:t>
      </w:r>
      <w:r>
        <w:rPr>
          <w:rFonts w:ascii="Arial" w:hAnsi="Arial" w:cs="Arial"/>
        </w:rPr>
        <w:t xml:space="preserve">the </w:t>
      </w:r>
      <w:r w:rsidRPr="009540EA">
        <w:rPr>
          <w:rFonts w:ascii="Arial" w:hAnsi="Arial" w:cs="Arial"/>
        </w:rPr>
        <w:t xml:space="preserve">functionalization of SWCNT </w:t>
      </w:r>
      <w:r w:rsidR="00F07EC8">
        <w:rPr>
          <w:rFonts w:ascii="Arial" w:hAnsi="Arial" w:cs="Arial"/>
        </w:rPr>
        <w:t xml:space="preserve">to </w:t>
      </w:r>
      <w:r w:rsidRPr="009540EA">
        <w:rPr>
          <w:rFonts w:ascii="Arial" w:hAnsi="Arial" w:cs="Arial"/>
        </w:rPr>
        <w:t xml:space="preserve">ANXA5: </w:t>
      </w:r>
      <w:r>
        <w:rPr>
          <w:rFonts w:ascii="Arial" w:hAnsi="Arial" w:cs="Arial"/>
        </w:rPr>
        <w:t xml:space="preserve">the </w:t>
      </w:r>
      <w:r w:rsidRPr="009540EA">
        <w:rPr>
          <w:rFonts w:ascii="Arial" w:hAnsi="Arial" w:cs="Arial"/>
        </w:rPr>
        <w:t xml:space="preserve">SWCNT-ANXA5 conjugate. The ablation of tumors through the SWCNT-ANXA5-mediated PTT synergizes with checkpoint inhibition creating a systemic anti-cancer immune response. This treatment strategy was tested in two murine </w:t>
      </w:r>
      <w:r w:rsidR="008F03C7">
        <w:rPr>
          <w:rFonts w:ascii="Arial" w:hAnsi="Arial" w:cs="Arial"/>
        </w:rPr>
        <w:t xml:space="preserve">breast cancer </w:t>
      </w:r>
      <w:r w:rsidRPr="009540EA">
        <w:rPr>
          <w:rFonts w:ascii="Arial" w:hAnsi="Arial" w:cs="Arial"/>
        </w:rPr>
        <w:t xml:space="preserve">tumor models, EMT6 and 4T1. </w:t>
      </w:r>
      <w:r>
        <w:rPr>
          <w:rFonts w:ascii="Arial" w:hAnsi="Arial" w:cs="Arial"/>
        </w:rPr>
        <w:t xml:space="preserve">Although </w:t>
      </w:r>
      <w:r w:rsidRPr="009540EA">
        <w:rPr>
          <w:rFonts w:ascii="Arial" w:hAnsi="Arial" w:cs="Arial"/>
        </w:rPr>
        <w:t xml:space="preserve">EMT6 tumors are aggressive and metastatic, 4T1 </w:t>
      </w:r>
      <w:r>
        <w:rPr>
          <w:rFonts w:ascii="Arial" w:hAnsi="Arial" w:cs="Arial"/>
        </w:rPr>
        <w:t>tumors</w:t>
      </w:r>
      <w:r w:rsidRPr="009540EA">
        <w:rPr>
          <w:rFonts w:ascii="Arial" w:hAnsi="Arial" w:cs="Arial"/>
        </w:rPr>
        <w:t xml:space="preserve"> are considered even more threatening and less immunogenic than EMT6. For both tumors, enhanced therapeutic effects were achieved. While EMT6 tumors were treated with lower </w:t>
      </w:r>
      <w:r>
        <w:rPr>
          <w:rFonts w:ascii="Arial" w:hAnsi="Arial" w:cs="Arial"/>
        </w:rPr>
        <w:t>temperatures</w:t>
      </w:r>
      <w:r w:rsidRPr="009540EA">
        <w:rPr>
          <w:rFonts w:ascii="Arial" w:hAnsi="Arial" w:cs="Arial"/>
        </w:rPr>
        <w:t xml:space="preserve"> in the PTT, 4T1 required higher temperatures and </w:t>
      </w:r>
      <w:r>
        <w:rPr>
          <w:rFonts w:ascii="Arial" w:hAnsi="Arial" w:cs="Arial"/>
        </w:rPr>
        <w:t xml:space="preserve">the </w:t>
      </w:r>
      <w:r w:rsidRPr="009540EA">
        <w:rPr>
          <w:rFonts w:ascii="Arial" w:hAnsi="Arial" w:cs="Arial"/>
        </w:rPr>
        <w:t xml:space="preserve">addition of </w:t>
      </w:r>
      <w:r>
        <w:rPr>
          <w:rFonts w:ascii="Arial" w:hAnsi="Arial" w:cs="Arial"/>
        </w:rPr>
        <w:t xml:space="preserve">an </w:t>
      </w:r>
      <w:r w:rsidRPr="009540EA">
        <w:rPr>
          <w:rFonts w:ascii="Arial" w:hAnsi="Arial" w:cs="Arial"/>
        </w:rPr>
        <w:t>immune adjuvant to induce curative effects.</w:t>
      </w:r>
      <w:r>
        <w:rPr>
          <w:rFonts w:ascii="Arial" w:hAnsi="Arial" w:cs="Arial"/>
        </w:rPr>
        <w:t xml:space="preserve"> For both studies, evidence of immune system activation strengthens the hypothesis of an abscopal effect. </w:t>
      </w:r>
      <w:r w:rsidRPr="009540EA">
        <w:rPr>
          <w:rFonts w:ascii="Arial" w:hAnsi="Arial" w:cs="Arial"/>
        </w:rPr>
        <w:t xml:space="preserve">SWCNT-ANXA5 was also studied as a responsive material for radiofrequency ablation (RFA), showing </w:t>
      </w:r>
      <w:r>
        <w:rPr>
          <w:rFonts w:ascii="Arial" w:hAnsi="Arial" w:cs="Arial"/>
        </w:rPr>
        <w:t xml:space="preserve">an </w:t>
      </w:r>
      <w:r w:rsidRPr="009540EA">
        <w:rPr>
          <w:rFonts w:ascii="Arial" w:hAnsi="Arial" w:cs="Arial"/>
        </w:rPr>
        <w:t>impressive heating rate and potential for carbon nanotube-mediated RFA of tumors</w:t>
      </w:r>
      <w:r>
        <w:rPr>
          <w:rFonts w:ascii="Arial" w:hAnsi="Arial" w:cs="Arial"/>
        </w:rPr>
        <w:t>.</w:t>
      </w:r>
    </w:p>
    <w:p w14:paraId="1E3BE77D" w14:textId="77777777" w:rsidR="00170F88" w:rsidRPr="009540EA" w:rsidRDefault="00170F88" w:rsidP="00170F88">
      <w:pPr>
        <w:spacing w:line="360" w:lineRule="auto"/>
        <w:ind w:firstLine="1440"/>
        <w:jc w:val="both"/>
        <w:rPr>
          <w:rFonts w:ascii="Arial" w:hAnsi="Arial" w:cs="Arial"/>
        </w:rPr>
      </w:pPr>
      <w:r>
        <w:rPr>
          <w:rFonts w:ascii="Arial" w:hAnsi="Arial" w:cs="Arial"/>
        </w:rPr>
        <w:t>Lastly</w:t>
      </w:r>
      <w:r w:rsidRPr="009540EA">
        <w:rPr>
          <w:rFonts w:ascii="Arial" w:hAnsi="Arial" w:cs="Arial"/>
        </w:rPr>
        <w:t xml:space="preserve">, a multi-modal conjugate for </w:t>
      </w:r>
      <w:r>
        <w:rPr>
          <w:rFonts w:ascii="Arial" w:hAnsi="Arial" w:cs="Arial"/>
        </w:rPr>
        <w:t xml:space="preserve">the </w:t>
      </w:r>
      <w:r w:rsidRPr="009540EA">
        <w:rPr>
          <w:rFonts w:ascii="Arial" w:hAnsi="Arial" w:cs="Arial"/>
        </w:rPr>
        <w:t xml:space="preserve">detection and therapy of cancer was developed linking ANXA5 to a chemotherapeutic drug, </w:t>
      </w:r>
      <w:proofErr w:type="spellStart"/>
      <w:r w:rsidRPr="009540EA">
        <w:rPr>
          <w:rFonts w:ascii="Arial" w:hAnsi="Arial" w:cs="Arial"/>
        </w:rPr>
        <w:t>mertansine</w:t>
      </w:r>
      <w:proofErr w:type="spellEnd"/>
      <w:r w:rsidRPr="009540EA">
        <w:rPr>
          <w:rFonts w:ascii="Arial" w:hAnsi="Arial" w:cs="Arial"/>
        </w:rPr>
        <w:t xml:space="preserve"> (DM1), and gold nanoparticle</w:t>
      </w:r>
      <w:r>
        <w:rPr>
          <w:rFonts w:ascii="Arial" w:hAnsi="Arial" w:cs="Arial"/>
        </w:rPr>
        <w:t>s</w:t>
      </w:r>
      <w:r w:rsidRPr="009540EA">
        <w:rPr>
          <w:rFonts w:ascii="Arial" w:hAnsi="Arial" w:cs="Arial"/>
        </w:rPr>
        <w:t xml:space="preserve"> (AuNP) for drug delivery and contrasting agent in </w:t>
      </w:r>
      <w:proofErr w:type="spellStart"/>
      <w:r w:rsidRPr="009540EA">
        <w:rPr>
          <w:rFonts w:ascii="Arial" w:hAnsi="Arial" w:cs="Arial"/>
        </w:rPr>
        <w:t>microCT</w:t>
      </w:r>
      <w:proofErr w:type="spellEnd"/>
      <w:r w:rsidRPr="009540EA">
        <w:rPr>
          <w:rFonts w:ascii="Arial" w:hAnsi="Arial" w:cs="Arial"/>
        </w:rPr>
        <w:t xml:space="preserve"> scans in the </w:t>
      </w:r>
      <w:r>
        <w:rPr>
          <w:rFonts w:ascii="Arial" w:hAnsi="Arial" w:cs="Arial"/>
        </w:rPr>
        <w:t>diagnosis</w:t>
      </w:r>
      <w:r w:rsidRPr="009540EA">
        <w:rPr>
          <w:rFonts w:ascii="Arial" w:hAnsi="Arial" w:cs="Arial"/>
        </w:rPr>
        <w:t xml:space="preserve"> of breast cancer. </w:t>
      </w:r>
      <w:r>
        <w:rPr>
          <w:rFonts w:ascii="Arial" w:hAnsi="Arial" w:cs="Arial"/>
        </w:rPr>
        <w:t xml:space="preserve">Those linkages created the </w:t>
      </w:r>
      <w:r w:rsidRPr="009540EA">
        <w:rPr>
          <w:rFonts w:ascii="Arial" w:hAnsi="Arial" w:cs="Arial"/>
        </w:rPr>
        <w:t xml:space="preserve">conjugate AuNP-ANXA5-DM1. This novel agent was able to induce cytotoxic effects and has the potential to increase the effectiveness of </w:t>
      </w:r>
      <w:r>
        <w:rPr>
          <w:rFonts w:ascii="Arial" w:hAnsi="Arial" w:cs="Arial"/>
        </w:rPr>
        <w:t xml:space="preserve">chemotherapeutic </w:t>
      </w:r>
      <w:r w:rsidRPr="009540EA">
        <w:rPr>
          <w:rFonts w:ascii="Arial" w:hAnsi="Arial" w:cs="Arial"/>
        </w:rPr>
        <w:t>delivery to solid tumors.</w:t>
      </w:r>
    </w:p>
    <w:p w14:paraId="0930BCBD" w14:textId="77777777" w:rsidR="00C00784" w:rsidRDefault="00C00784" w:rsidP="00CF0CD5">
      <w:pPr>
        <w:spacing w:line="360" w:lineRule="auto"/>
        <w:rPr>
          <w:rFonts w:ascii="Arial" w:hAnsi="Arial" w:cs="Arial"/>
          <w:color w:val="000000" w:themeColor="text1"/>
        </w:rPr>
        <w:sectPr w:rsidR="00C00784" w:rsidSect="00FC3A23">
          <w:footerReference w:type="default" r:id="rId10"/>
          <w:pgSz w:w="12240" w:h="15840"/>
          <w:pgMar w:top="1440" w:right="1440" w:bottom="1440" w:left="1440" w:header="720" w:footer="720" w:gutter="0"/>
          <w:pgNumType w:fmt="upperRoman" w:start="4"/>
          <w:cols w:space="720"/>
          <w:docGrid w:linePitch="360"/>
        </w:sectPr>
      </w:pPr>
    </w:p>
    <w:p w14:paraId="02548202" w14:textId="7F0C2CC9" w:rsidR="002558D4" w:rsidRDefault="002558D4" w:rsidP="00CF0CD5">
      <w:pPr>
        <w:spacing w:line="360" w:lineRule="auto"/>
        <w:rPr>
          <w:rFonts w:ascii="Arial" w:hAnsi="Arial" w:cs="Arial"/>
          <w:color w:val="000000" w:themeColor="text1"/>
        </w:rPr>
      </w:pPr>
    </w:p>
    <w:p w14:paraId="111F25B8" w14:textId="72F6B046" w:rsidR="002558D4" w:rsidRDefault="002558D4" w:rsidP="00CF0CD5">
      <w:pPr>
        <w:spacing w:line="360" w:lineRule="auto"/>
        <w:rPr>
          <w:rFonts w:ascii="Arial" w:hAnsi="Arial" w:cs="Arial"/>
          <w:color w:val="000000" w:themeColor="text1"/>
        </w:rPr>
      </w:pPr>
    </w:p>
    <w:p w14:paraId="7CD5629D" w14:textId="1007AA46" w:rsidR="002558D4" w:rsidRDefault="002558D4" w:rsidP="00CF0CD5">
      <w:pPr>
        <w:spacing w:line="360" w:lineRule="auto"/>
        <w:rPr>
          <w:rFonts w:ascii="Arial" w:hAnsi="Arial" w:cs="Arial"/>
          <w:color w:val="000000" w:themeColor="text1"/>
        </w:rPr>
      </w:pPr>
    </w:p>
    <w:p w14:paraId="111BF60E" w14:textId="77777777" w:rsidR="008D5AEB" w:rsidRDefault="008D5AEB" w:rsidP="00CF0CD5">
      <w:pPr>
        <w:spacing w:line="360" w:lineRule="auto"/>
        <w:rPr>
          <w:rFonts w:ascii="Arial" w:hAnsi="Arial" w:cs="Arial"/>
          <w:color w:val="000000" w:themeColor="text1"/>
        </w:rPr>
      </w:pPr>
    </w:p>
    <w:p w14:paraId="401EE29E" w14:textId="7BE8A6A1" w:rsidR="00C00784" w:rsidRDefault="00C00784" w:rsidP="00CF0CD5">
      <w:pPr>
        <w:spacing w:line="360" w:lineRule="auto"/>
        <w:rPr>
          <w:rFonts w:ascii="Arial" w:hAnsi="Arial" w:cs="Arial"/>
          <w:color w:val="000000" w:themeColor="text1"/>
        </w:rPr>
      </w:pPr>
    </w:p>
    <w:p w14:paraId="274D6986" w14:textId="5FD5F70B" w:rsidR="00C00784" w:rsidRDefault="00C00784" w:rsidP="00CF0CD5">
      <w:pPr>
        <w:spacing w:line="360" w:lineRule="auto"/>
        <w:rPr>
          <w:rFonts w:ascii="Arial" w:hAnsi="Arial" w:cs="Arial"/>
          <w:color w:val="000000" w:themeColor="text1"/>
        </w:rPr>
      </w:pPr>
    </w:p>
    <w:p w14:paraId="2E735822" w14:textId="1A08E2DA" w:rsidR="00C00784" w:rsidRDefault="00C00784" w:rsidP="00CF0CD5">
      <w:pPr>
        <w:spacing w:line="360" w:lineRule="auto"/>
        <w:rPr>
          <w:rFonts w:ascii="Arial" w:hAnsi="Arial" w:cs="Arial"/>
          <w:color w:val="000000" w:themeColor="text1"/>
        </w:rPr>
      </w:pPr>
    </w:p>
    <w:p w14:paraId="61F37825" w14:textId="54551110" w:rsidR="00C00784" w:rsidRDefault="00C00784" w:rsidP="00CF0CD5">
      <w:pPr>
        <w:spacing w:line="360" w:lineRule="auto"/>
        <w:rPr>
          <w:rFonts w:ascii="Arial" w:hAnsi="Arial" w:cs="Arial"/>
          <w:color w:val="000000" w:themeColor="text1"/>
        </w:rPr>
      </w:pPr>
    </w:p>
    <w:p w14:paraId="5E7C62AF" w14:textId="64E2C58A" w:rsidR="00C00784" w:rsidRDefault="00C00784" w:rsidP="00CF0CD5">
      <w:pPr>
        <w:spacing w:line="360" w:lineRule="auto"/>
        <w:rPr>
          <w:rFonts w:ascii="Arial" w:hAnsi="Arial" w:cs="Arial"/>
          <w:color w:val="000000" w:themeColor="text1"/>
        </w:rPr>
      </w:pPr>
    </w:p>
    <w:p w14:paraId="6AC12389" w14:textId="0E7D27E6" w:rsidR="00C00784" w:rsidRDefault="00C00784" w:rsidP="00CF0CD5">
      <w:pPr>
        <w:spacing w:line="360" w:lineRule="auto"/>
        <w:rPr>
          <w:rFonts w:ascii="Arial" w:hAnsi="Arial" w:cs="Arial"/>
          <w:color w:val="000000" w:themeColor="text1"/>
        </w:rPr>
      </w:pPr>
    </w:p>
    <w:p w14:paraId="72704FF5" w14:textId="77777777" w:rsidR="00C00784" w:rsidRDefault="00C00784" w:rsidP="00CF0CD5">
      <w:pPr>
        <w:spacing w:line="360" w:lineRule="auto"/>
        <w:rPr>
          <w:rFonts w:ascii="Arial" w:hAnsi="Arial" w:cs="Arial"/>
          <w:color w:val="000000" w:themeColor="text1"/>
        </w:rPr>
      </w:pPr>
    </w:p>
    <w:p w14:paraId="0EC76D38" w14:textId="77777777" w:rsidR="002558D4" w:rsidRPr="00D74025" w:rsidRDefault="002558D4" w:rsidP="00CF0CD5">
      <w:pPr>
        <w:spacing w:line="360" w:lineRule="auto"/>
        <w:rPr>
          <w:rFonts w:ascii="Arial" w:hAnsi="Arial" w:cs="Arial"/>
          <w:color w:val="000000" w:themeColor="text1"/>
        </w:rPr>
      </w:pPr>
    </w:p>
    <w:p w14:paraId="4BDFA9A6" w14:textId="5E7C18B3" w:rsidR="00CF0CD5" w:rsidRPr="00D74025" w:rsidRDefault="00CF0CD5" w:rsidP="00CF0CD5">
      <w:pPr>
        <w:spacing w:line="360" w:lineRule="auto"/>
        <w:rPr>
          <w:rFonts w:ascii="Arial" w:hAnsi="Arial" w:cs="Arial"/>
          <w:color w:val="000000" w:themeColor="text1"/>
        </w:rPr>
      </w:pPr>
    </w:p>
    <w:p w14:paraId="59CC6B3C" w14:textId="123ABF55" w:rsidR="00CF0CD5" w:rsidRPr="00D74025" w:rsidRDefault="00CF0CD5" w:rsidP="00CF0CD5">
      <w:pPr>
        <w:spacing w:line="360" w:lineRule="auto"/>
        <w:rPr>
          <w:rFonts w:ascii="Arial" w:hAnsi="Arial" w:cs="Arial"/>
          <w:color w:val="000000" w:themeColor="text1"/>
        </w:rPr>
      </w:pPr>
    </w:p>
    <w:p w14:paraId="728F0709" w14:textId="1F944556" w:rsidR="00DB0531" w:rsidRDefault="00D72F4F" w:rsidP="00E26C82">
      <w:pPr>
        <w:pStyle w:val="Heading1"/>
        <w:jc w:val="center"/>
        <w:rPr>
          <w:rFonts w:ascii="Arial" w:hAnsi="Arial" w:cs="Arial"/>
          <w:color w:val="000000" w:themeColor="text1"/>
        </w:rPr>
      </w:pPr>
      <w:bookmarkStart w:id="1" w:name="_Toc121217221"/>
      <w:r w:rsidRPr="00D74025">
        <w:rPr>
          <w:rFonts w:ascii="Arial" w:hAnsi="Arial" w:cs="Arial"/>
          <w:color w:val="000000" w:themeColor="text1"/>
        </w:rPr>
        <w:t>CHAPTER 1</w:t>
      </w:r>
      <w:r w:rsidR="00E26C82" w:rsidRPr="00D74025">
        <w:rPr>
          <w:rFonts w:ascii="Arial" w:hAnsi="Arial" w:cs="Arial"/>
          <w:color w:val="000000" w:themeColor="text1"/>
        </w:rPr>
        <w:t xml:space="preserve"> - </w:t>
      </w:r>
      <w:r w:rsidRPr="00D74025">
        <w:rPr>
          <w:rFonts w:ascii="Arial" w:hAnsi="Arial" w:cs="Arial"/>
          <w:color w:val="000000" w:themeColor="text1"/>
        </w:rPr>
        <w:t>INTRODUCTION</w:t>
      </w:r>
      <w:bookmarkEnd w:id="1"/>
      <w:r w:rsidR="00DB0531">
        <w:rPr>
          <w:rFonts w:ascii="Arial" w:hAnsi="Arial" w:cs="Arial"/>
          <w:color w:val="000000" w:themeColor="text1"/>
        </w:rPr>
        <w:br w:type="page"/>
      </w:r>
    </w:p>
    <w:p w14:paraId="2871373F" w14:textId="41015E98" w:rsidR="00791D13" w:rsidRPr="00D74025" w:rsidRDefault="008658E4" w:rsidP="0064498B">
      <w:pPr>
        <w:spacing w:line="360" w:lineRule="auto"/>
        <w:outlineLvl w:val="1"/>
        <w:rPr>
          <w:rFonts w:ascii="Arial" w:hAnsi="Arial" w:cs="Arial"/>
          <w:b/>
          <w:bCs/>
          <w:color w:val="000000" w:themeColor="text1"/>
          <w:sz w:val="28"/>
          <w:szCs w:val="28"/>
          <w:u w:val="single"/>
        </w:rPr>
      </w:pPr>
      <w:bookmarkStart w:id="2" w:name="_Toc87466632"/>
      <w:bookmarkStart w:id="3" w:name="_Toc121217222"/>
      <w:r w:rsidRPr="00D74025">
        <w:rPr>
          <w:rFonts w:ascii="Arial" w:hAnsi="Arial" w:cs="Arial"/>
          <w:b/>
          <w:bCs/>
          <w:color w:val="000000" w:themeColor="text1"/>
          <w:sz w:val="28"/>
          <w:szCs w:val="28"/>
          <w:u w:val="single"/>
        </w:rPr>
        <w:lastRenderedPageBreak/>
        <w:t xml:space="preserve">1.1 </w:t>
      </w:r>
      <w:r w:rsidR="00791D13" w:rsidRPr="00D74025">
        <w:rPr>
          <w:rFonts w:ascii="Arial" w:hAnsi="Arial" w:cs="Arial"/>
          <w:b/>
          <w:bCs/>
          <w:color w:val="000000" w:themeColor="text1"/>
          <w:sz w:val="28"/>
          <w:szCs w:val="28"/>
          <w:u w:val="single"/>
        </w:rPr>
        <w:t xml:space="preserve">The </w:t>
      </w:r>
      <w:r w:rsidR="00B131CE">
        <w:rPr>
          <w:rFonts w:ascii="Arial" w:hAnsi="Arial" w:cs="Arial"/>
          <w:b/>
          <w:bCs/>
          <w:color w:val="000000" w:themeColor="text1"/>
          <w:sz w:val="28"/>
          <w:szCs w:val="28"/>
          <w:u w:val="single"/>
        </w:rPr>
        <w:t>c</w:t>
      </w:r>
      <w:r w:rsidR="00791D13" w:rsidRPr="00D74025">
        <w:rPr>
          <w:rFonts w:ascii="Arial" w:hAnsi="Arial" w:cs="Arial"/>
          <w:b/>
          <w:bCs/>
          <w:color w:val="000000" w:themeColor="text1"/>
          <w:sz w:val="28"/>
          <w:szCs w:val="28"/>
          <w:u w:val="single"/>
        </w:rPr>
        <w:t xml:space="preserve">ell and its </w:t>
      </w:r>
      <w:r w:rsidR="00B131CE">
        <w:rPr>
          <w:rFonts w:ascii="Arial" w:hAnsi="Arial" w:cs="Arial"/>
          <w:b/>
          <w:bCs/>
          <w:color w:val="000000" w:themeColor="text1"/>
          <w:sz w:val="28"/>
          <w:szCs w:val="28"/>
          <w:u w:val="single"/>
        </w:rPr>
        <w:t>p</w:t>
      </w:r>
      <w:r w:rsidR="00791D13" w:rsidRPr="00D74025">
        <w:rPr>
          <w:rFonts w:ascii="Arial" w:hAnsi="Arial" w:cs="Arial"/>
          <w:b/>
          <w:bCs/>
          <w:color w:val="000000" w:themeColor="text1"/>
          <w:sz w:val="28"/>
          <w:szCs w:val="28"/>
          <w:u w:val="single"/>
        </w:rPr>
        <w:t xml:space="preserve">lasma </w:t>
      </w:r>
      <w:r w:rsidR="00B131CE">
        <w:rPr>
          <w:rFonts w:ascii="Arial" w:hAnsi="Arial" w:cs="Arial"/>
          <w:b/>
          <w:bCs/>
          <w:color w:val="000000" w:themeColor="text1"/>
          <w:sz w:val="28"/>
          <w:szCs w:val="28"/>
          <w:u w:val="single"/>
        </w:rPr>
        <w:t>m</w:t>
      </w:r>
      <w:r w:rsidR="00791D13" w:rsidRPr="00D74025">
        <w:rPr>
          <w:rFonts w:ascii="Arial" w:hAnsi="Arial" w:cs="Arial"/>
          <w:b/>
          <w:bCs/>
          <w:color w:val="000000" w:themeColor="text1"/>
          <w:sz w:val="28"/>
          <w:szCs w:val="28"/>
          <w:u w:val="single"/>
        </w:rPr>
        <w:t>embrane</w:t>
      </w:r>
      <w:bookmarkEnd w:id="2"/>
      <w:bookmarkEnd w:id="3"/>
    </w:p>
    <w:p w14:paraId="7632386F" w14:textId="77777777" w:rsidR="00225E3C" w:rsidRPr="00D74025" w:rsidRDefault="00225E3C" w:rsidP="000129D2">
      <w:pPr>
        <w:rPr>
          <w:rFonts w:ascii="Arial" w:hAnsi="Arial" w:cs="Arial"/>
          <w:b/>
          <w:bCs/>
          <w:color w:val="000000" w:themeColor="text1"/>
        </w:rPr>
      </w:pPr>
    </w:p>
    <w:p w14:paraId="1A612A74" w14:textId="0CC9BD12" w:rsidR="00791D13" w:rsidRPr="00D74025" w:rsidRDefault="00B736BF" w:rsidP="00CF0CD5">
      <w:pPr>
        <w:snapToGrid w:val="0"/>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Cells are considered the elementary part of living organisms. The “cell theory” was first developed in 1839 by Schwann and Schleiden and proposed that all living things are composed of small fundamental structural and functional units: cells</w:t>
      </w:r>
      <w:r w:rsidR="00791D13" w:rsidRPr="00D74025">
        <w:rPr>
          <w:rFonts w:ascii="Arial" w:hAnsi="Arial" w:cs="Arial"/>
          <w:color w:val="000000" w:themeColor="text1"/>
        </w:rPr>
        <w:fldChar w:fldCharType="begin"/>
      </w:r>
      <w:r w:rsidR="00AB2CFB">
        <w:rPr>
          <w:rFonts w:ascii="Arial" w:hAnsi="Arial" w:cs="Arial"/>
          <w:color w:val="000000" w:themeColor="text1"/>
        </w:rPr>
        <w:instrText xml:space="preserve"> ADDIN ZOTERO_ITEM CSL_CITATION {"citationID":"EtJ3v6d5","properties":{"formattedCitation":"\\super 1\\nosupersub{}","plainCitation":"1","noteIndex":0},"citationItems":[{"id":130,"uris":["http://zotero.org/users/7661987/items/LTCNZ7RF"],"itemData":{"id":130,"type":"article-journal","abstract":"The development of the microscope was a precondition for the discovery of cells. This instrument magniﬁes objects too small to be seen by the naked eye. In 1673, the Dutch botanist, Anton van Leeuwenhoek, made a more advanced microscope and reported seeing a myriad of microscopic “animalcules” in water. He also made further studies of red blood cells and sperm cells. Most studies that followed were done on the easily studied plant tissues. Plant cells, rigidly encased in their cell walls, were ideal to study in situ. The cell theory proposes that nucleated cells are the basic structure of plants and animals. This concept was observed and published separately, ﬁrst by the botanist, Matthias Schleiden, in 1838, and then by the zoologist, Theodor Schwann, in 1839. Their work demonstrated that cells form the basic unit of life of plants and animals. Rudolf Virchow concluded that all living organisms are the sum of single cellular units and that cells multiply.","container-title":"Experimental Cell Research","DOI":"10.1016/j.yexcr.2018.01.038","ISSN":"00144827","issue":"1","journalAbbreviation":"Experimental Cell Research","language":"en","page":"1-4","source":"DOI.org (Crossref)","title":"An historical note on the cell theory","volume":"364","author":[{"family":"Ribatti","given":"Domenico"}],"issued":{"date-parts":[["2018",3]]}}}],"schema":"https://github.com/citation-style-language/schema/raw/master/csl-citation.json"} </w:instrText>
      </w:r>
      <w:r w:rsidR="00791D13" w:rsidRPr="00D74025">
        <w:rPr>
          <w:rFonts w:ascii="Arial" w:hAnsi="Arial" w:cs="Arial"/>
          <w:color w:val="000000" w:themeColor="text1"/>
        </w:rPr>
        <w:fldChar w:fldCharType="separate"/>
      </w:r>
      <w:r w:rsidR="00791D13" w:rsidRPr="00D74025">
        <w:rPr>
          <w:rFonts w:ascii="Arial" w:hAnsi="Arial" w:cs="Arial"/>
          <w:color w:val="000000" w:themeColor="text1"/>
          <w:vertAlign w:val="superscript"/>
        </w:rPr>
        <w:t>1</w:t>
      </w:r>
      <w:r w:rsidR="00791D13" w:rsidRPr="00D74025">
        <w:rPr>
          <w:rFonts w:ascii="Arial" w:hAnsi="Arial" w:cs="Arial"/>
          <w:color w:val="000000" w:themeColor="text1"/>
        </w:rPr>
        <w:fldChar w:fldCharType="end"/>
      </w:r>
      <w:r w:rsidR="00791D13" w:rsidRPr="00D74025">
        <w:rPr>
          <w:rFonts w:ascii="Arial" w:hAnsi="Arial" w:cs="Arial"/>
          <w:color w:val="000000" w:themeColor="text1"/>
        </w:rPr>
        <w:t xml:space="preserve">. </w:t>
      </w:r>
      <w:r w:rsidR="002148EA" w:rsidRPr="00D74025">
        <w:rPr>
          <w:rFonts w:ascii="Arial" w:hAnsi="Arial" w:cs="Arial"/>
          <w:color w:val="000000" w:themeColor="text1"/>
        </w:rPr>
        <w:t>Consequently, all organisms</w:t>
      </w:r>
      <w:r w:rsidR="00943D07">
        <w:rPr>
          <w:rFonts w:ascii="Arial" w:hAnsi="Arial" w:cs="Arial"/>
          <w:color w:val="000000" w:themeColor="text1"/>
        </w:rPr>
        <w:t>’</w:t>
      </w:r>
      <w:r w:rsidR="002148EA" w:rsidRPr="00D74025">
        <w:rPr>
          <w:rFonts w:ascii="Arial" w:hAnsi="Arial" w:cs="Arial"/>
          <w:color w:val="000000" w:themeColor="text1"/>
        </w:rPr>
        <w:t xml:space="preserve"> life activities take place within their cells. All cells are derived from pre-existing cells because they contain genetic information (DNA) passed down during replication</w:t>
      </w:r>
      <w:r w:rsidR="00791D13" w:rsidRPr="00D74025">
        <w:rPr>
          <w:rFonts w:ascii="Arial" w:hAnsi="Arial" w:cs="Arial"/>
          <w:color w:val="000000" w:themeColor="text1"/>
        </w:rPr>
        <w:fldChar w:fldCharType="begin"/>
      </w:r>
      <w:r w:rsidR="00AB2CFB">
        <w:rPr>
          <w:rFonts w:ascii="Arial" w:hAnsi="Arial" w:cs="Arial"/>
          <w:color w:val="000000" w:themeColor="text1"/>
        </w:rPr>
        <w:instrText xml:space="preserve"> ADDIN ZOTERO_ITEM CSL_CITATION {"citationID":"QpTwhRNE","properties":{"formattedCitation":"\\super 1\\nosupersub{}","plainCitation":"1","noteIndex":0},"citationItems":[{"id":130,"uris":["http://zotero.org/users/7661987/items/LTCNZ7RF"],"itemData":{"id":130,"type":"article-journal","abstract":"The development of the microscope was a precondition for the discovery of cells. This instrument magniﬁes objects too small to be seen by the naked eye. In 1673, the Dutch botanist, Anton van Leeuwenhoek, made a more advanced microscope and reported seeing a myriad of microscopic “animalcules” in water. He also made further studies of red blood cells and sperm cells. Most studies that followed were done on the easily studied plant tissues. Plant cells, rigidly encased in their cell walls, were ideal to study in situ. The cell theory proposes that nucleated cells are the basic structure of plants and animals. This concept was observed and published separately, ﬁrst by the botanist, Matthias Schleiden, in 1838, and then by the zoologist, Theodor Schwann, in 1839. Their work demonstrated that cells form the basic unit of life of plants and animals. Rudolf Virchow concluded that all living organisms are the sum of single cellular units and that cells multiply.","container-title":"Experimental Cell Research","DOI":"10.1016/j.yexcr.2018.01.038","ISSN":"00144827","issue":"1","journalAbbreviation":"Experimental Cell Research","language":"en","page":"1-4","source":"DOI.org (Crossref)","title":"An historical note on the cell theory","volume":"364","author":[{"family":"Ribatti","given":"Domenico"}],"issued":{"date-parts":[["2018",3]]}}}],"schema":"https://github.com/citation-style-language/schema/raw/master/csl-citation.json"} </w:instrText>
      </w:r>
      <w:r w:rsidR="00791D13" w:rsidRPr="00D74025">
        <w:rPr>
          <w:rFonts w:ascii="Arial" w:hAnsi="Arial" w:cs="Arial"/>
          <w:color w:val="000000" w:themeColor="text1"/>
        </w:rPr>
        <w:fldChar w:fldCharType="separate"/>
      </w:r>
      <w:r w:rsidR="00791D13" w:rsidRPr="00D74025">
        <w:rPr>
          <w:rFonts w:ascii="Arial" w:hAnsi="Arial" w:cs="Arial"/>
          <w:color w:val="000000" w:themeColor="text1"/>
          <w:vertAlign w:val="superscript"/>
        </w:rPr>
        <w:t>1</w:t>
      </w:r>
      <w:r w:rsidR="00791D13" w:rsidRPr="00D74025">
        <w:rPr>
          <w:rFonts w:ascii="Arial" w:hAnsi="Arial" w:cs="Arial"/>
          <w:color w:val="000000" w:themeColor="text1"/>
        </w:rPr>
        <w:fldChar w:fldCharType="end"/>
      </w:r>
      <w:r w:rsidR="00791D13" w:rsidRPr="00D74025">
        <w:rPr>
          <w:rFonts w:ascii="Arial" w:hAnsi="Arial" w:cs="Arial"/>
          <w:color w:val="000000" w:themeColor="text1"/>
        </w:rPr>
        <w:t xml:space="preserve">. </w:t>
      </w:r>
    </w:p>
    <w:p w14:paraId="1CA67152" w14:textId="5DABB60E" w:rsidR="00791D13" w:rsidRDefault="009C1125" w:rsidP="00CF0CD5">
      <w:pPr>
        <w:snapToGrid w:val="0"/>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The entity that distinguishes the intracellular content from its surroundings is the plasma membrane. It is composed fundamentally of the phospholipid bilayer. Phospholipids are molecules that have a hydrophilic head, usually consisting of phosphate groups, and fatty acid tails, which are hydrophobic. The intrinsic tendency of hydrophobic regions to assemble in close proximation to exclude water molecules drives the spontaneous formation of the bilayer. Additionally, the interaction of phosphate heads with the excluded aqueous environment promotes the stability of the structure. Therefore, the membrane lipid bilayer has the hydrophobic tails concealed in the hydrophobic core, but the polar heads are revealed to both opposing sides of the aqueous solution of the extracellular and intracellular environment</w:t>
      </w:r>
      <w:r w:rsidR="00565604" w:rsidRPr="00D74025">
        <w:rPr>
          <w:rFonts w:ascii="Arial" w:hAnsi="Arial" w:cs="Arial"/>
          <w:color w:val="000000" w:themeColor="text1"/>
        </w:rPr>
        <w:fldChar w:fldCharType="begin"/>
      </w:r>
      <w:r w:rsidR="00AB2CFB">
        <w:rPr>
          <w:rFonts w:ascii="Arial" w:hAnsi="Arial" w:cs="Arial"/>
          <w:color w:val="000000" w:themeColor="text1"/>
        </w:rPr>
        <w:instrText xml:space="preserve"> ADDIN ZOTERO_ITEM CSL_CITATION {"citationID":"qvjfoQ8x","properties":{"formattedCitation":"\\super 2\\nosupersub{}","plainCitation":"2","noteIndex":0},"citationItems":[{"id":122,"uris":["http://zotero.org/users/7661987/items/8DRIFM3D"],"itemData":{"id":122,"type":"book","call-number":"QH581.2","edition":"Eighth edition","event-place":"Oxford ; New York","ISBN":"978-1-60535-771-3","language":"en","number-of-pages":"1","publisher":"Sinauer Associates, an imprint of Oxford University Press","publisher-place":"Oxford ; New York","source":"Library of Congress ISBN","title":"The cell: a molecular approach","title-short":"The cell","author":[{"family":"Cooper","given":"Geoffrey M."}],"issued":{"date-parts":[["2019"]]}}}],"schema":"https://github.com/citation-style-language/schema/raw/master/csl-citation.json"} </w:instrText>
      </w:r>
      <w:r w:rsidR="00565604" w:rsidRPr="00D74025">
        <w:rPr>
          <w:rFonts w:ascii="Arial" w:hAnsi="Arial" w:cs="Arial"/>
          <w:color w:val="000000" w:themeColor="text1"/>
        </w:rPr>
        <w:fldChar w:fldCharType="separate"/>
      </w:r>
      <w:r w:rsidR="00565604" w:rsidRPr="00D74025">
        <w:rPr>
          <w:rFonts w:ascii="Arial" w:hAnsi="Arial" w:cs="Arial"/>
          <w:color w:val="000000" w:themeColor="text1"/>
          <w:vertAlign w:val="superscript"/>
        </w:rPr>
        <w:t>2</w:t>
      </w:r>
      <w:r w:rsidR="00565604" w:rsidRPr="00D74025">
        <w:rPr>
          <w:rFonts w:ascii="Arial" w:hAnsi="Arial" w:cs="Arial"/>
          <w:color w:val="000000" w:themeColor="text1"/>
        </w:rPr>
        <w:fldChar w:fldCharType="end"/>
      </w:r>
      <w:r w:rsidR="00791D13" w:rsidRPr="00D74025">
        <w:rPr>
          <w:rFonts w:ascii="Arial" w:hAnsi="Arial" w:cs="Arial"/>
          <w:color w:val="000000" w:themeColor="text1"/>
        </w:rPr>
        <w:t xml:space="preserve"> (see </w:t>
      </w:r>
      <w:r w:rsidR="00791D13" w:rsidRPr="00C51BBA">
        <w:rPr>
          <w:rFonts w:ascii="Arial" w:hAnsi="Arial" w:cs="Arial"/>
          <w:b/>
          <w:bCs/>
          <w:color w:val="000000" w:themeColor="text1"/>
        </w:rPr>
        <w:t>Figure 1A</w:t>
      </w:r>
      <w:r w:rsidR="00791D13" w:rsidRPr="00D74025">
        <w:rPr>
          <w:rFonts w:ascii="Arial" w:hAnsi="Arial" w:cs="Arial"/>
          <w:color w:val="000000" w:themeColor="text1"/>
        </w:rPr>
        <w:t>).</w:t>
      </w:r>
    </w:p>
    <w:p w14:paraId="1F7413D9" w14:textId="77777777" w:rsidR="00C51BBA" w:rsidRPr="00D74025" w:rsidRDefault="00C51BBA" w:rsidP="00CF0CD5">
      <w:pPr>
        <w:snapToGrid w:val="0"/>
        <w:spacing w:line="360" w:lineRule="auto"/>
        <w:ind w:firstLine="1440"/>
        <w:contextualSpacing/>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7C02A3C5" w14:textId="77777777" w:rsidTr="00F447F9">
        <w:tc>
          <w:tcPr>
            <w:tcW w:w="9350" w:type="dxa"/>
          </w:tcPr>
          <w:p w14:paraId="5906FC1C" w14:textId="24DA9012" w:rsidR="00F447F9" w:rsidRPr="00D74025" w:rsidRDefault="009836C0" w:rsidP="009836C0">
            <w:pPr>
              <w:snapToGrid w:val="0"/>
              <w:spacing w:beforeAutospacing="0" w:afterAutospacing="0" w:line="360" w:lineRule="auto"/>
              <w:ind w:firstLine="0"/>
              <w:rPr>
                <w:rFonts w:ascii="Arial" w:hAnsi="Arial" w:cs="Arial"/>
                <w:b/>
                <w:bCs/>
                <w:color w:val="000000" w:themeColor="text1"/>
              </w:rPr>
            </w:pPr>
            <w:r w:rsidRPr="009836C0">
              <w:rPr>
                <w:rFonts w:ascii="Arial" w:hAnsi="Arial" w:cs="Arial"/>
                <w:b/>
                <w:bCs/>
                <w:noProof/>
                <w:color w:val="000000" w:themeColor="text1"/>
              </w:rPr>
              <w:drawing>
                <wp:inline distT="0" distB="0" distL="0" distR="0" wp14:anchorId="6FD5D8B5" wp14:editId="489511A2">
                  <wp:extent cx="5628640" cy="193634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33739" cy="1938102"/>
                          </a:xfrm>
                          <a:prstGeom prst="rect">
                            <a:avLst/>
                          </a:prstGeom>
                        </pic:spPr>
                      </pic:pic>
                    </a:graphicData>
                  </a:graphic>
                </wp:inline>
              </w:drawing>
            </w:r>
          </w:p>
        </w:tc>
      </w:tr>
      <w:tr w:rsidR="00F447F9" w:rsidRPr="00D74025" w14:paraId="38840F24" w14:textId="77777777" w:rsidTr="00F447F9">
        <w:tc>
          <w:tcPr>
            <w:tcW w:w="9350" w:type="dxa"/>
          </w:tcPr>
          <w:p w14:paraId="0C51C876" w14:textId="35300C82" w:rsidR="00F447F9" w:rsidRPr="000730CA" w:rsidRDefault="00182492" w:rsidP="000730CA">
            <w:pPr>
              <w:pStyle w:val="Caption"/>
              <w:spacing w:line="360" w:lineRule="auto"/>
              <w:ind w:firstLine="0"/>
              <w:rPr>
                <w:rFonts w:ascii="Arial" w:hAnsi="Arial" w:cs="Arial"/>
                <w:b/>
                <w:bCs/>
                <w:i w:val="0"/>
                <w:iCs w:val="0"/>
                <w:color w:val="000000" w:themeColor="text1"/>
                <w:sz w:val="24"/>
                <w:szCs w:val="24"/>
              </w:rPr>
            </w:pPr>
            <w:bookmarkStart w:id="4" w:name="_Toc121217323"/>
            <w:r w:rsidRPr="00E66E73">
              <w:rPr>
                <w:rFonts w:ascii="Arial" w:hAnsi="Arial" w:cs="Arial"/>
                <w:b/>
                <w:bCs/>
                <w:i w:val="0"/>
                <w:iCs w:val="0"/>
                <w:color w:val="000000" w:themeColor="text1"/>
                <w:sz w:val="24"/>
                <w:szCs w:val="24"/>
              </w:rPr>
              <w:t xml:space="preserve">Figure </w:t>
            </w:r>
            <w:r w:rsidRPr="00E66E73">
              <w:rPr>
                <w:rFonts w:ascii="Arial" w:hAnsi="Arial" w:cs="Arial"/>
                <w:b/>
                <w:bCs/>
                <w:i w:val="0"/>
                <w:iCs w:val="0"/>
                <w:color w:val="000000" w:themeColor="text1"/>
                <w:sz w:val="24"/>
                <w:szCs w:val="24"/>
              </w:rPr>
              <w:fldChar w:fldCharType="begin"/>
            </w:r>
            <w:r w:rsidRPr="00E66E73">
              <w:rPr>
                <w:rFonts w:ascii="Arial" w:hAnsi="Arial" w:cs="Arial"/>
                <w:b/>
                <w:bCs/>
                <w:i w:val="0"/>
                <w:iCs w:val="0"/>
                <w:color w:val="000000" w:themeColor="text1"/>
                <w:sz w:val="24"/>
                <w:szCs w:val="24"/>
              </w:rPr>
              <w:instrText xml:space="preserve"> SEQ Figure \* ARABIC </w:instrText>
            </w:r>
            <w:r w:rsidRPr="00E66E73">
              <w:rPr>
                <w:rFonts w:ascii="Arial" w:hAnsi="Arial" w:cs="Arial"/>
                <w:b/>
                <w:bCs/>
                <w:i w:val="0"/>
                <w:iCs w:val="0"/>
                <w:color w:val="000000" w:themeColor="text1"/>
                <w:sz w:val="24"/>
                <w:szCs w:val="24"/>
              </w:rPr>
              <w:fldChar w:fldCharType="separate"/>
            </w:r>
            <w:r w:rsidR="002C4B25">
              <w:rPr>
                <w:rFonts w:ascii="Arial" w:hAnsi="Arial" w:cs="Arial"/>
                <w:b/>
                <w:bCs/>
                <w:i w:val="0"/>
                <w:iCs w:val="0"/>
                <w:noProof/>
                <w:color w:val="000000" w:themeColor="text1"/>
                <w:sz w:val="24"/>
                <w:szCs w:val="24"/>
              </w:rPr>
              <w:t>1</w:t>
            </w:r>
            <w:r w:rsidRPr="00E66E73">
              <w:rPr>
                <w:rFonts w:ascii="Arial" w:hAnsi="Arial" w:cs="Arial"/>
                <w:b/>
                <w:bCs/>
                <w:i w:val="0"/>
                <w:iCs w:val="0"/>
                <w:color w:val="000000" w:themeColor="text1"/>
                <w:sz w:val="24"/>
                <w:szCs w:val="24"/>
              </w:rPr>
              <w:fldChar w:fldCharType="end"/>
            </w:r>
            <w:r w:rsidR="00E66E73" w:rsidRPr="00E66E73">
              <w:rPr>
                <w:rFonts w:ascii="Arial" w:hAnsi="Arial" w:cs="Arial"/>
                <w:b/>
                <w:bCs/>
                <w:i w:val="0"/>
                <w:iCs w:val="0"/>
                <w:color w:val="000000" w:themeColor="text1"/>
                <w:sz w:val="24"/>
                <w:szCs w:val="24"/>
              </w:rPr>
              <w:t>:</w:t>
            </w:r>
            <w:r w:rsidRPr="00E66E73">
              <w:rPr>
                <w:rFonts w:ascii="Arial" w:hAnsi="Arial" w:cs="Arial"/>
                <w:b/>
                <w:bCs/>
                <w:i w:val="0"/>
                <w:iCs w:val="0"/>
                <w:color w:val="000000" w:themeColor="text1"/>
                <w:sz w:val="24"/>
                <w:szCs w:val="24"/>
              </w:rPr>
              <w:t xml:space="preserve"> The phospholipid bilayer</w:t>
            </w:r>
            <w:r w:rsidR="006F63E4">
              <w:rPr>
                <w:rFonts w:ascii="Arial" w:hAnsi="Arial" w:cs="Arial"/>
                <w:b/>
                <w:bCs/>
                <w:i w:val="0"/>
                <w:iCs w:val="0"/>
                <w:color w:val="000000" w:themeColor="text1"/>
                <w:sz w:val="24"/>
                <w:szCs w:val="24"/>
              </w:rPr>
              <w:t>.</w:t>
            </w:r>
            <w:r w:rsidR="00B43AD6" w:rsidRPr="000730CA">
              <w:rPr>
                <w:rFonts w:ascii="Arial" w:hAnsi="Arial" w:cs="Arial"/>
                <w:i w:val="0"/>
                <w:iCs w:val="0"/>
                <w:color w:val="000000" w:themeColor="text1"/>
                <w:sz w:val="24"/>
                <w:szCs w:val="24"/>
              </w:rPr>
              <w:t xml:space="preserve"> </w:t>
            </w:r>
            <w:r w:rsidR="00B43AD6" w:rsidRPr="00E66E73">
              <w:rPr>
                <w:rFonts w:ascii="Arial" w:hAnsi="Arial" w:cs="Arial"/>
                <w:i w:val="0"/>
                <w:iCs w:val="0"/>
                <w:color w:val="000000" w:themeColor="text1"/>
                <w:sz w:val="24"/>
                <w:szCs w:val="24"/>
              </w:rPr>
              <w:t>A) phospholipid bilayer</w:t>
            </w:r>
            <w:r w:rsidR="00B43AD6" w:rsidRPr="000730CA">
              <w:rPr>
                <w:rFonts w:ascii="Arial" w:hAnsi="Arial" w:cs="Arial"/>
                <w:i w:val="0"/>
                <w:iCs w:val="0"/>
                <w:color w:val="000000" w:themeColor="text1"/>
                <w:sz w:val="24"/>
                <w:szCs w:val="24"/>
              </w:rPr>
              <w:t xml:space="preserve">: Phospholipids form stable bilayers spontaneously, with their polar head groups exposed to water and their hydrophobic tails buried within the membrane's interior. Within the bilayer, individual phospholipids can rotate and move laterally. B) </w:t>
            </w:r>
            <w:r w:rsidR="00B43AD6" w:rsidRPr="00E66E73">
              <w:rPr>
                <w:rFonts w:ascii="Arial" w:hAnsi="Arial" w:cs="Arial"/>
                <w:i w:val="0"/>
                <w:iCs w:val="0"/>
                <w:color w:val="000000" w:themeColor="text1"/>
                <w:sz w:val="24"/>
                <w:szCs w:val="24"/>
              </w:rPr>
              <w:t>Permeability of phospholipid bilayers:</w:t>
            </w:r>
            <w:r w:rsidR="00B43AD6" w:rsidRPr="000730CA">
              <w:rPr>
                <w:rFonts w:ascii="Arial" w:hAnsi="Arial" w:cs="Arial"/>
                <w:i w:val="0"/>
                <w:iCs w:val="0"/>
                <w:color w:val="000000" w:themeColor="text1"/>
                <w:sz w:val="24"/>
                <w:szCs w:val="24"/>
              </w:rPr>
              <w:t xml:space="preserve"> </w:t>
            </w:r>
            <w:r w:rsidR="00A8035B">
              <w:rPr>
                <w:rFonts w:ascii="Arial" w:hAnsi="Arial" w:cs="Arial"/>
                <w:i w:val="0"/>
                <w:iCs w:val="0"/>
                <w:color w:val="000000" w:themeColor="text1"/>
                <w:sz w:val="24"/>
                <w:szCs w:val="24"/>
              </w:rPr>
              <w:lastRenderedPageBreak/>
              <w:t>The</w:t>
            </w:r>
            <w:r w:rsidR="00B43AD6" w:rsidRPr="000730CA">
              <w:rPr>
                <w:rFonts w:ascii="Arial" w:hAnsi="Arial" w:cs="Arial"/>
                <w:i w:val="0"/>
                <w:iCs w:val="0"/>
                <w:color w:val="000000" w:themeColor="text1"/>
                <w:sz w:val="24"/>
                <w:szCs w:val="24"/>
              </w:rPr>
              <w:t xml:space="preserve"> phospholipid bilayer allows gases, hydrophobic compounds, and small uncharged molecules to diffuse readily. Conversely, the bilayer is impermeable to larger polar molecules like glucose, amino acids, and ions. (Figures from Cooper, G. M. The cell: a molecular approach. Sinauer Associates, an imprint of Oxford University Press, 2019</w:t>
            </w:r>
            <w:r w:rsidR="00B43AD6" w:rsidRPr="000730CA">
              <w:rPr>
                <w:rFonts w:ascii="Arial" w:hAnsi="Arial" w:cs="Arial"/>
                <w:i w:val="0"/>
                <w:iCs w:val="0"/>
                <w:color w:val="000000" w:themeColor="text1"/>
                <w:sz w:val="24"/>
                <w:szCs w:val="24"/>
              </w:rPr>
              <w:fldChar w:fldCharType="begin"/>
            </w:r>
            <w:r w:rsidR="00AB2CFB" w:rsidRPr="000730CA">
              <w:rPr>
                <w:rFonts w:ascii="Arial" w:hAnsi="Arial" w:cs="Arial"/>
                <w:i w:val="0"/>
                <w:iCs w:val="0"/>
                <w:color w:val="000000" w:themeColor="text1"/>
                <w:sz w:val="24"/>
                <w:szCs w:val="24"/>
              </w:rPr>
              <w:instrText xml:space="preserve"> ADDIN ZOTERO_ITEM CSL_CITATION {"citationID":"YxYnZ3pb","properties":{"formattedCitation":"\\super 2\\nosupersub{}","plainCitation":"2","noteIndex":0},"citationItems":[{"id":122,"uris":["http://zotero.org/users/7661987/items/8DRIFM3D"],"itemData":{"id":122,"type":"book","call-number":"QH581.2","edition":"Eighth edition","event-place":"Oxford ; New York","ISBN":"978-1-60535-771-3","language":"en","number-of-pages":"1","publisher":"Sinauer Associates, an imprint of Oxford University Press","publisher-place":"Oxford ; New York","source":"Library of Congress ISBN","title":"The cell: a molecular approach","title-short":"The cell","author":[{"family":"Cooper","given":"Geoffrey M."}],"issued":{"date-parts":[["2019"]]}}}],"schema":"https://github.com/citation-style-language/schema/raw/master/csl-citation.json"} </w:instrText>
            </w:r>
            <w:r w:rsidR="00B43AD6" w:rsidRPr="000730CA">
              <w:rPr>
                <w:rFonts w:ascii="Arial" w:hAnsi="Arial" w:cs="Arial"/>
                <w:i w:val="0"/>
                <w:iCs w:val="0"/>
                <w:color w:val="000000" w:themeColor="text1"/>
                <w:sz w:val="24"/>
                <w:szCs w:val="24"/>
              </w:rPr>
              <w:fldChar w:fldCharType="separate"/>
            </w:r>
            <w:r w:rsidR="00B43AD6" w:rsidRPr="000730CA">
              <w:rPr>
                <w:rFonts w:ascii="Arial" w:hAnsi="Arial" w:cs="Arial"/>
                <w:i w:val="0"/>
                <w:iCs w:val="0"/>
                <w:color w:val="000000" w:themeColor="text1"/>
                <w:sz w:val="24"/>
                <w:szCs w:val="24"/>
                <w:vertAlign w:val="superscript"/>
              </w:rPr>
              <w:t>2</w:t>
            </w:r>
            <w:r w:rsidR="00B43AD6" w:rsidRPr="000730CA">
              <w:rPr>
                <w:rFonts w:ascii="Arial" w:hAnsi="Arial" w:cs="Arial"/>
                <w:i w:val="0"/>
                <w:iCs w:val="0"/>
                <w:color w:val="000000" w:themeColor="text1"/>
                <w:sz w:val="24"/>
                <w:szCs w:val="24"/>
              </w:rPr>
              <w:fldChar w:fldCharType="end"/>
            </w:r>
            <w:r w:rsidR="00B43AD6" w:rsidRPr="000730CA">
              <w:rPr>
                <w:rFonts w:ascii="Arial" w:hAnsi="Arial" w:cs="Arial"/>
                <w:i w:val="0"/>
                <w:iCs w:val="0"/>
                <w:color w:val="000000" w:themeColor="text1"/>
                <w:sz w:val="24"/>
                <w:szCs w:val="24"/>
              </w:rPr>
              <w:t>)</w:t>
            </w:r>
            <w:bookmarkEnd w:id="4"/>
          </w:p>
        </w:tc>
      </w:tr>
    </w:tbl>
    <w:p w14:paraId="6459D73C" w14:textId="77777777" w:rsidR="00791D13" w:rsidRPr="00D74025" w:rsidRDefault="00791D13" w:rsidP="002C0037">
      <w:pPr>
        <w:autoSpaceDE w:val="0"/>
        <w:autoSpaceDN w:val="0"/>
        <w:adjustRightInd w:val="0"/>
        <w:spacing w:line="360" w:lineRule="auto"/>
        <w:jc w:val="both"/>
        <w:rPr>
          <w:rFonts w:ascii="Arial" w:hAnsi="Arial" w:cs="Arial"/>
          <w:color w:val="000000" w:themeColor="text1"/>
        </w:rPr>
      </w:pPr>
    </w:p>
    <w:p w14:paraId="4804FAF4" w14:textId="32EB0308" w:rsidR="006B22D2" w:rsidRPr="00D74025" w:rsidRDefault="006B22D2" w:rsidP="00CF0CD5">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 xml:space="preserve">The formation of a centered oily phase restricts the movement of most molecules between the two sides of the bilayer structure. That limitation is called selective permeability. Small non-polar molecules can easily cross the membrane due to their ability to solubilize into the lipidic phase. Small uncharged ones, such as water, can diffuse through the membrane at a lower rate. Charged species like ions are impeded from crossing the membrane (see </w:t>
      </w:r>
      <w:r w:rsidRPr="00C51BBA">
        <w:rPr>
          <w:rFonts w:ascii="Arial" w:hAnsi="Arial" w:cs="Arial"/>
          <w:b/>
          <w:bCs/>
          <w:color w:val="000000" w:themeColor="text1"/>
        </w:rPr>
        <w:t>Figure 1B</w:t>
      </w:r>
      <w:r w:rsidRPr="00D74025">
        <w:rPr>
          <w:rFonts w:ascii="Arial" w:hAnsi="Arial" w:cs="Arial"/>
          <w:color w:val="000000" w:themeColor="text1"/>
        </w:rPr>
        <w:t>). Selective permeability grants the cells the ability to manage and sustain a particular internal composition different from its surroundings</w:t>
      </w:r>
      <w:r w:rsidRPr="00D74025">
        <w:rPr>
          <w:rFonts w:ascii="Arial" w:hAnsi="Arial" w:cs="Arial"/>
          <w:color w:val="000000" w:themeColor="text1"/>
        </w:rPr>
        <w:fldChar w:fldCharType="begin"/>
      </w:r>
      <w:r w:rsidR="00AB2CFB">
        <w:rPr>
          <w:rFonts w:ascii="Arial" w:hAnsi="Arial" w:cs="Arial"/>
          <w:color w:val="000000" w:themeColor="text1"/>
        </w:rPr>
        <w:instrText xml:space="preserve"> ADDIN ZOTERO_ITEM CSL_CITATION {"citationID":"adflp04idf","properties":{"formattedCitation":"\\super 3,4\\nosupersub{}","plainCitation":"3,4","noteIndex":0},"citationItems":[{"id":351,"uris":["http://zotero.org/users/7661987/items/SRQMI4AA"],"itemData":{"id":351,"type":"article-journal","abstract":"ATP-binding cassette (ABC) transporters constitute a ubiquitous superfamily of integral membrane proteins that are responsible for the ATP-powered translocation of many substrates across membranes. The highly conserved ABC domains of ABC transporters provide the nucleotide-dependent engine that drives transport. By contrast, the transmembrane domains that create the translocation pathway are more variable. Recent structural advances with prokaryotic ABC transporters have provided a qualitative molecular framework for deciphering the transport cycle. An important goal is to develop quantitative models that detail the kinetic and molecular mechanisms by which ABC transporters couple the binding and hydrolysis of ATP to substrate translocation.","container-title":"Nature Reviews Molecular Cell Biology","DOI":"10.1038/nrm2646","ISSN":"1471-0072, 1471-0080","issue":"3","journalAbbreviation":"Nat Rev Mol Cell Biol","language":"en","page":"218-227","source":"DOI.org (Crossref)","title":"ABC transporters: the power to change","title-short":"ABC transporters","volume":"10","author":[{"family":"Rees","given":"Douglas C."},{"family":"Johnson","given":"Eric"},{"family":"Lewinson","given":"Oded"}],"issued":{"date-parts":[["2009",3]]}}},{"id":350,"uris":["http://zotero.org/users/7661987/items/88TP9RG5"],"itemData":{"id":350,"type":"article-journal","container-title":"Neuron","DOI":"10.1016/j.neuron.2010.08.021","ISSN":"08966273","issue":"6","journalAbbreviation":"Neuron","language":"en","page":"915-928","source":"DOI.org (Crossref)","title":"Ion Channel Voltage Sensors: Structure, Function, and Pathophysiology","title-short":"Ion Channel Voltage Sensors","volume":"67","author":[{"family":"Catterall","given":"William A."}],"issued":{"date-parts":[["2010",9]]}}}],"schema":"https://github.com/citation-style-language/schema/raw/master/csl-citation.json"} </w:instrText>
      </w:r>
      <w:r w:rsidRPr="00D74025">
        <w:rPr>
          <w:rFonts w:ascii="Arial" w:hAnsi="Arial" w:cs="Arial"/>
          <w:color w:val="000000" w:themeColor="text1"/>
        </w:rPr>
        <w:fldChar w:fldCharType="separate"/>
      </w:r>
      <w:r w:rsidR="00AB2CFB" w:rsidRPr="00AB2CFB">
        <w:rPr>
          <w:rFonts w:ascii="Arial" w:hAnsi="Arial" w:cs="Arial"/>
          <w:color w:val="000000"/>
          <w:vertAlign w:val="superscript"/>
        </w:rPr>
        <w:t>3,4</w:t>
      </w:r>
      <w:r w:rsidRPr="00D74025">
        <w:rPr>
          <w:rFonts w:ascii="Arial" w:hAnsi="Arial" w:cs="Arial"/>
          <w:color w:val="000000" w:themeColor="text1"/>
        </w:rPr>
        <w:fldChar w:fldCharType="end"/>
      </w:r>
    </w:p>
    <w:p w14:paraId="79776A39" w14:textId="583B8A1A" w:rsidR="00394039" w:rsidRPr="00D74025" w:rsidRDefault="00394039" w:rsidP="00394039">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A set of specialized proteins buried in the phospholipid bilayer perform the transportation of the molecules that do not spontaneously pass through the membrane. In fact, the proposition that the cell membrane is constituted by integral proteins randomly embedded in the essential structure of the phospholipid bilayer was first made in 1972 by Singer and Nicolson</w:t>
      </w:r>
      <w:r w:rsidRPr="00D74025">
        <w:rPr>
          <w:rFonts w:ascii="Arial" w:hAnsi="Arial" w:cs="Arial"/>
          <w:color w:val="000000" w:themeColor="text1"/>
          <w:vertAlign w:val="superscript"/>
        </w:rPr>
        <w:fldChar w:fldCharType="begin"/>
      </w:r>
      <w:r w:rsidR="00AB2CFB">
        <w:rPr>
          <w:rFonts w:ascii="Arial" w:hAnsi="Arial" w:cs="Arial"/>
          <w:color w:val="000000" w:themeColor="text1"/>
          <w:vertAlign w:val="superscript"/>
        </w:rPr>
        <w:instrText xml:space="preserve"> ADDIN ZOTERO_ITEM CSL_CITATION {"citationID":"yb8Dv0eH","properties":{"formattedCitation":"\\super 5\\nosupersub{}","plainCitation":"5","noteIndex":0},"citationItems":[{"id":147,"uris":["http://zotero.org/users/7661987/items/5S4UKQ3X"],"itemData":{"id":147,"type":"article-journal","container-title":"Science","DOI":"10.1126/science.175.4023.720","ISSN":"0036-8075, 1095-9203","issue":"4023","journalAbbreviation":"Science","language":"en","page":"720-731","source":"DOI.org (Crossref)","title":"The Fluid Mosaic Model of the Structure of Cell Membranes","volume":"175","author":[{"family":"Singer","given":"S. J."},{"family":"Nicolson","given":"G. L."}],"issued":{"date-parts":[["1972",2,18]]}}}],"schema":"https://github.com/citation-style-language/schema/raw/master/csl-citation.json"} </w:instrText>
      </w:r>
      <w:r w:rsidRPr="00D74025">
        <w:rPr>
          <w:rFonts w:ascii="Arial" w:hAnsi="Arial" w:cs="Arial"/>
          <w:color w:val="000000" w:themeColor="text1"/>
          <w:vertAlign w:val="superscript"/>
        </w:rPr>
        <w:fldChar w:fldCharType="separate"/>
      </w:r>
      <w:r w:rsidRPr="00D74025">
        <w:rPr>
          <w:rFonts w:ascii="Arial" w:hAnsi="Arial" w:cs="Arial"/>
          <w:color w:val="000000" w:themeColor="text1"/>
          <w:vertAlign w:val="superscript"/>
        </w:rPr>
        <w:t>5</w:t>
      </w:r>
      <w:r w:rsidRPr="00D74025">
        <w:rPr>
          <w:rFonts w:ascii="Arial" w:hAnsi="Arial" w:cs="Arial"/>
          <w:color w:val="000000" w:themeColor="text1"/>
          <w:vertAlign w:val="superscript"/>
        </w:rPr>
        <w:fldChar w:fldCharType="end"/>
      </w:r>
      <w:r w:rsidRPr="00D74025">
        <w:rPr>
          <w:rFonts w:ascii="Arial" w:hAnsi="Arial" w:cs="Arial"/>
          <w:color w:val="000000" w:themeColor="text1"/>
        </w:rPr>
        <w:t xml:space="preserve">, and was called the </w:t>
      </w:r>
      <w:r w:rsidR="00943D07">
        <w:rPr>
          <w:rFonts w:ascii="Arial" w:hAnsi="Arial" w:cs="Arial"/>
          <w:color w:val="000000" w:themeColor="text1"/>
        </w:rPr>
        <w:t>f</w:t>
      </w:r>
      <w:r w:rsidRPr="00D74025">
        <w:rPr>
          <w:rFonts w:ascii="Arial" w:hAnsi="Arial" w:cs="Arial"/>
          <w:color w:val="000000" w:themeColor="text1"/>
        </w:rPr>
        <w:t>luid-</w:t>
      </w:r>
      <w:r w:rsidR="00943D07">
        <w:rPr>
          <w:rFonts w:ascii="Arial" w:hAnsi="Arial" w:cs="Arial"/>
          <w:color w:val="000000" w:themeColor="text1"/>
        </w:rPr>
        <w:t>m</w:t>
      </w:r>
      <w:r w:rsidRPr="00D74025">
        <w:rPr>
          <w:rFonts w:ascii="Arial" w:hAnsi="Arial" w:cs="Arial"/>
          <w:color w:val="000000" w:themeColor="text1"/>
        </w:rPr>
        <w:t xml:space="preserve">osaic </w:t>
      </w:r>
      <w:r w:rsidR="00943D07">
        <w:rPr>
          <w:rFonts w:ascii="Arial" w:hAnsi="Arial" w:cs="Arial"/>
          <w:color w:val="000000" w:themeColor="text1"/>
        </w:rPr>
        <w:t>m</w:t>
      </w:r>
      <w:r w:rsidRPr="00D74025">
        <w:rPr>
          <w:rFonts w:ascii="Arial" w:hAnsi="Arial" w:cs="Arial"/>
          <w:color w:val="000000" w:themeColor="text1"/>
        </w:rPr>
        <w:t xml:space="preserve">embrane </w:t>
      </w:r>
      <w:r w:rsidR="00943D07">
        <w:rPr>
          <w:rFonts w:ascii="Arial" w:hAnsi="Arial" w:cs="Arial"/>
          <w:color w:val="000000" w:themeColor="text1"/>
        </w:rPr>
        <w:t>m</w:t>
      </w:r>
      <w:r w:rsidRPr="00D74025">
        <w:rPr>
          <w:rFonts w:ascii="Arial" w:hAnsi="Arial" w:cs="Arial"/>
          <w:color w:val="000000" w:themeColor="text1"/>
        </w:rPr>
        <w:t>odel (FMMM). FMMM proposed that, along with the spontaneous formation of the phospholipid bilayer due to hydrophobic and hydrophilic interactions, transmembrane proteins would coexist inside of the membrane by exposing their non-polar amino acid residues to the lipidic phase and their polar groups to the aqueous environment. Therefore, integral proteins are the other principal constituent of the cell membrane, making from 25 to 75% of the mass of the various membrane types</w:t>
      </w:r>
      <w:r w:rsidRPr="00D74025">
        <w:rPr>
          <w:rFonts w:ascii="Arial" w:hAnsi="Arial" w:cs="Arial"/>
          <w:color w:val="000000" w:themeColor="text1"/>
        </w:rPr>
        <w:fldChar w:fldCharType="begin"/>
      </w:r>
      <w:r w:rsidR="00AB2CFB">
        <w:rPr>
          <w:rFonts w:ascii="Arial" w:hAnsi="Arial" w:cs="Arial"/>
          <w:color w:val="000000" w:themeColor="text1"/>
        </w:rPr>
        <w:instrText xml:space="preserve"> ADDIN ZOTERO_ITEM CSL_CITATION {"citationID":"j8hrQLHn","properties":{"formattedCitation":"\\super 6\\nosupersub{}","plainCitation":"6","noteIndex":0},"citationItems":[{"id":156,"uris":["http://zotero.org/users/7661987/items/HTFM3AUW"],"itemData":{"id":156,"type":"article-journal","abstract":"In 1972 the Fluid—Mosaic Membrane Model of membrane structure was proposed based on thermodynamic principals of organization of membrane lipids and proteins and available evidence of asymmetry and lateral mobility within the membrane matrix [S. J. Singer and G. L. Nicolson, Science 175 (1972) 720–731]. After over 40 years, this basic model of the cell membrane remains relevant for describing the basic nano-structures of a variety of intracellular and cellular membranes of plant and animal cells and lower forms of life. In the intervening years, however, new information has documented the importance and roles of specialized membrane domains, such as lipid rafts and protein/glycoprotein complexes, in describing the macrostructure, dynamics and functions of cellular membranes as well as the roles of membrane-associated cytoskeletal fences and extracellular matrix structures in limiting the lateral diffusion and range of motion of membrane components. These newer data build on the foundation of the original model and add new layers of complexity and hierarchy, but the concepts described in the original model are still applicable today. In updated versions of the model more emphasis has been placed on the mosaic nature of the macrostructure of cellular membranes where many protein and lipid components are limited in their rotational and lateral motilities in the membrane plane, especially in their natural states where lipid–lipid, protein–protein and lipid–protein interactions as well as cell–matrix, cell–cell and intracellular membrane-associated protein and cytoskeletal interactions are important in restraining the lateral motility and range of motion of particular membrane components. The formation of specialized membrane domains and the presence of tightly packed integral membrane protein complexes due to membraneassociated fences, fenceposts and other structures are considered very important in describing membrane dynamics and architecture. These structures along with membrane-associated cytoskeletal and extracellular structures maintain the long-range, non-random mosaic macro-organization of membranes, while smaller membrane nano- and submicro-sized domains, such as lipid rafts and protein complexes, are important in maintaining specialized membrane structures that are in cooperative dynamic ﬂux in a crowded membrane plane. This Article is Part of a Special Issue Entitled: Membrane Structure and Function: Relevance in the Cell's Physiology, Pathology and Therapy.","container-title":"Biochimica et Biophysica Acta (BBA) - Biomembranes","DOI":"10.1016/j.bbamem.2013.10.019","ISSN":"00052736","issue":"6","journalAbbreviation":"Biochimica et Biophysica Acta (BBA) - Biomembranes","language":"en","page":"1451-1466","source":"DOI.org (Crossref)","title":"The Fluid—Mosaic Model of Membrane Structure: Still relevant to understanding the structure, function and dynamics of biological membranes after more than 40years","title-short":"The Fluid—Mosaic Model of Membrane Structure","volume":"1838","author":[{"family":"Nicolson","given":"Garth L."}],"issued":{"date-parts":[["2014",6]]}}}],"schema":"https://github.com/citation-style-language/schema/raw/master/csl-citation.json"}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6</w:t>
      </w:r>
      <w:r w:rsidRPr="00D74025">
        <w:rPr>
          <w:rFonts w:ascii="Arial" w:hAnsi="Arial" w:cs="Arial"/>
          <w:color w:val="000000" w:themeColor="text1"/>
        </w:rPr>
        <w:fldChar w:fldCharType="end"/>
      </w:r>
      <w:r w:rsidRPr="00D74025">
        <w:rPr>
          <w:rFonts w:ascii="Arial" w:hAnsi="Arial" w:cs="Arial"/>
          <w:color w:val="000000" w:themeColor="text1"/>
        </w:rPr>
        <w:t>. Other functions of the membrane proteins include, but are not limited to: interactions with the extracellular matrix, receptors that collect external signals, and promote intracellular cascades (cell signaling)</w:t>
      </w:r>
      <w:r w:rsidRPr="00D74025">
        <w:rPr>
          <w:rFonts w:ascii="Arial" w:hAnsi="Arial" w:cs="Arial"/>
          <w:color w:val="000000" w:themeColor="text1"/>
        </w:rPr>
        <w:fldChar w:fldCharType="begin"/>
      </w:r>
      <w:r w:rsidR="00AB2CFB">
        <w:rPr>
          <w:rFonts w:ascii="Arial" w:hAnsi="Arial" w:cs="Arial"/>
          <w:color w:val="000000" w:themeColor="text1"/>
        </w:rPr>
        <w:instrText xml:space="preserve"> ADDIN ZOTERO_ITEM CSL_CITATION {"citationID":"a3j5h3fcrn","properties":{"formattedCitation":"\\super 7\\nosupersub{}","plainCitation":"7","noteIndex":0},"citationItems":[{"id":347,"uris":["http://zotero.org/users/7661987/items/8KX6ZB69"],"itemData":{"id":347,"type":"article-journal","abstract":"Our understanding of the plasma membrane structure has undergone a major change since the proposal of the fluid mosaic model of Singer and Nicholson in the 1970s. In this model, the membrane, composed of over thousand lipid and protein species, is organized as a well-equilibrated two-dimensional fluid. Here, the distribution of lipids is largely expected to reflect a multicomponent system, and proteins are expected to be surrounded by an annulus of specialized lipid species. With the recognition that a multicomponent lipid membrane is capable of phase segregation, the membrane is expected to appear as patchwork quilt pattern of membrane domains. However, the constituents of a living membrane are far from being well equilibrated. The living cell membrane actively maintains a trans-bilayer asymmetry of composition, and its constituents are subject to a number of dynamic processes due to synthesis, lipid transfer as well as membrane traffic and turnover. Moreover, membrane constituents engage with the dynamic cytoskeleton of a living cell, and are both passively as well as actively manipulated by this engagement. The extracellular matrix and associated elements also interact with membrane proteins contributing to another layer of interaction. At the nano- and mesoscale, the organization of lipids and proteins emerge from these encounters, as well as from protein–protein, protein–lipid, and lipid–lipid interactions in the membrane. New methods to study the organization of membrane components at these scales have also been developed, and provide an opportunity to synthesize a new picture of the living cell surface as an active membrane composite.","container-title":"Protein Science","DOI":"10.1002/pro.3874","ISSN":"0961-8368, 1469-896X","issue":"6","journalAbbreviation":"Protein Science","language":"en","page":"1355-1365","source":"DOI.org (Crossref)","title":"Toward a new picture of the living plasma membrane","volume":"29","author":[{"family":"Kalappurakkal","given":"Joseph Mathew"},{"family":"Sil","given":"Parijat"},{"family":"Mayor","given":"Satyajit"}],"issued":{"date-parts":[["2020",6]]}}}],"schema":"https://github.com/citation-style-language/schema/raw/master/csl-citation.json"}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7</w:t>
      </w:r>
      <w:r w:rsidRPr="00D74025">
        <w:rPr>
          <w:rFonts w:ascii="Arial" w:hAnsi="Arial" w:cs="Arial"/>
          <w:color w:val="000000" w:themeColor="text1"/>
        </w:rPr>
        <w:fldChar w:fldCharType="end"/>
      </w:r>
      <w:r w:rsidRPr="00D74025">
        <w:rPr>
          <w:rFonts w:ascii="Arial" w:hAnsi="Arial" w:cs="Arial"/>
          <w:color w:val="000000" w:themeColor="text1"/>
        </w:rPr>
        <w:t>.</w:t>
      </w:r>
    </w:p>
    <w:p w14:paraId="3AD0BE3B" w14:textId="4701F1B1" w:rsidR="00850240" w:rsidRPr="00D74025" w:rsidRDefault="00850240" w:rsidP="00850240">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The different interactions between the various components of the cell membrane establish lipid rafts and specialized cell domains, ideas that are in accordance with the “mosaic” part of the theory. The introduction of more complex interactions, such as membrane-associated cytoskeletal and extracellular structures, changed the model </w:t>
      </w:r>
      <w:r w:rsidRPr="00D74025">
        <w:rPr>
          <w:rFonts w:ascii="Arial" w:hAnsi="Arial" w:cs="Arial"/>
          <w:color w:val="000000" w:themeColor="text1"/>
        </w:rPr>
        <w:lastRenderedPageBreak/>
        <w:t>proposed by Nicholson and Singer in 1972. As new interactions and complexity are found, more components are included in the model</w:t>
      </w:r>
      <w:r w:rsidR="006549AF" w:rsidRPr="00D74025">
        <w:rPr>
          <w:rFonts w:ascii="Arial" w:hAnsi="Arial" w:cs="Arial"/>
          <w:color w:val="000000" w:themeColor="text1"/>
        </w:rPr>
        <w:fldChar w:fldCharType="begin"/>
      </w:r>
      <w:r w:rsidR="00AB2CFB">
        <w:rPr>
          <w:rFonts w:ascii="Arial" w:hAnsi="Arial" w:cs="Arial"/>
          <w:color w:val="000000" w:themeColor="text1"/>
        </w:rPr>
        <w:instrText xml:space="preserve"> ADDIN ZOTERO_ITEM CSL_CITATION {"citationID":"YplIEk4k","properties":{"formattedCitation":"\\super 6\\nosupersub{}","plainCitation":"6","noteIndex":0},"citationItems":[{"id":156,"uris":["http://zotero.org/users/7661987/items/HTFM3AUW"],"itemData":{"id":156,"type":"article-journal","abstract":"In 1972 the Fluid—Mosaic Membrane Model of membrane structure was proposed based on thermodynamic principals of organization of membrane lipids and proteins and available evidence of asymmetry and lateral mobility within the membrane matrix [S. J. Singer and G. L. Nicolson, Science 175 (1972) 720–731]. After over 40 years, this basic model of the cell membrane remains relevant for describing the basic nano-structures of a variety of intracellular and cellular membranes of plant and animal cells and lower forms of life. In the intervening years, however, new information has documented the importance and roles of specialized membrane domains, such as lipid rafts and protein/glycoprotein complexes, in describing the macrostructure, dynamics and functions of cellular membranes as well as the roles of membrane-associated cytoskeletal fences and extracellular matrix structures in limiting the lateral diffusion and range of motion of membrane components. These newer data build on the foundation of the original model and add new layers of complexity and hierarchy, but the concepts described in the original model are still applicable today. In updated versions of the model more emphasis has been placed on the mosaic nature of the macrostructure of cellular membranes where many protein and lipid components are limited in their rotational and lateral motilities in the membrane plane, especially in their natural states where lipid–lipid, protein–protein and lipid–protein interactions as well as cell–matrix, cell–cell and intracellular membrane-associated protein and cytoskeletal interactions are important in restraining the lateral motility and range of motion of particular membrane components. The formation of specialized membrane domains and the presence of tightly packed integral membrane protein complexes due to membraneassociated fences, fenceposts and other structures are considered very important in describing membrane dynamics and architecture. These structures along with membrane-associated cytoskeletal and extracellular structures maintain the long-range, non-random mosaic macro-organization of membranes, while smaller membrane nano- and submicro-sized domains, such as lipid rafts and protein complexes, are important in maintaining specialized membrane structures that are in cooperative dynamic ﬂux in a crowded membrane plane. This Article is Part of a Special Issue Entitled: Membrane Structure and Function: Relevance in the Cell's Physiology, Pathology and Therapy.","container-title":"Biochimica et Biophysica Acta (BBA) - Biomembranes","DOI":"10.1016/j.bbamem.2013.10.019","ISSN":"00052736","issue":"6","journalAbbreviation":"Biochimica et Biophysica Acta (BBA) - Biomembranes","language":"en","page":"1451-1466","source":"DOI.org (Crossref)","title":"The Fluid—Mosaic Model of Membrane Structure: Still relevant to understanding the structure, function and dynamics of biological membranes after more than 40years","title-short":"The Fluid—Mosaic Model of Membrane Structure","volume":"1838","author":[{"family":"Nicolson","given":"Garth L."}],"issued":{"date-parts":[["2014",6]]}}}],"schema":"https://github.com/citation-style-language/schema/raw/master/csl-citation.json"} </w:instrText>
      </w:r>
      <w:r w:rsidR="006549AF" w:rsidRPr="00D74025">
        <w:rPr>
          <w:rFonts w:ascii="Arial" w:hAnsi="Arial" w:cs="Arial"/>
          <w:color w:val="000000" w:themeColor="text1"/>
        </w:rPr>
        <w:fldChar w:fldCharType="separate"/>
      </w:r>
      <w:r w:rsidR="006549AF" w:rsidRPr="00D74025">
        <w:rPr>
          <w:rFonts w:ascii="Arial" w:hAnsi="Arial" w:cs="Arial"/>
          <w:color w:val="000000" w:themeColor="text1"/>
          <w:vertAlign w:val="superscript"/>
          <w:lang w:val="pt-BR"/>
        </w:rPr>
        <w:t>6</w:t>
      </w:r>
      <w:r w:rsidR="006549AF" w:rsidRPr="00D74025">
        <w:rPr>
          <w:rFonts w:ascii="Arial" w:hAnsi="Arial" w:cs="Arial"/>
          <w:color w:val="000000" w:themeColor="text1"/>
        </w:rPr>
        <w:fldChar w:fldCharType="end"/>
      </w:r>
      <w:r w:rsidRPr="00D74025">
        <w:rPr>
          <w:rFonts w:ascii="Arial" w:hAnsi="Arial" w:cs="Arial"/>
          <w:color w:val="000000" w:themeColor="text1"/>
        </w:rPr>
        <w:t xml:space="preserve">, as shown in </w:t>
      </w:r>
      <w:r w:rsidR="00C51BBA" w:rsidRPr="00C51BBA">
        <w:rPr>
          <w:rFonts w:ascii="Arial" w:hAnsi="Arial" w:cs="Arial"/>
          <w:b/>
          <w:bCs/>
          <w:color w:val="000000" w:themeColor="text1"/>
        </w:rPr>
        <w:t>F</w:t>
      </w:r>
      <w:r w:rsidRPr="00C51BBA">
        <w:rPr>
          <w:rFonts w:ascii="Arial" w:hAnsi="Arial" w:cs="Arial"/>
          <w:b/>
          <w:bCs/>
          <w:color w:val="000000" w:themeColor="text1"/>
        </w:rPr>
        <w:t>igure 2</w:t>
      </w:r>
      <w:r w:rsidRPr="00D74025">
        <w:rPr>
          <w:rFonts w:ascii="Arial" w:hAnsi="Arial" w:cs="Arial"/>
          <w:color w:val="000000" w:themeColor="text1"/>
        </w:rPr>
        <w:t>.</w:t>
      </w:r>
    </w:p>
    <w:p w14:paraId="2F3E9868" w14:textId="0F69950B" w:rsidR="00F447F9" w:rsidRPr="00D74025" w:rsidRDefault="00F447F9" w:rsidP="00CF0CD5">
      <w:pPr>
        <w:spacing w:line="360" w:lineRule="auto"/>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77967CFE" w14:textId="77777777" w:rsidTr="00F447F9">
        <w:tc>
          <w:tcPr>
            <w:tcW w:w="9350" w:type="dxa"/>
          </w:tcPr>
          <w:p w14:paraId="1851076C" w14:textId="776CA975" w:rsidR="00F447F9" w:rsidRPr="00D74025" w:rsidRDefault="00F447F9" w:rsidP="00D35E28">
            <w:pPr>
              <w:spacing w:beforeAutospacing="0" w:line="360" w:lineRule="auto"/>
              <w:ind w:firstLine="0"/>
              <w:rPr>
                <w:rFonts w:ascii="Arial" w:hAnsi="Arial" w:cs="Arial"/>
                <w:color w:val="000000" w:themeColor="text1"/>
              </w:rPr>
            </w:pPr>
            <w:r w:rsidRPr="00D74025">
              <w:rPr>
                <w:rFonts w:ascii="Arial" w:hAnsi="Arial" w:cs="Arial"/>
                <w:noProof/>
                <w:color w:val="000000" w:themeColor="text1"/>
              </w:rPr>
              <w:drawing>
                <wp:inline distT="0" distB="0" distL="0" distR="0" wp14:anchorId="1EADF2F4" wp14:editId="5FDE287F">
                  <wp:extent cx="5850294" cy="4359910"/>
                  <wp:effectExtent l="0" t="0" r="4445" b="0"/>
                  <wp:docPr id="7" name="Picture 7"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with low confidence"/>
                          <pic:cNvPicPr/>
                        </pic:nvPicPr>
                        <pic:blipFill rotWithShape="1">
                          <a:blip r:embed="rId12"/>
                          <a:srcRect l="1569"/>
                          <a:stretch/>
                        </pic:blipFill>
                        <pic:spPr bwMode="auto">
                          <a:xfrm>
                            <a:off x="0" y="0"/>
                            <a:ext cx="5850294" cy="4359910"/>
                          </a:xfrm>
                          <a:prstGeom prst="rect">
                            <a:avLst/>
                          </a:prstGeom>
                          <a:ln>
                            <a:noFill/>
                          </a:ln>
                          <a:extLst>
                            <a:ext uri="{53640926-AAD7-44D8-BBD7-CCE9431645EC}">
                              <a14:shadowObscured xmlns:a14="http://schemas.microsoft.com/office/drawing/2010/main"/>
                            </a:ext>
                          </a:extLst>
                        </pic:spPr>
                      </pic:pic>
                    </a:graphicData>
                  </a:graphic>
                </wp:inline>
              </w:drawing>
            </w:r>
          </w:p>
        </w:tc>
      </w:tr>
      <w:tr w:rsidR="00F447F9" w:rsidRPr="00D74025" w14:paraId="12D6709F" w14:textId="77777777" w:rsidTr="00F447F9">
        <w:tc>
          <w:tcPr>
            <w:tcW w:w="9350" w:type="dxa"/>
          </w:tcPr>
          <w:p w14:paraId="63461668" w14:textId="21742B78" w:rsidR="00F447F9" w:rsidRPr="00EF185A" w:rsidRDefault="00EF185A" w:rsidP="00AE333B">
            <w:pPr>
              <w:pStyle w:val="Caption"/>
              <w:spacing w:line="360" w:lineRule="auto"/>
              <w:ind w:firstLine="0"/>
              <w:rPr>
                <w:rFonts w:ascii="Arial" w:hAnsi="Arial" w:cs="Arial"/>
                <w:b/>
                <w:bCs/>
                <w:i w:val="0"/>
                <w:iCs w:val="0"/>
                <w:color w:val="000000" w:themeColor="text1"/>
                <w:sz w:val="24"/>
                <w:szCs w:val="24"/>
              </w:rPr>
            </w:pPr>
            <w:bookmarkStart w:id="5" w:name="_Toc121217324"/>
            <w:r w:rsidRPr="00EF185A">
              <w:rPr>
                <w:rFonts w:ascii="Arial" w:hAnsi="Arial" w:cs="Arial"/>
                <w:b/>
                <w:bCs/>
                <w:i w:val="0"/>
                <w:iCs w:val="0"/>
                <w:color w:val="000000" w:themeColor="text1"/>
                <w:sz w:val="24"/>
                <w:szCs w:val="24"/>
              </w:rPr>
              <w:t xml:space="preserve">Figure </w:t>
            </w:r>
            <w:r w:rsidRPr="00EF185A">
              <w:rPr>
                <w:rFonts w:ascii="Arial" w:hAnsi="Arial" w:cs="Arial"/>
                <w:b/>
                <w:bCs/>
                <w:i w:val="0"/>
                <w:iCs w:val="0"/>
                <w:color w:val="000000" w:themeColor="text1"/>
                <w:sz w:val="24"/>
                <w:szCs w:val="24"/>
              </w:rPr>
              <w:fldChar w:fldCharType="begin"/>
            </w:r>
            <w:r w:rsidRPr="00EF185A">
              <w:rPr>
                <w:rFonts w:ascii="Arial" w:hAnsi="Arial" w:cs="Arial"/>
                <w:b/>
                <w:bCs/>
                <w:i w:val="0"/>
                <w:iCs w:val="0"/>
                <w:color w:val="000000" w:themeColor="text1"/>
                <w:sz w:val="24"/>
                <w:szCs w:val="24"/>
              </w:rPr>
              <w:instrText xml:space="preserve"> SEQ Figure \* ARABIC </w:instrText>
            </w:r>
            <w:r w:rsidRPr="00EF185A">
              <w:rPr>
                <w:rFonts w:ascii="Arial" w:hAnsi="Arial" w:cs="Arial"/>
                <w:b/>
                <w:bCs/>
                <w:i w:val="0"/>
                <w:iCs w:val="0"/>
                <w:color w:val="000000" w:themeColor="text1"/>
                <w:sz w:val="24"/>
                <w:szCs w:val="24"/>
              </w:rPr>
              <w:fldChar w:fldCharType="separate"/>
            </w:r>
            <w:r w:rsidR="002C4B25">
              <w:rPr>
                <w:rFonts w:ascii="Arial" w:hAnsi="Arial" w:cs="Arial"/>
                <w:b/>
                <w:bCs/>
                <w:i w:val="0"/>
                <w:iCs w:val="0"/>
                <w:noProof/>
                <w:color w:val="000000" w:themeColor="text1"/>
                <w:sz w:val="24"/>
                <w:szCs w:val="24"/>
              </w:rPr>
              <w:t>2</w:t>
            </w:r>
            <w:r w:rsidRPr="00EF185A">
              <w:rPr>
                <w:rFonts w:ascii="Arial" w:hAnsi="Arial" w:cs="Arial"/>
                <w:b/>
                <w:bCs/>
                <w:i w:val="0"/>
                <w:iCs w:val="0"/>
                <w:color w:val="000000" w:themeColor="text1"/>
                <w:sz w:val="24"/>
                <w:szCs w:val="24"/>
              </w:rPr>
              <w:fldChar w:fldCharType="end"/>
            </w:r>
            <w:r w:rsidR="00C51BBA">
              <w:rPr>
                <w:rFonts w:ascii="Arial" w:hAnsi="Arial" w:cs="Arial"/>
                <w:b/>
                <w:bCs/>
                <w:i w:val="0"/>
                <w:iCs w:val="0"/>
                <w:color w:val="000000" w:themeColor="text1"/>
                <w:sz w:val="24"/>
                <w:szCs w:val="24"/>
              </w:rPr>
              <w:t>:</w:t>
            </w:r>
            <w:r w:rsidRPr="00EF185A">
              <w:rPr>
                <w:rFonts w:ascii="Arial" w:hAnsi="Arial" w:cs="Arial"/>
                <w:b/>
                <w:bCs/>
                <w:i w:val="0"/>
                <w:iCs w:val="0"/>
                <w:color w:val="000000" w:themeColor="text1"/>
                <w:sz w:val="24"/>
                <w:szCs w:val="24"/>
              </w:rPr>
              <w:t xml:space="preserve"> Updated </w:t>
            </w:r>
            <w:r w:rsidR="002B1B3C">
              <w:rPr>
                <w:rFonts w:ascii="Arial" w:hAnsi="Arial" w:cs="Arial"/>
                <w:b/>
                <w:bCs/>
                <w:i w:val="0"/>
                <w:iCs w:val="0"/>
                <w:color w:val="000000" w:themeColor="text1"/>
                <w:sz w:val="24"/>
                <w:szCs w:val="24"/>
              </w:rPr>
              <w:t>f</w:t>
            </w:r>
            <w:r w:rsidRPr="00EF185A">
              <w:rPr>
                <w:rFonts w:ascii="Arial" w:hAnsi="Arial" w:cs="Arial"/>
                <w:b/>
                <w:bCs/>
                <w:i w:val="0"/>
                <w:iCs w:val="0"/>
                <w:color w:val="000000" w:themeColor="text1"/>
                <w:sz w:val="24"/>
                <w:szCs w:val="24"/>
              </w:rPr>
              <w:t>luid—</w:t>
            </w:r>
            <w:r w:rsidR="002B1B3C">
              <w:rPr>
                <w:rFonts w:ascii="Arial" w:hAnsi="Arial" w:cs="Arial"/>
                <w:b/>
                <w:bCs/>
                <w:i w:val="0"/>
                <w:iCs w:val="0"/>
                <w:color w:val="000000" w:themeColor="text1"/>
                <w:sz w:val="24"/>
                <w:szCs w:val="24"/>
              </w:rPr>
              <w:t>m</w:t>
            </w:r>
            <w:r w:rsidRPr="00EF185A">
              <w:rPr>
                <w:rFonts w:ascii="Arial" w:hAnsi="Arial" w:cs="Arial"/>
                <w:b/>
                <w:bCs/>
                <w:i w:val="0"/>
                <w:iCs w:val="0"/>
                <w:color w:val="000000" w:themeColor="text1"/>
                <w:sz w:val="24"/>
                <w:szCs w:val="24"/>
              </w:rPr>
              <w:t xml:space="preserve">osaic </w:t>
            </w:r>
            <w:r w:rsidR="002B1B3C">
              <w:rPr>
                <w:rFonts w:ascii="Arial" w:hAnsi="Arial" w:cs="Arial"/>
                <w:b/>
                <w:bCs/>
                <w:i w:val="0"/>
                <w:iCs w:val="0"/>
                <w:color w:val="000000" w:themeColor="text1"/>
                <w:sz w:val="24"/>
                <w:szCs w:val="24"/>
              </w:rPr>
              <w:t>m</w:t>
            </w:r>
            <w:r w:rsidRPr="00EF185A">
              <w:rPr>
                <w:rFonts w:ascii="Arial" w:hAnsi="Arial" w:cs="Arial"/>
                <w:b/>
                <w:bCs/>
                <w:i w:val="0"/>
                <w:iCs w:val="0"/>
                <w:color w:val="000000" w:themeColor="text1"/>
                <w:sz w:val="24"/>
                <w:szCs w:val="24"/>
              </w:rPr>
              <w:t xml:space="preserve">embrane </w:t>
            </w:r>
            <w:r w:rsidR="002B1B3C">
              <w:rPr>
                <w:rFonts w:ascii="Arial" w:hAnsi="Arial" w:cs="Arial"/>
                <w:b/>
                <w:bCs/>
                <w:i w:val="0"/>
                <w:iCs w:val="0"/>
                <w:color w:val="000000" w:themeColor="text1"/>
                <w:sz w:val="24"/>
                <w:szCs w:val="24"/>
              </w:rPr>
              <w:t>m</w:t>
            </w:r>
            <w:r w:rsidRPr="00EF185A">
              <w:rPr>
                <w:rFonts w:ascii="Arial" w:hAnsi="Arial" w:cs="Arial"/>
                <w:b/>
                <w:bCs/>
                <w:i w:val="0"/>
                <w:iCs w:val="0"/>
                <w:color w:val="000000" w:themeColor="text1"/>
                <w:sz w:val="24"/>
                <w:szCs w:val="24"/>
              </w:rPr>
              <w:t>odel (2014)</w:t>
            </w:r>
            <w:r w:rsidR="00C51BBA">
              <w:rPr>
                <w:rFonts w:ascii="Arial" w:hAnsi="Arial" w:cs="Arial"/>
                <w:b/>
                <w:bCs/>
                <w:i w:val="0"/>
                <w:iCs w:val="0"/>
                <w:color w:val="000000" w:themeColor="text1"/>
                <w:sz w:val="24"/>
                <w:szCs w:val="24"/>
              </w:rPr>
              <w:t>.</w:t>
            </w:r>
            <w:r w:rsidR="00AE333B">
              <w:rPr>
                <w:rFonts w:ascii="Arial" w:hAnsi="Arial" w:cs="Arial"/>
                <w:b/>
                <w:bCs/>
                <w:i w:val="0"/>
                <w:iCs w:val="0"/>
                <w:color w:val="000000" w:themeColor="text1"/>
                <w:sz w:val="24"/>
                <w:szCs w:val="24"/>
              </w:rPr>
              <w:t xml:space="preserve"> </w:t>
            </w:r>
            <w:r w:rsidR="00F447F9" w:rsidRPr="00AE333B">
              <w:rPr>
                <w:rFonts w:ascii="Arial" w:hAnsi="Arial" w:cs="Arial"/>
                <w:i w:val="0"/>
                <w:iCs w:val="0"/>
                <w:color w:val="000000" w:themeColor="text1"/>
                <w:sz w:val="24"/>
                <w:szCs w:val="24"/>
              </w:rPr>
              <w:t>The membrane has domain structures, membrane-associated cytoskeletal, extracellular structures, different integral proteins, glycoproteins, lipids</w:t>
            </w:r>
            <w:r w:rsidR="002B1B3C">
              <w:rPr>
                <w:rFonts w:ascii="Arial" w:hAnsi="Arial" w:cs="Arial"/>
                <w:i w:val="0"/>
                <w:iCs w:val="0"/>
                <w:color w:val="000000" w:themeColor="text1"/>
                <w:sz w:val="24"/>
                <w:szCs w:val="24"/>
              </w:rPr>
              <w:t>,</w:t>
            </w:r>
            <w:r w:rsidR="00F447F9" w:rsidRPr="00AE333B">
              <w:rPr>
                <w:rFonts w:ascii="Arial" w:hAnsi="Arial" w:cs="Arial"/>
                <w:i w:val="0"/>
                <w:iCs w:val="0"/>
                <w:color w:val="000000" w:themeColor="text1"/>
                <w:sz w:val="24"/>
                <w:szCs w:val="24"/>
              </w:rPr>
              <w:t xml:space="preserve"> and oligosaccharides. Inner surface show cytoskeletal fencing. Image from Nicolson,</w:t>
            </w:r>
            <w:r w:rsidR="00635633" w:rsidRPr="00AE333B">
              <w:rPr>
                <w:rFonts w:ascii="Arial" w:hAnsi="Arial" w:cs="Arial"/>
                <w:i w:val="0"/>
                <w:iCs w:val="0"/>
                <w:color w:val="000000" w:themeColor="text1"/>
                <w:sz w:val="24"/>
                <w:szCs w:val="24"/>
              </w:rPr>
              <w:t xml:space="preserve"> </w:t>
            </w:r>
            <w:r w:rsidR="00F447F9" w:rsidRPr="00AE333B">
              <w:rPr>
                <w:rFonts w:ascii="Arial" w:hAnsi="Arial" w:cs="Arial"/>
                <w:i w:val="0"/>
                <w:iCs w:val="0"/>
                <w:color w:val="000000" w:themeColor="text1"/>
                <w:sz w:val="24"/>
                <w:szCs w:val="24"/>
              </w:rPr>
              <w:t>2014</w:t>
            </w:r>
            <w:r w:rsidR="00F447F9" w:rsidRPr="00AE333B">
              <w:rPr>
                <w:rFonts w:ascii="Arial" w:hAnsi="Arial" w:cs="Arial"/>
                <w:i w:val="0"/>
                <w:iCs w:val="0"/>
                <w:color w:val="000000" w:themeColor="text1"/>
                <w:sz w:val="24"/>
                <w:szCs w:val="24"/>
              </w:rPr>
              <w:fldChar w:fldCharType="begin"/>
            </w:r>
            <w:r w:rsidR="00AB2CFB" w:rsidRPr="00AE333B">
              <w:rPr>
                <w:rFonts w:ascii="Arial" w:hAnsi="Arial" w:cs="Arial"/>
                <w:i w:val="0"/>
                <w:iCs w:val="0"/>
                <w:color w:val="000000" w:themeColor="text1"/>
                <w:sz w:val="24"/>
                <w:szCs w:val="24"/>
              </w:rPr>
              <w:instrText xml:space="preserve"> ADDIN ZOTERO_ITEM CSL_CITATION {"citationID":"ZuoBhv5a","properties":{"formattedCitation":"\\super 6\\nosupersub{}","plainCitation":"6","noteIndex":0},"citationItems":[{"id":156,"uris":["http://zotero.org/users/7661987/items/HTFM3AUW"],"itemData":{"id":156,"type":"article-journal","abstract":"In 1972 the Fluid—Mosaic Membrane Model of membrane structure was proposed based on thermodynamic principals of organization of membrane lipids and proteins and available evidence of asymmetry and lateral mobility within the membrane matrix [S. J. Singer and G. L. Nicolson, Science 175 (1972) 720–731]. After over 40 years, this basic model of the cell membrane remains relevant for describing the basic nano-structures of a variety of intracellular and cellular membranes of plant and animal cells and lower forms of life. In the intervening years, however, new information has documented the importance and roles of specialized membrane domains, such as lipid rafts and protein/glycoprotein complexes, in describing the macrostructure, dynamics and functions of cellular membranes as well as the roles of membrane-associated cytoskeletal fences and extracellular matrix structures in limiting the lateral diffusion and range of motion of membrane components. These newer data build on the foundation of the original model and add new layers of complexity and hierarchy, but the concepts described in the original model are still applicable today. In updated versions of the model more emphasis has been placed on the mosaic nature of the macrostructure of cellular membranes where many protein and lipid components are limited in their rotational and lateral motilities in the membrane plane, especially in their natural states where lipid–lipid, protein–protein and lipid–protein interactions as well as cell–matrix, cell–cell and intracellular membrane-associated protein and cytoskeletal interactions are important in restraining the lateral motility and range of motion of particular membrane components. The formation of specialized membrane domains and the presence of tightly packed integral membrane protein complexes due to membraneassociated fences, fenceposts and other structures are considered very important in describing membrane dynamics and architecture. These structures along with membrane-associated cytoskeletal and extracellular structures maintain the long-range, non-random mosaic macro-organization of membranes, while smaller membrane nano- and submicro-sized domains, such as lipid rafts and protein complexes, are important in maintaining specialized membrane structures that are in cooperative dynamic ﬂux in a crowded membrane plane. This Article is Part of a Special Issue Entitled: Membrane Structure and Function: Relevance in the Cell's Physiology, Pathology and Therapy.","container-title":"Biochimica et Biophysica Acta (BBA) - Biomembranes","DOI":"10.1016/j.bbamem.2013.10.019","ISSN":"00052736","issue":"6","journalAbbreviation":"Biochimica et Biophysica Acta (BBA) - Biomembranes","language":"en","page":"1451-1466","source":"DOI.org (Crossref)","title":"The Fluid—Mosaic Model of Membrane Structure: Still relevant to understanding the structure, function and dynamics of biological membranes after more than 40years","title-short":"The Fluid—Mosaic Model of Membrane Structure","volume":"1838","author":[{"family":"Nicolson","given":"Garth L."}],"issued":{"date-parts":[["2014",6]]}}}],"schema":"https://github.com/citation-style-language/schema/raw/master/csl-citation.json"} </w:instrText>
            </w:r>
            <w:r w:rsidR="00F447F9" w:rsidRPr="00AE333B">
              <w:rPr>
                <w:rFonts w:ascii="Arial" w:hAnsi="Arial" w:cs="Arial"/>
                <w:i w:val="0"/>
                <w:iCs w:val="0"/>
                <w:color w:val="000000" w:themeColor="text1"/>
                <w:sz w:val="24"/>
                <w:szCs w:val="24"/>
              </w:rPr>
              <w:fldChar w:fldCharType="separate"/>
            </w:r>
            <w:r w:rsidR="00F447F9" w:rsidRPr="00AE333B">
              <w:rPr>
                <w:rFonts w:ascii="Arial" w:hAnsi="Arial" w:cs="Arial"/>
                <w:i w:val="0"/>
                <w:iCs w:val="0"/>
                <w:color w:val="000000" w:themeColor="text1"/>
                <w:sz w:val="24"/>
                <w:szCs w:val="24"/>
                <w:vertAlign w:val="superscript"/>
              </w:rPr>
              <w:t>6</w:t>
            </w:r>
            <w:r w:rsidR="00F447F9" w:rsidRPr="00AE333B">
              <w:rPr>
                <w:rFonts w:ascii="Arial" w:hAnsi="Arial" w:cs="Arial"/>
                <w:i w:val="0"/>
                <w:iCs w:val="0"/>
                <w:color w:val="000000" w:themeColor="text1"/>
                <w:sz w:val="24"/>
                <w:szCs w:val="24"/>
              </w:rPr>
              <w:fldChar w:fldCharType="end"/>
            </w:r>
            <w:r w:rsidR="008A272B" w:rsidRPr="00AE333B">
              <w:rPr>
                <w:rFonts w:ascii="Arial" w:hAnsi="Arial" w:cs="Arial"/>
                <w:i w:val="0"/>
                <w:iCs w:val="0"/>
                <w:color w:val="000000" w:themeColor="text1"/>
                <w:sz w:val="24"/>
                <w:szCs w:val="24"/>
              </w:rPr>
              <w:t>.</w:t>
            </w:r>
            <w:bookmarkEnd w:id="5"/>
          </w:p>
        </w:tc>
      </w:tr>
    </w:tbl>
    <w:p w14:paraId="60877081" w14:textId="77777777" w:rsidR="00F447F9" w:rsidRPr="00D74025" w:rsidRDefault="00F447F9" w:rsidP="00CF0CD5">
      <w:pPr>
        <w:spacing w:line="360" w:lineRule="auto"/>
        <w:jc w:val="both"/>
        <w:rPr>
          <w:rFonts w:ascii="Arial" w:hAnsi="Arial" w:cs="Arial"/>
          <w:color w:val="000000" w:themeColor="text1"/>
        </w:rPr>
      </w:pPr>
    </w:p>
    <w:p w14:paraId="2328C3C3" w14:textId="77777777" w:rsidR="00791D13" w:rsidRPr="00D74025" w:rsidRDefault="00791D13" w:rsidP="00CF0CD5">
      <w:pPr>
        <w:spacing w:line="360" w:lineRule="auto"/>
        <w:ind w:firstLine="1440"/>
        <w:jc w:val="both"/>
        <w:rPr>
          <w:rFonts w:ascii="Arial" w:hAnsi="Arial" w:cs="Arial"/>
          <w:color w:val="000000" w:themeColor="text1"/>
        </w:rPr>
      </w:pPr>
    </w:p>
    <w:p w14:paraId="6DEADFA3" w14:textId="0EFE7086" w:rsidR="00791D13" w:rsidRPr="00D74025" w:rsidRDefault="00791D13" w:rsidP="00CF0CD5">
      <w:pPr>
        <w:pStyle w:val="Heading3"/>
        <w:spacing w:line="360" w:lineRule="auto"/>
        <w:ind w:firstLine="1440"/>
        <w:rPr>
          <w:rFonts w:ascii="Arial" w:hAnsi="Arial" w:cs="Arial"/>
          <w:b/>
          <w:bCs/>
          <w:color w:val="000000" w:themeColor="text1"/>
        </w:rPr>
      </w:pPr>
      <w:bookmarkStart w:id="6" w:name="_Toc87466633"/>
      <w:bookmarkStart w:id="7" w:name="_Toc121217223"/>
      <w:r w:rsidRPr="00D74025">
        <w:rPr>
          <w:rFonts w:ascii="Arial" w:hAnsi="Arial" w:cs="Arial"/>
          <w:b/>
          <w:bCs/>
          <w:color w:val="000000" w:themeColor="text1"/>
        </w:rPr>
        <w:t xml:space="preserve">1.1.1 Plasma </w:t>
      </w:r>
      <w:r w:rsidR="00B131CE">
        <w:rPr>
          <w:rFonts w:ascii="Arial" w:hAnsi="Arial" w:cs="Arial"/>
          <w:b/>
          <w:bCs/>
          <w:color w:val="000000" w:themeColor="text1"/>
        </w:rPr>
        <w:t>m</w:t>
      </w:r>
      <w:r w:rsidRPr="00D74025">
        <w:rPr>
          <w:rFonts w:ascii="Arial" w:hAnsi="Arial" w:cs="Arial"/>
          <w:b/>
          <w:bCs/>
          <w:color w:val="000000" w:themeColor="text1"/>
        </w:rPr>
        <w:t xml:space="preserve">embrane </w:t>
      </w:r>
      <w:r w:rsidR="00B131CE">
        <w:rPr>
          <w:rFonts w:ascii="Arial" w:hAnsi="Arial" w:cs="Arial"/>
          <w:b/>
          <w:bCs/>
          <w:color w:val="000000" w:themeColor="text1"/>
        </w:rPr>
        <w:t>a</w:t>
      </w:r>
      <w:r w:rsidRPr="00D74025">
        <w:rPr>
          <w:rFonts w:ascii="Arial" w:hAnsi="Arial" w:cs="Arial"/>
          <w:b/>
          <w:bCs/>
          <w:color w:val="000000" w:themeColor="text1"/>
        </w:rPr>
        <w:t xml:space="preserve">symmetry: </w:t>
      </w:r>
      <w:r w:rsidR="00B131CE">
        <w:rPr>
          <w:rFonts w:ascii="Arial" w:hAnsi="Arial" w:cs="Arial"/>
          <w:b/>
          <w:bCs/>
          <w:color w:val="000000" w:themeColor="text1"/>
        </w:rPr>
        <w:t>t</w:t>
      </w:r>
      <w:r w:rsidR="00635633" w:rsidRPr="00D74025">
        <w:rPr>
          <w:rFonts w:ascii="Arial" w:hAnsi="Arial" w:cs="Arial"/>
          <w:b/>
          <w:bCs/>
          <w:color w:val="000000" w:themeColor="text1"/>
        </w:rPr>
        <w:t>he</w:t>
      </w:r>
      <w:r w:rsidRPr="00D74025">
        <w:rPr>
          <w:rFonts w:ascii="Arial" w:hAnsi="Arial" w:cs="Arial"/>
          <w:b/>
          <w:bCs/>
          <w:color w:val="000000" w:themeColor="text1"/>
        </w:rPr>
        <w:t xml:space="preserve"> </w:t>
      </w:r>
      <w:r w:rsidR="00B131CE">
        <w:rPr>
          <w:rFonts w:ascii="Arial" w:hAnsi="Arial" w:cs="Arial"/>
          <w:b/>
          <w:bCs/>
          <w:color w:val="000000" w:themeColor="text1"/>
        </w:rPr>
        <w:t>d</w:t>
      </w:r>
      <w:r w:rsidRPr="00D74025">
        <w:rPr>
          <w:rFonts w:ascii="Arial" w:hAnsi="Arial" w:cs="Arial"/>
          <w:b/>
          <w:bCs/>
          <w:color w:val="000000" w:themeColor="text1"/>
        </w:rPr>
        <w:t xml:space="preserve">efault </w:t>
      </w:r>
      <w:r w:rsidR="00B131CE">
        <w:rPr>
          <w:rFonts w:ascii="Arial" w:hAnsi="Arial" w:cs="Arial"/>
          <w:b/>
          <w:bCs/>
          <w:color w:val="000000" w:themeColor="text1"/>
        </w:rPr>
        <w:t>s</w:t>
      </w:r>
      <w:r w:rsidRPr="00D74025">
        <w:rPr>
          <w:rFonts w:ascii="Arial" w:hAnsi="Arial" w:cs="Arial"/>
          <w:b/>
          <w:bCs/>
          <w:color w:val="000000" w:themeColor="text1"/>
        </w:rPr>
        <w:t xml:space="preserve">tate of </w:t>
      </w:r>
      <w:r w:rsidR="00B131CE">
        <w:rPr>
          <w:rFonts w:ascii="Arial" w:hAnsi="Arial" w:cs="Arial"/>
          <w:b/>
          <w:bCs/>
          <w:color w:val="000000" w:themeColor="text1"/>
        </w:rPr>
        <w:t>c</w:t>
      </w:r>
      <w:r w:rsidRPr="00D74025">
        <w:rPr>
          <w:rFonts w:ascii="Arial" w:hAnsi="Arial" w:cs="Arial"/>
          <w:b/>
          <w:bCs/>
          <w:color w:val="000000" w:themeColor="text1"/>
        </w:rPr>
        <w:t>ells</w:t>
      </w:r>
      <w:bookmarkEnd w:id="6"/>
      <w:bookmarkEnd w:id="7"/>
    </w:p>
    <w:p w14:paraId="6B3D4421" w14:textId="646E52C9" w:rsidR="003A69D2" w:rsidRPr="00D74025" w:rsidRDefault="003A69D2" w:rsidP="003A69D2">
      <w:pPr>
        <w:spacing w:line="360" w:lineRule="auto"/>
        <w:ind w:firstLine="1440"/>
        <w:jc w:val="both"/>
        <w:rPr>
          <w:rFonts w:ascii="Arial" w:hAnsi="Arial" w:cs="Arial"/>
          <w:color w:val="000000" w:themeColor="text1"/>
        </w:rPr>
      </w:pPr>
      <w:r w:rsidRPr="00D74025">
        <w:rPr>
          <w:rFonts w:ascii="Arial" w:hAnsi="Arial" w:cs="Arial"/>
          <w:color w:val="000000" w:themeColor="text1"/>
        </w:rPr>
        <w:t>The plasma membrane is composed of five major classes of phospholipids: phosphatidylcholine (PC), phosphatidylethanolamine (PE), phosphatidylinositol (PI), sphingomyelin (SM), and phosphatidylserine (PS)</w:t>
      </w:r>
      <w:r w:rsidRPr="00D74025">
        <w:rPr>
          <w:rFonts w:ascii="Arial" w:hAnsi="Arial" w:cs="Arial"/>
          <w:color w:val="000000" w:themeColor="text1"/>
        </w:rPr>
        <w:fldChar w:fldCharType="begin"/>
      </w:r>
      <w:r w:rsidR="00AB2CFB">
        <w:rPr>
          <w:rFonts w:ascii="Arial" w:hAnsi="Arial" w:cs="Arial"/>
          <w:color w:val="000000" w:themeColor="text1"/>
        </w:rPr>
        <w:instrText xml:space="preserve"> ADDIN ZOTERO_ITEM CSL_CITATION {"citationID":"XSxoEMJr","properties":{"formattedCitation":"\\super 8\\nosupersub{}","plainCitation":"8","noteIndex":0},"citationItems":[{"id":119,"uris":["http://zotero.org/users/7661987/items/6ASVI7QS"],"itemData":{"id":119,"type":"article-journal","abstract":"There is a limited number of methods to examine transbilayer lipid distribution in biomembranes. We employed freeze-fracture replicalabelling immunoelectron microscopy in combination with lipidbinding proteins and a peptide to examine both transbilayer distribution and lateral distribution of various phospholipids in mammalian cells. Our results indicate that phospholipids are exclusively distributed either in the outer or inner leaflet of human red blood cell (RBC) membranes. In contrast, in nucleated cells, such as human skin fibroblasts and neutrophils, sphingomyelin was distributed in both leaflets while exhibiting characteristic lipid domains in the inner leaflet. Similar to RBCs, lipid asymmetry was maintained both in resting and thrombin-activated platelets. However, the microparticles released from thrombin-activated platelets lost membrane asymmetry. Our results suggest that the microparticles were shed from platelet plasma membrane domains enriched with phosphatidylserine and/or phosphatidylinositol at the outer leaflet. These findings underscore the strict regulation and cell-type specificity of lipid asymmetry in the plasma membrane.","container-title":"Journal of Cell Science","DOI":"10.1242/jcs.163105","ISSN":"1477-9137, 0021-9533","language":"en","page":"jcs.163105","source":"DOI.org (Crossref)","title":"Transbilayer lipid distribution in nano scale","author":[{"family":"Murate","given":"Motohide"},{"family":"Abe","given":"Mitsuhiro"},{"family":"Kasahara","given":"Kohji"},{"family":"Iwabuchi","given":"Kazuhisa"},{"family":"Umeda","given":"Masato"},{"family":"Kobayashi","given":"Toshihide"}],"issued":{"date-parts":[["2015",1,1]]}}}],"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8</w:t>
      </w:r>
      <w:r w:rsidRPr="00D74025">
        <w:rPr>
          <w:rFonts w:ascii="Arial" w:hAnsi="Arial" w:cs="Arial"/>
          <w:color w:val="000000" w:themeColor="text1"/>
        </w:rPr>
        <w:fldChar w:fldCharType="end"/>
      </w:r>
      <w:r w:rsidRPr="00D74025">
        <w:rPr>
          <w:rFonts w:ascii="Arial" w:hAnsi="Arial" w:cs="Arial"/>
          <w:color w:val="000000" w:themeColor="text1"/>
        </w:rPr>
        <w:t xml:space="preserve">, as shown in </w:t>
      </w:r>
      <w:r w:rsidR="00C51BBA" w:rsidRPr="00C51BBA">
        <w:rPr>
          <w:rFonts w:ascii="Arial" w:hAnsi="Arial" w:cs="Arial"/>
          <w:b/>
          <w:bCs/>
          <w:color w:val="000000" w:themeColor="text1"/>
        </w:rPr>
        <w:t>F</w:t>
      </w:r>
      <w:r w:rsidRPr="00C51BBA">
        <w:rPr>
          <w:rFonts w:ascii="Arial" w:hAnsi="Arial" w:cs="Arial"/>
          <w:b/>
          <w:bCs/>
          <w:color w:val="000000" w:themeColor="text1"/>
        </w:rPr>
        <w:t>igure 3</w:t>
      </w:r>
      <w:r w:rsidRPr="00D74025">
        <w:rPr>
          <w:rFonts w:ascii="Arial" w:hAnsi="Arial" w:cs="Arial"/>
          <w:color w:val="000000" w:themeColor="text1"/>
        </w:rPr>
        <w:t xml:space="preserve">. Although PS </w:t>
      </w:r>
      <w:r w:rsidRPr="00D74025">
        <w:rPr>
          <w:rFonts w:ascii="Arial" w:hAnsi="Arial" w:cs="Arial"/>
          <w:color w:val="000000" w:themeColor="text1"/>
        </w:rPr>
        <w:lastRenderedPageBreak/>
        <w:t xml:space="preserve">is not the most abundant phospholipid in the plasma membrane, it has a vital role in the research presented in this work, which will be introduced </w:t>
      </w:r>
      <w:r w:rsidR="00756C45">
        <w:rPr>
          <w:rFonts w:ascii="Arial" w:hAnsi="Arial" w:cs="Arial"/>
          <w:color w:val="000000" w:themeColor="text1"/>
        </w:rPr>
        <w:t>later</w:t>
      </w:r>
      <w:r w:rsidRPr="00D74025">
        <w:rPr>
          <w:rFonts w:ascii="Arial" w:hAnsi="Arial" w:cs="Arial"/>
          <w:color w:val="000000" w:themeColor="text1"/>
        </w:rPr>
        <w:t>.</w:t>
      </w:r>
    </w:p>
    <w:p w14:paraId="275AED59" w14:textId="77777777" w:rsidR="00635633" w:rsidRPr="00D74025" w:rsidRDefault="00635633" w:rsidP="00CF0CD5">
      <w:pPr>
        <w:spacing w:line="360" w:lineRule="auto"/>
        <w:ind w:firstLine="1440"/>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6CFABC0D" w14:textId="77777777" w:rsidTr="00F447F9">
        <w:tc>
          <w:tcPr>
            <w:tcW w:w="9350" w:type="dxa"/>
          </w:tcPr>
          <w:p w14:paraId="202CAD22" w14:textId="665884F5" w:rsidR="00F447F9" w:rsidRPr="00D74025" w:rsidRDefault="00F447F9" w:rsidP="009836C0">
            <w:pPr>
              <w:spacing w:beforeAutospacing="0" w:line="360" w:lineRule="auto"/>
              <w:ind w:firstLine="0"/>
              <w:jc w:val="center"/>
              <w:rPr>
                <w:rFonts w:ascii="Arial" w:hAnsi="Arial" w:cs="Arial"/>
                <w:color w:val="000000" w:themeColor="text1"/>
              </w:rPr>
            </w:pPr>
            <w:r w:rsidRPr="00D74025">
              <w:rPr>
                <w:rFonts w:ascii="Arial" w:hAnsi="Arial" w:cs="Arial"/>
                <w:b/>
                <w:bCs/>
                <w:noProof/>
                <w:color w:val="000000" w:themeColor="text1"/>
              </w:rPr>
              <w:drawing>
                <wp:inline distT="0" distB="0" distL="0" distR="0" wp14:anchorId="6CF19314" wp14:editId="2C7718DB">
                  <wp:extent cx="3933646" cy="2279918"/>
                  <wp:effectExtent l="0" t="0" r="3810" b="6350"/>
                  <wp:docPr id="15" name="Picture 1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histogram&#10;&#10;Description automatically generated"/>
                          <pic:cNvPicPr/>
                        </pic:nvPicPr>
                        <pic:blipFill>
                          <a:blip r:embed="rId13"/>
                          <a:stretch>
                            <a:fillRect/>
                          </a:stretch>
                        </pic:blipFill>
                        <pic:spPr>
                          <a:xfrm>
                            <a:off x="0" y="0"/>
                            <a:ext cx="4004342" cy="2320893"/>
                          </a:xfrm>
                          <a:prstGeom prst="rect">
                            <a:avLst/>
                          </a:prstGeom>
                        </pic:spPr>
                      </pic:pic>
                    </a:graphicData>
                  </a:graphic>
                </wp:inline>
              </w:drawing>
            </w:r>
          </w:p>
        </w:tc>
      </w:tr>
      <w:tr w:rsidR="00F447F9" w:rsidRPr="00D74025" w14:paraId="19C0B56F" w14:textId="77777777" w:rsidTr="00F447F9">
        <w:tc>
          <w:tcPr>
            <w:tcW w:w="9350" w:type="dxa"/>
          </w:tcPr>
          <w:p w14:paraId="6A0D4298" w14:textId="547ECBDD" w:rsidR="00F447F9" w:rsidRPr="00336D17" w:rsidRDefault="00336D17" w:rsidP="00336D17">
            <w:pPr>
              <w:pStyle w:val="Caption"/>
              <w:spacing w:line="360" w:lineRule="auto"/>
              <w:ind w:firstLine="0"/>
              <w:rPr>
                <w:rFonts w:ascii="Arial" w:hAnsi="Arial" w:cs="Arial"/>
                <w:b/>
                <w:bCs/>
                <w:i w:val="0"/>
                <w:iCs w:val="0"/>
                <w:color w:val="000000" w:themeColor="text1"/>
                <w:sz w:val="24"/>
                <w:szCs w:val="24"/>
              </w:rPr>
            </w:pPr>
            <w:bookmarkStart w:id="8" w:name="_Toc121217325"/>
            <w:r w:rsidRPr="00336D17">
              <w:rPr>
                <w:rFonts w:ascii="Arial" w:hAnsi="Arial" w:cs="Arial"/>
                <w:b/>
                <w:bCs/>
                <w:i w:val="0"/>
                <w:iCs w:val="0"/>
                <w:color w:val="000000" w:themeColor="text1"/>
                <w:sz w:val="24"/>
                <w:szCs w:val="24"/>
              </w:rPr>
              <w:t xml:space="preserve">Figure </w:t>
            </w:r>
            <w:r w:rsidRPr="00336D17">
              <w:rPr>
                <w:rFonts w:ascii="Arial" w:hAnsi="Arial" w:cs="Arial"/>
                <w:b/>
                <w:bCs/>
                <w:i w:val="0"/>
                <w:iCs w:val="0"/>
                <w:color w:val="000000" w:themeColor="text1"/>
                <w:sz w:val="24"/>
                <w:szCs w:val="24"/>
              </w:rPr>
              <w:fldChar w:fldCharType="begin"/>
            </w:r>
            <w:r w:rsidRPr="00336D17">
              <w:rPr>
                <w:rFonts w:ascii="Arial" w:hAnsi="Arial" w:cs="Arial"/>
                <w:b/>
                <w:bCs/>
                <w:i w:val="0"/>
                <w:iCs w:val="0"/>
                <w:color w:val="000000" w:themeColor="text1"/>
                <w:sz w:val="24"/>
                <w:szCs w:val="24"/>
              </w:rPr>
              <w:instrText xml:space="preserve"> SEQ Figure \* ARABIC </w:instrText>
            </w:r>
            <w:r w:rsidRPr="00336D17">
              <w:rPr>
                <w:rFonts w:ascii="Arial" w:hAnsi="Arial" w:cs="Arial"/>
                <w:b/>
                <w:bCs/>
                <w:i w:val="0"/>
                <w:iCs w:val="0"/>
                <w:color w:val="000000" w:themeColor="text1"/>
                <w:sz w:val="24"/>
                <w:szCs w:val="24"/>
              </w:rPr>
              <w:fldChar w:fldCharType="separate"/>
            </w:r>
            <w:r w:rsidR="002C4B25">
              <w:rPr>
                <w:rFonts w:ascii="Arial" w:hAnsi="Arial" w:cs="Arial"/>
                <w:b/>
                <w:bCs/>
                <w:i w:val="0"/>
                <w:iCs w:val="0"/>
                <w:noProof/>
                <w:color w:val="000000" w:themeColor="text1"/>
                <w:sz w:val="24"/>
                <w:szCs w:val="24"/>
              </w:rPr>
              <w:t>3</w:t>
            </w:r>
            <w:r w:rsidRPr="00336D17">
              <w:rPr>
                <w:rFonts w:ascii="Arial" w:hAnsi="Arial" w:cs="Arial"/>
                <w:b/>
                <w:bCs/>
                <w:i w:val="0"/>
                <w:iCs w:val="0"/>
                <w:color w:val="000000" w:themeColor="text1"/>
                <w:sz w:val="24"/>
                <w:szCs w:val="24"/>
              </w:rPr>
              <w:fldChar w:fldCharType="end"/>
            </w:r>
            <w:r w:rsidRPr="00336D17">
              <w:rPr>
                <w:rFonts w:ascii="Arial" w:hAnsi="Arial" w:cs="Arial"/>
                <w:b/>
                <w:bCs/>
                <w:i w:val="0"/>
                <w:iCs w:val="0"/>
                <w:color w:val="000000" w:themeColor="text1"/>
                <w:sz w:val="24"/>
                <w:szCs w:val="24"/>
              </w:rPr>
              <w:t>: Lipid steady-state composition of the plasma membrane</w:t>
            </w:r>
            <w:r w:rsidR="00D9180E" w:rsidRPr="00D74025">
              <w:rPr>
                <w:rStyle w:val="markedcontent"/>
                <w:rFonts w:ascii="Arial" w:hAnsi="Arial" w:cs="Arial"/>
                <w:b/>
                <w:bCs/>
                <w:color w:val="000000" w:themeColor="text1"/>
              </w:rPr>
              <w:t>.</w:t>
            </w:r>
            <w:r w:rsidR="00D9180E" w:rsidRPr="00D74025">
              <w:rPr>
                <w:rStyle w:val="markedcontent"/>
                <w:rFonts w:ascii="Arial" w:hAnsi="Arial" w:cs="Arial"/>
                <w:color w:val="000000" w:themeColor="text1"/>
              </w:rPr>
              <w:t xml:space="preserve"> </w:t>
            </w:r>
            <w:r w:rsidR="00D9180E" w:rsidRPr="00336D17">
              <w:rPr>
                <w:rStyle w:val="markedcontent"/>
                <w:rFonts w:ascii="Arial" w:hAnsi="Arial" w:cs="Arial"/>
                <w:i w:val="0"/>
                <w:iCs w:val="0"/>
                <w:color w:val="000000" w:themeColor="text1"/>
                <w:sz w:val="24"/>
                <w:szCs w:val="24"/>
              </w:rPr>
              <w:t>Data expressed as a percentage the total phospholipid composition of mammalian cells. Image adapted from van Meer et al.,</w:t>
            </w:r>
            <w:r w:rsidR="00D9180E" w:rsidRPr="00336D17">
              <w:rPr>
                <w:rStyle w:val="markedcontent"/>
                <w:i w:val="0"/>
                <w:iCs w:val="0"/>
                <w:color w:val="000000" w:themeColor="text1"/>
                <w:sz w:val="24"/>
                <w:szCs w:val="24"/>
              </w:rPr>
              <w:t xml:space="preserve"> </w:t>
            </w:r>
            <w:r w:rsidR="00D9180E" w:rsidRPr="00336D17">
              <w:rPr>
                <w:rStyle w:val="markedcontent"/>
                <w:rFonts w:ascii="Arial" w:hAnsi="Arial" w:cs="Arial"/>
                <w:i w:val="0"/>
                <w:iCs w:val="0"/>
                <w:color w:val="000000" w:themeColor="text1"/>
                <w:sz w:val="24"/>
                <w:szCs w:val="24"/>
              </w:rPr>
              <w:t>2008</w:t>
            </w:r>
            <w:r w:rsidR="00D9180E" w:rsidRPr="00336D17">
              <w:rPr>
                <w:rFonts w:ascii="Arial" w:hAnsi="Arial" w:cs="Arial"/>
                <w:b/>
                <w:bCs/>
                <w:i w:val="0"/>
                <w:iCs w:val="0"/>
                <w:color w:val="000000" w:themeColor="text1"/>
                <w:sz w:val="24"/>
                <w:szCs w:val="24"/>
              </w:rPr>
              <w:fldChar w:fldCharType="begin"/>
            </w:r>
            <w:r w:rsidR="00AB2CFB" w:rsidRPr="00336D17">
              <w:rPr>
                <w:rFonts w:ascii="Arial" w:hAnsi="Arial" w:cs="Arial"/>
                <w:b/>
                <w:bCs/>
                <w:i w:val="0"/>
                <w:iCs w:val="0"/>
                <w:color w:val="000000" w:themeColor="text1"/>
                <w:sz w:val="24"/>
                <w:szCs w:val="24"/>
              </w:rPr>
              <w:instrText xml:space="preserve"> ADDIN ZOTERO_ITEM CSL_CITATION {"citationID":"BrMfdnCk","properties":{"formattedCitation":"\\super 9\\nosupersub{}","plainCitation":"9","noteIndex":0},"citationItems":[{"id":114,"uris":["http://zotero.org/users/7661987/items/6XEPF43T"],"itemData":{"id":114,"type":"article-journal","container-title":"Nature Reviews Molecular Cell Biology","DOI":"10.1038/nrm2330","ISSN":"1471-0072, 1471-0080","issue":"2","journalAbbreviation":"Nat Rev Mol Cell Biol","language":"en","page":"112-124","source":"DOI.org (Crossref)","title":"Membrane lipids: where they are and how they behave","title-short":"Membrane lipids","volume":"9","author":[{"family":"Meer","given":"Gerrit","non-dropping-particle":"van"},{"family":"Voelker","given":"Dennis R."},{"family":"Feigenson","given":"Gerald W."}],"issued":{"date-parts":[["2008",2]]}}}],"schema":"https://github.com/citation-style-language/schema/raw/master/csl-citation.json"} </w:instrText>
            </w:r>
            <w:r w:rsidR="00D9180E" w:rsidRPr="00336D17">
              <w:rPr>
                <w:rFonts w:ascii="Arial" w:hAnsi="Arial" w:cs="Arial"/>
                <w:b/>
                <w:bCs/>
                <w:i w:val="0"/>
                <w:iCs w:val="0"/>
                <w:color w:val="000000" w:themeColor="text1"/>
                <w:sz w:val="24"/>
                <w:szCs w:val="24"/>
              </w:rPr>
              <w:fldChar w:fldCharType="separate"/>
            </w:r>
            <w:r w:rsidR="00D9180E" w:rsidRPr="00336D17">
              <w:rPr>
                <w:rFonts w:ascii="Arial" w:hAnsi="Arial" w:cs="Arial"/>
                <w:i w:val="0"/>
                <w:iCs w:val="0"/>
                <w:color w:val="000000" w:themeColor="text1"/>
                <w:sz w:val="24"/>
                <w:szCs w:val="24"/>
                <w:vertAlign w:val="superscript"/>
              </w:rPr>
              <w:t>9</w:t>
            </w:r>
            <w:r w:rsidR="00D9180E" w:rsidRPr="00336D17">
              <w:rPr>
                <w:rFonts w:ascii="Arial" w:hAnsi="Arial" w:cs="Arial"/>
                <w:b/>
                <w:bCs/>
                <w:i w:val="0"/>
                <w:iCs w:val="0"/>
                <w:color w:val="000000" w:themeColor="text1"/>
                <w:sz w:val="24"/>
                <w:szCs w:val="24"/>
              </w:rPr>
              <w:fldChar w:fldCharType="end"/>
            </w:r>
            <w:r w:rsidR="00D9180E" w:rsidRPr="00336D17">
              <w:rPr>
                <w:rFonts w:ascii="Arial" w:hAnsi="Arial" w:cs="Arial"/>
                <w:b/>
                <w:bCs/>
                <w:i w:val="0"/>
                <w:iCs w:val="0"/>
                <w:color w:val="000000" w:themeColor="text1"/>
                <w:sz w:val="24"/>
                <w:szCs w:val="24"/>
              </w:rPr>
              <w:t>.</w:t>
            </w:r>
            <w:bookmarkEnd w:id="8"/>
          </w:p>
        </w:tc>
      </w:tr>
    </w:tbl>
    <w:p w14:paraId="320E0CC8" w14:textId="600D2BB9" w:rsidR="00AE333B" w:rsidRDefault="00AE333B" w:rsidP="00CF0CD5">
      <w:pPr>
        <w:spacing w:line="360" w:lineRule="auto"/>
        <w:jc w:val="both"/>
        <w:rPr>
          <w:rFonts w:ascii="Arial" w:hAnsi="Arial" w:cs="Arial"/>
          <w:b/>
          <w:bCs/>
          <w:color w:val="000000" w:themeColor="text1"/>
        </w:rPr>
      </w:pPr>
    </w:p>
    <w:p w14:paraId="74533497" w14:textId="77777777" w:rsidR="00AE333B" w:rsidRPr="00D74025" w:rsidRDefault="00AE333B" w:rsidP="00CF0CD5">
      <w:pPr>
        <w:spacing w:line="360" w:lineRule="auto"/>
        <w:jc w:val="both"/>
        <w:rPr>
          <w:rFonts w:ascii="Arial" w:hAnsi="Arial" w:cs="Arial"/>
          <w:b/>
          <w:bCs/>
          <w:color w:val="000000" w:themeColor="text1"/>
        </w:rPr>
      </w:pPr>
    </w:p>
    <w:p w14:paraId="08F49949" w14:textId="7B8B4828" w:rsidR="00C10D13" w:rsidRPr="00D74025" w:rsidRDefault="00C10D13" w:rsidP="00C10D13">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Another important plasma membrane concept from 1972 was introduced by </w:t>
      </w:r>
      <w:proofErr w:type="spellStart"/>
      <w:r w:rsidRPr="00D74025">
        <w:rPr>
          <w:rFonts w:ascii="Arial" w:hAnsi="Arial" w:cs="Arial"/>
          <w:color w:val="000000" w:themeColor="text1"/>
        </w:rPr>
        <w:t>Bretcher</w:t>
      </w:r>
      <w:proofErr w:type="spellEnd"/>
      <w:r w:rsidRPr="00D74025">
        <w:rPr>
          <w:rFonts w:ascii="Arial" w:hAnsi="Arial" w:cs="Arial"/>
          <w:color w:val="000000" w:themeColor="text1"/>
        </w:rPr>
        <w:t xml:space="preserve">: </w:t>
      </w:r>
      <w:r w:rsidRPr="00D74025">
        <w:rPr>
          <w:rFonts w:ascii="Arial" w:hAnsi="Arial" w:cs="Arial"/>
          <w:b/>
          <w:bCs/>
          <w:color w:val="000000" w:themeColor="text1"/>
        </w:rPr>
        <w:t>lipid asymmetry</w:t>
      </w:r>
      <w:r w:rsidRPr="00D74025">
        <w:rPr>
          <w:rFonts w:ascii="Arial" w:hAnsi="Arial" w:cs="Arial"/>
          <w:color w:val="000000" w:themeColor="text1"/>
        </w:rPr>
        <w:t>. Bretcher</w:t>
      </w:r>
      <w:r w:rsidRPr="00D74025">
        <w:rPr>
          <w:rFonts w:ascii="Arial" w:hAnsi="Arial" w:cs="Arial"/>
          <w:color w:val="000000" w:themeColor="text1"/>
        </w:rPr>
        <w:fldChar w:fldCharType="begin"/>
      </w:r>
      <w:r w:rsidR="00AB2CFB">
        <w:rPr>
          <w:rFonts w:ascii="Arial" w:hAnsi="Arial" w:cs="Arial"/>
          <w:color w:val="000000" w:themeColor="text1"/>
        </w:rPr>
        <w:instrText xml:space="preserve"> ADDIN ZOTERO_ITEM CSL_CITATION {"citationID":"IwLWUjjD","properties":{"formattedCitation":"\\super 10\\nosupersub{}","plainCitation":"10","noteIndex":0},"citationItems":[{"id":112,"uris":["http://zotero.org/users/7661987/items/N9Z7V2U3"],"itemData":{"id":112,"type":"article-journal","container-title":"Nature New Biology","DOI":"10.1038/newbio236011a0","ISSN":"0090-0028, 2058-1092","issue":"61","journalAbbreviation":"Nature New Biology","language":"en","page":"11-12","source":"DOI.org (Crossref)","title":"Asymmetrical Lipid Bilayer Structure for Biological Membranes","volume":"236","author":[{"family":"Bretscher","given":"Mark S."}],"issued":{"date-parts":[["1972",3]]}}}],"schema":"https://github.com/citation-style-language/schema/raw/master/csl-citation.json"}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10</w:t>
      </w:r>
      <w:r w:rsidRPr="00D74025">
        <w:rPr>
          <w:rFonts w:ascii="Arial" w:hAnsi="Arial" w:cs="Arial"/>
          <w:color w:val="000000" w:themeColor="text1"/>
        </w:rPr>
        <w:fldChar w:fldCharType="end"/>
      </w:r>
      <w:r w:rsidRPr="00D74025">
        <w:rPr>
          <w:rFonts w:ascii="Arial" w:hAnsi="Arial" w:cs="Arial"/>
          <w:color w:val="000000" w:themeColor="text1"/>
        </w:rPr>
        <w:t xml:space="preserve"> used chemical reagents that specifically label PS and PE on red blood cells (RBC) and found </w:t>
      </w:r>
      <w:r w:rsidR="00756C45">
        <w:rPr>
          <w:rFonts w:ascii="Arial" w:hAnsi="Arial" w:cs="Arial"/>
          <w:color w:val="000000" w:themeColor="text1"/>
        </w:rPr>
        <w:t xml:space="preserve">that </w:t>
      </w:r>
      <w:r w:rsidRPr="00D74025">
        <w:rPr>
          <w:rFonts w:ascii="Arial" w:hAnsi="Arial" w:cs="Arial"/>
          <w:color w:val="000000" w:themeColor="text1"/>
        </w:rPr>
        <w:t>traces of those phospholipids were labeled on the surface of intact RBC. Still, the labeling was very efficient on damaged RBC. With that experiment, it was concluded that PS and PE are preferentially localized on the cytoplasmic leaflet of the plasma membrane of undamaged cells. Since then, various other groups have studied the localization of the different phospholipids across the plasma membrane using other techniques</w:t>
      </w:r>
      <w:r w:rsidRPr="00D74025">
        <w:rPr>
          <w:rFonts w:ascii="Arial" w:hAnsi="Arial" w:cs="Arial"/>
          <w:color w:val="000000" w:themeColor="text1"/>
        </w:rPr>
        <w:fldChar w:fldCharType="begin"/>
      </w:r>
      <w:r w:rsidR="00AB2CFB">
        <w:rPr>
          <w:rFonts w:ascii="Arial" w:hAnsi="Arial" w:cs="Arial"/>
          <w:color w:val="000000" w:themeColor="text1"/>
        </w:rPr>
        <w:instrText xml:space="preserve"> ADDIN ZOTERO_ITEM CSL_CITATION {"citationID":"FlJZxf79","properties":{"formattedCitation":"\\super 11\\uc0\\u8211{}16\\nosupersub{}","plainCitation":"11–16","noteIndex":0},"citationItems":[{"id":143,"uris":["http://zotero.org/users/7661987/items/NFXUZJSB"],"itemData":{"id":143,"type":"article-journal","language":"en","page":"16","source":"Zotero","title":"THE ASYMMETRIC DISTR1BUTIONOF PHOSPHOLIPIDS IN THE HUMAN RED CELL MEMBRANE","author":[{"family":"Verkleij","given":"A J"},{"family":"Zwaal","given":"R F A"},{"family":"Roelofsen","given":"B"},{"family":"Comfurius","given":"P"},{"family":"Kastelijn","given":"D"}]}},{"id":104,"uris":["http://zotero.org/users/7661987/items/UB47RLVI"],"itemData":{"id":104,"type":"article-journal","container-title":"Annual Review of Biochemistry","DOI":"10.1146/annurev.bi.48.070179.000403","ISSN":"0066-4154, 1545-4509","issue":"1","journalAbbreviation":"Annu. Rev. Biochem.","language":"en","page":"47-71","source":"DOI.org (Crossref)","title":"Lipid Asymmetry in Membranes","volume":"48","author":[{"family":"Op den Kamp","given":"Jos A. F."}],"issued":{"date-parts":[["1979",6]]}}},{"id":103,"uris":["http://zotero.org/users/7661987/items/47VJZSSY"],"itemData":{"id":103,"type":"article-journal","abstract":"It is generally assumed that rafts exist in both the external and internal leaflets of the membrane, and that they overlap so that they are coupled functionally and structurally. However, the two monolayers of the plasma membrane of eukaryotic cells have different chemical compositions. This out-of-equilibrium situation is maintained by the activity of lipid translocases, which compensate for the slow spontaneous transverse diffusion of lipids. Thus rafts in the outer leaflet, corresponding to domains enriched in sphingomyelin and cholesterol, cannot be mirrored in the inner cytoplasmic leaflet. The extent to which lipids contribute to raft properties can be conveniently studied in giant unilamellar vesicles. In these, cholesterol can be seen to condense with saturated sphingolipids or phosphatidylcholine to form mm scale domains. However, such rafts fail to model biological rafts because they are symmetric, and because their membranes lack the mechanism that establishes this asymmetry, namely proteins. Biological rafts are in general of nm scale, and almost certainly differ in size and stability in inner and outer monolayers. Any coupling between rafts in the two leaflets, should it occur, is probably transient and dependent not upon the properties of lipids, but on transmembrane proteins within the rafts.","container-title":"Traffic","DOI":"10.1111/j.1600-0854.2004.0170.x","ISSN":"13989219","issue":"4","language":"en","page":"241-246","source":"DOI.org (Crossref)","title":"Transmembrane Asymmetry and Lateral Domains in Biological Membranes: Rafts and Transmembrane Asymmetry","title-short":"Transmembrane Asymmetry and Lateral Domains in Biological Membranes","volume":"5","author":[{"family":"Devaux","given":"Philippe F."},{"family":"Morris","given":"Roger"}],"issued":{"date-parts":[["2004",4]]}}},{"id":102,"uris":["http://zotero.org/users/7661987/items/YKHPCKAK"],"itemData":{"id":102,"type":"article-journal","abstract":"The effect of lipid headgroup structure upon the stability of lipid asymmetry was investigated. Using methyl-</w:instrText>
      </w:r>
      <w:r w:rsidR="00AB2CFB">
        <w:rPr>
          <w:rFonts w:ascii="Segoe UI Symbol" w:hAnsi="Segoe UI Symbol" w:cs="Segoe UI Symbol"/>
          <w:color w:val="000000" w:themeColor="text1"/>
        </w:rPr>
        <w:instrText>␤</w:instrText>
      </w:r>
      <w:r w:rsidR="00AB2CFB">
        <w:rPr>
          <w:rFonts w:ascii="Arial" w:hAnsi="Arial" w:cs="Arial"/>
          <w:color w:val="000000" w:themeColor="text1"/>
        </w:rPr>
        <w:instrText>cyclodextrin -induced lipid exchange, sphingomyelin (SM) was introduced into the outer leaﬂets of lipid vesicles composed of phosphatidylglycerol, phosphatidylserine (PS), phosphatidylinositol, or cardiolipin, in mixtures of all of these lipids with phosphatidylethanolamine (PE), and in a phosphatidylcholine/phosphatidic acid mixture. Efﬁcient SM exchange (&gt;85% of that expected for complete replacement of the outer leaﬂet) was obtained for every lipid composition studied. Vesicles containing PE mixed with anionic lipids showed nearly complete asymmetry which did not decay after 1 day of incubation. However, vesicles containing anionic lipids without PE generally only exhibited partial asymmetry, which further decayed after 1 day of incubation. Vesicles containing the anionic lipid PS were an exception, showing nearly complete and stable asymmetry. It is likely that the combination of multiple charged groups on PE and PS inhibit transverse diffusion of these lipids across membranes relative to those lipids that only have one anionic group. Possible explanations of this behavior are discussed.","container-title":"Journal of Lipid Research","DOI":"10.1194/jlr.M041749","ISSN":"00222275","issue":"12","journalAbbreviation":"Journal of Lipid Research","language":"en","page":"3385-3393","source":"DOI.org (Crossref)","title":"The dependence of lipid asymmetry upon polar headgroup structure","volume":"54","author":[{"family":"Son","given":"Mijin"},{"family":"London","given":"Erwin"}],"issued":{"date-parts":[["2013",12]]}}},{"id":101,"uris":["http://zotero.org/users/7661987/items/AGWI28YA"],"itemData":{"id":101,"type":"article-journal","container-title":"The FASEB Journal","DOI":"10.1096/fj.201801873R","ISSN":"0892-6638, 1530-6860","issue":"3","journalAbbreviation":"FASEB j.","language":"en","page":"3087-3096","source":"DOI.org (Crossref)","title":"Substrates of P4</w:instrText>
      </w:r>
      <w:r w:rsidR="00AB2CFB">
        <w:rPr>
          <w:rFonts w:ascii="Cambria Math" w:hAnsi="Cambria Math" w:cs="Cambria Math"/>
          <w:color w:val="000000" w:themeColor="text1"/>
        </w:rPr>
        <w:instrText>‐</w:instrText>
      </w:r>
      <w:r w:rsidR="00AB2CFB">
        <w:rPr>
          <w:rFonts w:ascii="Arial" w:hAnsi="Arial" w:cs="Arial"/>
          <w:color w:val="000000" w:themeColor="text1"/>
        </w:rPr>
        <w:instrText>ATPases: beyond aminophospholipids (phosphatidylserine and phosphatidylethanolamine)","title-short":"Substrates of P4</w:instrText>
      </w:r>
      <w:r w:rsidR="00AB2CFB">
        <w:rPr>
          <w:rFonts w:ascii="Cambria Math" w:hAnsi="Cambria Math" w:cs="Cambria Math"/>
          <w:color w:val="000000" w:themeColor="text1"/>
        </w:rPr>
        <w:instrText>‐</w:instrText>
      </w:r>
      <w:r w:rsidR="00AB2CFB">
        <w:rPr>
          <w:rFonts w:ascii="Arial" w:hAnsi="Arial" w:cs="Arial"/>
          <w:color w:val="000000" w:themeColor="text1"/>
        </w:rPr>
        <w:instrText xml:space="preserve">ATPases","volume":"33","author":[{"family":"Shin","given":"Hye-Won"},{"family":"Takatsu","given":"Hiroyuki"}],"issued":{"date-parts":[["2019",3]]}}},{"id":120,"uris":["http://zotero.org/users/7661987/items/NA6XM7VL"],"itemData":{"id":120,"type":"article-journal","container-title":"Chemistry and Physics of Lipids","DOI":"10.1016/j.chemphyslip.2015.08.009","ISSN":"00093084","journalAbbreviation":"Chemistry and Physics of Lipids","language":"en","page":"58-71","source":"DOI.org (Crossref)","title":"Revisiting transbilayer distribution of lipids in the plasma membrane","volume":"194","author":[{"family":"Murate","given":"Motohide"},{"family":"Kobayashi","given":"Toshihide"}],"issued":{"date-parts":[["2016",1]]}}}],"schema":"https://github.com/citation-style-language/schema/raw/master/csl-citation.json"}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11–16</w:t>
      </w:r>
      <w:r w:rsidRPr="00D74025">
        <w:rPr>
          <w:rFonts w:ascii="Arial" w:hAnsi="Arial" w:cs="Arial"/>
          <w:color w:val="000000" w:themeColor="text1"/>
        </w:rPr>
        <w:fldChar w:fldCharType="end"/>
      </w:r>
      <w:r w:rsidRPr="00D74025">
        <w:rPr>
          <w:rFonts w:ascii="Arial" w:hAnsi="Arial" w:cs="Arial"/>
          <w:color w:val="000000" w:themeColor="text1"/>
        </w:rPr>
        <w:t>. It has been established that the totality of eukaryotic cells confines almost all charged lipids to the cytosolic leaflet of the plasma membrane. Therefore, the outer layer is composed primarily of PC and SM, while PS and PE are located in the inner leaflet</w:t>
      </w:r>
      <w:r w:rsidRPr="00D74025">
        <w:rPr>
          <w:rFonts w:ascii="Arial" w:hAnsi="Arial" w:cs="Arial"/>
          <w:color w:val="000000" w:themeColor="text1"/>
        </w:rPr>
        <w:fldChar w:fldCharType="begin"/>
      </w:r>
      <w:r w:rsidR="00AB2CFB">
        <w:rPr>
          <w:rFonts w:ascii="Arial" w:hAnsi="Arial" w:cs="Arial"/>
          <w:color w:val="000000" w:themeColor="text1"/>
        </w:rPr>
        <w:instrText xml:space="preserve"> ADDIN ZOTERO_ITEM CSL_CITATION {"citationID":"MxM1y3KY","properties":{"formattedCitation":"\\super 16\\nosupersub{}","plainCitation":"16","noteIndex":0},"citationItems":[{"id":120,"uris":["http://zotero.org/users/7661987/items/NA6XM7VL"],"itemData":{"id":120,"type":"article-journal","container-title":"Chemistry and Physics of Lipids","DOI":"10.1016/j.chemphyslip.2015.08.009","ISSN":"00093084","journalAbbreviation":"Chemistry and Physics of Lipids","language":"en","page":"58-71","source":"DOI.org (Crossref)","title":"Revisiting transbilayer distribution of lipids in the plasma membrane","volume":"194","author":[{"family":"Murate","given":"Motohide"},{"family":"Kobayashi","given":"Toshihide"}],"issued":{"date-parts":[["2016",1]]}}}],"schema":"https://github.com/citation-style-language/schema/raw/master/csl-citation.json"}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16</w:t>
      </w:r>
      <w:r w:rsidRPr="00D74025">
        <w:rPr>
          <w:rFonts w:ascii="Arial" w:hAnsi="Arial" w:cs="Arial"/>
          <w:color w:val="000000" w:themeColor="text1"/>
        </w:rPr>
        <w:fldChar w:fldCharType="end"/>
      </w:r>
      <w:r w:rsidRPr="00D74025">
        <w:rPr>
          <w:rFonts w:ascii="Arial" w:hAnsi="Arial" w:cs="Arial"/>
          <w:color w:val="000000" w:themeColor="text1"/>
        </w:rPr>
        <w:t xml:space="preserve">, as shown in </w:t>
      </w:r>
      <w:r w:rsidR="00C51BBA" w:rsidRPr="00C51BBA">
        <w:rPr>
          <w:rFonts w:ascii="Arial" w:hAnsi="Arial" w:cs="Arial"/>
          <w:b/>
          <w:bCs/>
          <w:color w:val="000000" w:themeColor="text1"/>
        </w:rPr>
        <w:t>F</w:t>
      </w:r>
      <w:r w:rsidRPr="00C51BBA">
        <w:rPr>
          <w:rFonts w:ascii="Arial" w:hAnsi="Arial" w:cs="Arial"/>
          <w:b/>
          <w:bCs/>
          <w:color w:val="000000" w:themeColor="text1"/>
        </w:rPr>
        <w:t>igure 4</w:t>
      </w:r>
      <w:r w:rsidRPr="00D74025">
        <w:rPr>
          <w:rFonts w:ascii="Arial" w:hAnsi="Arial" w:cs="Arial"/>
          <w:color w:val="000000" w:themeColor="text1"/>
        </w:rPr>
        <w:t>.</w:t>
      </w:r>
    </w:p>
    <w:p w14:paraId="09A08D28" w14:textId="77777777" w:rsidR="000F7543" w:rsidRPr="00D74025" w:rsidRDefault="000F7543" w:rsidP="00CF0CD5">
      <w:pPr>
        <w:spacing w:line="360" w:lineRule="auto"/>
        <w:ind w:firstLine="1440"/>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541DA4D8" w14:textId="77777777" w:rsidTr="002D7BE0">
        <w:tc>
          <w:tcPr>
            <w:tcW w:w="9350" w:type="dxa"/>
          </w:tcPr>
          <w:p w14:paraId="477E5207" w14:textId="1480F8F2" w:rsidR="002D7BE0" w:rsidRPr="00D74025" w:rsidRDefault="002D7BE0" w:rsidP="000B64DE">
            <w:pPr>
              <w:spacing w:before="120" w:beforeAutospacing="0" w:line="360" w:lineRule="auto"/>
              <w:ind w:firstLine="0"/>
              <w:rPr>
                <w:rFonts w:ascii="Arial" w:hAnsi="Arial" w:cs="Arial"/>
                <w:color w:val="000000" w:themeColor="text1"/>
              </w:rPr>
            </w:pPr>
            <w:r w:rsidRPr="00D74025">
              <w:rPr>
                <w:rFonts w:ascii="Arial" w:hAnsi="Arial" w:cs="Arial"/>
                <w:noProof/>
                <w:color w:val="000000" w:themeColor="text1"/>
              </w:rPr>
              <w:lastRenderedPageBreak/>
              <w:drawing>
                <wp:inline distT="0" distB="0" distL="0" distR="0" wp14:anchorId="32DB16F5" wp14:editId="4ED83C6B">
                  <wp:extent cx="5784485" cy="2638559"/>
                  <wp:effectExtent l="0" t="0" r="0" b="3175"/>
                  <wp:docPr id="4" name="Picture 4" descr="Chart, bar 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 box and whisker chart&#10;&#10;Description automatically generated"/>
                          <pic:cNvPicPr/>
                        </pic:nvPicPr>
                        <pic:blipFill rotWithShape="1">
                          <a:blip r:embed="rId14" cstate="print">
                            <a:extLst>
                              <a:ext uri="{28A0092B-C50C-407E-A947-70E740481C1C}">
                                <a14:useLocalDpi xmlns:a14="http://schemas.microsoft.com/office/drawing/2010/main" val="0"/>
                              </a:ext>
                            </a:extLst>
                          </a:blip>
                          <a:srcRect l="2286" t="1791"/>
                          <a:stretch/>
                        </pic:blipFill>
                        <pic:spPr bwMode="auto">
                          <a:xfrm>
                            <a:off x="0" y="0"/>
                            <a:ext cx="5811320" cy="2650800"/>
                          </a:xfrm>
                          <a:prstGeom prst="rect">
                            <a:avLst/>
                          </a:prstGeom>
                          <a:ln>
                            <a:noFill/>
                          </a:ln>
                          <a:extLst>
                            <a:ext uri="{53640926-AAD7-44D8-BBD7-CCE9431645EC}">
                              <a14:shadowObscured xmlns:a14="http://schemas.microsoft.com/office/drawing/2010/main"/>
                            </a:ext>
                          </a:extLst>
                        </pic:spPr>
                      </pic:pic>
                    </a:graphicData>
                  </a:graphic>
                </wp:inline>
              </w:drawing>
            </w:r>
          </w:p>
        </w:tc>
      </w:tr>
      <w:tr w:rsidR="002D7BE0" w:rsidRPr="00D74025" w14:paraId="7AD67CDE" w14:textId="77777777" w:rsidTr="002D7BE0">
        <w:tc>
          <w:tcPr>
            <w:tcW w:w="9350" w:type="dxa"/>
          </w:tcPr>
          <w:p w14:paraId="1049D0A8" w14:textId="476D003C" w:rsidR="002D7BE0" w:rsidRPr="00D74025" w:rsidRDefault="00172696" w:rsidP="000B64DE">
            <w:pPr>
              <w:spacing w:line="360" w:lineRule="auto"/>
              <w:ind w:firstLine="0"/>
              <w:rPr>
                <w:color w:val="000000" w:themeColor="text1"/>
              </w:rPr>
            </w:pPr>
            <w:bookmarkStart w:id="9" w:name="_Toc121217326"/>
            <w:r w:rsidRPr="00172696">
              <w:rPr>
                <w:rFonts w:ascii="Arial" w:hAnsi="Arial" w:cs="Arial"/>
                <w:b/>
                <w:bCs/>
                <w:color w:val="000000" w:themeColor="text1"/>
              </w:rPr>
              <w:t xml:space="preserve">Figure </w:t>
            </w:r>
            <w:r w:rsidRPr="00172696">
              <w:rPr>
                <w:rFonts w:ascii="Arial" w:hAnsi="Arial" w:cs="Arial"/>
                <w:b/>
                <w:bCs/>
                <w:color w:val="000000" w:themeColor="text1"/>
              </w:rPr>
              <w:fldChar w:fldCharType="begin"/>
            </w:r>
            <w:r w:rsidRPr="00172696">
              <w:rPr>
                <w:rFonts w:ascii="Arial" w:hAnsi="Arial" w:cs="Arial"/>
                <w:b/>
                <w:bCs/>
                <w:color w:val="000000" w:themeColor="text1"/>
              </w:rPr>
              <w:instrText xml:space="preserve"> SEQ Figure \* ARABIC </w:instrText>
            </w:r>
            <w:r w:rsidRPr="00172696">
              <w:rPr>
                <w:rFonts w:ascii="Arial" w:hAnsi="Arial" w:cs="Arial"/>
                <w:b/>
                <w:bCs/>
                <w:color w:val="000000" w:themeColor="text1"/>
              </w:rPr>
              <w:fldChar w:fldCharType="separate"/>
            </w:r>
            <w:r w:rsidR="002C4B25">
              <w:rPr>
                <w:rFonts w:ascii="Arial" w:hAnsi="Arial" w:cs="Arial"/>
                <w:b/>
                <w:bCs/>
                <w:noProof/>
                <w:color w:val="000000" w:themeColor="text1"/>
              </w:rPr>
              <w:t>4</w:t>
            </w:r>
            <w:r w:rsidRPr="00172696">
              <w:rPr>
                <w:rFonts w:ascii="Arial" w:hAnsi="Arial" w:cs="Arial"/>
                <w:b/>
                <w:bCs/>
                <w:color w:val="000000" w:themeColor="text1"/>
              </w:rPr>
              <w:fldChar w:fldCharType="end"/>
            </w:r>
            <w:r w:rsidRPr="00172696">
              <w:rPr>
                <w:rFonts w:ascii="Arial" w:hAnsi="Arial" w:cs="Arial"/>
                <w:b/>
                <w:bCs/>
                <w:color w:val="000000" w:themeColor="text1"/>
              </w:rPr>
              <w:t xml:space="preserve">: </w:t>
            </w:r>
            <w:r w:rsidR="009439BC" w:rsidRPr="00D74025">
              <w:rPr>
                <w:rFonts w:ascii="Arial" w:hAnsi="Arial" w:cs="Arial"/>
                <w:b/>
                <w:bCs/>
                <w:color w:val="000000" w:themeColor="text1"/>
              </w:rPr>
              <w:t>Distribution of phospholipids on each leaflet of the red blood cell plasma membrane.</w:t>
            </w:r>
            <w:r w:rsidR="009439BC" w:rsidRPr="00D74025">
              <w:rPr>
                <w:rFonts w:ascii="Arial" w:hAnsi="Arial" w:cs="Arial"/>
                <w:color w:val="000000" w:themeColor="text1"/>
              </w:rPr>
              <w:t xml:space="preserve"> A) molar percentages of each lipid in each membrane leaflet: SM and PC are concentrated in the outer leaflet, while all other lipids, especially PS and PE, are concentrated in the inner leaflet. B) mole percentage of the total amount of phospholipid in the membrane. PS is the major anionic phospholipid present in the inner leaflet. Abbreviations: SM, sphingomyelin; PC, phosphatidylcholine; PS, phosphatidylserine; PE, phosphatidylethanolamine; PI, phosphatidylinositol; PIP, phosphatidylinositol-4-phosphate; PIP2, phosphatidylinositol-4,5-bisphosphate; PA, phosphatidic acid. Figure from Clarke </w:t>
            </w:r>
            <w:r w:rsidR="009439BC" w:rsidRPr="00D74025">
              <w:rPr>
                <w:rFonts w:ascii="Arial" w:hAnsi="Arial" w:cs="Arial"/>
                <w:i/>
                <w:iCs/>
                <w:color w:val="000000" w:themeColor="text1"/>
              </w:rPr>
              <w:t>et al</w:t>
            </w:r>
            <w:r w:rsidR="009439BC" w:rsidRPr="00D74025">
              <w:rPr>
                <w:rFonts w:ascii="Arial" w:hAnsi="Arial" w:cs="Arial"/>
                <w:color w:val="000000" w:themeColor="text1"/>
              </w:rPr>
              <w:t xml:space="preserve">., 2020 </w:t>
            </w:r>
            <w:r w:rsidR="009439BC" w:rsidRPr="00D74025">
              <w:rPr>
                <w:rFonts w:ascii="Arial" w:hAnsi="Arial" w:cs="Arial"/>
                <w:color w:val="000000" w:themeColor="text1"/>
              </w:rPr>
              <w:fldChar w:fldCharType="begin"/>
            </w:r>
            <w:r w:rsidR="00AB2CFB">
              <w:rPr>
                <w:rFonts w:ascii="Arial" w:hAnsi="Arial" w:cs="Arial"/>
                <w:color w:val="000000" w:themeColor="text1"/>
              </w:rPr>
              <w:instrText xml:space="preserve"> ADDIN ZOTERO_ITEM CSL_CITATION {"citationID":"ChSGgvjj","properties":{"formattedCitation":"\\super 17\\nosupersub{}","plainCitation":"17","noteIndex":0},"citationItems":[{"id":116,"uris":["http://zotero.org/users/7661987/items/CPGJ46VN"],"itemData":{"id":116,"type":"article-journal","abstract":"The plasma membrane phospholipid distribution of animal cells is markedly asymmetric. Phosphatidylserine (PS) and phosphatidylethanolamine (PE) are concentrated in the inner leaflet, whereas phosphatidylcholine (PC) and sphingomyelin (SM) are concentrated in the outer leaflet. This non-equilibrium situation is maintained by lipid pumps (flippases or floppases), which utilize energy in the form of ATP to translocate lipids from one leaflet to the other. Scramblases, which are activated when physiologically required, transport lipids in both directions across the membrane and can abolish lipid asymmetry. Lipid asymmetry also causes imbalances in the areas occupied by lipid in the two membrane leaflets, contributing to membrane curvature. The asymmetry of PS across the plasma membrane plays a crucial signalling role in numerous physiological processes. Exposure of PS on the external surface of blood platelets stimulates blood coagulation. PS exposure by other cells during apoptosis provides an “eat me” signal to surrounding macrophages. Many peripheral and integral membrane proteins have polybasic PS-binding domains on their cytoplasmic surfaces which either provide a membrane anchor or affect activity. These domains can also determine trafficking within the cell and control regulation via an electrostatic switch mechanism, as well as potentially acting as “death sensors” when cytoplasmic PS is transferred to the extracellular leaflet during apoptosis. Apart from these physiological roles, external PS exposure by microorganisms, viruses and cancer cells allows them to mimic the immunosuppressive anti-inflammatory action of apoptotic cells and proliferate, thus providing a strong medical motivation for future research in the field of lipid asymmetry in membranes.","container-title":"Biochimica et Biophysica Acta (BBA) - Biomembranes","DOI":"10.1016/j.bbamem.2020.183382","ISSN":"00052736","issue":"10","journalAbbreviation":"Biochimica et Biophysica Acta (BBA) - Biomembranes","language":"en","page":"183382","source":"DOI.org (Crossref)","title":"Physiological roles of transverse lipid asymmetry of animal membranes","volume":"1862","author":[{"family":"Clarke","given":"R.J."},{"family":"Hossain","given":"K.R."},{"family":"Cao","given":"K."}],"issued":{"date-parts":[["2020",10]]}}}],"schema":"https://github.com/citation-style-language/schema/raw/master/csl-citation.json"} </w:instrText>
            </w:r>
            <w:r w:rsidR="009439BC" w:rsidRPr="00D74025">
              <w:rPr>
                <w:rFonts w:ascii="Arial" w:hAnsi="Arial" w:cs="Arial"/>
                <w:color w:val="000000" w:themeColor="text1"/>
              </w:rPr>
              <w:fldChar w:fldCharType="separate"/>
            </w:r>
            <w:r w:rsidR="009439BC" w:rsidRPr="00D74025">
              <w:rPr>
                <w:rFonts w:ascii="Arial" w:hAnsi="Arial" w:cs="Arial"/>
                <w:color w:val="000000" w:themeColor="text1"/>
                <w:vertAlign w:val="superscript"/>
              </w:rPr>
              <w:t>17</w:t>
            </w:r>
            <w:r w:rsidR="009439BC" w:rsidRPr="00D74025">
              <w:rPr>
                <w:rFonts w:ascii="Arial" w:hAnsi="Arial" w:cs="Arial"/>
                <w:color w:val="000000" w:themeColor="text1"/>
              </w:rPr>
              <w:fldChar w:fldCharType="end"/>
            </w:r>
            <w:r w:rsidR="009439BC" w:rsidRPr="00D74025">
              <w:rPr>
                <w:rFonts w:ascii="Arial" w:hAnsi="Arial" w:cs="Arial"/>
                <w:color w:val="000000" w:themeColor="text1"/>
              </w:rPr>
              <w:t>.</w:t>
            </w:r>
            <w:bookmarkEnd w:id="9"/>
          </w:p>
        </w:tc>
      </w:tr>
    </w:tbl>
    <w:p w14:paraId="2382BD6C" w14:textId="77777777" w:rsidR="00336D17" w:rsidRDefault="00336D17" w:rsidP="00BA4E1A">
      <w:pPr>
        <w:spacing w:line="360" w:lineRule="auto"/>
        <w:ind w:firstLine="1440"/>
        <w:contextualSpacing/>
        <w:jc w:val="both"/>
        <w:rPr>
          <w:rFonts w:ascii="Arial" w:hAnsi="Arial" w:cs="Arial"/>
          <w:color w:val="000000" w:themeColor="text1"/>
        </w:rPr>
      </w:pPr>
    </w:p>
    <w:p w14:paraId="422AF940" w14:textId="16CB5E62" w:rsidR="00BA4E1A" w:rsidRPr="00D74025" w:rsidRDefault="00BA4E1A" w:rsidP="00BA4E1A">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Eukaryotic cells ubiquitously maintain lipid asymmetry across the two leaflets of the plasma membrane bilayer</w:t>
      </w:r>
      <w:r w:rsidRPr="00D74025">
        <w:rPr>
          <w:rFonts w:ascii="Arial" w:hAnsi="Arial" w:cs="Arial"/>
          <w:color w:val="000000" w:themeColor="text1"/>
        </w:rPr>
        <w:fldChar w:fldCharType="begin"/>
      </w:r>
      <w:r w:rsidR="00AB2CFB">
        <w:rPr>
          <w:rFonts w:ascii="Arial" w:hAnsi="Arial" w:cs="Arial"/>
          <w:color w:val="000000" w:themeColor="text1"/>
        </w:rPr>
        <w:instrText xml:space="preserve"> ADDIN ZOTERO_ITEM CSL_CITATION {"citationID":"TCHbxYRF","properties":{"formattedCitation":"\\super 18\\nosupersub{}","plainCitation":"18","noteIndex":0},"citationItems":[{"id":84,"uris":["http://zotero.org/users/7661987/items/2GIMKX48"],"itemData":{"id":84,"type":"article-journal","container-title":"Biochemical Journal","DOI":"10.1042/bj2940001","ISSN":"0264-6021, 1470-8728","issue":"1","language":"en","page":"1-14","source":"DOI.org (Crossref)","title":"Phospholipids in animal eukaryotic membranes: transverse asymmetry and movement","title-short":"Phospholipids in animal eukaryotic membranes","volume":"294","author":[{"family":"Zachowski","given":"A"}],"issued":{"date-parts":[["1993",8,15]]}}}],"schema":"https://github.com/citation-style-language/schema/raw/master/csl-citation.json"}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18</w:t>
      </w:r>
      <w:r w:rsidRPr="00D74025">
        <w:rPr>
          <w:rFonts w:ascii="Arial" w:hAnsi="Arial" w:cs="Arial"/>
          <w:color w:val="000000" w:themeColor="text1"/>
        </w:rPr>
        <w:fldChar w:fldCharType="end"/>
      </w:r>
      <w:r w:rsidRPr="00D74025">
        <w:rPr>
          <w:rFonts w:ascii="Arial" w:hAnsi="Arial" w:cs="Arial"/>
          <w:color w:val="000000" w:themeColor="text1"/>
        </w:rPr>
        <w:t>. Lipid asymmetry conservation requires cell energy expenditure. Initially, it was thought that, once established, the lipid asymmetry would last for the remaining time of cell life due to very slow spontaneous translocation of the phospholipids between the leaflets in synthetic lipid vesicles</w:t>
      </w:r>
      <w:r w:rsidRPr="00D74025">
        <w:rPr>
          <w:rFonts w:ascii="Arial" w:hAnsi="Arial" w:cs="Arial"/>
          <w:color w:val="000000" w:themeColor="text1"/>
        </w:rPr>
        <w:fldChar w:fldCharType="begin"/>
      </w:r>
      <w:r w:rsidR="00AB2CFB">
        <w:rPr>
          <w:rFonts w:ascii="Arial" w:hAnsi="Arial" w:cs="Arial"/>
          <w:color w:val="000000" w:themeColor="text1"/>
        </w:rPr>
        <w:instrText xml:space="preserve"> ADDIN ZOTERO_ITEM CSL_CITATION {"citationID":"PaToMIRn","properties":{"formattedCitation":"\\super 19\\nosupersub{}","plainCitation":"19","noteIndex":0},"citationItems":[{"id":91,"uris":["http://zotero.org/users/7661987/items/PRGBJGR4"],"itemData":{"id":91,"type":"article-journal","container-title":"Biochemistry","DOI":"10.1021/bi00783a003","ISSN":"0006-2960, 1520-4995","issue":"7","journalAbbreviation":"Biochemistry","language":"en","page":"1111-1120","source":"DOI.org (Crossref)","title":"Inside-outside transitions of phospholipids in vesicle membranes","volume":"10","author":[{"family":"McConnell","given":"Harden M."},{"family":"Kornberg","given":"Roger D."}],"issued":{"date-parts":[["1971",3,1]]}}}],"schema":"https://github.com/citation-style-language/schema/raw/master/csl-citation.json"}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19</w:t>
      </w:r>
      <w:r w:rsidRPr="00D74025">
        <w:rPr>
          <w:rFonts w:ascii="Arial" w:hAnsi="Arial" w:cs="Arial"/>
          <w:color w:val="000000" w:themeColor="text1"/>
        </w:rPr>
        <w:fldChar w:fldCharType="end"/>
      </w:r>
      <w:r w:rsidRPr="00D74025">
        <w:rPr>
          <w:rFonts w:ascii="Arial" w:hAnsi="Arial" w:cs="Arial"/>
          <w:color w:val="000000" w:themeColor="text1"/>
        </w:rPr>
        <w:t>. Nonetheless, measurements on the flip-flop of phospholipids in lipidic vesicles encrusted with proteins had a much smaller half-life of minutes</w:t>
      </w:r>
      <w:r w:rsidRPr="00D74025">
        <w:rPr>
          <w:rFonts w:ascii="Arial" w:hAnsi="Arial" w:cs="Arial"/>
          <w:color w:val="000000" w:themeColor="text1"/>
        </w:rPr>
        <w:fldChar w:fldCharType="begin"/>
      </w:r>
      <w:r w:rsidR="00AB2CFB">
        <w:rPr>
          <w:rFonts w:ascii="Arial" w:hAnsi="Arial" w:cs="Arial"/>
          <w:color w:val="000000" w:themeColor="text1"/>
        </w:rPr>
        <w:instrText xml:space="preserve"> ADDIN ZOTERO_ITEM CSL_CITATION {"citationID":"KNPs8kVh","properties":{"formattedCitation":"\\super 20\\uc0\\u8211{}22\\nosupersub{}","plainCitation":"20–22","noteIndex":0},"citationItems":[{"id":92,"uris":["http://zotero.org/users/7661987/items/ZL27Q3UE"],"itemData":{"id":92,"type":"article-journal","container-title":"Proceedings of the National Academy of Sciences","DOI":"10.1073/pnas.75.5.2348","ISSN":"0027-8424, 1091-6490","issue":"5","journalAbbreviation":"Proceedings of the National Academy of Sciences","language":"en","page":"2348-2352","source":"DOI.org (Crossref)","title":"Enzymatic synthesis and rapid translocation of phosphatidylcholine by two methyltransferases in erythrocyte membranes.","volume":"75","author":[{"family":"Hirata","given":"F."},{"family":"Axelrod","given":"J."}],"issued":{"date-parts":[["1978",5,1]]}}},{"id":93,"uris":["http://zotero.org/users/7661987/items/PYECF8CT"],"itemData":{"id":93,"type":"article-journal","abstract":"The rate of transbilayer movement of dioleoylphosphatidylcholine in sonicated lipid vesicles is enhanced by at least two orders of magnitude upon incorporation of glycophorin in the bilayer.","container-title":"Biochimica et Biophysica Acta (BBA) - Biomembranes","DOI":"10.1016/0005-2736(78)90246-8","ISSN":"00052736","issue":"3","journalAbbreviation":"Biochimica et Biophysica Acta (BBA) - Biomembranes","language":"en","page":"537-542","source":"DOI.org (Crossref)","title":"Glycophorin facilitates the transbilayer movement of phosphatidylcholine in vesicles","volume":"509","author":[{"family":"De Kruijff","given":"B."},{"family":"Van Zoelen","given":"E.J.J."},{"family":"Van Deenen","given":"L.L.M."}],"issued":{"date-parts":[["1978",6]]}}},{"id":90,"uris":["http://zotero.org/users/7661987/items/HKWFUP6P"],"itemData":{"id":90,"type":"article-journal","abstract":"Despite the prevalence of lipid transbilayer asymmetry in natural plasma membranes, most biomimetic model membranes studied are symmetric. Recent advances have helped to overcome the di</w:instrText>
      </w:r>
      <w:r w:rsidR="00AB2CFB">
        <w:rPr>
          <w:rFonts w:ascii="Cambria Math" w:hAnsi="Cambria Math" w:cs="Cambria Math"/>
          <w:color w:val="000000" w:themeColor="text1"/>
        </w:rPr>
        <w:instrText>ﬃ</w:instrText>
      </w:r>
      <w:r w:rsidR="00AB2CFB">
        <w:rPr>
          <w:rFonts w:ascii="Arial" w:hAnsi="Arial" w:cs="Arial"/>
          <w:color w:val="000000" w:themeColor="text1"/>
        </w:rPr>
        <w:instrText xml:space="preserve">culties in preparing asymmetric liposomes in vitro, allowing for the examination of a larger set of relevant biophysical questions. Here, we investigate the stability of asymmetric bilayers by measuring lipid ﬂip-ﬂop with timeresolved small-angle neutron scattering (SANS). Asymmetric large unilamellar vesicles with inner bilayer leaﬂets containing predominantly 1-palmitoyl-2-oleoyl-sn-glycero-3-phosphocholine (POPC) and outer leaﬂets composed mainly of 1,2-dimyristoyl-sn-glycero-3-phosphocholine (DMPC) displayed slow spontaneous ﬂip-ﬂop at 37 ◦C (half-time, t1/2 = 140 h). However, inclusion of peptides, namely, gramicidin, alamethicin, melittin, or pHLIP (i.e., pH-low insertion peptide), accelerated lipid ﬂip-ﬂop. For three of these peptides (i.e., pHLIP, alamethicin, and melittin), each of which was added externally to preformed asymmetric vesicles, we observed a completely scrambled bilayer in less than 2 h. Gramicidin, on the other hand, was preincorporated during the formation of the asymmetric liposomes and showed a time resolvable 8-fold increase in the rate of lipid asymmetry loss. These results point to a membrane surface-related (e.g., adsorption/insertion) event as the primary driver of lipid scrambling in the asymmetric model membranes of this study. We discuss the implications of membrane peptide binding, conformation, and insertion on lipid asymmetry.","container-title":"Langmuir","DOI":"10.1021/acs.langmuir.9b01625","ISSN":"0743-7463, 1520-5827","issue":"36","journalAbbreviation":"Langmuir","language":"en","page":"11735-11744","source":"DOI.org (Crossref)","title":"Peptide-Induced Lipid Flip-Flop in Asymmetric Liposomes Measured by Small Angle Neutron Scattering","volume":"35","author":[{"family":"Nguyen","given":"Michael H. L."},{"family":"DiPasquale","given":"Mitchell"},{"family":"Rickeard","given":"Brett W."},{"family":"Doktorova","given":"Milka"},{"family":"Heberle","given":"Frederick A."},{"family":"Scott","given":"Haden L."},{"family":"Barrera","given":"Francisco N."},{"family":"Taylor","given":"Graham"},{"family":"Collier","given":"Charles P."},{"family":"Stanley","given":"Christopher B."},{"family":"Katsaras","given":"John"},{"family":"Marquardt","given":"Drew"}],"issued":{"date-parts":[["2019",9,10]]}}}],"schema":"https://github.com/citation-style-language/schema/raw/master/csl-citation.json"}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20–22</w:t>
      </w:r>
      <w:r w:rsidRPr="00D74025">
        <w:rPr>
          <w:rFonts w:ascii="Arial" w:hAnsi="Arial" w:cs="Arial"/>
          <w:color w:val="000000" w:themeColor="text1"/>
        </w:rPr>
        <w:fldChar w:fldCharType="end"/>
      </w:r>
      <w:r w:rsidRPr="00D74025">
        <w:rPr>
          <w:rFonts w:ascii="Arial" w:hAnsi="Arial" w:cs="Arial"/>
          <w:color w:val="000000" w:themeColor="text1"/>
        </w:rPr>
        <w:t>. It is hypothesized that the presence of transmembrane proteins creates defects in the vesicle structure that reduce the energy barrier for the translocation of the phospholipids between the leaflets</w:t>
      </w:r>
      <w:r w:rsidRPr="00D74025">
        <w:rPr>
          <w:rFonts w:ascii="Arial" w:hAnsi="Arial" w:cs="Arial"/>
          <w:color w:val="000000" w:themeColor="text1"/>
        </w:rPr>
        <w:fldChar w:fldCharType="begin"/>
      </w:r>
      <w:r w:rsidR="00AB2CFB">
        <w:rPr>
          <w:rFonts w:ascii="Arial" w:hAnsi="Arial" w:cs="Arial"/>
          <w:color w:val="000000" w:themeColor="text1"/>
        </w:rPr>
        <w:instrText xml:space="preserve"> ADDIN ZOTERO_ITEM CSL_CITATION {"citationID":"uNNQqmvR","properties":{"formattedCitation":"\\super 23\\nosupersub{}","plainCitation":"23","noteIndex":0},"citationItems":[{"id":89,"uris":["http://zotero.org/users/7661987/items/NUZE8BFY"],"itemData":{"id":89,"type":"article-journal","language":"en","page":"25","source":"Zotero","title":"Protein Involvement in Transmembrane Lipid Asymmetry","author":[{"family":"Devaux","given":"P F"}]}}],"schema":"https://github.com/citation-style-language/schema/raw/master/csl-citation.json"}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23</w:t>
      </w:r>
      <w:r w:rsidRPr="00D74025">
        <w:rPr>
          <w:rFonts w:ascii="Arial" w:hAnsi="Arial" w:cs="Arial"/>
          <w:color w:val="000000" w:themeColor="text1"/>
        </w:rPr>
        <w:fldChar w:fldCharType="end"/>
      </w:r>
      <w:r w:rsidRPr="00D74025">
        <w:rPr>
          <w:rFonts w:ascii="Arial" w:hAnsi="Arial" w:cs="Arial"/>
          <w:color w:val="000000" w:themeColor="text1"/>
        </w:rPr>
        <w:t xml:space="preserve">. Therefore, if the </w:t>
      </w:r>
      <w:r w:rsidRPr="00D74025">
        <w:rPr>
          <w:rFonts w:ascii="Arial" w:hAnsi="Arial" w:cs="Arial"/>
          <w:color w:val="000000" w:themeColor="text1"/>
        </w:rPr>
        <w:lastRenderedPageBreak/>
        <w:t>lipid translocation in natural cellular membrane conditions is spontaneous and rapid, then the cell must spend energy on maintaining the lipid asymmetry.</w:t>
      </w:r>
    </w:p>
    <w:p w14:paraId="25378F21" w14:textId="1F0E1D6C" w:rsidR="00E511C9" w:rsidRPr="00D74025" w:rsidRDefault="00E511C9" w:rsidP="00E511C9">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Cell membrane-associated and energy-consuming enzymes have been identified as being responsible for maintaining lipid asymmetry: </w:t>
      </w:r>
      <w:proofErr w:type="spellStart"/>
      <w:r w:rsidRPr="00D74025">
        <w:rPr>
          <w:rFonts w:ascii="Arial" w:hAnsi="Arial" w:cs="Arial"/>
          <w:color w:val="000000" w:themeColor="text1"/>
        </w:rPr>
        <w:t>flippases</w:t>
      </w:r>
      <w:proofErr w:type="spellEnd"/>
      <w:r w:rsidRPr="00D74025">
        <w:rPr>
          <w:rFonts w:ascii="Arial" w:hAnsi="Arial" w:cs="Arial"/>
          <w:color w:val="000000" w:themeColor="text1"/>
        </w:rPr>
        <w:t xml:space="preserve"> are the ones that translocate phospholipids from the extracellular side to cytoplasmatic leaflet; </w:t>
      </w:r>
      <w:proofErr w:type="spellStart"/>
      <w:r w:rsidRPr="00D74025">
        <w:rPr>
          <w:rFonts w:ascii="Arial" w:hAnsi="Arial" w:cs="Arial"/>
          <w:color w:val="000000" w:themeColor="text1"/>
        </w:rPr>
        <w:t>floppases</w:t>
      </w:r>
      <w:proofErr w:type="spellEnd"/>
      <w:r w:rsidRPr="00D74025">
        <w:rPr>
          <w:rFonts w:ascii="Arial" w:hAnsi="Arial" w:cs="Arial"/>
          <w:color w:val="000000" w:themeColor="text1"/>
        </w:rPr>
        <w:t xml:space="preserve"> push them from the intracellular to the extracellular side of the plasma membrane. Another group of transmembrane proteins that transport lipids across the membrane is scramblases, although they do not require energy to facilitate bidirectional lipid translocation</w:t>
      </w:r>
      <w:r w:rsidRPr="00D74025">
        <w:rPr>
          <w:rFonts w:ascii="Arial" w:hAnsi="Arial" w:cs="Arial"/>
          <w:color w:val="000000" w:themeColor="text1"/>
          <w:highlight w:val="yellow"/>
        </w:rPr>
        <w:fldChar w:fldCharType="begin"/>
      </w:r>
      <w:r w:rsidR="00AB2CFB">
        <w:rPr>
          <w:rFonts w:ascii="Arial" w:hAnsi="Arial" w:cs="Arial"/>
          <w:color w:val="000000" w:themeColor="text1"/>
          <w:highlight w:val="yellow"/>
        </w:rPr>
        <w:instrText xml:space="preserve"> ADDIN ZOTERO_ITEM CSL_CITATION {"citationID":"0lM1D20t","properties":{"formattedCitation":"\\super 17,24\\uc0\\u8211{}26\\nosupersub{}","plainCitation":"17,24–26","noteIndex":0},"citationItems":[{"id":117,"uris":["http://zotero.org/users/7661987/items/PZBNL6IC"],"itemData":{"id":117,"type":"article-journal","container-title":"Nature Chemical Biology","DOI":"10.1038/s41589-020-00688-0","ISSN":"1552-4450, 1552-4469","issue":"12","journalAbbreviation":"Nat Chem Biol","language":"en","page":"1321-1330","source":"DOI.org (Crossref)","title":"Structural and functional consequences of reversible lipid asymmetry in living membranes","volume":"16","author":[{"family":"Doktorova","given":"Milka"},{"family":"Symons","given":"Jessica L."},{"family":"Levental","given":"Ilya"}],"issued":{"date-parts":[["2020",12]]}}},{"id":116,"uris":["http://zotero.org/users/7661987/items/CPGJ46VN"],"itemData":{"id":116,"type":"article-journal","abstract":"The plasma membrane phospholipid distribution of animal cells is markedly asymmetric. Phosphatidylserine (PS) and phosphatidylethanolamine (PE) are concentrated in the inner leaflet, whereas phosphatidylcholine (PC) and sphingomyelin (SM) are concentrated in the outer leaflet. This non-equilibrium situation is maintained by lipid pumps (flippases or floppases), which utilize energy in the form of ATP to translocate lipids from one leaflet to the other. Scramblases, which are activated when physiologically required, transport lipids in both directions across the membrane and can abolish lipid asymmetry. Lipid asymmetry also causes imbalances in the areas occupied by lipid in the two membrane leaflets, contributing to membrane curvature. The asymmetry of PS across the plasma membrane plays a crucial signalling role in numerous physiological processes. Exposure of PS on the external surface of blood platelets stimulates blood coagulation. PS exposure by other cells during apoptosis provides an “eat me” signal to surrounding macrophages. Many peripheral and integral membrane proteins have polybasic PS-binding domains on their cytoplasmic surfaces which either provide a membrane anchor or affect activity. These domains can also determine trafficking within the cell and control regulation via an electrostatic switch mechanism, as well as potentially acting as “death sensors” when cytoplasmic PS is transferred to the extracellular leaflet during apoptosis. Apart from these physiological roles, external PS exposure by microorganisms, viruses and cancer cells allows them to mimic the immunosuppressive anti-inflammatory action of apoptotic cells and proliferate, thus providing a strong medical motivation for future research in the field of lipid asymmetry in membranes.","container-title":"Biochimica et Biophysica Acta (BBA) - Biomembranes","DOI":"10.1016/j.bbamem.2020.183382","ISSN":"00052736","issue":"10","journalAbbreviation":"Biochimica et Biophysica Acta (BBA) - Biomembranes","language":"en","page":"183382","source":"DOI.org (Crossref)","title":"Physiological roles of transverse lipid asymmetry of animal membranes","volume":"1862","author":[{"family":"Clarke","given":"R.J."},{"family":"Hossain","given":"K.R."},{"family":"Cao","given":"K."}],"issued":{"date-parts":[["2020",10]]}}},{"id":100,"uris":["http://zotero.org/users/7661987/items/A6YSWULH"],"itemData":{"id":100,"type":"article-journal","container-title":"Biological and Pharmaceutical Bulletin","DOI":"10.1248/bpb.29.1542","ISSN":"0918-6158, 1347-5215","issue":"8","journalAbbreviation":"Biological &amp; Pharmaceutical Bulletin","language":"en","page":"1542-1546","source":"DOI.org (Crossref)","title":"Lipid Asymmetry of the Eukaryotic Plasma Membrane: Functions and Related Enzymes","title-short":"Lipid Asymmetry of the Eukaryotic Plasma Membrane","volume":"29","author":[{"family":"Ikeda","given":"Mika"},{"family":"Kihara","given":"Akio"},{"family":"Igarashi","given":"Yasuyuki"}],"issued":{"date-parts":[["2006"]]}}},{"id":118,"uris":["http://zotero.org/users/7661987/items/R6NYNDQI"],"itemData":{"id":118,"type":"article-journal","container-title":"Current Biology","DOI":"10.1016/j.cub.2018.01.007","ISSN":"09609822","issue":"8","journalAbbreviation":"Current Biology","language":"en","page":"R386-R391","source":"DOI.org (Crossref)","title":"Transbilayer lipid asymmetry","volume":"28","author":[{"family":"Kobayashi","given":"Toshihide"},{"family":"Menon","given":"Anant K."}],"issued":{"date-parts":[["2018",4]]}}}],"schema":"https://github.com/citation-style-language/schema/raw/master/csl-citation.json"} </w:instrText>
      </w:r>
      <w:r w:rsidRPr="00D74025">
        <w:rPr>
          <w:rFonts w:ascii="Arial" w:hAnsi="Arial" w:cs="Arial"/>
          <w:color w:val="000000" w:themeColor="text1"/>
          <w:highlight w:val="yellow"/>
        </w:rPr>
        <w:fldChar w:fldCharType="separate"/>
      </w:r>
      <w:r w:rsidRPr="00D74025">
        <w:rPr>
          <w:rFonts w:ascii="Arial" w:hAnsi="Arial" w:cs="Arial"/>
          <w:color w:val="000000" w:themeColor="text1"/>
          <w:vertAlign w:val="superscript"/>
        </w:rPr>
        <w:t>17,24–26</w:t>
      </w:r>
      <w:r w:rsidRPr="00D74025">
        <w:rPr>
          <w:rFonts w:ascii="Arial" w:hAnsi="Arial" w:cs="Arial"/>
          <w:color w:val="000000" w:themeColor="text1"/>
          <w:highlight w:val="yellow"/>
        </w:rPr>
        <w:fldChar w:fldCharType="end"/>
      </w:r>
      <w:r w:rsidRPr="00D74025">
        <w:rPr>
          <w:rFonts w:ascii="Arial" w:hAnsi="Arial" w:cs="Arial"/>
          <w:color w:val="000000" w:themeColor="text1"/>
        </w:rPr>
        <w:t xml:space="preserve"> (see </w:t>
      </w:r>
      <w:r w:rsidR="00C51BBA" w:rsidRPr="00C51BBA">
        <w:rPr>
          <w:rFonts w:ascii="Arial" w:hAnsi="Arial" w:cs="Arial"/>
          <w:b/>
          <w:bCs/>
          <w:color w:val="000000" w:themeColor="text1"/>
        </w:rPr>
        <w:t>F</w:t>
      </w:r>
      <w:r w:rsidRPr="00C51BBA">
        <w:rPr>
          <w:rFonts w:ascii="Arial" w:hAnsi="Arial" w:cs="Arial"/>
          <w:b/>
          <w:bCs/>
          <w:color w:val="000000" w:themeColor="text1"/>
        </w:rPr>
        <w:t>igure 5</w:t>
      </w:r>
      <w:r w:rsidRPr="00D74025">
        <w:rPr>
          <w:rFonts w:ascii="Arial" w:hAnsi="Arial" w:cs="Arial"/>
          <w:color w:val="000000" w:themeColor="text1"/>
        </w:rPr>
        <w:t>). It is worthwhile to point out that even though scramblases' presence in the plasma membrane is inherent, their natural state is inactive, requiring activation by either signaling or cleavage.</w:t>
      </w:r>
    </w:p>
    <w:p w14:paraId="16184223" w14:textId="77777777" w:rsidR="00DF4304" w:rsidRPr="00D74025" w:rsidRDefault="00DF4304" w:rsidP="00CF0CD5">
      <w:pPr>
        <w:spacing w:line="360" w:lineRule="auto"/>
        <w:ind w:firstLine="1440"/>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187F0B0E" w14:textId="77777777" w:rsidTr="002D7BE0">
        <w:tc>
          <w:tcPr>
            <w:tcW w:w="9350" w:type="dxa"/>
          </w:tcPr>
          <w:p w14:paraId="3226E07E" w14:textId="3CDA9C48" w:rsidR="002D7BE0" w:rsidRPr="00D74025" w:rsidRDefault="002D7BE0" w:rsidP="000B64DE">
            <w:pPr>
              <w:spacing w:beforeAutospacing="0" w:line="360" w:lineRule="auto"/>
              <w:ind w:firstLine="0"/>
              <w:rPr>
                <w:rFonts w:ascii="Arial" w:hAnsi="Arial" w:cs="Arial"/>
                <w:color w:val="000000" w:themeColor="text1"/>
              </w:rPr>
            </w:pPr>
            <w:r w:rsidRPr="00D74025">
              <w:rPr>
                <w:rFonts w:ascii="Arial" w:hAnsi="Arial" w:cs="Arial"/>
                <w:noProof/>
                <w:color w:val="000000" w:themeColor="text1"/>
              </w:rPr>
              <w:drawing>
                <wp:inline distT="0" distB="0" distL="0" distR="0" wp14:anchorId="29AA38D8" wp14:editId="4A3D15D9">
                  <wp:extent cx="5831306" cy="1997347"/>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5"/>
                          <a:stretch>
                            <a:fillRect/>
                          </a:stretch>
                        </pic:blipFill>
                        <pic:spPr>
                          <a:xfrm>
                            <a:off x="0" y="0"/>
                            <a:ext cx="5863288" cy="2008301"/>
                          </a:xfrm>
                          <a:prstGeom prst="rect">
                            <a:avLst/>
                          </a:prstGeom>
                        </pic:spPr>
                      </pic:pic>
                    </a:graphicData>
                  </a:graphic>
                </wp:inline>
              </w:drawing>
            </w:r>
          </w:p>
        </w:tc>
      </w:tr>
      <w:tr w:rsidR="002D7BE0" w:rsidRPr="00D74025" w14:paraId="615DBA4E" w14:textId="77777777" w:rsidTr="002D7BE0">
        <w:tc>
          <w:tcPr>
            <w:tcW w:w="9350" w:type="dxa"/>
          </w:tcPr>
          <w:p w14:paraId="5CD7E449" w14:textId="0277CF9C" w:rsidR="002D7BE0" w:rsidRPr="00D74025" w:rsidRDefault="002B08AB" w:rsidP="000B64DE">
            <w:pPr>
              <w:spacing w:before="120" w:beforeAutospacing="0" w:line="360" w:lineRule="auto"/>
              <w:ind w:firstLine="0"/>
              <w:rPr>
                <w:rFonts w:ascii="Arial" w:hAnsi="Arial" w:cs="Arial"/>
                <w:color w:val="000000" w:themeColor="text1"/>
              </w:rPr>
            </w:pPr>
            <w:bookmarkStart w:id="10" w:name="_Toc121217327"/>
            <w:r w:rsidRPr="002B08AB">
              <w:rPr>
                <w:rFonts w:ascii="Arial" w:hAnsi="Arial" w:cs="Arial"/>
                <w:b/>
                <w:bCs/>
                <w:noProof/>
                <w:color w:val="000000" w:themeColor="text1"/>
              </w:rPr>
              <w:t xml:space="preserve">Figure </w:t>
            </w:r>
            <w:r w:rsidRPr="002B08AB">
              <w:rPr>
                <w:rFonts w:ascii="Arial" w:hAnsi="Arial" w:cs="Arial"/>
                <w:b/>
                <w:bCs/>
                <w:noProof/>
                <w:color w:val="000000" w:themeColor="text1"/>
              </w:rPr>
              <w:fldChar w:fldCharType="begin"/>
            </w:r>
            <w:r w:rsidRPr="002B08AB">
              <w:rPr>
                <w:rFonts w:ascii="Arial" w:hAnsi="Arial" w:cs="Arial"/>
                <w:b/>
                <w:bCs/>
                <w:noProof/>
                <w:color w:val="000000" w:themeColor="text1"/>
              </w:rPr>
              <w:instrText xml:space="preserve"> SEQ Figure \* ARABIC </w:instrText>
            </w:r>
            <w:r w:rsidRPr="002B08AB">
              <w:rPr>
                <w:rFonts w:ascii="Arial" w:hAnsi="Arial" w:cs="Arial"/>
                <w:b/>
                <w:bCs/>
                <w:noProof/>
                <w:color w:val="000000" w:themeColor="text1"/>
              </w:rPr>
              <w:fldChar w:fldCharType="separate"/>
            </w:r>
            <w:r w:rsidR="002C4B25">
              <w:rPr>
                <w:rFonts w:ascii="Arial" w:hAnsi="Arial" w:cs="Arial"/>
                <w:b/>
                <w:bCs/>
                <w:noProof/>
                <w:color w:val="000000" w:themeColor="text1"/>
              </w:rPr>
              <w:t>5</w:t>
            </w:r>
            <w:r w:rsidRPr="002B08AB">
              <w:rPr>
                <w:rFonts w:ascii="Arial" w:hAnsi="Arial" w:cs="Arial"/>
                <w:b/>
                <w:bCs/>
                <w:noProof/>
                <w:color w:val="000000" w:themeColor="text1"/>
              </w:rPr>
              <w:fldChar w:fldCharType="end"/>
            </w:r>
            <w:r w:rsidR="00B42AFF" w:rsidRPr="00D74025">
              <w:rPr>
                <w:rFonts w:ascii="Arial" w:hAnsi="Arial" w:cs="Arial"/>
                <w:b/>
                <w:bCs/>
                <w:noProof/>
                <w:color w:val="000000" w:themeColor="text1"/>
              </w:rPr>
              <w:t>:</w:t>
            </w:r>
            <w:r w:rsidR="00B42AFF" w:rsidRPr="00D74025">
              <w:rPr>
                <w:rFonts w:ascii="Arial" w:hAnsi="Arial" w:cs="Arial"/>
                <w:color w:val="000000" w:themeColor="text1"/>
              </w:rPr>
              <w:t xml:space="preserve"> </w:t>
            </w:r>
            <w:r w:rsidR="00B42AFF" w:rsidRPr="00D74025">
              <w:rPr>
                <w:rFonts w:ascii="Arial" w:hAnsi="Arial" w:cs="Arial"/>
                <w:b/>
                <w:bCs/>
                <w:noProof/>
                <w:color w:val="000000" w:themeColor="text1"/>
              </w:rPr>
              <w:t>The three classes of phospholipid translocases: f</w:t>
            </w:r>
            <w:proofErr w:type="spellStart"/>
            <w:r w:rsidR="00B42AFF" w:rsidRPr="00D74025">
              <w:rPr>
                <w:rFonts w:ascii="Arial" w:hAnsi="Arial" w:cs="Arial"/>
                <w:b/>
                <w:bCs/>
                <w:color w:val="000000" w:themeColor="text1"/>
              </w:rPr>
              <w:t>lippases</w:t>
            </w:r>
            <w:proofErr w:type="spellEnd"/>
            <w:r w:rsidR="00B42AFF" w:rsidRPr="00D74025">
              <w:rPr>
                <w:rFonts w:ascii="Arial" w:hAnsi="Arial" w:cs="Arial"/>
                <w:b/>
                <w:bCs/>
                <w:color w:val="000000" w:themeColor="text1"/>
              </w:rPr>
              <w:t xml:space="preserve">, </w:t>
            </w:r>
            <w:proofErr w:type="spellStart"/>
            <w:r w:rsidR="00B42AFF" w:rsidRPr="00D74025">
              <w:rPr>
                <w:rFonts w:ascii="Arial" w:hAnsi="Arial" w:cs="Arial"/>
                <w:b/>
                <w:bCs/>
                <w:color w:val="000000" w:themeColor="text1"/>
              </w:rPr>
              <w:t>floppases</w:t>
            </w:r>
            <w:proofErr w:type="spellEnd"/>
            <w:r w:rsidR="00B42AFF" w:rsidRPr="00D74025">
              <w:rPr>
                <w:rFonts w:ascii="Arial" w:hAnsi="Arial" w:cs="Arial"/>
                <w:b/>
                <w:bCs/>
                <w:color w:val="000000" w:themeColor="text1"/>
              </w:rPr>
              <w:t xml:space="preserve">, and scramblases. </w:t>
            </w:r>
            <w:proofErr w:type="spellStart"/>
            <w:r w:rsidR="00B42AFF" w:rsidRPr="00D74025">
              <w:rPr>
                <w:rFonts w:ascii="Arial" w:hAnsi="Arial" w:cs="Arial"/>
                <w:color w:val="000000" w:themeColor="text1"/>
              </w:rPr>
              <w:t>Flippases</w:t>
            </w:r>
            <w:proofErr w:type="spellEnd"/>
            <w:r w:rsidR="00B42AFF" w:rsidRPr="00D74025">
              <w:rPr>
                <w:rFonts w:ascii="Arial" w:hAnsi="Arial" w:cs="Arial"/>
                <w:color w:val="000000" w:themeColor="text1"/>
              </w:rPr>
              <w:t xml:space="preserve"> actively move PS and PE from the outer to the inner leaflet of the plasma membrane against a concentration gradient using ATP. </w:t>
            </w:r>
            <w:proofErr w:type="spellStart"/>
            <w:r w:rsidR="00B42AFF" w:rsidRPr="00D74025">
              <w:rPr>
                <w:rFonts w:ascii="Arial" w:hAnsi="Arial" w:cs="Arial"/>
                <w:color w:val="000000" w:themeColor="text1"/>
              </w:rPr>
              <w:t>Floppases</w:t>
            </w:r>
            <w:proofErr w:type="spellEnd"/>
            <w:r w:rsidR="00B42AFF" w:rsidRPr="00D74025">
              <w:rPr>
                <w:rFonts w:ascii="Arial" w:hAnsi="Arial" w:cs="Arial"/>
                <w:color w:val="000000" w:themeColor="text1"/>
              </w:rPr>
              <w:t xml:space="preserve"> use ATP to transport PC, SM, and cholesterol against concentration gradients in the opposite direction (inner to outer leaflet). Both </w:t>
            </w:r>
            <w:proofErr w:type="spellStart"/>
            <w:r w:rsidR="00B42AFF" w:rsidRPr="00D74025">
              <w:rPr>
                <w:rFonts w:ascii="Arial" w:hAnsi="Arial" w:cs="Arial"/>
                <w:color w:val="000000" w:themeColor="text1"/>
              </w:rPr>
              <w:t>flippases</w:t>
            </w:r>
            <w:proofErr w:type="spellEnd"/>
            <w:r w:rsidR="00B42AFF" w:rsidRPr="00D74025">
              <w:rPr>
                <w:rFonts w:ascii="Arial" w:hAnsi="Arial" w:cs="Arial"/>
                <w:color w:val="000000" w:themeColor="text1"/>
              </w:rPr>
              <w:t xml:space="preserve"> and </w:t>
            </w:r>
            <w:proofErr w:type="spellStart"/>
            <w:r w:rsidR="00B42AFF" w:rsidRPr="00D74025">
              <w:rPr>
                <w:rFonts w:ascii="Arial" w:hAnsi="Arial" w:cs="Arial"/>
                <w:color w:val="000000" w:themeColor="text1"/>
              </w:rPr>
              <w:t>floppases</w:t>
            </w:r>
            <w:proofErr w:type="spellEnd"/>
            <w:r w:rsidR="00B42AFF" w:rsidRPr="00D74025">
              <w:rPr>
                <w:rFonts w:ascii="Arial" w:hAnsi="Arial" w:cs="Arial"/>
                <w:color w:val="000000" w:themeColor="text1"/>
              </w:rPr>
              <w:t xml:space="preserve"> contribute to maintaining lipid asymmetry across the membrane, which requires energy from ATP hydrolysis to drive the process because it is a nonequilibrium phenomenon. Scramblases facilitate the movement of lipids along concentration gradients. Scramblases are ATP-independent because they lead the membrane to approach an </w:t>
            </w:r>
            <w:r w:rsidR="00B42AFF" w:rsidRPr="00D74025">
              <w:rPr>
                <w:rFonts w:ascii="Arial" w:hAnsi="Arial" w:cs="Arial"/>
                <w:color w:val="000000" w:themeColor="text1"/>
              </w:rPr>
              <w:lastRenderedPageBreak/>
              <w:t>equilibrium distribution of phospholipids across the membrane, therefore abolishing lipid asymmetry</w:t>
            </w:r>
            <w:r w:rsidR="00B42AFF" w:rsidRPr="00D74025">
              <w:rPr>
                <w:rFonts w:ascii="Arial" w:hAnsi="Arial" w:cs="Arial"/>
                <w:color w:val="000000" w:themeColor="text1"/>
              </w:rPr>
              <w:fldChar w:fldCharType="begin"/>
            </w:r>
            <w:r w:rsidR="00AB2CFB">
              <w:rPr>
                <w:rFonts w:ascii="Arial" w:hAnsi="Arial" w:cs="Arial"/>
                <w:color w:val="000000" w:themeColor="text1"/>
              </w:rPr>
              <w:instrText xml:space="preserve"> ADDIN ZOTERO_ITEM CSL_CITATION {"citationID":"X8M6GSkm","properties":{"formattedCitation":"\\super 27\\nosupersub{}","plainCitation":"27","noteIndex":0},"citationItems":[{"id":86,"uris":["http://zotero.org/users/7661987/items/T9A9HWBL"],"itemData":{"id":86,"type":"article-journal","abstract":"P4-ATPases, a subfamily of P-type ATPases, translocate cell membrane phospholipids from the exoplasmic/luminal leaflet to the cytoplasmic leaflet to generate and maintain membrane lipid asymmetry. Exposure of phosphatidylserine (PS) in the exoplasmic leaflet is well known to transduce critical signals for apoptotic cell clearance and platelet coagulation. PS exposure is also involved in many other biological processes, including myoblast and osteoclast fusion, and the immune response. Moreover, mounting evidence suggest that PS exposure is critical for neuronal regeneration and degeneration. In apoptotic cells, PS exposure is induced by irreversible activation of scramblases and inactivation of P4-ATPases. However, how PS is reversibly exposed and restored in viable cells during other biological processes remains poorly understood. In the present review, we discuss the physiological significance of reversible PS exposure in living cells, and the putative roles of flippases, floppases, and scramblases.","container-title":"Critical Reviews in Biochemistry and Molecular Biology","DOI":"10.1080/10409238.2020.1758624","ISSN":"1040-9238, 1549-7798","issue":"2","journalAbbreviation":"Critical Reviews in Biochemistry and Molecular Biology","language":"en","page":"166-178","source":"DOI.org (Crossref)","title":"Phosphatidylserine exposure in living cells","volume":"55","author":[{"family":"Shin","given":"Hye-Won"},{"family":"Takatsu","given":"Hiroyuki"}],"issued":{"date-parts":[["2020",3,3]]}}}],"schema":"https://github.com/citation-style-language/schema/raw/master/csl-citation.json"} </w:instrText>
            </w:r>
            <w:r w:rsidR="00B42AFF" w:rsidRPr="00D74025">
              <w:rPr>
                <w:rFonts w:ascii="Arial" w:hAnsi="Arial" w:cs="Arial"/>
                <w:color w:val="000000" w:themeColor="text1"/>
              </w:rPr>
              <w:fldChar w:fldCharType="separate"/>
            </w:r>
            <w:r w:rsidR="00B42AFF" w:rsidRPr="00D74025">
              <w:rPr>
                <w:rFonts w:ascii="Arial" w:hAnsi="Arial" w:cs="Arial"/>
                <w:color w:val="000000" w:themeColor="text1"/>
                <w:vertAlign w:val="superscript"/>
              </w:rPr>
              <w:t>27</w:t>
            </w:r>
            <w:r w:rsidR="00B42AFF" w:rsidRPr="00D74025">
              <w:rPr>
                <w:rFonts w:ascii="Arial" w:hAnsi="Arial" w:cs="Arial"/>
                <w:color w:val="000000" w:themeColor="text1"/>
              </w:rPr>
              <w:fldChar w:fldCharType="end"/>
            </w:r>
            <w:r w:rsidR="00B42AFF" w:rsidRPr="00D74025">
              <w:rPr>
                <w:rFonts w:ascii="Arial" w:hAnsi="Arial" w:cs="Arial"/>
                <w:color w:val="000000" w:themeColor="text1"/>
              </w:rPr>
              <w:t xml:space="preserve">. Figure from Clarke </w:t>
            </w:r>
            <w:r w:rsidR="00B42AFF" w:rsidRPr="00D74025">
              <w:rPr>
                <w:rFonts w:ascii="Arial" w:hAnsi="Arial" w:cs="Arial"/>
                <w:i/>
                <w:iCs/>
                <w:color w:val="000000" w:themeColor="text1"/>
              </w:rPr>
              <w:t>et al</w:t>
            </w:r>
            <w:r w:rsidR="00B42AFF" w:rsidRPr="00D74025">
              <w:rPr>
                <w:rFonts w:ascii="Arial" w:hAnsi="Arial" w:cs="Arial"/>
                <w:color w:val="000000" w:themeColor="text1"/>
              </w:rPr>
              <w:t xml:space="preserve">., 2020 </w:t>
            </w:r>
            <w:r w:rsidR="00B42AFF" w:rsidRPr="00D74025">
              <w:rPr>
                <w:rFonts w:ascii="Arial" w:hAnsi="Arial" w:cs="Arial"/>
                <w:color w:val="000000" w:themeColor="text1"/>
              </w:rPr>
              <w:fldChar w:fldCharType="begin"/>
            </w:r>
            <w:r w:rsidR="00AB2CFB">
              <w:rPr>
                <w:rFonts w:ascii="Arial" w:hAnsi="Arial" w:cs="Arial"/>
                <w:color w:val="000000" w:themeColor="text1"/>
              </w:rPr>
              <w:instrText xml:space="preserve"> ADDIN ZOTERO_ITEM CSL_CITATION {"citationID":"a1sf18srka","properties":{"formattedCitation":"\\super 17\\nosupersub{}","plainCitation":"17","noteIndex":0},"citationItems":[{"id":116,"uris":["http://zotero.org/users/7661987/items/CPGJ46VN"],"itemData":{"id":116,"type":"article-journal","abstract":"The plasma membrane phospholipid distribution of animal cells is markedly asymmetric. Phosphatidylserine (PS) and phosphatidylethanolamine (PE) are concentrated in the inner leaflet, whereas phosphatidylcholine (PC) and sphingomyelin (SM) are concentrated in the outer leaflet. This non-equilibrium situation is maintained by lipid pumps (flippases or floppases), which utilize energy in the form of ATP to translocate lipids from one leaflet to the other. Scramblases, which are activated when physiologically required, transport lipids in both directions across the membrane and can abolish lipid asymmetry. Lipid asymmetry also causes imbalances in the areas occupied by lipid in the two membrane leaflets, contributing to membrane curvature. The asymmetry of PS across the plasma membrane plays a crucial signalling role in numerous physiological processes. Exposure of PS on the external surface of blood platelets stimulates blood coagulation. PS exposure by other cells during apoptosis provides an “eat me” signal to surrounding macrophages. Many peripheral and integral membrane proteins have polybasic PS-binding domains on their cytoplasmic surfaces which either provide a membrane anchor or affect activity. These domains can also determine trafficking within the cell and control regulation via an electrostatic switch mechanism, as well as potentially acting as “death sensors” when cytoplasmic PS is transferred to the extracellular leaflet during apoptosis. Apart from these physiological roles, external PS exposure by microorganisms, viruses and cancer cells allows them to mimic the immunosuppressive anti-inflammatory action of apoptotic cells and proliferate, thus providing a strong medical motivation for future research in the field of lipid asymmetry in membranes.","container-title":"Biochimica et Biophysica Acta (BBA) - Biomembranes","DOI":"10.1016/j.bbamem.2020.183382","ISSN":"00052736","issue":"10","journalAbbreviation":"Biochimica et Biophysica Acta (BBA) - Biomembranes","language":"en","page":"183382","source":"DOI.org (Crossref)","title":"Physiological roles of transverse lipid asymmetry of animal membranes","volume":"1862","author":[{"family":"Clarke","given":"R.J."},{"family":"Hossain","given":"K.R."},{"family":"Cao","given":"K."}],"issued":{"date-parts":[["2020",10]]}}}],"schema":"https://github.com/citation-style-language/schema/raw/master/csl-citation.json"} </w:instrText>
            </w:r>
            <w:r w:rsidR="00B42AFF" w:rsidRPr="00D74025">
              <w:rPr>
                <w:rFonts w:ascii="Arial" w:hAnsi="Arial" w:cs="Arial"/>
                <w:color w:val="000000" w:themeColor="text1"/>
              </w:rPr>
              <w:fldChar w:fldCharType="separate"/>
            </w:r>
            <w:r w:rsidR="00B42AFF" w:rsidRPr="00D74025">
              <w:rPr>
                <w:rFonts w:ascii="Arial" w:hAnsi="Arial" w:cs="Arial"/>
                <w:color w:val="000000" w:themeColor="text1"/>
                <w:vertAlign w:val="superscript"/>
              </w:rPr>
              <w:t>17</w:t>
            </w:r>
            <w:r w:rsidR="00B42AFF" w:rsidRPr="00D74025">
              <w:rPr>
                <w:rFonts w:ascii="Arial" w:hAnsi="Arial" w:cs="Arial"/>
                <w:color w:val="000000" w:themeColor="text1"/>
              </w:rPr>
              <w:fldChar w:fldCharType="end"/>
            </w:r>
            <w:r w:rsidR="00B42AFF" w:rsidRPr="00D74025">
              <w:rPr>
                <w:rFonts w:ascii="Arial" w:hAnsi="Arial" w:cs="Arial"/>
                <w:color w:val="000000" w:themeColor="text1"/>
              </w:rPr>
              <w:t>.</w:t>
            </w:r>
            <w:bookmarkEnd w:id="10"/>
          </w:p>
        </w:tc>
      </w:tr>
    </w:tbl>
    <w:p w14:paraId="7C777804" w14:textId="258CEF57" w:rsidR="009A6A45" w:rsidRDefault="009A6A45" w:rsidP="002B08AB">
      <w:pPr>
        <w:pStyle w:val="Caption"/>
        <w:rPr>
          <w:rFonts w:ascii="Arial" w:hAnsi="Arial" w:cs="Arial"/>
          <w:b/>
          <w:bCs/>
          <w:noProof/>
          <w:color w:val="000000" w:themeColor="text1"/>
        </w:rPr>
      </w:pPr>
    </w:p>
    <w:p w14:paraId="4AE9F31F" w14:textId="77777777" w:rsidR="004646D8" w:rsidRPr="00D74025" w:rsidRDefault="004646D8" w:rsidP="00CF0CD5">
      <w:pPr>
        <w:spacing w:line="360" w:lineRule="auto"/>
        <w:jc w:val="both"/>
        <w:rPr>
          <w:rFonts w:ascii="Arial" w:hAnsi="Arial" w:cs="Arial"/>
          <w:b/>
          <w:bCs/>
          <w:noProof/>
          <w:color w:val="000000" w:themeColor="text1"/>
        </w:rPr>
      </w:pPr>
    </w:p>
    <w:p w14:paraId="56C6A4C5" w14:textId="1B912BB3" w:rsidR="00772BE7" w:rsidRPr="00D74025" w:rsidRDefault="00772BE7" w:rsidP="00772BE7">
      <w:pPr>
        <w:spacing w:line="360" w:lineRule="auto"/>
        <w:ind w:firstLine="1440"/>
        <w:contextualSpacing/>
        <w:jc w:val="both"/>
        <w:rPr>
          <w:rFonts w:ascii="Arial" w:hAnsi="Arial" w:cs="Arial"/>
          <w:color w:val="000000" w:themeColor="text1"/>
        </w:rPr>
      </w:pPr>
      <w:proofErr w:type="spellStart"/>
      <w:r w:rsidRPr="00D74025">
        <w:rPr>
          <w:rFonts w:ascii="Arial" w:hAnsi="Arial" w:cs="Arial"/>
          <w:color w:val="000000" w:themeColor="text1"/>
        </w:rPr>
        <w:t>Flippases</w:t>
      </w:r>
      <w:proofErr w:type="spellEnd"/>
      <w:r w:rsidRPr="00D74025">
        <w:rPr>
          <w:rFonts w:ascii="Arial" w:hAnsi="Arial" w:cs="Arial"/>
          <w:color w:val="000000" w:themeColor="text1"/>
        </w:rPr>
        <w:t xml:space="preserve"> were firstly identified as ATP-dependent translocases. </w:t>
      </w:r>
      <w:r w:rsidR="00540632" w:rsidRPr="00D74025">
        <w:rPr>
          <w:rFonts w:ascii="Arial" w:hAnsi="Arial" w:cs="Arial"/>
          <w:color w:val="000000" w:themeColor="text1"/>
        </w:rPr>
        <w:t>Initial</w:t>
      </w:r>
      <w:r w:rsidRPr="00D74025">
        <w:rPr>
          <w:rFonts w:ascii="Arial" w:hAnsi="Arial" w:cs="Arial"/>
          <w:color w:val="000000" w:themeColor="text1"/>
        </w:rPr>
        <w:t xml:space="preserve"> evidence </w:t>
      </w:r>
      <w:r w:rsidR="00AE16C9" w:rsidRPr="00D74025">
        <w:rPr>
          <w:rFonts w:ascii="Arial" w:hAnsi="Arial" w:cs="Arial"/>
          <w:color w:val="000000" w:themeColor="text1"/>
        </w:rPr>
        <w:t xml:space="preserve">showed </w:t>
      </w:r>
      <w:r w:rsidRPr="00D74025">
        <w:rPr>
          <w:rFonts w:ascii="Arial" w:hAnsi="Arial" w:cs="Arial"/>
          <w:color w:val="000000" w:themeColor="text1"/>
        </w:rPr>
        <w:t>that the depletion of ATP inhibits the flipping of the PS and PE to the inner leaflet of the plasma membrane</w:t>
      </w:r>
      <w:r w:rsidRPr="00D74025">
        <w:rPr>
          <w:rFonts w:ascii="Arial" w:hAnsi="Arial" w:cs="Arial"/>
          <w:color w:val="000000" w:themeColor="text1"/>
        </w:rPr>
        <w:fldChar w:fldCharType="begin"/>
      </w:r>
      <w:r w:rsidR="00AB2CFB">
        <w:rPr>
          <w:rFonts w:ascii="Arial" w:hAnsi="Arial" w:cs="Arial"/>
          <w:color w:val="000000" w:themeColor="text1"/>
        </w:rPr>
        <w:instrText xml:space="preserve"> ADDIN ZOTERO_ITEM CSL_CITATION {"citationID":"NRzfJwtQ","properties":{"formattedCitation":"\\super 28\\nosupersub{}","plainCitation":"28","noteIndex":0},"citationItems":[{"id":99,"uris":["http://zotero.org/users/7661987/items/TYRPWJEH"],"itemData":{"id":99,"type":"article-journal","abstract":"Spin-labeled analogs of phosphatidylcholine, phosphatidylserine, and phosphatidylethanolamine have been used to study phospholipid transverse diffusion and asymmetry in the human erythrocyte membrane. Ascorbate reduction was used to assess the transbilayer distribution of the labels. All three spin-labeled phospholipids initially incorporated into the outer leaflet of the membrane. On fresh erythrocytes at 50C, the phosphatidylcholine label remained mainly in the outer leaflet. In contrast, the phosphatidylserine and phosphatidylethanolamine labels underwent rapid transverse diffusion that led to their asymmetric distribution in favor of the inner leaflet. The latter effect was reversibly inhibited after ATP depletion of the erythrocytes and could be reproduced on resealed erythrocyte ghosts only if hydrolyzable Mg-ATP was included in the internal medium. It is suggested that an ATPdriven transport of amino phospholipids toward the inner leaflet could be the major cause of the phospholipid asymmetry in the erythrocyte membrane. It is also proposed that the same mechanism could explain the ATP requirement of the maintenance of the erythrocyte membrane discoid shape.","container-title":"Proceedings of the National Academy of Sciences","DOI":"10.1073/pnas.81.12.3751","ISSN":"0027-8424, 1091-6490","issue":"12","journalAbbreviation":"Proceedings of the National Academy of Sciences","language":"en","page":"3751-3755","source":"DOI.org (Crossref)","title":"ATP-dependent asymmetric distribution of spin-labeled phospholipids in the erythrocyte membrane: relation to shape changes.","title-short":"ATP-dependent asymmetric distribution of spin-labeled phospholipids in the erythrocyte membrane","volume":"81","author":[{"family":"Seigneuret","given":"M."},{"family":"Devaux","given":"P. F."}],"issued":{"date-parts":[["1984",6,1]]}}}],"schema":"https://github.com/citation-style-language/schema/raw/master/csl-citation.json"}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28</w:t>
      </w:r>
      <w:r w:rsidRPr="00D74025">
        <w:rPr>
          <w:rFonts w:ascii="Arial" w:hAnsi="Arial" w:cs="Arial"/>
          <w:color w:val="000000" w:themeColor="text1"/>
        </w:rPr>
        <w:fldChar w:fldCharType="end"/>
      </w:r>
      <w:r w:rsidRPr="00D74025">
        <w:rPr>
          <w:rFonts w:ascii="Arial" w:hAnsi="Arial" w:cs="Arial"/>
          <w:color w:val="000000" w:themeColor="text1"/>
        </w:rPr>
        <w:t xml:space="preserve">. Additionally, the same enzymes had their activity inhibited by treating cells with phosphate analog orthovanadate, a common characteristic of the family of sodium/phosphate pumps called P-type ATPases. The amino acid sequencing of those </w:t>
      </w:r>
      <w:proofErr w:type="spellStart"/>
      <w:r w:rsidRPr="00D74025">
        <w:rPr>
          <w:rFonts w:ascii="Arial" w:hAnsi="Arial" w:cs="Arial"/>
          <w:color w:val="000000" w:themeColor="text1"/>
        </w:rPr>
        <w:t>flippases</w:t>
      </w:r>
      <w:proofErr w:type="spellEnd"/>
      <w:r w:rsidRPr="00D74025">
        <w:rPr>
          <w:rFonts w:ascii="Arial" w:hAnsi="Arial" w:cs="Arial"/>
          <w:color w:val="000000" w:themeColor="text1"/>
        </w:rPr>
        <w:t xml:space="preserve"> confirmed that they were part of the P-type ATPases family</w:t>
      </w:r>
      <w:r w:rsidRPr="00D74025">
        <w:rPr>
          <w:rFonts w:ascii="Arial" w:hAnsi="Arial" w:cs="Arial"/>
          <w:color w:val="000000" w:themeColor="text1"/>
        </w:rPr>
        <w:fldChar w:fldCharType="begin"/>
      </w:r>
      <w:r w:rsidR="00AB2CFB">
        <w:rPr>
          <w:rFonts w:ascii="Arial" w:hAnsi="Arial" w:cs="Arial"/>
          <w:color w:val="000000" w:themeColor="text1"/>
        </w:rPr>
        <w:instrText xml:space="preserve"> ADDIN ZOTERO_ITEM CSL_CITATION {"citationID":"uhhgP2c8","properties":{"formattedCitation":"\\super 29,30\\nosupersub{}","plainCitation":"29,30","noteIndex":0},"citationItems":[{"id":98,"uris":["http://zotero.org/users/7661987/items/6N7EBS6F"],"itemData":{"id":98,"type":"article-journal","container-title":"FEBS Letters","DOI":"10.1016/0014-5793(90)81498-D","ISSN":"00145793","issue":"1-2","language":"en","page":"29-32","source":"DOI.org (Crossref)","title":"Partial purification and characterization of the human erythrocyte Mg &lt;sup&gt;2+&lt;/sup&gt; -ATPase A candidate aminophospholipid translocase","volume":"266","author":[{"family":"Morrot","given":"Gil"},{"family":"Zachowski","given":"Alain"},{"family":"Devaux","given":"Philippe F."}],"issued":{"date-parts":[["1990",6,18]]}}},{"id":97,"uris":["http://zotero.org/users/7661987/items/8LHUZY62"],"itemData":{"id":97,"type":"article-journal","container-title":"Science","DOI":"10.1126/science.272.5267.1495","ISSN":"0036-8075, 1095-9203","issue":"5267","journalAbbreviation":"Science","language":"en","page":"1495-1497","source":"DOI.org (Crossref)","title":"A Subfamily of P-Type ATPases with Aminophospholipid Transporting Activity","volume":"272","author":[{"family":"Tang","given":"Xiaojing"},{"family":"Halleck","given":"Margaret S."},{"family":"Schlegel","given":"Robert A."},{"family":"Williamson","given":"Patrick"}],"issued":{"date-parts":[["1996",6,7]]}}}],"schema":"https://github.com/citation-style-language/schema/raw/master/csl-citation.json"}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29,30</w:t>
      </w:r>
      <w:r w:rsidRPr="00D74025">
        <w:rPr>
          <w:rFonts w:ascii="Arial" w:hAnsi="Arial" w:cs="Arial"/>
          <w:color w:val="000000" w:themeColor="text1"/>
        </w:rPr>
        <w:fldChar w:fldCharType="end"/>
      </w:r>
      <w:r w:rsidRPr="00D74025">
        <w:rPr>
          <w:rFonts w:ascii="Arial" w:hAnsi="Arial" w:cs="Arial"/>
          <w:color w:val="000000" w:themeColor="text1"/>
        </w:rPr>
        <w:t xml:space="preserve">. Currently, the </w:t>
      </w:r>
      <w:proofErr w:type="spellStart"/>
      <w:r w:rsidRPr="00D74025">
        <w:rPr>
          <w:rFonts w:ascii="Arial" w:hAnsi="Arial" w:cs="Arial"/>
          <w:color w:val="000000" w:themeColor="text1"/>
        </w:rPr>
        <w:t>flippases</w:t>
      </w:r>
      <w:proofErr w:type="spellEnd"/>
      <w:r w:rsidRPr="00D74025">
        <w:rPr>
          <w:rFonts w:ascii="Arial" w:hAnsi="Arial" w:cs="Arial"/>
          <w:color w:val="000000" w:themeColor="text1"/>
        </w:rPr>
        <w:t xml:space="preserve"> are classified as a subfamily known as P4-ATPases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{"citationID":"wvneDbpC","properties":{"formattedCitation":"\\super 15,17\\nosupersub{}","plainCitation":"15,17","noteIndex":0},"citationItems":[{"id":101,"uris":["http://zotero.org/users/7661987/items/AGWI28YA"],"itemData":{"id":101,"type":"article-journal","container-title":"The FASEB Journal","DOI":"10.1096/fj.201801873R","ISSN":"0892-6638, 1530-6860","issue":"3","journalAbbreviation":"FASEB j.","language":"en","page":"3087-3096","source":"DOI.org (Crossref)","title":"Substrates of P4</w:instrText>
      </w:r>
      <w:r w:rsidR="00174D75">
        <w:rPr>
          <w:rFonts w:ascii="Cambria Math" w:hAnsi="Cambria Math" w:cs="Cambria Math"/>
          <w:color w:val="000000" w:themeColor="text1"/>
        </w:rPr>
        <w:instrText>‐</w:instrText>
      </w:r>
      <w:r w:rsidR="00174D75">
        <w:rPr>
          <w:rFonts w:ascii="Arial" w:hAnsi="Arial" w:cs="Arial"/>
          <w:color w:val="000000" w:themeColor="text1"/>
        </w:rPr>
        <w:instrText>ATPases: beyond aminophospholipids (phosphatidylserine and phosphatidylethanolamine)","title-short":"Substrates of P4</w:instrText>
      </w:r>
      <w:r w:rsidR="00174D75">
        <w:rPr>
          <w:rFonts w:ascii="Cambria Math" w:hAnsi="Cambria Math" w:cs="Cambria Math"/>
          <w:color w:val="000000" w:themeColor="text1"/>
        </w:rPr>
        <w:instrText>‐</w:instrText>
      </w:r>
      <w:r w:rsidR="00174D75">
        <w:rPr>
          <w:rFonts w:ascii="Arial" w:hAnsi="Arial" w:cs="Arial"/>
          <w:color w:val="000000" w:themeColor="text1"/>
        </w:rPr>
        <w:instrText xml:space="preserve">ATPases","volume":"33","author":[{"family":"Shin","given":"Hye-Won"},{"family":"Takatsu","given":"Hiroyuki"}],"issued":{"date-parts":[["2019",3]]}}},{"id":116,"uris":["http://zotero.org/users/7661987/items/CPGJ46VN"],"itemData":{"id":116,"type":"article-journal","abstract":"The plasma membrane phospholipid distribution of animal cells is markedly asymmetric. Phosphatidylserine (PS) and phosphatidylethanolamine (PE) are concentrated in the inner leaflet, whereas phosphatidylcholine (PC) and sphingomyelin (SM) are concentrated in the outer leaflet. This non-equilibrium situation is maintained by lipid pumps (flippases or floppases), which utilize energy in the form of ATP to translocate lipids from one leaflet to the other. Scramblases, which are activated when physiologically required, transport lipids in both directions across the membrane and can abolish lipid asymmetry. Lipid asymmetry also causes imbalances in the areas occupied by lipid in the two membrane leaflets, contributing to membrane curvature. The asymmetry of PS across the plasma membrane plays a crucial signalling role in numerous physiological processes. Exposure of PS on the external surface of blood platelets stimulates blood coagulation. PS exposure by other cells during apoptosis provides an “eat me” signal to surrounding macrophages. Many peripheral and integral membrane proteins have polybasic PS-binding domains on their cytoplasmic surfaces which either provide a membrane anchor or affect activity. These domains can also determine trafficking within the cell and control regulation via an electrostatic switch mechanism, as well as potentially acting as “death sensors” when cytoplasmic PS is transferred to the extracellular leaflet during apoptosis. Apart from these physiological roles, external PS exposure by microorganisms, viruses and cancer cells allows them to mimic the immunosuppressive anti-inflammatory action of apoptotic cells and proliferate, thus providing a strong medical motivation for future research in the field of lipid asymmetry in membranes.","container-title":"Biochimica et Biophysica Acta (BBA) - Biomembranes","DOI":"10.1016/j.bbamem.2020.183382","ISSN":"00052736","issue":"10","journalAbbreviation":"Biochimica et Biophysica Acta (BBA) - Biomembranes","language":"en","page":"183382","source":"DOI.org (Crossref)","title":"Physiological roles of transverse lipid asymmetry of animal membranes","volume":"1862","author":[{"family":"Clarke","given":"R.J."},{"family":"Hossain","given":"K.R."},{"family":"Cao","given":"K."}],"issued":{"date-parts":[["2020",10]]}}}],"schema":"https://github.com/citation-style-language/schema/raw/master/csl-citation.json"}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15,17</w:t>
      </w:r>
      <w:r w:rsidRPr="00D74025">
        <w:rPr>
          <w:rFonts w:ascii="Arial" w:hAnsi="Arial" w:cs="Arial"/>
          <w:color w:val="000000" w:themeColor="text1"/>
        </w:rPr>
        <w:fldChar w:fldCharType="end"/>
      </w:r>
      <w:r w:rsidRPr="00D74025">
        <w:rPr>
          <w:rFonts w:ascii="Arial" w:hAnsi="Arial" w:cs="Arial"/>
          <w:color w:val="000000" w:themeColor="text1"/>
        </w:rPr>
        <w:t>.</w:t>
      </w:r>
    </w:p>
    <w:p w14:paraId="0AA001C9" w14:textId="1C8866EA" w:rsidR="00D64CD7" w:rsidRPr="00D74025" w:rsidRDefault="00D64CD7" w:rsidP="00D64CD7">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 xml:space="preserve">Conversely, </w:t>
      </w:r>
      <w:proofErr w:type="spellStart"/>
      <w:r w:rsidRPr="00D74025">
        <w:rPr>
          <w:rFonts w:ascii="Arial" w:hAnsi="Arial" w:cs="Arial"/>
          <w:color w:val="000000" w:themeColor="text1"/>
        </w:rPr>
        <w:t>floppases</w:t>
      </w:r>
      <w:proofErr w:type="spellEnd"/>
      <w:r w:rsidRPr="00D74025">
        <w:rPr>
          <w:rFonts w:ascii="Arial" w:hAnsi="Arial" w:cs="Arial"/>
          <w:color w:val="000000" w:themeColor="text1"/>
        </w:rPr>
        <w:t xml:space="preserve"> were recognized as part of a family of enzymes that are ATP-binding cassette transporters (or ABC transporters). This family can translocate many types of molecules through the plasma membrane. Although the family has many physiological roles, the transport of PC and SM from the cytoplasmic leaflet to the extracellular side is an essential function. ABCA1, ABCA3, ABCA4, ABCA7, ABCB1, ABCB4, and ABCC1 are all ABC transporters that export lipids to the outer layer of the cell membrane</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{"citationID":"J91r018R","properties":{"formattedCitation":"\\super 31,32\\nosupersub{}","plainCitation":"31,32","noteIndex":0},"citationItems":[{"id":88,"uris":["http://zotero.org/users/7661987/items/6ZQ2YKXB"],"itemData":{"id":88,"type":"article-journal","abstract":"Background: Lipid transport by the A-subfamily of ATP-binding cassette (ABC) transporters implicated in human disorders is poorly understood.\nResults: ABCA1 and ABCA7 export phosphatidylcholine and phosphatidylserine across membranes, whereas ABCA4 imports phosphatidylethanolamine.\nConclusion: ABCA transporters actively flip phospholipids across membranes, a function severely reduced for disease-causing mutants. Significance: ABCA-dependent phospholipid transport plays a crucial role in cellular lipid homeostasis.","container-title":"Journal of Biological Chemistry","DOI":"10.1074/jbc.M113.508812","ISSN":"00219258","issue":"48","journalAbbreviation":"Journal of Biological Chemistry","language":"en","page":"34414-34426","source":"DOI.org (Crossref)","title":"Differential Phospholipid Substrates and Directional Transport by ATP-binding Cassette Proteins ABCA1, ABCA7, and ABCA4 and Disease-causing Mutants","volume":"288","author":[{"family":"Quazi","given":"Faraz"},{"family":"Molday","given":"Robert S."}],"issued":{"date-parts":[["2013",11]]}}},{"id":87,"uris":["http://zotero.org/users/7661987/items/FAJ9D3D7"],"itemData":{"id":87,"type":"article-journal","abstract":"It was ﬁrst discovered in 1992 that P-glycoprotein (Pgp, ABCB1), an ATP binding cassette (ABC) transporter, can transport phospholipids such as phosphatidylcholine, −ethanolamine and -serine as well as glucosylceramide and glycosphingolipids. Subsequently, many other ABC transporters were identiﬁed to act as lipid transporters. For substrate transport by ABC transporters, typically a classic, alternating access model with an ATPdependent conformational switch between a high and a low afﬁnity substrate binding site is evoked. Transport of small hydrophilic substrates can easily be imagined this way, as the molecule can in principle enter and exit the transporter in the same orientation. Lipids on the other hand need to undergo a 180° degree turn as they translocate from one membrane leaﬂet to the other. Lipids and lipidated molecules are highly diverse, so there may be various ways how to achieve their ﬂipping and ﬂopping. Nonetheless, an increase in biophysical, biochemical and structural data is beginning to shed some light on speciﬁc aspects of lipid transport by ABC transporters. In addition, there is now abundant evidence that lipids affect ABC transporter conformation, dynamics as well as transport and ATPase activity in general. In this review, we will discuss different ways in which lipids and ABC transporters interact and how lipid translocation may be achieved with a focus on the techniques used to investigate these processes. This article is part of a Special Issue entitled: Lipid order/lipid defects and lipid-control of protein activity edited by Dirk Schneider.","container-title":"Biochimica et Biophysica Acta (BBA) - Biomembranes","DOI":"10.1016/j.bbamem.2016.09.023","ISSN":"00052736","issue":"4","journalAbbreviation":"Biochimica et Biophysica Acta (BBA) - Biomembranes","language":"en","page":"605-618","source":"DOI.org (Crossref)","title":"Diverse relations between ABC transporters and lipids: An overview","title-short":"Diverse relations between ABC transporters and lipids","volume":"1859","author":[{"family":"Neumann","given":"Jennifer"},{"family":"Rose-Sperling","given":"Dania"},{"family":"Hellmich","given":"Ute A."}],"issued":{"date-parts":[["2017",4]]}}}],"schema":"https://github.com/citation-style-language/schema/raw/master/csl-citation.json"}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31,32</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6EFB057F" w14:textId="77560D48" w:rsidR="00421215" w:rsidRPr="00D74025" w:rsidRDefault="00421215" w:rsidP="00421215">
      <w:pPr>
        <w:spacing w:line="360" w:lineRule="auto"/>
        <w:ind w:firstLine="1440"/>
        <w:jc w:val="both"/>
        <w:rPr>
          <w:rFonts w:ascii="Arial" w:hAnsi="Arial" w:cs="Arial"/>
          <w:color w:val="000000" w:themeColor="text1"/>
        </w:rPr>
      </w:pPr>
      <w:bookmarkStart w:id="11" w:name="_Toc87466634"/>
      <w:r w:rsidRPr="00D74025">
        <w:rPr>
          <w:rFonts w:ascii="Arial" w:hAnsi="Arial" w:cs="Arial"/>
          <w:color w:val="000000" w:themeColor="text1"/>
        </w:rPr>
        <w:t xml:space="preserve">Both </w:t>
      </w:r>
      <w:proofErr w:type="spellStart"/>
      <w:r w:rsidRPr="00D74025">
        <w:rPr>
          <w:rFonts w:ascii="Arial" w:hAnsi="Arial" w:cs="Arial"/>
          <w:color w:val="000000" w:themeColor="text1"/>
        </w:rPr>
        <w:t>flippases</w:t>
      </w:r>
      <w:proofErr w:type="spellEnd"/>
      <w:r w:rsidRPr="00D74025">
        <w:rPr>
          <w:rFonts w:ascii="Arial" w:hAnsi="Arial" w:cs="Arial"/>
          <w:color w:val="000000" w:themeColor="text1"/>
        </w:rPr>
        <w:t xml:space="preserve"> and </w:t>
      </w:r>
      <w:proofErr w:type="spellStart"/>
      <w:r w:rsidRPr="00D74025">
        <w:rPr>
          <w:rFonts w:ascii="Arial" w:hAnsi="Arial" w:cs="Arial"/>
          <w:color w:val="000000" w:themeColor="text1"/>
        </w:rPr>
        <w:t>floppases</w:t>
      </w:r>
      <w:proofErr w:type="spellEnd"/>
      <w:r w:rsidRPr="00D74025">
        <w:rPr>
          <w:rFonts w:ascii="Arial" w:hAnsi="Arial" w:cs="Arial"/>
          <w:color w:val="000000" w:themeColor="text1"/>
        </w:rPr>
        <w:t xml:space="preserve"> are crucial in maintaining lipid asymmetry, primarily because they transport lipids against the concentration gradient. The prevention of the downhill movement of the lipids during transport requires complex conformational changes, which lead to a relatively low turnover (less than 100 s</w:t>
      </w:r>
      <w:r w:rsidRPr="00D74025">
        <w:rPr>
          <w:rFonts w:ascii="Arial" w:hAnsi="Arial" w:cs="Arial"/>
          <w:color w:val="000000" w:themeColor="text1"/>
          <w:vertAlign w:val="superscript"/>
        </w:rPr>
        <w:t>-1</w:t>
      </w:r>
      <w:r w:rsidRPr="00D74025">
        <w:rPr>
          <w:rFonts w:ascii="Arial" w:hAnsi="Arial" w:cs="Arial"/>
          <w:color w:val="000000" w:themeColor="text1"/>
        </w:rPr>
        <w:t xml:space="preserve">) </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{"citationID":"KIFkfRGq","properties":{"formattedCitation":"\\super 33\\nosupersub{}","plainCitation":"33","noteIndex":0},"citationItems":[{"id":95,"uris":["http://zotero.org/users/7661987/items/DGN7FID5"],"itemData":{"id":95,"type":"article-journal","abstract":"Membrane lipids diffuse rapidly in the plane of the membrane but their ability to ﬂip spontaneously across a membrane bilayer is hampered by a signiﬁcant energy barrier. Thus spontaneous ﬂip-ﬂop of polar lipids across membranes is very slow, even though it must occur rapidly to support diverse aspects of cellular life. Here we discuss the mechanisms by which rapid ﬂip-ﬂop occurs, and what role lipid ﬂipping plays in membrane homeostasis and cell growth. We focus on conceptual aspects, highlighting mechanistic insights from biochemical and in silico experiments, and the recent, ground-breaking identiﬁcation of a number of lipid scramblases.","container-title":"Progress in Lipid Research","DOI":"10.1016/j.plipres.2016.08.003","ISSN":"01637827","journalAbbreviation":"Progress in Lipid Research","language":"en","page":"69-84","source":"DOI.org (Crossref)","title":"Lipid somersaults: Uncovering the mechanisms of protein-mediated lipid flipping","title-short":"Lipid somersaults","volume":"64","author":[{"family":"Pomorski","given":"Thomas Günther"},{"family":"Menon","given":"Anant K."}],"issued":{"date-parts":[["2016",10]]}}}],"schema":"https://github.com/citation-style-language/schema/raw/master/csl-citation.json"}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33</w:t>
      </w:r>
      <w:r w:rsidRPr="00D74025">
        <w:rPr>
          <w:rFonts w:ascii="Arial" w:hAnsi="Arial" w:cs="Arial"/>
          <w:color w:val="000000" w:themeColor="text1"/>
        </w:rPr>
        <w:fldChar w:fldCharType="end"/>
      </w:r>
      <w:r w:rsidRPr="00D74025">
        <w:rPr>
          <w:rFonts w:ascii="Arial" w:hAnsi="Arial" w:cs="Arial"/>
          <w:color w:val="000000" w:themeColor="text1"/>
        </w:rPr>
        <w:t>. Conversely, scramblases have much higher turnover rates (greater than 1000 s</w:t>
      </w:r>
      <w:r w:rsidRPr="00D74025">
        <w:rPr>
          <w:rFonts w:ascii="Arial" w:hAnsi="Arial" w:cs="Arial"/>
          <w:color w:val="000000" w:themeColor="text1"/>
          <w:vertAlign w:val="superscript"/>
        </w:rPr>
        <w:t>-1</w:t>
      </w:r>
      <w:r w:rsidRPr="00D74025">
        <w:rPr>
          <w:rFonts w:ascii="Arial" w:hAnsi="Arial" w:cs="Arial"/>
          <w:color w:val="000000" w:themeColor="text1"/>
        </w:rPr>
        <w:t>)</w:t>
      </w:r>
      <w:r w:rsidRPr="00D74025">
        <w:rPr>
          <w:rFonts w:ascii="Arial" w:hAnsi="Arial" w:cs="Arial"/>
          <w:color w:val="000000" w:themeColor="text1"/>
          <w:vertAlign w:val="superscript"/>
        </w:rPr>
        <w:t xml:space="preserve"> </w:t>
      </w:r>
      <w:r w:rsidRPr="00D74025">
        <w:rPr>
          <w:rFonts w:ascii="Arial" w:hAnsi="Arial" w:cs="Arial"/>
          <w:color w:val="000000" w:themeColor="text1"/>
          <w:vertAlign w:val="superscript"/>
        </w:rPr>
        <w:fldChar w:fldCharType="begin"/>
      </w:r>
      <w:r w:rsidR="00174D75">
        <w:rPr>
          <w:rFonts w:ascii="Arial" w:hAnsi="Arial" w:cs="Arial"/>
          <w:color w:val="000000" w:themeColor="text1"/>
          <w:vertAlign w:val="superscript"/>
        </w:rPr>
        <w:instrText xml:space="preserve"> ADDIN ZOTERO_ITEM CSL_CITATION {"citationID":"oavo08Tk","properties":{"formattedCitation":"\\super 34\\nosupersub{}","plainCitation":"34","noteIndex":0},"citationItems":[{"id":94,"uris":["http://zotero.org/users/7661987/items/HICJDPYD"],"itemData":{"id":94,"type":"article-journal","abstract":"Transmembrane protein 16F (TMEM16F) is a Ca\n              2+\n              -dependent phospholipid scramblase that translocates phospholipids bidirectionally between the leaflets of the plasma membrane. Phospholipid scrambling of TMEM16F causes exposure of phosphatidylserine in activated platelets to induce blood clotting and in differentiated osteoblasts to promote bone mineralization. Despite the importance of TMEM16F-mediated phospholipid scrambling in various biological reactions, the fundamental features of the scrambling reaction remain elusive due to technical difficulties in the preparation of a platform for assaying scramblase activity in vitro. Here, we established a method to express and purify mouse TMEM16F as a dimeric molecule by constructing a stable cell line and developed a microarray containing membrane bilayers with asymmetrically distributed phospholipids as a platform for single-molecule scramblase assays. The purified TMEM16F was integrated into the microarray, and monitoring of phospholipid translocation showed that a single TMEM16F molecule transported phospholipids nonspecifically between the membrane bilayers in a Ca\n              2+\n              -dependent manner. Thermodynamic analysis of the reaction indicated that TMEM16F transported 4.5 × 10\n              4\n              lipids per second at 25 °C, with an activation free energy of 47 kJ/mol. These biophysical features were similar to those observed with channels, which transport substrates by facilitating diffusion, and supported the stepping-stone model for the TMEM16F phospholipid scramblase.","container-title":"Proceedings of the National Academy of Sciences","DOI":"10.1073/pnas.1717956115","ISSN":"0027-8424, 1091-6490","issue":"12","journalAbbreviation":"Proc Natl Acad Sci USA","language":"en","page":"3066-3071","source":"DOI.org (Crossref)","title":"Single-molecule analysis of phospholipid scrambling by TMEM16F","volume":"115","author":[{"family":"Watanabe","given":"Rikiya"},{"family":"Sakuragi","given":"Takaharu"},{"family":"Noji","given":"Hiroyuki"},{"family":"Nagata","given":"Shigekazu"}],"issued":{"date-parts":[["2018",3,20]]}}}],"schema":"https://github.com/citation-style-language/schema/raw/master/csl-citation.json"} </w:instrText>
      </w:r>
      <w:r w:rsidRPr="00D74025">
        <w:rPr>
          <w:rFonts w:ascii="Arial" w:hAnsi="Arial" w:cs="Arial"/>
          <w:color w:val="000000" w:themeColor="text1"/>
          <w:vertAlign w:val="superscript"/>
        </w:rPr>
        <w:fldChar w:fldCharType="separate"/>
      </w:r>
      <w:r w:rsidRPr="00D74025">
        <w:rPr>
          <w:rFonts w:ascii="Arial" w:hAnsi="Arial" w:cs="Arial"/>
          <w:color w:val="000000" w:themeColor="text1"/>
          <w:vertAlign w:val="superscript"/>
        </w:rPr>
        <w:t>34</w:t>
      </w:r>
      <w:r w:rsidRPr="00D74025">
        <w:rPr>
          <w:rFonts w:ascii="Arial" w:hAnsi="Arial" w:cs="Arial"/>
          <w:color w:val="000000" w:themeColor="text1"/>
          <w:vertAlign w:val="superscript"/>
        </w:rPr>
        <w:fldChar w:fldCharType="end"/>
      </w:r>
      <w:r w:rsidRPr="00D74025">
        <w:rPr>
          <w:rFonts w:ascii="Arial" w:hAnsi="Arial" w:cs="Arial"/>
          <w:color w:val="000000" w:themeColor="text1"/>
        </w:rPr>
        <w:t xml:space="preserve">. Thus, </w:t>
      </w:r>
      <w:proofErr w:type="spellStart"/>
      <w:r w:rsidRPr="00D74025">
        <w:rPr>
          <w:rFonts w:ascii="Arial" w:hAnsi="Arial" w:cs="Arial"/>
          <w:color w:val="000000" w:themeColor="text1"/>
        </w:rPr>
        <w:t>floppases</w:t>
      </w:r>
      <w:proofErr w:type="spellEnd"/>
      <w:r w:rsidRPr="00D74025">
        <w:rPr>
          <w:rFonts w:ascii="Arial" w:hAnsi="Arial" w:cs="Arial"/>
          <w:color w:val="000000" w:themeColor="text1"/>
        </w:rPr>
        <w:t xml:space="preserve"> and </w:t>
      </w:r>
      <w:proofErr w:type="spellStart"/>
      <w:r w:rsidRPr="00D74025">
        <w:rPr>
          <w:rFonts w:ascii="Arial" w:hAnsi="Arial" w:cs="Arial"/>
          <w:color w:val="000000" w:themeColor="text1"/>
        </w:rPr>
        <w:t>flippases</w:t>
      </w:r>
      <w:proofErr w:type="spellEnd"/>
      <w:r w:rsidRPr="00D74025">
        <w:rPr>
          <w:rFonts w:ascii="Arial" w:hAnsi="Arial" w:cs="Arial"/>
          <w:color w:val="000000" w:themeColor="text1"/>
        </w:rPr>
        <w:t xml:space="preserve"> are constantly pumping lipids to maintain the lipid asymmetry and their expression in the plasma membrane is much higher than scramblases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{"citationID":"IO1WKYNe","properties":{"formattedCitation":"\\super 17\\nosupersub{}","plainCitation":"17","noteIndex":0},"citationItems":[{"id":116,"uris":["http://zotero.org/users/7661987/items/CPGJ46VN"],"itemData":{"id":116,"type":"article-journal","abstract":"The plasma membrane phospholipid distribution of animal cells is markedly asymmetric. Phosphatidylserine (PS) and phosphatidylethanolamine (PE) are concentrated in the inner leaflet, whereas phosphatidylcholine (PC) and sphingomyelin (SM) are concentrated in the outer leaflet. This non-equilibrium situation is maintained by lipid pumps (flippases or floppases), which utilize energy in the form of ATP to translocate lipids from one leaflet to the other. Scramblases, which are activated when physiologically required, transport lipids in both directions across the membrane and can abolish lipid asymmetry. Lipid asymmetry also causes imbalances in the areas occupied by lipid in the two membrane leaflets, contributing to membrane curvature. The asymmetry of PS across the plasma membrane plays a crucial signalling role in numerous physiological processes. Exposure of PS on the external surface of blood platelets stimulates blood coagulation. PS exposure by other cells during apoptosis provides an “eat me” signal to surrounding macrophages. Many peripheral and integral membrane proteins have polybasic PS-binding domains on their cytoplasmic surfaces which either provide a membrane anchor or affect activity. These domains can also determine trafficking within the cell and control regulation via an electrostatic switch mechanism, as well as potentially acting as “death sensors” when cytoplasmic PS is transferred to the extracellular leaflet during apoptosis. Apart from these physiological roles, external PS exposure by microorganisms, viruses and cancer cells allows them to mimic the immunosuppressive anti-inflammatory action of apoptotic cells and proliferate, thus providing a strong medical motivation for future research in the field of lipid asymmetry in membranes.","container-title":"Biochimica et Biophysica Acta (BBA) - Biomembranes","DOI":"10.1016/j.bbamem.2020.183382","ISSN":"00052736","issue":"10","journalAbbreviation":"Biochimica et Biophysica Acta (BBA) - Biomembranes","language":"en","page":"183382","source":"DOI.org (Crossref)","title":"Physiological roles of transverse lipid asymmetry of animal membranes","volume":"1862","author":[{"family":"Clarke","given":"R.J."},{"family":"Hossain","given":"K.R."},{"family":"Cao","given":"K."}],"issued":{"date-parts":[["2020",10]]}}}],"schema":"https://github.com/citation-style-language/schema/raw/master/csl-citation.json"}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17</w:t>
      </w:r>
      <w:r w:rsidRPr="00D74025">
        <w:rPr>
          <w:rFonts w:ascii="Arial" w:hAnsi="Arial" w:cs="Arial"/>
          <w:color w:val="000000" w:themeColor="text1"/>
        </w:rPr>
        <w:fldChar w:fldCharType="end"/>
      </w:r>
      <w:r w:rsidRPr="00D74025">
        <w:rPr>
          <w:rFonts w:ascii="Arial" w:hAnsi="Arial" w:cs="Arial"/>
          <w:color w:val="000000" w:themeColor="text1"/>
        </w:rPr>
        <w:t>. The lipid asymmetry elimination due to the scramblases' activation is very rapid.</w:t>
      </w:r>
    </w:p>
    <w:p w14:paraId="0712CD38" w14:textId="77777777" w:rsidR="00791D13" w:rsidRPr="00D74025" w:rsidRDefault="00791D13" w:rsidP="00CF0CD5">
      <w:pPr>
        <w:pStyle w:val="Heading3"/>
        <w:spacing w:line="360" w:lineRule="auto"/>
        <w:ind w:firstLine="1440"/>
        <w:rPr>
          <w:rFonts w:ascii="Arial" w:hAnsi="Arial" w:cs="Arial"/>
          <w:b/>
          <w:bCs/>
          <w:color w:val="000000" w:themeColor="text1"/>
        </w:rPr>
      </w:pPr>
      <w:bookmarkStart w:id="12" w:name="_Toc121217224"/>
      <w:r w:rsidRPr="00D74025">
        <w:rPr>
          <w:rFonts w:ascii="Arial" w:hAnsi="Arial" w:cs="Arial"/>
          <w:b/>
          <w:bCs/>
          <w:color w:val="000000" w:themeColor="text1"/>
        </w:rPr>
        <w:t>1.1.2 Scramblase Activation and Phosphatidylserine Exposure</w:t>
      </w:r>
      <w:bookmarkEnd w:id="11"/>
      <w:bookmarkEnd w:id="12"/>
      <w:r w:rsidRPr="00D74025">
        <w:rPr>
          <w:rFonts w:ascii="Arial" w:hAnsi="Arial" w:cs="Arial"/>
          <w:b/>
          <w:bCs/>
          <w:color w:val="000000" w:themeColor="text1"/>
        </w:rPr>
        <w:t xml:space="preserve"> </w:t>
      </w:r>
    </w:p>
    <w:p w14:paraId="1456676E" w14:textId="77777777" w:rsidR="00AF2388" w:rsidRPr="00D74025" w:rsidRDefault="00AF2388" w:rsidP="00AF2388">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 xml:space="preserve">As previously mentioned, phosphatidylserine (PS) is steadily maintained in the inner leaflet of the cell membrane by the action of </w:t>
      </w:r>
      <w:proofErr w:type="spellStart"/>
      <w:r w:rsidRPr="00D74025">
        <w:rPr>
          <w:rFonts w:ascii="Arial" w:hAnsi="Arial" w:cs="Arial"/>
          <w:color w:val="000000" w:themeColor="text1"/>
        </w:rPr>
        <w:t>flippases</w:t>
      </w:r>
      <w:proofErr w:type="spellEnd"/>
      <w:r w:rsidRPr="00D74025">
        <w:rPr>
          <w:rFonts w:ascii="Arial" w:hAnsi="Arial" w:cs="Arial"/>
          <w:color w:val="000000" w:themeColor="text1"/>
        </w:rPr>
        <w:t xml:space="preserve">. This physiological </w:t>
      </w:r>
      <w:r w:rsidRPr="00D74025">
        <w:rPr>
          <w:rFonts w:ascii="Arial" w:hAnsi="Arial" w:cs="Arial"/>
          <w:color w:val="000000" w:themeColor="text1"/>
        </w:rPr>
        <w:lastRenderedPageBreak/>
        <w:t>mechanism that occurs continually during mammalian cells' lifespan requires energy expenditure. Reasonably, the cells must benefit from allocating considerable effort to the specialized localization of those phospholipids. Interestingly, the exposure of PS on the surface of the cells has physiological significance, for example, in blood coagulation and apoptosis.</w:t>
      </w:r>
    </w:p>
    <w:p w14:paraId="1CA82FE3" w14:textId="398C33D6" w:rsidR="00234BBA" w:rsidRPr="00D74025" w:rsidRDefault="00234BBA" w:rsidP="00234BBA">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 xml:space="preserve">The plasma membrane scramblases are responsible for the disruption of the lipid asymmetry and, consequently, exposure of PS on the outer leaflet. Those transmembrane proteins translocate lipids between the leaflets bidirectionally and non-selectively, following the energetically favorable direction established by each phospholipid's concentration gradient. Contrary to the </w:t>
      </w:r>
      <w:proofErr w:type="spellStart"/>
      <w:r w:rsidRPr="00D74025">
        <w:rPr>
          <w:rFonts w:ascii="Arial" w:hAnsi="Arial" w:cs="Arial"/>
          <w:color w:val="000000" w:themeColor="text1"/>
        </w:rPr>
        <w:t>floppases</w:t>
      </w:r>
      <w:proofErr w:type="spellEnd"/>
      <w:r w:rsidRPr="00D74025">
        <w:rPr>
          <w:rFonts w:ascii="Arial" w:hAnsi="Arial" w:cs="Arial"/>
          <w:color w:val="000000" w:themeColor="text1"/>
        </w:rPr>
        <w:t xml:space="preserve"> and </w:t>
      </w:r>
      <w:proofErr w:type="spellStart"/>
      <w:r w:rsidRPr="00D74025">
        <w:rPr>
          <w:rFonts w:ascii="Arial" w:hAnsi="Arial" w:cs="Arial"/>
          <w:color w:val="000000" w:themeColor="text1"/>
        </w:rPr>
        <w:t>flippases</w:t>
      </w:r>
      <w:proofErr w:type="spellEnd"/>
      <w:r w:rsidRPr="00D74025">
        <w:rPr>
          <w:rFonts w:ascii="Arial" w:hAnsi="Arial" w:cs="Arial"/>
          <w:color w:val="000000" w:themeColor="text1"/>
        </w:rPr>
        <w:t xml:space="preserve"> that need conformational changes to function appropriately, analogous to ion pumps, scramblases perform the translocation similarly to ion channels, which spontaneously allow the passage of lipids and promote an efficient kinetic process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{"citationID":"aoud6t83sp","properties":{"formattedCitation":"\\super 33,35\\nosupersub{}","plainCitation":"33,35","noteIndex":0},"citationItems":[{"id":157,"uris":["http://zotero.org/users/7661987/items/5VI8BQS2"],"itemData":{"id":157,"type":"article-journal","container-title":"Nature Immunology","DOI":"10.1038/ni.2024","ISSN":"1529-2908, 1529-2916","issue":"5","journalAbbreviation":"Nat Immunol","language":"en","page":"373-375","source":"DOI.org (Crossref)","title":"Flippin' lipids","volume":"12","author":[{"family":"Clark","given":"Marcus R"}],"issued":{"date-parts":[["2011",5]]}}},{"id":95,"uris":["http://zotero.org/users/7661987/items/DGN7FID5"],"itemData":{"id":95,"type":"article-journal","abstract":"Membrane lipids diffuse rapidly in the plane of the membrane but their ability to ﬂip spontaneously across a membrane bilayer is hampered by a signiﬁcant energy barrier. Thus spontaneous ﬂip-ﬂop of polar lipids across membranes is very slow, even though it must occur rapidly to support diverse aspects of cellular life. Here we discuss the mechanisms by which rapid ﬂip-ﬂop occurs, and what role lipid ﬂipping plays in membrane homeostasis and cell growth. We focus on conceptual aspects, highlighting mechanistic insights from biochemical and in silico experiments, and the recent, ground-breaking identiﬁcation of a number of lipid scramblases.","container-title":"Progress in Lipid Research","DOI":"10.1016/j.plipres.2016.08.003","ISSN":"01637827","journalAbbreviation":"Progress in Lipid Research","language":"en","page":"69-84","source":"DOI.org (Crossref)","title":"Lipid somersaults: Uncovering the mechanisms of protein-mediated lipid flipping","title-short":"Lipid somersaults","volume":"64","author":[{"family":"Pomorski","given":"Thomas Günther"},{"family":"Menon","given":"Anant K."}],"issued":{"date-parts":[["2016",10]]}}}],"schema":"https://github.com/citation-style-language/schema/raw/master/csl-citation.json"}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33,35</w:t>
      </w:r>
      <w:r w:rsidRPr="00D74025">
        <w:rPr>
          <w:rFonts w:ascii="Arial" w:hAnsi="Arial" w:cs="Arial"/>
          <w:color w:val="000000" w:themeColor="text1"/>
        </w:rPr>
        <w:fldChar w:fldCharType="end"/>
      </w:r>
      <w:r w:rsidRPr="00D74025">
        <w:rPr>
          <w:rFonts w:ascii="Arial" w:hAnsi="Arial" w:cs="Arial"/>
          <w:color w:val="000000" w:themeColor="text1"/>
        </w:rPr>
        <w:t>. Consequently, the exposure of PS on the cell membrane due to the activation of scramblases is a rapid process.</w:t>
      </w:r>
    </w:p>
    <w:p w14:paraId="717943E1" w14:textId="77777777" w:rsidR="003B17BE" w:rsidRPr="00D74025" w:rsidRDefault="003B17BE" w:rsidP="003B17BE">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 xml:space="preserve">The two classical causes of PS exposure are blood coagulation and apoptosis. Respectively, two major classes of scramblases have been identified in correlation to those processes: transmembrane protein 16 (TMEM16) and XKR. </w:t>
      </w:r>
    </w:p>
    <w:p w14:paraId="542DF367" w14:textId="416A1AEB" w:rsidR="003B17BE" w:rsidRPr="00D74025" w:rsidRDefault="003B17BE" w:rsidP="003B17BE">
      <w:pPr>
        <w:spacing w:line="360" w:lineRule="auto"/>
        <w:ind w:firstLine="1440"/>
        <w:jc w:val="both"/>
        <w:rPr>
          <w:rFonts w:ascii="Arial" w:hAnsi="Arial" w:cs="Arial"/>
          <w:color w:val="000000" w:themeColor="text1"/>
        </w:rPr>
      </w:pPr>
      <w:r w:rsidRPr="00D74025">
        <w:rPr>
          <w:rFonts w:ascii="Arial" w:hAnsi="Arial" w:cs="Arial"/>
          <w:color w:val="000000" w:themeColor="text1"/>
        </w:rPr>
        <w:t>TMEM16 is a family of plasma membrane proteins identified as Ca</w:t>
      </w:r>
      <w:r w:rsidRPr="00D74025">
        <w:rPr>
          <w:rFonts w:ascii="Arial" w:hAnsi="Arial" w:cs="Arial"/>
          <w:color w:val="000000" w:themeColor="text1"/>
          <w:vertAlign w:val="superscript"/>
        </w:rPr>
        <w:t>2+</w:t>
      </w:r>
      <w:r w:rsidRPr="00D74025">
        <w:rPr>
          <w:rFonts w:ascii="Arial" w:hAnsi="Arial" w:cs="Arial"/>
          <w:color w:val="000000" w:themeColor="text1"/>
        </w:rPr>
        <w:t>-dependent scramblases. The most expressed member of this family is TMEM16F. After its 3D structure determination, the conformational changes during lipid translocation suggested the Ca</w:t>
      </w:r>
      <w:r w:rsidRPr="00D74025">
        <w:rPr>
          <w:rFonts w:ascii="Arial" w:hAnsi="Arial" w:cs="Arial"/>
          <w:color w:val="000000" w:themeColor="text1"/>
          <w:vertAlign w:val="superscript"/>
        </w:rPr>
        <w:t>2+</w:t>
      </w:r>
      <w:r w:rsidRPr="00D74025">
        <w:rPr>
          <w:rFonts w:ascii="Arial" w:hAnsi="Arial" w:cs="Arial"/>
          <w:color w:val="000000" w:themeColor="text1"/>
        </w:rPr>
        <w:t xml:space="preserve"> binding to TMEM16F induces the opening of a cavity for the passage of phospholipids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{"citationID":"ruAphRqb","properties":{"formattedCitation":"\\super 36,37\\nosupersub{}","plainCitation":"36,37","noteIndex":0},"citationItems":[{"id":79,"uris":["http://zotero.org/users/7661987/items/9EQSAALN"],"itemData":{"id":79,"type":"article-journal","abstract":"The transmembrane protein 16 (TMEM16) family of membrane proteins includes both lipid scramblases and ion channels involved in olfaction, nociception, and blood coagulation. The crystal structure of the fungal\n              Nectria haematococca\n              TMEM16 (nhTMEM16) scramblase suggested a putative mechanism of lipid transport, whereby polar and charged lipid headgroups move through the low-dielectric environment of the membrane by traversing a hydrophilic groove on the membrane-spanning surface of the protein. Here, we use computational methods to explore the membrane–protein interactions involved in lipid scrambling. Fast, continuum membrane-bending calculations reveal a global pattern of charged and hydrophobic surface residues that bends the membrane in a large-amplitude sinusoidal wave, resulting in bilayer thinning across the hydrophilic groove. Atomic simulations uncover two lipid headgroup-interaction sites flanking the groove. The cytoplasmic site nucleates headgroup–dipole stacking interactions that form a chain of lipid molecules that penetrate into the groove. In two instances, a cytoplasmic lipid interdigitates into this chain, crosses the bilayer, and enters the extracellular leaflet, and the reverse process happens twice as well. Continuum membrane-bending analysis carried out on homology models of mammalian homologs shows that these family members also bend the membrane—even those that lack scramblase activity. Sequence alignments show that the lipid-interaction sites are conserved in many family members but less so in those with reduced scrambling ability. Our analysis provides insight into how large-scale membrane bending and protein chemistry facilitate lipid permeation in the TMEM16 family, and we hypothesize that membrane interactions also affect ion permeation.","container-title":"Proceedings of the National Academy of Sciences","DOI":"10.1073/pnas.1607574113","ISSN":"0027-8424, 1091-6490","issue":"49","journalAbbreviation":"Proc Natl Acad Sci USA","language":"en","page":"14049-14054","source":"DOI.org (Crossref)","title":"Atomistic insight into lipid translocation by a TMEM16 scramblase","volume":"113","author":[{"family":"Bethel","given":"Neville P."},{"family":"Grabe","given":"Michael"}],"issued":{"date-parts":[["2016",12,6]]}}},{"id":78,"uris":["http://zotero.org/users/7661987/items/UQMPL5KQ"],"itemData":{"id":78,"type":"article-journal","container-title":"Cellular and Molecular Life Sciences","DOI":"10.1007/s00018-006-6167-7","ISSN":"1420-682X, 1420-9071","issue":"24","journalAbbreviation":"Cell. Mol. Life Sci.","language":"en","page":"2908-2921","source":"DOI.org (Crossref)","title":"Lipid flippases and their biological functions","volume":"63","author":[{"family":"Pomorski","given":"T."},{"family":"Menon","given":"A. K."}],"issued":{"date-parts":[["2006",12]]}}}],"schema":"https://github.com/citation-style-language/schema/raw/master/csl-citation.json"}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36,37</w:t>
      </w:r>
      <w:r w:rsidRPr="00D74025">
        <w:rPr>
          <w:rFonts w:ascii="Arial" w:hAnsi="Arial" w:cs="Arial"/>
          <w:color w:val="000000" w:themeColor="text1"/>
        </w:rPr>
        <w:fldChar w:fldCharType="end"/>
      </w:r>
      <w:r w:rsidRPr="00D74025">
        <w:rPr>
          <w:rFonts w:ascii="Arial" w:hAnsi="Arial" w:cs="Arial"/>
          <w:color w:val="000000" w:themeColor="text1"/>
        </w:rPr>
        <w:t>. The visual depiction of the TMEM16F translocation of phospholipids is shown in</w:t>
      </w:r>
      <w:r w:rsidR="00C51BBA">
        <w:rPr>
          <w:rFonts w:ascii="Arial" w:hAnsi="Arial" w:cs="Arial"/>
          <w:color w:val="000000" w:themeColor="text1"/>
        </w:rPr>
        <w:t xml:space="preserve"> </w:t>
      </w:r>
      <w:r w:rsidR="00C51BBA" w:rsidRPr="00C51BBA">
        <w:rPr>
          <w:rFonts w:ascii="Arial" w:hAnsi="Arial" w:cs="Arial"/>
          <w:b/>
          <w:bCs/>
          <w:color w:val="000000" w:themeColor="text1"/>
        </w:rPr>
        <w:t>Figure 6</w:t>
      </w:r>
      <w:r w:rsidRPr="00D74025">
        <w:rPr>
          <w:rFonts w:ascii="Arial" w:hAnsi="Arial" w:cs="Arial"/>
          <w:color w:val="000000" w:themeColor="text1"/>
        </w:rPr>
        <w:t>, also known as “the credit card model”.</w:t>
      </w:r>
    </w:p>
    <w:p w14:paraId="6E267C6A" w14:textId="77777777" w:rsidR="00F47674" w:rsidRPr="00D74025" w:rsidRDefault="00F47674" w:rsidP="00CF0CD5">
      <w:pPr>
        <w:spacing w:line="360" w:lineRule="auto"/>
        <w:ind w:firstLine="1440"/>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774A9346" w14:textId="77777777" w:rsidTr="009A6A45">
        <w:tc>
          <w:tcPr>
            <w:tcW w:w="9350" w:type="dxa"/>
          </w:tcPr>
          <w:p w14:paraId="4EC1AE5A" w14:textId="1AFB27B6" w:rsidR="009A6A45" w:rsidRPr="00D74025" w:rsidRDefault="009A6A45" w:rsidP="000B64DE">
            <w:pPr>
              <w:spacing w:beforeAutospacing="0" w:line="360" w:lineRule="auto"/>
              <w:ind w:firstLine="0"/>
              <w:jc w:val="center"/>
              <w:rPr>
                <w:rFonts w:ascii="Arial" w:hAnsi="Arial" w:cs="Arial"/>
                <w:color w:val="000000" w:themeColor="text1"/>
              </w:rPr>
            </w:pPr>
            <w:r w:rsidRPr="00D74025">
              <w:rPr>
                <w:rFonts w:ascii="Arial" w:hAnsi="Arial" w:cs="Arial"/>
                <w:noProof/>
                <w:color w:val="000000" w:themeColor="text1"/>
              </w:rPr>
              <w:lastRenderedPageBreak/>
              <w:drawing>
                <wp:inline distT="0" distB="0" distL="0" distR="0" wp14:anchorId="50ACCEAC" wp14:editId="10816AA3">
                  <wp:extent cx="4752421" cy="3097552"/>
                  <wp:effectExtent l="0" t="0" r="0" b="1270"/>
                  <wp:docPr id="18" name="Picture 1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agram&#10;&#10;Description automatically generated"/>
                          <pic:cNvPicPr/>
                        </pic:nvPicPr>
                        <pic:blipFill rotWithShape="1">
                          <a:blip r:embed="rId16"/>
                          <a:srcRect t="2646" b="10684"/>
                          <a:stretch/>
                        </pic:blipFill>
                        <pic:spPr bwMode="auto">
                          <a:xfrm>
                            <a:off x="0" y="0"/>
                            <a:ext cx="4773965" cy="3111594"/>
                          </a:xfrm>
                          <a:prstGeom prst="rect">
                            <a:avLst/>
                          </a:prstGeom>
                          <a:ln>
                            <a:noFill/>
                          </a:ln>
                          <a:extLst>
                            <a:ext uri="{53640926-AAD7-44D8-BBD7-CCE9431645EC}">
                              <a14:shadowObscured xmlns:a14="http://schemas.microsoft.com/office/drawing/2010/main"/>
                            </a:ext>
                          </a:extLst>
                        </pic:spPr>
                      </pic:pic>
                    </a:graphicData>
                  </a:graphic>
                </wp:inline>
              </w:drawing>
            </w:r>
          </w:p>
        </w:tc>
      </w:tr>
      <w:tr w:rsidR="009A6A45" w:rsidRPr="00D74025" w14:paraId="55164399" w14:textId="77777777" w:rsidTr="009A6A45">
        <w:tc>
          <w:tcPr>
            <w:tcW w:w="9350" w:type="dxa"/>
          </w:tcPr>
          <w:p w14:paraId="0300E9CE" w14:textId="74457594" w:rsidR="009A6A45" w:rsidRPr="00D74025" w:rsidRDefault="00D747F3" w:rsidP="000B64DE">
            <w:pPr>
              <w:spacing w:beforeAutospacing="0" w:line="360" w:lineRule="auto"/>
              <w:ind w:firstLine="0"/>
              <w:rPr>
                <w:rFonts w:ascii="Arial" w:hAnsi="Arial" w:cs="Arial"/>
                <w:color w:val="000000" w:themeColor="text1"/>
              </w:rPr>
            </w:pPr>
            <w:bookmarkStart w:id="13" w:name="_Toc121217328"/>
            <w:r w:rsidRPr="00D747F3">
              <w:rPr>
                <w:rFonts w:ascii="Arial" w:hAnsi="Arial" w:cs="Arial"/>
                <w:b/>
                <w:bCs/>
                <w:color w:val="000000" w:themeColor="text1"/>
              </w:rPr>
              <w:t xml:space="preserve">Figure </w:t>
            </w:r>
            <w:r w:rsidRPr="00D747F3">
              <w:rPr>
                <w:rFonts w:ascii="Arial" w:hAnsi="Arial" w:cs="Arial"/>
                <w:b/>
                <w:bCs/>
                <w:color w:val="000000" w:themeColor="text1"/>
              </w:rPr>
              <w:fldChar w:fldCharType="begin"/>
            </w:r>
            <w:r w:rsidRPr="00D747F3">
              <w:rPr>
                <w:rFonts w:ascii="Arial" w:hAnsi="Arial" w:cs="Arial"/>
                <w:b/>
                <w:bCs/>
                <w:color w:val="000000" w:themeColor="text1"/>
              </w:rPr>
              <w:instrText xml:space="preserve"> SEQ Figure \* ARABIC </w:instrText>
            </w:r>
            <w:r w:rsidRPr="00D747F3">
              <w:rPr>
                <w:rFonts w:ascii="Arial" w:hAnsi="Arial" w:cs="Arial"/>
                <w:b/>
                <w:bCs/>
                <w:color w:val="000000" w:themeColor="text1"/>
              </w:rPr>
              <w:fldChar w:fldCharType="separate"/>
            </w:r>
            <w:r w:rsidR="002C4B25">
              <w:rPr>
                <w:rFonts w:ascii="Arial" w:hAnsi="Arial" w:cs="Arial"/>
                <w:b/>
                <w:bCs/>
                <w:noProof/>
                <w:color w:val="000000" w:themeColor="text1"/>
              </w:rPr>
              <w:t>6</w:t>
            </w:r>
            <w:r w:rsidRPr="00D747F3">
              <w:rPr>
                <w:rFonts w:ascii="Arial" w:hAnsi="Arial" w:cs="Arial"/>
                <w:b/>
                <w:bCs/>
                <w:color w:val="000000" w:themeColor="text1"/>
              </w:rPr>
              <w:fldChar w:fldCharType="end"/>
            </w:r>
            <w:r w:rsidR="00DB692F" w:rsidRPr="00D74025">
              <w:rPr>
                <w:rFonts w:ascii="Arial" w:hAnsi="Arial" w:cs="Arial"/>
                <w:b/>
                <w:bCs/>
                <w:color w:val="000000" w:themeColor="text1"/>
              </w:rPr>
              <w:t>: The credit card model for the mechanism of protein-mediated lipid transport</w:t>
            </w:r>
            <w:r w:rsidR="00DB692F" w:rsidRPr="00D74025">
              <w:rPr>
                <w:rFonts w:ascii="Arial" w:hAnsi="Arial" w:cs="Arial"/>
                <w:color w:val="000000" w:themeColor="text1"/>
              </w:rPr>
              <w:t xml:space="preserve">. </w:t>
            </w:r>
            <w:proofErr w:type="spellStart"/>
            <w:r w:rsidR="00DB692F" w:rsidRPr="00D74025">
              <w:rPr>
                <w:rFonts w:ascii="Arial" w:hAnsi="Arial" w:cs="Arial"/>
                <w:color w:val="000000" w:themeColor="text1"/>
              </w:rPr>
              <w:t>Flippase</w:t>
            </w:r>
            <w:proofErr w:type="spellEnd"/>
            <w:r w:rsidR="00DB692F" w:rsidRPr="00D74025">
              <w:rPr>
                <w:rFonts w:ascii="Arial" w:hAnsi="Arial" w:cs="Arial"/>
                <w:color w:val="000000" w:themeColor="text1"/>
              </w:rPr>
              <w:t>/scramblase-mediated phospholipids transfer between the bilayer leaflets (light green) is depicted as a credit card swiping through a card reader. The polar head group of the lipid is the magnetic stripe on the credit card, and lipid’s acyl chains correspond to the rest of the card. The card reader representing the hydrophilic groove shields the polar headgroup from the membrane's hydrophobic interior during transit</w:t>
            </w:r>
            <w:r w:rsidR="00507EBD">
              <w:rPr>
                <w:rFonts w:ascii="Arial" w:hAnsi="Arial" w:cs="Arial"/>
                <w:color w:val="000000" w:themeColor="text1"/>
              </w:rPr>
              <w:t>. F</w:t>
            </w:r>
            <w:r w:rsidR="00DB692F" w:rsidRPr="00D74025">
              <w:rPr>
                <w:rFonts w:ascii="Arial" w:hAnsi="Arial" w:cs="Arial"/>
                <w:color w:val="000000" w:themeColor="text1"/>
              </w:rPr>
              <w:t xml:space="preserve">igure from Kobayashi &amp; Menon, 2018  </w:t>
            </w:r>
            <w:r w:rsidR="00DB692F"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{"citationID":"xUg0J1JK","properties":{"formattedCitation":"\\super 26\\nosupersub{}","plainCitation":"26","noteIndex":0},"citationItems":[{"id":118,"uris":["http://zotero.org/users/7661987/items/R6NYNDQI"],"itemData":{"id":118,"type":"article-journal","container-title":"Current Biology","DOI":"10.1016/j.cub.2018.01.007","ISSN":"09609822","issue":"8","journalAbbreviation":"Current Biology","language":"en","page":"R386-R391","source":"DOI.org (Crossref)","title":"Transbilayer lipid asymmetry","volume":"28","author":[{"family":"Kobayashi","given":"Toshihide"},{"family":"Menon","given":"Anant K."}],"issued":{"date-parts":[["2018",4]]}}}],"schema":"https://github.com/citation-style-language/schema/raw/master/csl-citation.json"} </w:instrText>
            </w:r>
            <w:r w:rsidR="00DB692F" w:rsidRPr="00D74025">
              <w:rPr>
                <w:rFonts w:ascii="Arial" w:hAnsi="Arial" w:cs="Arial"/>
                <w:color w:val="000000" w:themeColor="text1"/>
              </w:rPr>
              <w:fldChar w:fldCharType="separate"/>
            </w:r>
            <w:r w:rsidR="00DB692F" w:rsidRPr="00D74025">
              <w:rPr>
                <w:rFonts w:ascii="Arial" w:hAnsi="Arial" w:cs="Arial"/>
                <w:color w:val="000000" w:themeColor="text1"/>
                <w:vertAlign w:val="superscript"/>
              </w:rPr>
              <w:t>26</w:t>
            </w:r>
            <w:r w:rsidR="00DB692F" w:rsidRPr="00D74025">
              <w:rPr>
                <w:rFonts w:ascii="Arial" w:hAnsi="Arial" w:cs="Arial"/>
                <w:color w:val="000000" w:themeColor="text1"/>
              </w:rPr>
              <w:fldChar w:fldCharType="end"/>
            </w:r>
            <w:r w:rsidR="00DB692F" w:rsidRPr="00D74025">
              <w:rPr>
                <w:rFonts w:ascii="Arial" w:hAnsi="Arial" w:cs="Arial"/>
                <w:color w:val="000000" w:themeColor="text1"/>
              </w:rPr>
              <w:t>.</w:t>
            </w:r>
            <w:bookmarkEnd w:id="13"/>
          </w:p>
        </w:tc>
      </w:tr>
    </w:tbl>
    <w:p w14:paraId="16170FB8" w14:textId="77777777" w:rsidR="00D747F3" w:rsidRDefault="00D747F3" w:rsidP="00C77937">
      <w:pPr>
        <w:autoSpaceDE w:val="0"/>
        <w:autoSpaceDN w:val="0"/>
        <w:adjustRightInd w:val="0"/>
        <w:spacing w:line="360" w:lineRule="auto"/>
        <w:ind w:firstLine="1440"/>
        <w:contextualSpacing/>
        <w:jc w:val="both"/>
        <w:rPr>
          <w:rFonts w:ascii="Arial" w:hAnsi="Arial" w:cs="Arial"/>
          <w:color w:val="000000" w:themeColor="text1"/>
        </w:rPr>
      </w:pPr>
    </w:p>
    <w:p w14:paraId="3668EED4" w14:textId="0F219328" w:rsidR="00C77937" w:rsidRPr="00D74025" w:rsidRDefault="00C77937" w:rsidP="00C77937">
      <w:pPr>
        <w:autoSpaceDE w:val="0"/>
        <w:autoSpaceDN w:val="0"/>
        <w:adjustRightInd w:val="0"/>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The activation of TMEM16F occurs in platelets during blood coagulation, which is critical in preventing blood loss. The process starts with the initial activation of platelets by subendothelial factors, mainly collagen, after endothelial damage, which promotes the release of coagulant mediators from platelets. This activation also triggers cell signaling that stimulates the release of Ca</w:t>
      </w:r>
      <w:r w:rsidRPr="00D74025">
        <w:rPr>
          <w:rFonts w:ascii="Arial" w:hAnsi="Arial" w:cs="Arial"/>
          <w:color w:val="000000" w:themeColor="text1"/>
          <w:vertAlign w:val="superscript"/>
        </w:rPr>
        <w:t>2+</w:t>
      </w:r>
      <w:r w:rsidRPr="00D74025">
        <w:rPr>
          <w:rFonts w:ascii="Arial" w:hAnsi="Arial" w:cs="Arial"/>
          <w:color w:val="000000" w:themeColor="text1"/>
        </w:rPr>
        <w:t xml:space="preserve"> from the cytoplasmatic stores and the opening of Ca</w:t>
      </w:r>
      <w:r w:rsidRPr="00D74025">
        <w:rPr>
          <w:rFonts w:ascii="Arial" w:hAnsi="Arial" w:cs="Arial"/>
          <w:color w:val="000000" w:themeColor="text1"/>
          <w:vertAlign w:val="superscript"/>
        </w:rPr>
        <w:t>2+</w:t>
      </w:r>
      <w:r w:rsidRPr="00D74025">
        <w:rPr>
          <w:rFonts w:ascii="Arial" w:hAnsi="Arial" w:cs="Arial"/>
          <w:color w:val="000000" w:themeColor="text1"/>
        </w:rPr>
        <w:t xml:space="preserve"> channels on the plasma membrane. Consequently, the cytoplasmic Ca</w:t>
      </w:r>
      <w:r w:rsidRPr="00D74025">
        <w:rPr>
          <w:rFonts w:ascii="Arial" w:hAnsi="Arial" w:cs="Arial"/>
          <w:color w:val="000000" w:themeColor="text1"/>
          <w:vertAlign w:val="superscript"/>
        </w:rPr>
        <w:t>2+</w:t>
      </w:r>
      <w:r w:rsidRPr="00D74025">
        <w:rPr>
          <w:rFonts w:ascii="Arial" w:hAnsi="Arial" w:cs="Arial"/>
          <w:color w:val="000000" w:themeColor="text1"/>
        </w:rPr>
        <w:t xml:space="preserve"> concentration in the platelet increases, which is the signal for activation of TMEM16F. As mentioned previously, the functioning TMEM16F scramblase quickly promotes the loss of lipid asymmetry and the exposure of PS on the cell membrane.</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{"citationID":"a1eipq0c6ba","properties":{"formattedCitation":"\\super 38\\nosupersub{}","plainCitation":"38","noteIndex":0},"citationItems":[{"id":81,"uris":["http://zotero.org/users/7661987/items/TTP7LNGC"],"itemData":{"id":81,"type":"article-journal","container-title":"Nature","DOI":"10.1038/nature09583","ISSN":"0028-0836, 1476-4687","issue":"7325","journalAbbreviation":"Nature","language":"en","page":"834-838","source":"DOI.org (Crossref)","title":"Calcium-dependent phospholipid scrambling by TMEM16F","volume":"468","author":[{"family":"Suzuki","given":"Jun"},{"family":"Umeda","given":"Masato"},{"family":"Sims","given":"Peter J."},{"family":"Nagata","given":"Shigekazu"}],"issued":{"date-parts":[["2010",12]]}}}],"schema":"https://github.com/citation-style-language/schema/raw/master/csl-citation.json"}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38</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1086B43F" w14:textId="5AAF0611" w:rsidR="00D077EF" w:rsidRPr="00D74025" w:rsidRDefault="00D077EF" w:rsidP="00D077EF">
      <w:pPr>
        <w:autoSpaceDE w:val="0"/>
        <w:autoSpaceDN w:val="0"/>
        <w:adjustRightInd w:val="0"/>
        <w:snapToGrid w:val="0"/>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lastRenderedPageBreak/>
        <w:t>In this context, PS on the surface is essential for the attraction of clotting factors and consequent increase of their concentration locally on the surface of the platelets. Additionally, PS acts as a catalytic surface for the coagulation cascade</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{"citationID":"ptpZCCZA","properties":{"formattedCitation":"\\super 38\\uc0\\u8211{}40\\nosupersub{}","plainCitation":"38–40","noteIndex":0},"citationItems":[{"id":83,"uris":["http://zotero.org/users/7661987/items/HAL4N4WY"],"itemData":{"id":83,"type":"article-journal","abstract":"Agonist-induced elevation in cytosolic Ca2+ concentrations is essential for platelet activation in hemostasis and thrombosis. It occurs through Ca2+ release from intracellular stores and Ca2+ entry through the plasma membrane (PM). Ca2+ store release is a well-established process involving phospholipase (PL)C-mediated production of inositol-1,4,5trisphosphate (IP3), which in turn releases Ca2+ from the intracellular stores through IP3 receptor channels. In contrast, the mechanisms controlling Ca2+ entry and the signiﬁcance of this process for platelet activation have been elucidated only very recently. In platelets, as in other non-excitable cells, the major way of Ca2+ entry involves the agonist-induced release of cytosolic sequestered Ca2+ followed by Ca2+ inﬂux through the PM, a process referred to as store-operated calcium entry (SOCE). It is now clear that stromal interaction molecule 1 (STIM1), a Ca2+ sensor molecule in intracellular stores, and the four transmembrane channel protein Orai1 are the key players in platelet SOCE. The other major Ca2+ entry mechanism is mediated by the direct receptor-operated calcium (ROC) channel, P2X1. Besides these, canonical transient receptor potential channel (TRPC) 6 mediates Ca2+ entry through the PM. This review summarizes the current knowledge of platelet Ca2+ homeostasis with a focus on the newly identiﬁed Ca2+ entry mechanisms.","container-title":"Journal of Thrombosis and Haemostasis","DOI":"10.1111/j.1538-7836.2009.03455.x","ISSN":"15387933, 15387836","issue":"7","language":"en","page":"1057-1066","source":"DOI.org (Crossref)","title":"Calcium signaling in platelets","volume":"7","author":[{"family":"Varga-Szabo","given":"D."},{"family":"Braun","given":"A."},{"family":"Nieswandt","given":"B."}],"issued":{"date-parts":[["2009",7]]}}},{"id":82,"uris":["http://zotero.org/users/7661987/items/J2DLTAJ3"],"itemData":{"id":82,"type":"article-journal","container-title":"European Journal of Biochemistry","DOI":"10.1111/j.1432-1033.1982.tb05898.x","ISSN":"0014-2956, 1432-1033","issue":"2","journalAbbreviation":"Eur J Biochem","language":"en","page":"429-436","source":"DOI.org (Crossref)","title":"Generation of Prothrombin-Converting Activity and the Exposure of Phosphatidylserine at the Outer Surface of Platelets","volume":"122","author":[{"family":"Bevers","given":"Edouard M."},{"family":"Comfurius","given":"Paul"},{"family":"Van Rijn","given":"Jan L. M. L."},{"family":"Hemker","given":"H. Coenraad"}],"issued":{"date-parts":[["1982",2]]}}},{"id":81,"uris":["http://zotero.org/users/7661987/items/TTP7LNGC"],"itemData":{"id":81,"type":"article-journal","container-title":"Nature","DOI":"10.1038/nature09583","ISSN":"0028-0836, 1476-4687","issue":"7325","journalAbbreviation":"Nature","language":"en","page":"834-838","source":"DOI.org (Crossref)","title":"Calcium-dependent phospholipid scrambling by TMEM16F","volume":"468","author":[{"family":"Suzuki","given":"Jun"},{"family":"Umeda","given":"Masato"},{"family":"Sims","given":"Peter J."},{"family":"Nagata","given":"Shigekazu"}],"issued":{"date-parts":[["2010",12]]}}}],"schema":"https://github.com/citation-style-language/schema/raw/master/csl-citation.json"}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38–40</w:t>
      </w:r>
      <w:r w:rsidRPr="00D74025">
        <w:rPr>
          <w:rFonts w:ascii="Arial" w:hAnsi="Arial" w:cs="Arial"/>
          <w:color w:val="000000" w:themeColor="text1"/>
        </w:rPr>
        <w:fldChar w:fldCharType="end"/>
      </w:r>
      <w:r w:rsidRPr="00D74025">
        <w:rPr>
          <w:rFonts w:ascii="Arial" w:hAnsi="Arial" w:cs="Arial"/>
          <w:color w:val="000000" w:themeColor="text1"/>
        </w:rPr>
        <w:t xml:space="preserve">. This mechanism is summarized in </w:t>
      </w:r>
      <w:r w:rsidR="00715F3B" w:rsidRPr="00715F3B">
        <w:rPr>
          <w:rFonts w:ascii="Arial" w:hAnsi="Arial" w:cs="Arial"/>
          <w:b/>
          <w:bCs/>
          <w:color w:val="000000" w:themeColor="text1"/>
        </w:rPr>
        <w:t>F</w:t>
      </w:r>
      <w:r w:rsidRPr="00715F3B">
        <w:rPr>
          <w:rFonts w:ascii="Arial" w:hAnsi="Arial" w:cs="Arial"/>
          <w:b/>
          <w:bCs/>
          <w:color w:val="000000" w:themeColor="text1"/>
        </w:rPr>
        <w:t>igure 7 (left panel)</w:t>
      </w:r>
      <w:r w:rsidRPr="00D74025">
        <w:rPr>
          <w:rFonts w:ascii="Arial" w:hAnsi="Arial" w:cs="Arial"/>
          <w:color w:val="000000" w:themeColor="text1"/>
        </w:rPr>
        <w:t>.</w:t>
      </w:r>
    </w:p>
    <w:p w14:paraId="20A89901" w14:textId="304F4BAC" w:rsidR="00C47C28" w:rsidRPr="00D74025" w:rsidRDefault="00C47C28" w:rsidP="00C47C28">
      <w:pPr>
        <w:autoSpaceDE w:val="0"/>
        <w:autoSpaceDN w:val="0"/>
        <w:adjustRightInd w:val="0"/>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 xml:space="preserve">While the PS exposure is mediated by TMEM16F scramblase during platelet activation, another scramblase is responsible for that process on apoptotic cells: Xkr8 </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{"citationID":"v8OK5p0y","properties":{"formattedCitation":"\\super 41\\nosupersub{}","plainCitation":"41","noteIndex":0},"citationItems":[{"id":77,"uris":["http://zotero.org/users/7661987/items/I3N6GUN3"],"itemData":{"id":77,"type":"article-journal","container-title":"Science","DOI":"10.1126/science.1236758","ISSN":"0036-8075, 1095-9203","issue":"6144","journalAbbreviation":"Science","language":"en","page":"403-406","source":"DOI.org (Crossref)","title":"Xk-Related Protein 8 and CED-8 Promote Phosphatidylserine Exposure in Apoptotic Cells","volume":"341","author":[{"family":"Suzuki","given":"Jun"},{"family":"Denning","given":"Daniel P."},{"family":"Imanishi","given":"Eiichi"},{"family":"Horvitz","given":"H. Robert"},{"family":"Nagata","given":"Shigekazu"}],"issued":{"date-parts":[["2013",7,26]]}}}],"schema":"https://github.com/citation-style-language/schema/raw/master/csl-citation.json"}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41</w:t>
      </w:r>
      <w:r w:rsidRPr="00D74025">
        <w:rPr>
          <w:rFonts w:ascii="Arial" w:hAnsi="Arial" w:cs="Arial"/>
          <w:color w:val="000000" w:themeColor="text1"/>
        </w:rPr>
        <w:fldChar w:fldCharType="end"/>
      </w:r>
      <w:r w:rsidRPr="00D74025">
        <w:rPr>
          <w:rFonts w:ascii="Arial" w:hAnsi="Arial" w:cs="Arial"/>
          <w:color w:val="000000" w:themeColor="text1"/>
        </w:rPr>
        <w:t xml:space="preserve">. This scramblase is activated through cleavage that is performed by </w:t>
      </w:r>
      <w:proofErr w:type="gramStart"/>
      <w:r w:rsidRPr="00D74025">
        <w:rPr>
          <w:rFonts w:ascii="Arial" w:hAnsi="Arial" w:cs="Arial"/>
          <w:color w:val="000000" w:themeColor="text1"/>
        </w:rPr>
        <w:t>caspases,</w:t>
      </w:r>
      <w:proofErr w:type="gramEnd"/>
      <w:r w:rsidRPr="00D74025">
        <w:rPr>
          <w:rFonts w:ascii="Arial" w:hAnsi="Arial" w:cs="Arial"/>
          <w:color w:val="000000" w:themeColor="text1"/>
        </w:rPr>
        <w:t xml:space="preserve"> peptidases related to the machinery of apoptotic cell death.</w:t>
      </w:r>
    </w:p>
    <w:p w14:paraId="15724677" w14:textId="14110EDA" w:rsidR="00862054" w:rsidRDefault="007E36BF" w:rsidP="00594FBF">
      <w:pPr>
        <w:autoSpaceDE w:val="0"/>
        <w:autoSpaceDN w:val="0"/>
        <w:adjustRightInd w:val="0"/>
        <w:spacing w:line="360" w:lineRule="auto"/>
        <w:ind w:firstLine="1440"/>
        <w:jc w:val="both"/>
        <w:rPr>
          <w:rFonts w:ascii="Arial" w:hAnsi="Arial" w:cs="Arial"/>
          <w:color w:val="000000" w:themeColor="text1"/>
        </w:rPr>
      </w:pPr>
      <w:r w:rsidRPr="00D74025">
        <w:rPr>
          <w:rFonts w:ascii="Arial" w:hAnsi="Arial" w:cs="Arial"/>
          <w:color w:val="000000" w:themeColor="text1"/>
        </w:rPr>
        <w:t>Apoptosis is a critical genetically controlled physiologic process for tissue homeostasis. It is also called programmed cell death since it disposes of damaged and old cells using controlled means that prevent the release of toxic cytoplasmatic contents. Although two different pathways have been identified as apoptosis triggers, both lead to the activation of caspases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{"citationID":"OjtuOTRo","properties":{"formattedCitation":"\\super 42,43\\nosupersub{}","plainCitation":"42,43","noteIndex":0},"citationItems":[{"id":76,"uris":["http://zotero.org/users/7661987/items/RX5ZDKX8"],"itemData":{"id":76,"type":"article-journal","abstract":"The human body generates 10–100 billion cells every day, and the same number of cells die to maintain homeostasis in our body. Cells infected by bacteria or viruses also die. The cell death that occurs under physiological conditions mainly proceeds by apoptosis, which is a noninﬂammatory, or silent, process, while pathogen infection induces necroptosis or pyroptosis, which activates the immune system and causes inﬂammation. Dead cells generated by apoptosis are quickly engulfed by macrophages for degradation. Caspases are a large family of cysteine proteases that act in cascades. A cascade that leads to caspase 3 activation mediates apoptosis and is responsible for killing cells, recruiting macrophages, and presenting an “eat me” signal(s). When apoptotic cells are not efﬁciently engulfed by macrophages, they undergo secondary necrosis and release intracellular materials that represent a damage-associated molecular pattern, which may lead to a systemic lupus-like autoimmune disease.","container-title":"Annual Review of Immunology","DOI":"10.1146/annurev-immunol-042617-053010","ISSN":"0732-0582, 1545-3278","issue":"1","journalAbbreviation":"Annu. Rev. Immunol.","language":"en","page":"489-517","source":"DOI.org (Crossref)","title":"Apoptosis and Clearance of Apoptotic Cells","volume":"36","author":[{"family":"Nagata","given":"Shigekazu"}],"issued":{"date-parts":[["2018",4,26]]}}},{"id":75,"uris":["http://zotero.org/users/7661987/items/G43N269V"],"itemData":{"id":75,"type":"article-journal","abstract":"Nearly 15 types of programmed cell death (PCD) have been identified to date. Among them, apoptosis is the most common and well studied type of PCD. In this review, we discuss different apoptotic pathways in which plasma membrane and membrane organelles, such as mitochondria, endoplasmic reticulum, Golgi apparatus, lysosomes, and nucleus play the pivotal role. Data concerning caspase cascades involved in these mechanisms are described. Various apoptosis induction mechanisms are analyzed and compared. The close relations between them and the possibility of switching from one path way to another are demonstrated. In most cases, the result of these pathways is mitochondrial membrane permeabilization and/or caspase activation. These two events are closely linked and serve as the central point of integration of the apoptotic cell death pathways.","container-title":"Biochemistry (Moscow)","DOI":"10.1134/S0006297915110012","ISSN":"0006-2979, 1608-3040","issue":"11","journalAbbreviation":"Biochemistry Moscow","language":"en","page":"1393-1405","source":"DOI.org (Crossref)","title":"Mechanisms of apoptosis","volume":"80","author":[{"family":"Savitskaya","given":"M. A."},{"family":"Onishchenko","given":"G. E."}],"issued":{"date-parts":[["2015",11]]}}}],"schema":"https://github.com/citation-style-language/schema/raw/master/csl-citation.json"}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42,43</w:t>
      </w:r>
      <w:r w:rsidRPr="00D74025">
        <w:rPr>
          <w:rFonts w:ascii="Arial" w:hAnsi="Arial" w:cs="Arial"/>
          <w:color w:val="000000" w:themeColor="text1"/>
        </w:rPr>
        <w:fldChar w:fldCharType="end"/>
      </w:r>
      <w:r w:rsidRPr="00D74025">
        <w:rPr>
          <w:rFonts w:ascii="Arial" w:hAnsi="Arial" w:cs="Arial"/>
          <w:color w:val="000000" w:themeColor="text1"/>
        </w:rPr>
        <w:t>. Therefore, the activation of caspases – intrinsic to the apoptosis cascade - promotes activation of XKR8 scramblases and consequent PS externalization.</w:t>
      </w:r>
    </w:p>
    <w:p w14:paraId="6D737412" w14:textId="77777777" w:rsidR="007A6BEC" w:rsidRPr="00D74025" w:rsidRDefault="007A6BEC" w:rsidP="00594FBF">
      <w:pPr>
        <w:autoSpaceDE w:val="0"/>
        <w:autoSpaceDN w:val="0"/>
        <w:adjustRightInd w:val="0"/>
        <w:spacing w:line="360" w:lineRule="auto"/>
        <w:ind w:firstLine="1440"/>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68D2049A" w14:textId="77777777" w:rsidTr="001B3920">
        <w:tc>
          <w:tcPr>
            <w:tcW w:w="9350" w:type="dxa"/>
          </w:tcPr>
          <w:p w14:paraId="702F7CC2" w14:textId="716A1297" w:rsidR="001B3920" w:rsidRPr="00D74025" w:rsidRDefault="001B3920" w:rsidP="000B64DE">
            <w:pPr>
              <w:autoSpaceDE w:val="0"/>
              <w:autoSpaceDN w:val="0"/>
              <w:adjustRightInd w:val="0"/>
              <w:spacing w:beforeAutospacing="0" w:line="360" w:lineRule="auto"/>
              <w:ind w:firstLine="0"/>
              <w:rPr>
                <w:rFonts w:ascii="Arial" w:hAnsi="Arial" w:cs="Arial"/>
                <w:color w:val="000000" w:themeColor="text1"/>
              </w:rPr>
            </w:pPr>
            <w:r w:rsidRPr="00D74025">
              <w:rPr>
                <w:rFonts w:ascii="Arial" w:hAnsi="Arial" w:cs="Arial"/>
                <w:noProof/>
                <w:color w:val="000000" w:themeColor="text1"/>
              </w:rPr>
              <w:drawing>
                <wp:inline distT="0" distB="0" distL="0" distR="0" wp14:anchorId="0D582B23" wp14:editId="4BBA2078">
                  <wp:extent cx="5747657" cy="2721540"/>
                  <wp:effectExtent l="0" t="0" r="0" b="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17"/>
                          <a:stretch>
                            <a:fillRect/>
                          </a:stretch>
                        </pic:blipFill>
                        <pic:spPr>
                          <a:xfrm>
                            <a:off x="0" y="0"/>
                            <a:ext cx="5755847" cy="2725418"/>
                          </a:xfrm>
                          <a:prstGeom prst="rect">
                            <a:avLst/>
                          </a:prstGeom>
                        </pic:spPr>
                      </pic:pic>
                    </a:graphicData>
                  </a:graphic>
                </wp:inline>
              </w:drawing>
            </w:r>
          </w:p>
        </w:tc>
      </w:tr>
      <w:tr w:rsidR="001B3920" w:rsidRPr="00D74025" w14:paraId="2592076A" w14:textId="77777777" w:rsidTr="001B3920">
        <w:tc>
          <w:tcPr>
            <w:tcW w:w="9350" w:type="dxa"/>
          </w:tcPr>
          <w:p w14:paraId="5C0777F6" w14:textId="61805EBA" w:rsidR="001B3920" w:rsidRPr="00D74025" w:rsidRDefault="00D747F3" w:rsidP="00717740">
            <w:pPr>
              <w:autoSpaceDE w:val="0"/>
              <w:autoSpaceDN w:val="0"/>
              <w:adjustRightInd w:val="0"/>
              <w:spacing w:before="120" w:beforeAutospacing="0" w:after="0" w:afterAutospacing="0" w:line="360" w:lineRule="auto"/>
              <w:ind w:firstLine="0"/>
              <w:rPr>
                <w:rFonts w:ascii="Arial" w:hAnsi="Arial" w:cs="Arial"/>
                <w:color w:val="000000" w:themeColor="text1"/>
              </w:rPr>
            </w:pPr>
            <w:bookmarkStart w:id="14" w:name="_Toc121217329"/>
            <w:r w:rsidRPr="00D747F3">
              <w:rPr>
                <w:rFonts w:ascii="Arial" w:hAnsi="Arial" w:cs="Arial"/>
                <w:b/>
                <w:bCs/>
                <w:color w:val="000000" w:themeColor="text1"/>
              </w:rPr>
              <w:t xml:space="preserve">Figure </w:t>
            </w:r>
            <w:r w:rsidRPr="00D747F3">
              <w:rPr>
                <w:rFonts w:ascii="Arial" w:hAnsi="Arial" w:cs="Arial"/>
                <w:b/>
                <w:bCs/>
                <w:color w:val="000000" w:themeColor="text1"/>
              </w:rPr>
              <w:fldChar w:fldCharType="begin"/>
            </w:r>
            <w:r w:rsidRPr="00D747F3">
              <w:rPr>
                <w:rFonts w:ascii="Arial" w:hAnsi="Arial" w:cs="Arial"/>
                <w:b/>
                <w:bCs/>
                <w:color w:val="000000" w:themeColor="text1"/>
              </w:rPr>
              <w:instrText xml:space="preserve"> SEQ Figure \* ARABIC </w:instrText>
            </w:r>
            <w:r w:rsidRPr="00D747F3">
              <w:rPr>
                <w:rFonts w:ascii="Arial" w:hAnsi="Arial" w:cs="Arial"/>
                <w:b/>
                <w:bCs/>
                <w:color w:val="000000" w:themeColor="text1"/>
              </w:rPr>
              <w:fldChar w:fldCharType="separate"/>
            </w:r>
            <w:r w:rsidR="002C4B25">
              <w:rPr>
                <w:rFonts w:ascii="Arial" w:hAnsi="Arial" w:cs="Arial"/>
                <w:b/>
                <w:bCs/>
                <w:noProof/>
                <w:color w:val="000000" w:themeColor="text1"/>
              </w:rPr>
              <w:t>7</w:t>
            </w:r>
            <w:r w:rsidRPr="00D747F3">
              <w:rPr>
                <w:rFonts w:ascii="Arial" w:hAnsi="Arial" w:cs="Arial"/>
                <w:b/>
                <w:bCs/>
                <w:color w:val="000000" w:themeColor="text1"/>
              </w:rPr>
              <w:fldChar w:fldCharType="end"/>
            </w:r>
            <w:r w:rsidR="00594FBF" w:rsidRPr="00D74025">
              <w:rPr>
                <w:rFonts w:ascii="Arial" w:hAnsi="Arial" w:cs="Arial"/>
                <w:b/>
                <w:bCs/>
                <w:color w:val="000000" w:themeColor="text1"/>
              </w:rPr>
              <w:t>: Pathways phospholipid scrambling during blood coagulation and apoptosis.</w:t>
            </w:r>
            <w:r w:rsidR="00594FBF" w:rsidRPr="00D74025">
              <w:rPr>
                <w:rFonts w:ascii="Arial" w:hAnsi="Arial" w:cs="Arial"/>
                <w:color w:val="000000" w:themeColor="text1"/>
              </w:rPr>
              <w:t xml:space="preserve"> Left panel: The blood coagulation process leads to an elevation in intracellular Ca</w:t>
            </w:r>
            <w:r w:rsidR="00594FBF" w:rsidRPr="00D74025">
              <w:rPr>
                <w:rFonts w:ascii="Arial" w:hAnsi="Arial" w:cs="Arial"/>
                <w:color w:val="000000" w:themeColor="text1"/>
                <w:vertAlign w:val="superscript"/>
              </w:rPr>
              <w:t>2+</w:t>
            </w:r>
            <w:r w:rsidR="00594FBF" w:rsidRPr="00D74025">
              <w:rPr>
                <w:rFonts w:ascii="Arial" w:hAnsi="Arial" w:cs="Arial"/>
                <w:color w:val="000000" w:themeColor="text1"/>
              </w:rPr>
              <w:t xml:space="preserve"> level, which stimulates TMEM16F scramblase activity on platelets. The scrambling of those membrane components causes exposure of PS on the </w:t>
            </w:r>
            <w:r w:rsidR="00594FBF" w:rsidRPr="00D74025">
              <w:rPr>
                <w:rFonts w:ascii="Arial" w:hAnsi="Arial" w:cs="Arial"/>
                <w:color w:val="000000" w:themeColor="text1"/>
              </w:rPr>
              <w:lastRenderedPageBreak/>
              <w:t>surface, where it acts as a platform on which coagulation protein complexes assemble. Right panel: Apoptosis caspases activate scramblase activit</w:t>
            </w:r>
            <w:r w:rsidR="00CE7680">
              <w:rPr>
                <w:rFonts w:ascii="Arial" w:hAnsi="Arial" w:cs="Arial"/>
                <w:color w:val="000000" w:themeColor="text1"/>
              </w:rPr>
              <w:t>y</w:t>
            </w:r>
            <w:r w:rsidR="00594FBF" w:rsidRPr="00D74025">
              <w:rPr>
                <w:rFonts w:ascii="Arial" w:hAnsi="Arial" w:cs="Arial"/>
                <w:color w:val="000000" w:themeColor="text1"/>
              </w:rPr>
              <w:t xml:space="preserve">. Caspase might also inactivate </w:t>
            </w:r>
            <w:proofErr w:type="spellStart"/>
            <w:r w:rsidR="00594FBF" w:rsidRPr="00D74025">
              <w:rPr>
                <w:rFonts w:ascii="Arial" w:hAnsi="Arial" w:cs="Arial"/>
                <w:color w:val="000000" w:themeColor="text1"/>
              </w:rPr>
              <w:t>flippase</w:t>
            </w:r>
            <w:proofErr w:type="spellEnd"/>
            <w:r w:rsidR="00594FBF" w:rsidRPr="00D74025">
              <w:rPr>
                <w:rFonts w:ascii="Arial" w:hAnsi="Arial" w:cs="Arial"/>
                <w:color w:val="000000" w:themeColor="text1"/>
              </w:rPr>
              <w:t xml:space="preserve"> activity (ATP11C) by cleaving at their caspase-recognition sites, which prevents the reestablishment of lipid asymmetry. Phospholipid scrambling causes PS to be exposed on the surface of the apoptotic cell, where it acts as an ‘eat me’ signal for macrophages. Image from</w:t>
            </w:r>
            <w:r w:rsidR="00594FBF" w:rsidRPr="00D74025">
              <w:rPr>
                <w:color w:val="000000" w:themeColor="text1"/>
              </w:rPr>
              <w:t xml:space="preserve"> </w:t>
            </w:r>
            <w:r w:rsidR="00594FBF" w:rsidRPr="00D74025">
              <w:rPr>
                <w:rFonts w:ascii="Arial" w:hAnsi="Arial" w:cs="Arial"/>
                <w:color w:val="000000" w:themeColor="text1"/>
              </w:rPr>
              <w:t xml:space="preserve">Hankins </w:t>
            </w:r>
            <w:r w:rsidR="00594FBF" w:rsidRPr="00D74025">
              <w:rPr>
                <w:rFonts w:ascii="Arial" w:hAnsi="Arial" w:cs="Arial"/>
                <w:i/>
                <w:iCs/>
                <w:color w:val="000000" w:themeColor="text1"/>
              </w:rPr>
              <w:t>et al.</w:t>
            </w:r>
            <w:r w:rsidR="00594FBF" w:rsidRPr="00D74025">
              <w:rPr>
                <w:rFonts w:ascii="Arial" w:hAnsi="Arial" w:cs="Arial"/>
                <w:color w:val="000000" w:themeColor="text1"/>
              </w:rPr>
              <w:t xml:space="preserve">, 2015 </w:t>
            </w:r>
            <w:r w:rsidR="00594FBF"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{"citationID":"YCRsL2Uz","properties":{"formattedCitation":"\\super 44\\nosupersub{}","plainCitation":"44","noteIndex":0},"citationItems":[{"id":71,"uris":["http://zotero.org/users/7661987/items/7LZECTDD"],"itemData":{"id":71,"type":"article-journal","container-title":"Traffic","DOI":"10.1111/tra.12233","ISSN":"13989219","issue":"1","journalAbbreviation":"Traffic","language":"en","page":"35-47","source":"DOI.org (Crossref)","title":"Role of Flippases, Scramblases and Transfer Proteins in Phosphatidylserine Subcellular Distribution","volume":"16","author":[{"family":"Hankins","given":"Hannah M."},{"family":"Baldridge","given":"Ryan D."},{"family":"Xu","given":"Peng"},{"family":"Graham","given":"Todd R."}],"issued":{"date-parts":[["2015",1]]}}}],"schema":"https://github.com/citation-style-language/schema/raw/master/csl-citation.json"} </w:instrText>
            </w:r>
            <w:r w:rsidR="00594FBF" w:rsidRPr="00D74025">
              <w:rPr>
                <w:rFonts w:ascii="Arial" w:hAnsi="Arial" w:cs="Arial"/>
                <w:color w:val="000000" w:themeColor="text1"/>
              </w:rPr>
              <w:fldChar w:fldCharType="separate"/>
            </w:r>
            <w:r w:rsidR="00594FBF" w:rsidRPr="00D74025">
              <w:rPr>
                <w:rFonts w:ascii="Arial" w:hAnsi="Arial" w:cs="Arial"/>
                <w:color w:val="000000" w:themeColor="text1"/>
                <w:vertAlign w:val="superscript"/>
              </w:rPr>
              <w:t>44</w:t>
            </w:r>
            <w:r w:rsidR="00594FBF" w:rsidRPr="00D74025">
              <w:rPr>
                <w:rFonts w:ascii="Arial" w:hAnsi="Arial" w:cs="Arial"/>
                <w:color w:val="000000" w:themeColor="text1"/>
              </w:rPr>
              <w:fldChar w:fldCharType="end"/>
            </w:r>
            <w:r w:rsidR="00594FBF" w:rsidRPr="00D74025">
              <w:rPr>
                <w:rFonts w:ascii="Arial" w:hAnsi="Arial" w:cs="Arial"/>
                <w:color w:val="000000" w:themeColor="text1"/>
              </w:rPr>
              <w:t>.</w:t>
            </w:r>
            <w:bookmarkEnd w:id="14"/>
          </w:p>
        </w:tc>
      </w:tr>
    </w:tbl>
    <w:p w14:paraId="627D0F79" w14:textId="77777777" w:rsidR="00D747F3" w:rsidRDefault="00D747F3" w:rsidP="00E14A75">
      <w:pPr>
        <w:autoSpaceDE w:val="0"/>
        <w:autoSpaceDN w:val="0"/>
        <w:adjustRightInd w:val="0"/>
        <w:spacing w:before="120" w:line="360" w:lineRule="auto"/>
        <w:ind w:firstLine="1440"/>
        <w:jc w:val="both"/>
        <w:rPr>
          <w:rFonts w:ascii="Arial" w:hAnsi="Arial" w:cs="Arial"/>
          <w:color w:val="000000" w:themeColor="text1"/>
        </w:rPr>
      </w:pPr>
    </w:p>
    <w:p w14:paraId="5863F972" w14:textId="24CCDE68" w:rsidR="00FF121D" w:rsidRPr="00D74025" w:rsidRDefault="00E14A75" w:rsidP="00E14A75">
      <w:pPr>
        <w:autoSpaceDE w:val="0"/>
        <w:autoSpaceDN w:val="0"/>
        <w:adjustRightInd w:val="0"/>
        <w:spacing w:before="120" w:line="360" w:lineRule="auto"/>
        <w:ind w:firstLine="1440"/>
        <w:jc w:val="both"/>
        <w:rPr>
          <w:rFonts w:ascii="Arial" w:hAnsi="Arial" w:cs="Arial"/>
          <w:color w:val="000000" w:themeColor="text1"/>
        </w:rPr>
      </w:pPr>
      <w:r w:rsidRPr="00D74025">
        <w:rPr>
          <w:rFonts w:ascii="Arial" w:hAnsi="Arial" w:cs="Arial"/>
          <w:color w:val="000000" w:themeColor="text1"/>
        </w:rPr>
        <w:t>The duration of PS activation on cells by both scramblases is distinct. While the activation of TMEM16F by Ca</w:t>
      </w:r>
      <w:r w:rsidRPr="00D74025">
        <w:rPr>
          <w:rFonts w:ascii="Arial" w:hAnsi="Arial" w:cs="Arial"/>
          <w:color w:val="000000" w:themeColor="text1"/>
          <w:vertAlign w:val="superscript"/>
        </w:rPr>
        <w:t>2+</w:t>
      </w:r>
      <w:r w:rsidRPr="00D74025">
        <w:rPr>
          <w:rFonts w:ascii="Arial" w:hAnsi="Arial" w:cs="Arial"/>
          <w:color w:val="000000" w:themeColor="text1"/>
        </w:rPr>
        <w:t xml:space="preserve"> cytoplasmatic concentrations is a reversible process, Xkr8 activation from caspase cleavage is permanent. Therefore, the PS expression related to the blood coagulation cascade is temporary, yet the apoptotic PS externalization is changeless, exacerbated by caspase cleavage's everlasting deactivation of ATPC11C.</w:t>
      </w:r>
    </w:p>
    <w:p w14:paraId="1347AE58" w14:textId="37C62636" w:rsidR="00E52E03" w:rsidRPr="00D74025" w:rsidRDefault="00E52E03" w:rsidP="00E52E03">
      <w:pPr>
        <w:autoSpaceDE w:val="0"/>
        <w:autoSpaceDN w:val="0"/>
        <w:adjustRightInd w:val="0"/>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The purpose of externalized PS on apoptotic cells is to be a signal for macrophage engulfment, which has been called the “eat-me signal” (see </w:t>
      </w:r>
      <w:r w:rsidR="00715F3B" w:rsidRPr="00715F3B">
        <w:rPr>
          <w:rFonts w:ascii="Arial" w:hAnsi="Arial" w:cs="Arial"/>
          <w:b/>
          <w:bCs/>
          <w:color w:val="000000" w:themeColor="text1"/>
        </w:rPr>
        <w:t>F</w:t>
      </w:r>
      <w:r w:rsidRPr="00715F3B">
        <w:rPr>
          <w:rFonts w:ascii="Arial" w:hAnsi="Arial" w:cs="Arial"/>
          <w:b/>
          <w:bCs/>
          <w:color w:val="000000" w:themeColor="text1"/>
        </w:rPr>
        <w:t>igure 7, right panel</w:t>
      </w:r>
      <w:r w:rsidRPr="00D74025">
        <w:rPr>
          <w:rFonts w:ascii="Arial" w:hAnsi="Arial" w:cs="Arial"/>
          <w:color w:val="000000" w:themeColor="text1"/>
        </w:rPr>
        <w:t>). Because the primary purpose of this process is to eliminate cells without damaging the surrounding tissue, this mechanism is also known to promote the suppression of inflammatory responses. Antigen-presenting cells (APCs) have phosphatidylserine receptors (PSR) that recognize the overexpression of PS on apoptotic cells. The binding of PS to PSR triggers the phagocytosis of the apoptotic cells. This binding also induces the release of anti-inflammatory species in that region by the APCs, which dampens the inflammatory response.</w:t>
      </w:r>
      <w:r w:rsidRPr="00D74025">
        <w:rPr>
          <w:rFonts w:ascii="Arial" w:hAnsi="Arial" w:cs="Arial"/>
          <w:color w:val="000000" w:themeColor="text1"/>
          <w:sz w:val="23"/>
          <w:szCs w:val="23"/>
        </w:rPr>
        <w:t xml:space="preserve"> </w:t>
      </w:r>
      <w:r w:rsidRPr="00D74025">
        <w:rPr>
          <w:rFonts w:ascii="Arial" w:hAnsi="Arial" w:cs="Arial"/>
          <w:color w:val="000000" w:themeColor="text1"/>
        </w:rPr>
        <w:t xml:space="preserve">Therefore, PS externalization is also correlated to the generation of dampening inflammatory signals </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{"citationID":"i0ecO2TJ","properties":{"formattedCitation":"\\super 45,46\\nosupersub{}","plainCitation":"45,46","noteIndex":0},"citationItems":[{"id":153,"uris":["http://zotero.org/users/7661987/items/8RMF6YVP"],"itemData":{"id":153,"type":"article-journal","container-title":"Cell Death &amp; Differentiation","DOI":"10.1038/cdd.2016.11","ISSN":"1350-9047, 1476-5403","issue":"6","journalAbbreviation":"Cell Death Differ","language":"en","page":"962-978","source":"DOI.org (Crossref)","title":"Phosphatidylserine is a global immunosuppressive signal in efferocytosis, infectious disease, and cancer","volume":"23","author":[{"family":"Birge","given":"R B"},{"family":"Boeltz","given":"S"},{"family":"Kumar","given":"S"},{"family":"Carlson","given":"J"},{"family":"Wanderley","given":"J"},{"family":"Calianese","given":"D"},{"family":"Barcinski","given":"M"},{"family":"Brekken","given":"R A"},{"family":"Huang","given":"X"},{"family":"Hutchins","given":"J T"},{"family":"Freimark","given":"B"},{"family":"Empig","given":"C"},{"family":"Mercer","given":"J"},{"family":"Schroit","given":"A J"},{"family":"Schett","given":"G"},{"family":"Herrmann","given":"M"}],"issued":{"date-parts":[["2016",6]]}}},{"id":74,"uris":["http://zotero.org/users/7661987/items/Y2NKW4BQ"],"itemData":{"id":74,"type":"article-journal","abstract":"Tissue macrophages rapidly recognize and engulf apoptotic cells. These events require the display of so-c alled eat-m e signals on the apoptotic cell surface, the most fundamental of which is phosphatidylserine (PtdSer). Externalization of this phospholipid is catalysed by scramblase enzymes, several of which are activated by caspase cleavage. PtdSer is detected both by macrophage receptors that bind to this phospholipid directly and by receptors that bind to a soluble bridging protein that is independently bound to PtdSer. Prominent among the latter receptors are the MER and AXL receptor tyrosine kinases. Eat-m e signals also trigger macrophages to engulf virus-infected or metabolically traumatized, but still living, cells, and this ‘murder by phagocytosis’ may be a common phenomenon. Finally , the localized presentation of PtdSer and other eat-m e signals on delimited cell surface domains may enable the phagocytic pruning of these ‘locally dead’ domains by macrophages, most notably by microglia of the central nervous system.","container-title":"Nature Reviews Immunology","DOI":"10.1038/s41577-019-0167-y","ISSN":"1474-1733, 1474-1741","issue":"9","journalAbbreviation":"Nat Rev Immunol","language":"en","page":"539-549","source":"DOI.org (Crossref)","title":"How macrophages deal with death","volume":"19","author":[{"family":"Lemke","given":"Greg"}],"issued":{"date-parts":[["2019",9]]}}}],"schema":"https://github.com/citation-style-language/schema/raw/master/csl-citation.json"}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45,46</w:t>
      </w:r>
      <w:r w:rsidRPr="00D74025">
        <w:rPr>
          <w:rFonts w:ascii="Arial" w:hAnsi="Arial" w:cs="Arial"/>
          <w:color w:val="000000" w:themeColor="text1"/>
        </w:rPr>
        <w:fldChar w:fldCharType="end"/>
      </w:r>
      <w:r w:rsidRPr="00D74025">
        <w:rPr>
          <w:rFonts w:ascii="Arial" w:hAnsi="Arial" w:cs="Arial"/>
          <w:color w:val="000000" w:themeColor="text1"/>
        </w:rPr>
        <w:t>. Ironically, this same fundamental process for tissue homeostasis is used by cancer cells to reduce inflammatory immune response and promote cell proliferation</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{"citationID":"xsgoc3YT","properties":{"formattedCitation":"\\super 47\\nosupersub{}","plainCitation":"47","noteIndex":0},"citationItems":[{"id":"a7Mi7BUu/2ceExQqk","uris":["http://www.mendeley.com/documents/?uuid=889d2be1-37c0-47d3-9147-16c29e3bebbb"],"itemData":{"DOI":"10.1016/j.semcancer.2017.08.012","ISSN":"10963650","abstract":"Cancer is a leading cause of mortality and morbidity globally. Many prominent cancer-associated molecules have been identified over the recent years which include EGFR, CD44, TGFbRII, HER2, miR-497, NMP22, BTA, Fibrin/FDP etc. These biomarkers are often used for screening, detection, diagnosis, prognosis, prediction and monitoring of cancer development. Phosphatidylserine (PS) is an essential component in all human cells which is present on the inner leaflet of the cell membrane. The oxidative stress causes exposure of PS on the surface of the vascular endothelium in the cancer cells (lung, breast, pancreatic, bladder, skin, brain metastasis, rectal adenocarcinoma etc.) but not on the normal cells. The external PS is regulated by calcium-dependent flippase activity. Cancer cell lines with high surface PS have low flippase activity and high intracellular calcium content. Human Annexin-V, PS targeting antibodies (PGN635 and bavituximab and mch1N11), lysosomal protein, phospholipid Saposin C dioleoylphosphatidylserine (SapC–DOPS), peptide-peptoid hybrid PPS1, PS-binding 14-mer peptide (PSBP-6) and hexapeptide (E3) have been reported to target PS present on cancer cell surface. High expression of CD47 inhibits tumor cell phagocytosis by macrophages. The PS cancer biomarker has also been used to target the drugs to cancer cells specifically without affecting other healthy cells. Currently, the fusion protein (FP) consisting of L-methionase linked to human Annexin-V has been reported to target the cancer cells. The FP catalyzes the conversion of non-toxic prodrug selenomethionine into toxic methyl selenol which thus also prevents the methionine (essential amino acid) supplementation to the cancer cells.","author":[{"dropping-particle":"","family":"Sharma","given":"Bhupender","non-dropping-particle":"","parse-names":false,"suffix":""},{"dropping-particle":"","family":"Kanwar","given":"Shamsher S.","non-dropping-particle":"","parse-names":false,"suffix":""}],"container-title":"Seminars in Cancer Biology","id":"VMwTVQVJ/iBST8lQ0","issued":{"date-parts":[["2018"]]},"page":"17-25","publisher":"Elsevier Ltd","title":"Phosphatidylserine: A cancer cell targeting biomarker","type":"article-journal","volume":"52"}}],"schema":"https://github.com/citation-style-language/schema/raw/master/csl-citation.json"}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47</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6AA65B81" w14:textId="0F4BC47B" w:rsidR="00791D13" w:rsidRPr="00D74025" w:rsidRDefault="00791D13" w:rsidP="00F665A0">
      <w:pPr>
        <w:spacing w:line="360" w:lineRule="auto"/>
        <w:jc w:val="both"/>
        <w:rPr>
          <w:rFonts w:ascii="Arial" w:hAnsi="Arial" w:cs="Arial"/>
          <w:b/>
          <w:bCs/>
          <w:color w:val="000000" w:themeColor="text1"/>
        </w:rPr>
      </w:pPr>
    </w:p>
    <w:p w14:paraId="68BD66A4" w14:textId="7146BBF2" w:rsidR="00DA462B" w:rsidRPr="00D74025" w:rsidRDefault="00DA462B" w:rsidP="00DA462B">
      <w:pPr>
        <w:pStyle w:val="Heading3"/>
        <w:spacing w:line="360" w:lineRule="auto"/>
        <w:ind w:firstLine="1440"/>
        <w:rPr>
          <w:rFonts w:ascii="Arial" w:hAnsi="Arial" w:cs="Arial"/>
          <w:b/>
          <w:bCs/>
          <w:color w:val="000000" w:themeColor="text1"/>
        </w:rPr>
      </w:pPr>
      <w:bookmarkStart w:id="15" w:name="_Toc121217225"/>
      <w:r w:rsidRPr="00D74025">
        <w:rPr>
          <w:rFonts w:ascii="Arial" w:hAnsi="Arial" w:cs="Arial"/>
          <w:b/>
          <w:bCs/>
          <w:color w:val="000000" w:themeColor="text1"/>
        </w:rPr>
        <w:t xml:space="preserve">1.1.3 PS </w:t>
      </w:r>
      <w:r w:rsidR="007944EC" w:rsidRPr="00D74025">
        <w:rPr>
          <w:rFonts w:ascii="Arial" w:hAnsi="Arial" w:cs="Arial"/>
          <w:b/>
          <w:bCs/>
          <w:color w:val="000000" w:themeColor="text1"/>
        </w:rPr>
        <w:t xml:space="preserve">externalization </w:t>
      </w:r>
      <w:r w:rsidRPr="00D74025">
        <w:rPr>
          <w:rFonts w:ascii="Arial" w:hAnsi="Arial" w:cs="Arial"/>
          <w:b/>
          <w:bCs/>
          <w:color w:val="000000" w:themeColor="text1"/>
        </w:rPr>
        <w:t>on cancer cells</w:t>
      </w:r>
      <w:r w:rsidR="00BA29BE" w:rsidRPr="00D74025">
        <w:rPr>
          <w:rFonts w:ascii="Arial" w:hAnsi="Arial" w:cs="Arial"/>
          <w:b/>
          <w:bCs/>
          <w:color w:val="000000" w:themeColor="text1"/>
        </w:rPr>
        <w:t xml:space="preserve"> and tumor vasculature</w:t>
      </w:r>
      <w:bookmarkEnd w:id="15"/>
    </w:p>
    <w:p w14:paraId="53F41B2F" w14:textId="276A925F" w:rsidR="006A32C3" w:rsidRPr="00D74025" w:rsidRDefault="006A32C3" w:rsidP="006A32C3">
      <w:pPr>
        <w:autoSpaceDE w:val="0"/>
        <w:autoSpaceDN w:val="0"/>
        <w:adjustRightInd w:val="0"/>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While the default state of healthy cells is the maintenance of PS in the inner leaflet of the plasma membrane, externalization of PS on the surface of cancer cells </w:t>
      </w:r>
      <w:r w:rsidRPr="00D74025">
        <w:rPr>
          <w:rFonts w:ascii="Arial" w:hAnsi="Arial" w:cs="Arial"/>
          <w:color w:val="000000" w:themeColor="text1"/>
        </w:rPr>
        <w:lastRenderedPageBreak/>
        <w:t>appears to be prevailing in many cancer types</w:t>
      </w:r>
      <w:r w:rsidRPr="00D74025">
        <w:rPr>
          <w:rFonts w:ascii="Arial" w:hAnsi="Arial" w:cs="Arial"/>
          <w:color w:val="000000" w:themeColor="text1"/>
          <w:vertAlign w:val="superscript"/>
        </w:rPr>
        <w:fldChar w:fldCharType="begin"/>
      </w:r>
      <w:r w:rsidR="00174D75">
        <w:rPr>
          <w:rFonts w:ascii="Arial" w:hAnsi="Arial" w:cs="Arial"/>
          <w:color w:val="000000" w:themeColor="text1"/>
          <w:vertAlign w:val="superscript"/>
        </w:rPr>
        <w:instrText xml:space="preserve"> ADDIN ZOTERO_ITEM CSL_CITATION {"citationID":"zuNrSfQk","properties":{"formattedCitation":"\\super 48\\nosupersub{}","plainCitation":"48","noteIndex":0},"citationItems":[{"id":158,"uris":["http://zotero.org/users/7661987/items/CKAY3T3A"],"itemData":{"id":158,"type":"article-journal","abstract":"This study was performed in the aim to identify potential targets for the development of novel therapy to treat cancer with poor outcome or treatment efﬁcacy. We show that the negatively charged phospholipid phosphatidylserine (PS) is exposed in the outer leaﬂet of their plasma membrane not only in tumor cell lines, but also in metastases and primary cultures thereof, which contrasts with a lack of PS exposure by differentiated non-tumorigenic counterparts. Studied tumor cell lines were derived from non-tumorigenic and malignant melanomas, prostate- and renal cancer, glioblastoma and a rhabdomyosarcoma. Importantly, also metastases of melanoma expose PS and there is a correlation between malignancy of melanoma cell lines from different stages of tumor progression and PS exposure. The PS exposure we found was neither of apoptotic nor of experimental artiﬁcial origin. Finally potentially malignant and non-malignant cells could be differentiated by sorting of a primary cell culture derived from a glioblastoma based on PS exposure, which has so far not been possible within one culture due to lack of a speciﬁc marker. Our data provide clear evidence that PS could serve as uniform marker of tumor cells and metastases as well as a target for novel therapeutic approaches based on e.g. PS-speciﬁc host defense derived peptides.","container-title":"Biochimica et Biophysica Acta (BBA) - Biomembranes","DOI":"10.1016/j.bbamem.2011.07.026","ISSN":"00052736","issue":"11","journalAbbreviation":"Biochimica et Biophysica Acta (BBA) - Biomembranes","language":"en","page":"2638-2645","source":"DOI.org (Crossref)","title":"In search of a novel target — Phosphatidylserine exposed by non-apoptotic tumor cells and metastases of malignancies with poor treatment efficacy","volume":"1808","author":[{"family":"Riedl","given":"Sabrina"},{"family":"Rinner","given":"Beate"},{"family":"Asslaber","given":"Martin"},{"family":"Schaider","given":"Helmut"},{"family":"Walzer","given":"Sonja"},{"family":"Novak","given":"Alexandra"},{"family":"Lohner","given":"Karl"},{"family":"Zweytick","given":"Dagmar"}],"issued":{"date-parts":[["2011",11]]}}}],"schema":"https://github.com/citation-style-language/schema/raw/master/csl-citation.json"} </w:instrText>
      </w:r>
      <w:r w:rsidRPr="00D74025">
        <w:rPr>
          <w:rFonts w:ascii="Arial" w:hAnsi="Arial" w:cs="Arial"/>
          <w:color w:val="000000" w:themeColor="text1"/>
          <w:vertAlign w:val="superscript"/>
        </w:rPr>
        <w:fldChar w:fldCharType="separate"/>
      </w:r>
      <w:r w:rsidRPr="00D74025">
        <w:rPr>
          <w:rFonts w:ascii="Arial" w:hAnsi="Arial" w:cs="Arial"/>
          <w:color w:val="000000" w:themeColor="text1"/>
          <w:vertAlign w:val="superscript"/>
        </w:rPr>
        <w:t>48</w:t>
      </w:r>
      <w:r w:rsidRPr="00D74025">
        <w:rPr>
          <w:rFonts w:ascii="Arial" w:hAnsi="Arial" w:cs="Arial"/>
          <w:color w:val="000000" w:themeColor="text1"/>
          <w:vertAlign w:val="superscript"/>
        </w:rPr>
        <w:fldChar w:fldCharType="end"/>
      </w:r>
      <w:r w:rsidRPr="00D74025">
        <w:rPr>
          <w:rFonts w:ascii="Arial" w:hAnsi="Arial" w:cs="Arial"/>
          <w:color w:val="000000" w:themeColor="text1"/>
        </w:rPr>
        <w:t>. Many studies have identified high PS content on the outer leaflet of the plasma membrane of a multitude of cancer cell lines</w:t>
      </w:r>
      <w:r w:rsidRPr="00D74025">
        <w:rPr>
          <w:rFonts w:ascii="Arial" w:hAnsi="Arial" w:cs="Arial"/>
          <w:color w:val="000000" w:themeColor="text1"/>
          <w:vertAlign w:val="superscript"/>
        </w:rPr>
        <w:fldChar w:fldCharType="begin"/>
      </w:r>
      <w:r w:rsidR="00174D75">
        <w:rPr>
          <w:rFonts w:ascii="Arial" w:hAnsi="Arial" w:cs="Arial"/>
          <w:color w:val="000000" w:themeColor="text1"/>
          <w:vertAlign w:val="superscript"/>
        </w:rPr>
        <w:instrText xml:space="preserve"> ADDIN ZOTERO_ITEM CSL_CITATION {"citationID":"a1ral94gf2r","properties":{"formattedCitation":"\\super 48\\uc0\\u8211{}50\\nosupersub{}","plainCitation":"48–50","noteIndex":0},"citationItems":[{"id":420,"uris":["http://zotero.org/users/7661987/items/RSVK3IBY"],"itemData":{"id":420,"type":"article-journal","abstract":"The NK-lysin derived peptide NK-2 is a potent antibacterial, but non-toxic to a human keratinocyte cell line and of low hemolytic activity. Its target selectivity is based upon a strong binding preference to membranes containing anionic phospholipids, which are normally not found on the surface of human cells. Here, we analyzed the interaction of NK-2 with normal human lymphocytes and seven di</w:instrText>
      </w:r>
      <w:r w:rsidR="00174D75">
        <w:rPr>
          <w:rFonts w:ascii="Cambria Math" w:hAnsi="Cambria Math" w:cs="Cambria Math"/>
          <w:color w:val="000000" w:themeColor="text1"/>
          <w:vertAlign w:val="superscript"/>
        </w:rPr>
        <w:instrText>ﬀ</w:instrText>
      </w:r>
      <w:r w:rsidR="00174D75">
        <w:rPr>
          <w:rFonts w:ascii="Arial" w:hAnsi="Arial" w:cs="Arial"/>
          <w:color w:val="000000" w:themeColor="text1"/>
          <w:vertAlign w:val="superscript"/>
        </w:rPr>
        <w:instrText xml:space="preserve">erent human cancer cell lines and demonstrate that some of these cells expose negatively charged surface phosphatidylserine (PS), which presumably facilitates killing of the cells by NK-2. This is underlined by the speciﬁc intercalation of the peptide into PS-containing liposomes analyzed by ﬂuorescence-resonance energy transfer spectroscopy.","container-title":"FEBS Letters","DOI":"10.1016/j.febslet.2005.09.084","ISSN":"00145793","issue":"27","language":"en","page":"6128-6134","source":"DOI.org (Crossref)","title":"The NK-lysin derived peptide NK-2 preferentially kills cancer cells with increased surface levels of negatively charged phosphatidylserine","volume":"579","author":[{"family":"Schröder-Borm","given":"Hannah"},{"family":"Bakalova","given":"Rumiana"},{"family":"Andrä","given":"Jörg"}],"issued":{"date-parts":[["2005",11,7]]}}},{"id":158,"uris":["http://zotero.org/users/7661987/items/CKAY3T3A"],"itemData":{"id":158,"type":"article-journal","abstract":"This study was performed in the aim to identify potential targets for the development of novel therapy to treat cancer with poor outcome or treatment efﬁcacy. We show that the negatively charged phospholipid phosphatidylserine (PS) is exposed in the outer leaﬂet of their plasma membrane not only in tumor cell lines, but also in metastases and primary cultures thereof, which contrasts with a lack of PS exposure by differentiated non-tumorigenic counterparts. Studied tumor cell lines were derived from non-tumorigenic and malignant melanomas, prostate- and renal cancer, glioblastoma and a rhabdomyosarcoma. Importantly, also metastases of melanoma expose PS and there is a correlation between malignancy of melanoma cell lines from different stages of tumor progression and PS exposure. The PS exposure we found was neither of apoptotic nor of experimental artiﬁcial origin. Finally potentially malignant and non-malignant cells could be differentiated by sorting of a primary cell culture derived from a glioblastoma based on PS exposure, which has so far not been possible within one culture due to lack of a speciﬁc marker. Our data provide clear evidence that PS could serve as uniform marker of tumor cells and metastases as well as a target for novel therapeutic approaches based on e.g. PS-speciﬁc host defense derived peptides.","container-title":"Biochimica et Biophysica Acta (BBA) - Biomembranes","DOI":"10.1016/j.bbamem.2011.07.026","ISSN":"00052736","issue":"11","journalAbbreviation":"Biochimica et Biophysica Acta (BBA) - Biomembranes","language":"en","page":"2638-2645","source":"DOI.org (Crossref)","title":"In search of a novel target — Phosphatidylserine exposed by non-apoptotic tumor cells and metastases of malignancies with poor treatment efficacy","volume":"1808","author":[{"family":"Riedl","given":"Sabrina"},{"family":"Rinner","given":"Beate"},{"family":"Asslaber","given":"Martin"},{"family":"Schaider","given":"Helmut"},{"family":"Walzer","given":"Sonja"},{"family":"Novak","given":"Alexandra"},{"family":"Lohner","given":"Karl"},{"family":"Zweytick","given":"Dagmar"}],"issued":{"date-parts":[["2011",11]]}}},{"id":423,"uris":["http://zotero.org/users/7661987/items/5R6XTRSF"],"itemData":{"id":423,"type":"article-journal","abstract":"Viable cancer cells expose elevated levels of phosphatidylserine (PS) on the exoplasmic face of the plasma membrane. However, the mechanisms leading to elevated PS exposure in viable cancer cells have not been defined. We previously showed that externalized PS may be used to monitor, target and kill tumor cells. In addition, PS on tumor cells is recognized by macrophages and has implications in antitumor immunity. Therefore, it is important to understand the molecular details of PS exposure on cancer cells in order to improve therapeutic targeting. Here we explored the mechanisms regulating the surface PS exposure in human cancer cells and found that differential flippase activity and intracellular calcium are the major regulators of surface PS exposure in viable human cancer cells. In general, cancer cell lines with high surface PS exhibited low flippase activity and high intracellular calcium, whereas cancer cells with low surface PS exhibited high flippase activity and low intracellular calcium. High surface PS cancer cells also had higher total cellular PS than low surface PS cells. Together, our results indicate that the amount of external PS in cancer cells is regulated by calcium dependent flippase activity and may also be influenced by total cellular PS.","container-title":"Oncotarget","DOI":"10.18632/oncotarget.6045","ISSN":"1949-2553","issue":"33","journalAbbreviation":"Oncotarget","language":"en","page":"34375-34388","source":"DOI.org (Crossref)","title":"Variation in human cancer cell external phosphatidylserine is regulated by flippase activity and intracellular calcium","volume":"6","author":[{"family":"Vallabhapurapu","given":"Subrahmanya D."},{"family":"Blanco","given":"Víctor M."},{"family":"Sulaiman","given":"Mahaboob K."},{"family":"Vallabhapurapu","given":"Swarajya Lakshmi"},{"family":"Chu","given":"Zhengtao"},{"family":"Franco","given":"Robert S."},{"family":"Qi","given":"Xiaoyang"}],"issued":{"date-parts":[["2015",10,27]]}}}],"schema":"https://github.com/citation-style-language/schema/raw/master/csl-citation.json"} </w:instrText>
      </w:r>
      <w:r w:rsidRPr="00D74025">
        <w:rPr>
          <w:rFonts w:ascii="Arial" w:hAnsi="Arial" w:cs="Arial"/>
          <w:color w:val="000000" w:themeColor="text1"/>
          <w:vertAlign w:val="superscript"/>
        </w:rPr>
        <w:fldChar w:fldCharType="separate"/>
      </w:r>
      <w:r w:rsidRPr="00D74025">
        <w:rPr>
          <w:rFonts w:ascii="Arial" w:hAnsi="Arial" w:cs="Arial"/>
          <w:color w:val="000000" w:themeColor="text1"/>
          <w:vertAlign w:val="superscript"/>
        </w:rPr>
        <w:t>48–50</w:t>
      </w:r>
      <w:r w:rsidRPr="00D74025">
        <w:rPr>
          <w:rFonts w:ascii="Arial" w:hAnsi="Arial" w:cs="Arial"/>
          <w:color w:val="000000" w:themeColor="text1"/>
          <w:vertAlign w:val="superscript"/>
        </w:rPr>
        <w:fldChar w:fldCharType="end"/>
      </w:r>
      <w:r w:rsidRPr="00D74025">
        <w:rPr>
          <w:rFonts w:ascii="Arial" w:hAnsi="Arial" w:cs="Arial"/>
          <w:color w:val="000000" w:themeColor="text1"/>
        </w:rPr>
        <w:t>. Even though cancer cells are non-apoptotic, they have increased amounts of PS on the outer leaflet of the plasma membrane. Additionally, PS externalization has been recognized in the tumor vasculature</w:t>
      </w:r>
      <w:r w:rsidRPr="00D74025">
        <w:rPr>
          <w:rFonts w:ascii="Arial" w:hAnsi="Arial" w:cs="Arial"/>
          <w:color w:val="000000" w:themeColor="text1"/>
          <w:vertAlign w:val="superscript"/>
        </w:rPr>
        <w:fldChar w:fldCharType="begin"/>
      </w:r>
      <w:r w:rsidR="00174D75">
        <w:rPr>
          <w:rFonts w:ascii="Arial" w:hAnsi="Arial" w:cs="Arial"/>
          <w:color w:val="000000" w:themeColor="text1"/>
          <w:vertAlign w:val="superscript"/>
        </w:rPr>
        <w:instrText xml:space="preserve"> ADDIN ZOTERO_ITEM CSL_CITATION {"citationID":"a1bnqholqku","properties":{"formattedCitation":"\\super 51,52\\nosupersub{}","plainCitation":"51,52","noteIndex":0},"citationItems":[{"id":167,"uris":["http://zotero.org/users/7661987/items/CSGTICJT"],"itemData":{"id":167,"type":"article-journal","language":"en","page":"10","source":"Zotero","title":"Increased Exposure of Anionic Phospholipids on the Surface of Tumor Blood Vessels","author":[{"family":"Ran","given":"Sophia"},{"family":"Downes","given":"Amber"},{"family":"Thorpe","given":"Philip E"}]},"label":"page"},{"id":166,"uris":["http://zotero.org/users/7661987/items/IBGFWMHJ"],"itemData":{"id":166,"type":"article-journal","abstract":"Purpose: (1) To determine whether exposure of phosphatidylserine (PS) occurs on vascular endothelium in solid tumors in mice. (2) To determine whether PS exposure can be induced on viable endothelial cells in tissue culture by conditions present in the tumor microenvironment.\nMethods and Materials: Externalized PS in vivo was detected by injecting mice with a monoclonal anti-PS antibody and examining frozen sections of tumors and normal tissues for anti-PS antibody bound to vascular endothelium. Apoptotic cells were identiﬁed by anti–active caspase-3 antibody or by TUNEL assay. PS exposure on cultured endothelial cells was determined by 125I–annexin V binding.\nResults: Anti-PS antibody bound speciﬁcally to vascular endothelium in six tumor models. The percentage of PS-positive vessels ranged from 4% to 40% in different tumor types. Vascular endothelium in normal organs was unstained. Very few tumor vessels expressed apoptotic markers. Hypoxia/reoxygenation, acidity, inﬂammatory cytokines, thrombin, or hydrogen peroxide induced PS exposure on cultured endothelial cells without causing loss of viability.\nConclusions: Vascular endothelial cells in tumors, but not in normal tissues, externalize PS. PS exposure might be induced by tumor-associated oxidative stress and activating cytokines. PS is an abundant and accessible marker of tumor vasculature and could be used for tumor imaging and therapy. © 2002 Elsevier Science Inc.","container-title":"International Journal of Radiation Oncology*Biology*Physics","DOI":"10.1016/S0360-3016(02)03928-7","ISSN":"03603016","issue":"5","journalAbbreviation":"International Journal of Radiation Oncology*Biology*Physics","language":"en","page":"1479-1484","source":"DOI.org (Crossref)","title":"Phosphatidylserine is a marker of tumor vasculature and a potential target for cancer imaging and therapy","volume":"54","author":[{"family":"Ran","given":"Sophia"},{"family":"Thorpe","given":"Philip E"}],"issued":{"date-parts":[["2002",12]]}}}],"schema":"https://github.com/citation-style-language/schema/raw/master/csl-citation.json"} </w:instrText>
      </w:r>
      <w:r w:rsidRPr="00D74025">
        <w:rPr>
          <w:rFonts w:ascii="Arial" w:hAnsi="Arial" w:cs="Arial"/>
          <w:color w:val="000000" w:themeColor="text1"/>
          <w:vertAlign w:val="superscript"/>
        </w:rPr>
        <w:fldChar w:fldCharType="separate"/>
      </w:r>
      <w:r w:rsidRPr="00D74025">
        <w:rPr>
          <w:rFonts w:ascii="Arial" w:hAnsi="Arial" w:cs="Arial"/>
          <w:color w:val="000000" w:themeColor="text1"/>
          <w:vertAlign w:val="superscript"/>
        </w:rPr>
        <w:t>51,52</w:t>
      </w:r>
      <w:r w:rsidRPr="00D74025">
        <w:rPr>
          <w:rFonts w:ascii="Arial" w:hAnsi="Arial" w:cs="Arial"/>
          <w:color w:val="000000" w:themeColor="text1"/>
          <w:vertAlign w:val="superscript"/>
        </w:rPr>
        <w:fldChar w:fldCharType="end"/>
      </w:r>
      <w:r w:rsidRPr="00D74025">
        <w:rPr>
          <w:rFonts w:ascii="Arial" w:hAnsi="Arial" w:cs="Arial"/>
          <w:color w:val="000000" w:themeColor="text1"/>
        </w:rPr>
        <w:t>, metastatic tumor cells</w:t>
      </w:r>
      <w:r w:rsidRPr="00D74025">
        <w:rPr>
          <w:rFonts w:ascii="Arial" w:hAnsi="Arial" w:cs="Arial"/>
          <w:color w:val="000000" w:themeColor="text1"/>
          <w:vertAlign w:val="superscript"/>
        </w:rPr>
        <w:fldChar w:fldCharType="begin"/>
      </w:r>
      <w:r w:rsidR="00174D75">
        <w:rPr>
          <w:rFonts w:ascii="Arial" w:hAnsi="Arial" w:cs="Arial"/>
          <w:color w:val="000000" w:themeColor="text1"/>
          <w:vertAlign w:val="superscript"/>
        </w:rPr>
        <w:instrText xml:space="preserve"> ADDIN ZOTERO_ITEM CSL_CITATION {"citationID":"cZ6UQcwM","properties":{"formattedCitation":"\\super 48\\nosupersub{}","plainCitation":"48","noteIndex":0},"citationItems":[{"id":158,"uris":["http://zotero.org/users/7661987/items/CKAY3T3A"],"itemData":{"id":158,"type":"article-journal","abstract":"This study was performed in the aim to identify potential targets for the development of novel therapy to treat cancer with poor outcome or treatment efﬁcacy. We show that the negatively charged phospholipid phosphatidylserine (PS) is exposed in the outer leaﬂet of their plasma membrane not only in tumor cell lines, but also in metastases and primary cultures thereof, which contrasts with a lack of PS exposure by differentiated non-tumorigenic counterparts. Studied tumor cell lines were derived from non-tumorigenic and malignant melanomas, prostate- and renal cancer, glioblastoma and a rhabdomyosarcoma. Importantly, also metastases of melanoma expose PS and there is a correlation between malignancy of melanoma cell lines from different stages of tumor progression and PS exposure. The PS exposure we found was neither of apoptotic nor of experimental artiﬁcial origin. Finally potentially malignant and non-malignant cells could be differentiated by sorting of a primary cell culture derived from a glioblastoma based on PS exposure, which has so far not been possible within one culture due to lack of a speciﬁc marker. Our data provide clear evidence that PS could serve as uniform marker of tumor cells and metastases as well as a target for novel therapeutic approaches based on e.g. PS-speciﬁc host defense derived peptides.","container-title":"Biochimica et Biophysica Acta (BBA) - Biomembranes","DOI":"10.1016/j.bbamem.2011.07.026","ISSN":"00052736","issue":"11","journalAbbreviation":"Biochimica et Biophysica Acta (BBA) - Biomembranes","language":"en","page":"2638-2645","source":"DOI.org (Crossref)","title":"In search of a novel target — Phosphatidylserine exposed by non-apoptotic tumor cells and metastases of malignancies with poor treatment efficacy","volume":"1808","author":[{"family":"Riedl","given":"Sabrina"},{"family":"Rinner","given":"Beate"},{"family":"Asslaber","given":"Martin"},{"family":"Schaider","given":"Helmut"},{"family":"Walzer","given":"Sonja"},{"family":"Novak","given":"Alexandra"},{"family":"Lohner","given":"Karl"},{"family":"Zweytick","given":"Dagmar"}],"issued":{"date-parts":[["2011",11]]}}}],"schema":"https://github.com/citation-style-language/schema/raw/master/csl-citation.json"} </w:instrText>
      </w:r>
      <w:r w:rsidRPr="00D74025">
        <w:rPr>
          <w:rFonts w:ascii="Arial" w:hAnsi="Arial" w:cs="Arial"/>
          <w:color w:val="000000" w:themeColor="text1"/>
          <w:vertAlign w:val="superscript"/>
        </w:rPr>
        <w:fldChar w:fldCharType="separate"/>
      </w:r>
      <w:r w:rsidRPr="00D74025">
        <w:rPr>
          <w:rFonts w:ascii="Arial" w:hAnsi="Arial" w:cs="Arial"/>
          <w:color w:val="000000" w:themeColor="text1"/>
          <w:vertAlign w:val="superscript"/>
        </w:rPr>
        <w:t>48</w:t>
      </w:r>
      <w:r w:rsidRPr="00D74025">
        <w:rPr>
          <w:rFonts w:ascii="Arial" w:hAnsi="Arial" w:cs="Arial"/>
          <w:color w:val="000000" w:themeColor="text1"/>
          <w:vertAlign w:val="superscript"/>
        </w:rPr>
        <w:fldChar w:fldCharType="end"/>
      </w:r>
      <w:r w:rsidRPr="00D74025">
        <w:rPr>
          <w:rFonts w:ascii="Arial" w:hAnsi="Arial" w:cs="Arial"/>
          <w:color w:val="000000" w:themeColor="text1"/>
        </w:rPr>
        <w:t>, and tumor-derived microvesicles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{"citationID":"a2jrm38t2rt","properties":{"formattedCitation":"\\super 53\\nosupersub{}","plainCitation":"53","noteIndex":0},"citationItems":[{"id":306,"uris":["http://zotero.org/users/7661987/items/VAFVXYBN"],"itemData":{"id":306,"type":"article-journal","abstract":"Exposure of phosphatidylserine (PS) on cellular membranes and membrane-derived microvesicles stimulates a number of anti-inﬂammatory responses involved in malignant processes. Herein we show that B16F10 cells, a highly metastatic melanoma cell line, produce large quantities of PS-containing microvesicles in vitro. Tumor microvesicles increased TGF-b1 production by cultured macrophages and, in vivo, enhanced the metastatic potential of B16F10 cells in C57BL/6 mice, both effects being reversed by annexin V. Most strikingly, microvesicles induced melanoma metastasis in BALB/c mice, which are normally resistant to this tumor cell line. Altogether, this is the ﬁrst demonstration that tumorderived microvesicles favor the establishment of melanoma metastasis in a PS-dependent manner, possibly by down-regulating the host’s inﬂammatory and/or anti-tumoral immune responses.","container-title":"Cancer Letters","DOI":"10.1016/j.canlet.2009.03.041","ISSN":"03043835","issue":"2","journalAbbreviation":"Cancer Letters","language":"en","page":"168-175","source":"DOI.org (Crossref)","title":"Tumor-derived microvesicles modulate the establishment of metastatic melanoma in a phosphatidylserine-dependent manner","volume":"283","author":[{"family":"Lima","given":"Luize G."},{"family":"Chammas","given":"Roger"},{"family":"Monteiro","given":"Robson Q."},{"family":"Moreira","given":"Maria Elisabete C."},{"family":"Barcinski","given":"Marcello A."}],"issued":{"date-parts":[["2009",10]]}}}],"schema":"https://github.com/citation-style-language/schema/raw/master/csl-citation.json"}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53</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1F341032" w14:textId="034B0999" w:rsidR="00965384" w:rsidRPr="00D74025" w:rsidRDefault="00965384" w:rsidP="00965384">
      <w:pPr>
        <w:autoSpaceDE w:val="0"/>
        <w:autoSpaceDN w:val="0"/>
        <w:adjustRightInd w:val="0"/>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This phenomenon has been associated with three molecular mechanisms: 1) lower activity of </w:t>
      </w:r>
      <w:proofErr w:type="spellStart"/>
      <w:r w:rsidRPr="00D74025">
        <w:rPr>
          <w:rFonts w:ascii="Arial" w:hAnsi="Arial" w:cs="Arial"/>
          <w:color w:val="000000" w:themeColor="text1"/>
        </w:rPr>
        <w:t>flippases</w:t>
      </w:r>
      <w:proofErr w:type="spellEnd"/>
      <w:r w:rsidRPr="00D74025">
        <w:rPr>
          <w:rFonts w:ascii="Arial" w:hAnsi="Arial" w:cs="Arial"/>
          <w:color w:val="000000" w:themeColor="text1"/>
        </w:rPr>
        <w:t>, the enzyme that transports PS from outer to inner leaflet; 2) higher intracellular concentration of Ca</w:t>
      </w:r>
      <w:r w:rsidRPr="00D74025">
        <w:rPr>
          <w:rFonts w:ascii="Arial" w:hAnsi="Arial" w:cs="Arial"/>
          <w:color w:val="000000" w:themeColor="text1"/>
          <w:vertAlign w:val="superscript"/>
        </w:rPr>
        <w:t>2+</w:t>
      </w:r>
      <w:r w:rsidRPr="00D74025">
        <w:rPr>
          <w:rFonts w:ascii="Arial" w:hAnsi="Arial" w:cs="Arial"/>
          <w:color w:val="000000" w:themeColor="text1"/>
        </w:rPr>
        <w:t>, which is known to activate scramblases; 3) higher overall concentration/production of PS on the tumor cells characterized by increased activity of PS synthesizing enzymes</w:t>
      </w:r>
      <w:r w:rsidRPr="00D74025">
        <w:rPr>
          <w:rFonts w:ascii="Arial" w:hAnsi="Arial" w:cs="Arial"/>
          <w:color w:val="000000" w:themeColor="text1"/>
          <w:vertAlign w:val="superscript"/>
        </w:rPr>
        <w:fldChar w:fldCharType="begin"/>
      </w:r>
      <w:r w:rsidR="00174D75">
        <w:rPr>
          <w:rFonts w:ascii="Arial" w:hAnsi="Arial" w:cs="Arial"/>
          <w:color w:val="000000" w:themeColor="text1"/>
          <w:vertAlign w:val="superscript"/>
        </w:rPr>
        <w:instrText xml:space="preserve"> ADDIN ZOTERO_ITEM CSL_CITATION {"citationID":"a15cvf2biha","properties":{"formattedCitation":"\\super 50\\nosupersub{}","plainCitation":"50","noteIndex":0},"citationItems":[{"id":423,"uris":["http://zotero.org/users/7661987/items/5R6XTRSF"],"itemData":{"id":423,"type":"article-journal","abstract":"Viable cancer cells expose elevated levels of phosphatidylserine (PS) on the exoplasmic face of the plasma membrane. However, the mechanisms leading to elevated PS exposure in viable cancer cells have not been defined. We previously showed that externalized PS may be used to monitor, target and kill tumor cells. In addition, PS on tumor cells is recognized by macrophages and has implications in antitumor immunity. Therefore, it is important to understand the molecular details of PS exposure on cancer cells in order to improve therapeutic targeting. Here we explored the mechanisms regulating the surface PS exposure in human cancer cells and found that differential flippase activity and intracellular calcium are the major regulators of surface PS exposure in viable human cancer cells. In general, cancer cell lines with high surface PS exhibited low flippase activity and high intracellular calcium, whereas cancer cells with low surface PS exhibited high flippase activity and low intracellular calcium. High surface PS cancer cells also had higher total cellular PS than low surface PS cells. Together, our results indicate that the amount of external PS in cancer cells is regulated by calcium dependent flippase activity and may also be influenced by total cellular PS.","container-title":"Oncotarget","DOI":"10.18632/oncotarget.6045","ISSN":"1949-2553","issue":"33","journalAbbreviation":"Oncotarget","language":"en","page":"34375-34388","source":"DOI.org (Crossref)","title":"Variation in human cancer cell external phosphatidylserine is regulated by flippase activity and intracellular calcium","volume":"6","author":[{"family":"Vallabhapurapu","given":"Subrahmanya D."},{"family":"Blanco","given":"Víctor M."},{"family":"Sulaiman","given":"Mahaboob K."},{"family":"Vallabhapurapu","given":"Swarajya Lakshmi"},{"family":"Chu","given":"Zhengtao"},{"family":"Franco","given":"Robert S."},{"family":"Qi","given":"Xiaoyang"}],"issued":{"date-parts":[["2015",10,27]]}}}],"schema":"https://github.com/citation-style-language/schema/raw/master/csl-citation.json"} </w:instrText>
      </w:r>
      <w:r w:rsidRPr="00D74025">
        <w:rPr>
          <w:rFonts w:ascii="Arial" w:hAnsi="Arial" w:cs="Arial"/>
          <w:color w:val="000000" w:themeColor="text1"/>
          <w:vertAlign w:val="superscript"/>
        </w:rPr>
        <w:fldChar w:fldCharType="separate"/>
      </w:r>
      <w:r w:rsidRPr="00D74025">
        <w:rPr>
          <w:rFonts w:ascii="Arial" w:hAnsi="Arial" w:cs="Arial"/>
          <w:color w:val="000000" w:themeColor="text1"/>
          <w:vertAlign w:val="superscript"/>
        </w:rPr>
        <w:t>50</w:t>
      </w:r>
      <w:r w:rsidRPr="00D74025">
        <w:rPr>
          <w:rFonts w:ascii="Arial" w:hAnsi="Arial" w:cs="Arial"/>
          <w:color w:val="000000" w:themeColor="text1"/>
          <w:vertAlign w:val="superscript"/>
        </w:rPr>
        <w:fldChar w:fldCharType="end"/>
      </w:r>
      <w:r w:rsidRPr="00D74025">
        <w:rPr>
          <w:rFonts w:ascii="Arial" w:hAnsi="Arial" w:cs="Arial"/>
          <w:color w:val="000000" w:themeColor="text1"/>
        </w:rPr>
        <w:t>. Additionally, the overexpression of scramblases, such as TMEM16F</w:t>
      </w:r>
      <w:r w:rsidRPr="00D74025">
        <w:rPr>
          <w:rFonts w:ascii="Arial" w:hAnsi="Arial" w:cs="Arial"/>
          <w:color w:val="000000" w:themeColor="text1"/>
          <w:vertAlign w:val="superscript"/>
        </w:rPr>
        <w:fldChar w:fldCharType="begin"/>
      </w:r>
      <w:r w:rsidR="00174D75">
        <w:rPr>
          <w:rFonts w:ascii="Arial" w:hAnsi="Arial" w:cs="Arial"/>
          <w:color w:val="000000" w:themeColor="text1"/>
          <w:vertAlign w:val="superscript"/>
        </w:rPr>
        <w:instrText xml:space="preserve"> ADDIN ZOTERO_ITEM CSL_CITATION {"citationID":"ad2iit7a52","properties":{"formattedCitation":"\\super 54\\nosupersub{}","plainCitation":"54","noteIndex":0},"citationItems":[{"id":310,"uris":["http://zotero.org/users/7661987/items/P2QGR8YX"],"itemData":{"id":310,"type":"article-journal","abstract":"TMEM16F, a dual-function phospholipid scramblase and ion channel, is important in blood coagulation, skeleton development, HIV infection, and cell fusion. Despite advances in understanding its structure and activation mechanism, how TMEM16F is regulated by intracellular factors remains largely elusive. Here we report that TMEM16F lipid scrambling and ion channel activities are strongly influenced by intracellular pH (pHi). We found that low pHi attenuates, whereas high pHi potentiates, TMEM16F channel and scramblase activation under physiological concentrations of intracellular Ca2+ ([Ca2+]i). We further demonstrate that TMEM16F pHi sensitivity depends on [Ca2+]i and exhibits a bell-shaped relationship with [Ca2+]i: TMEM16F channel activation becomes increasingly pHi sensitive from resting [Ca2+]i to micromolar [Ca2+]i, but when [Ca2+]i increases beyond 15 µM, pHi sensitivity gradually diminishes. The mutation of a Ca2+-binding residue that markedly reduces TMEM16F Ca2+ sensitivity (E667Q) maintains the bell-shaped relationship between pHi sensitivity and Ca2+ but causes a dramatic shift of the peak [Ca2+]i from 15 µM to 3 mM. Our biophysical characterizations thus pinpoint that the pHi regulatory effects on TMEM16F stem from the competition between Ca2+ and protons for the primary Ca2+-binding residues in the pore. Within the physiological [Ca2+]i range, the protonation state of the primary Ca2+-binding sites influences Ca2+ binding and regulates TMEM16F activation. Our findings thus uncover a regulatory mechanism of TMEM16F by pHi and shine light on our understanding of the pathophysiological roles of TMEM16F in diseases with dysregulated pHi, including cancer.","container-title":"Journal of General Physiology","DOI":"10.1085/jgp.202012704","ISSN":"0022-1295, 1540-7748","issue":"2","language":"en","page":"e202012704","source":"DOI.org (Crossref)","title":"Molecular underpinning of intracellular pH regulation on TMEM16F","volume":"153","author":[{"family":"Liang","given":"Pengfei"},{"family":"Yang","given":"Huanghe"}],"issued":{"date-parts":[["2021",2,1]]}}}],"schema":"https://github.com/citation-style-language/schema/raw/master/csl-citation.json"} </w:instrText>
      </w:r>
      <w:r w:rsidRPr="00D74025">
        <w:rPr>
          <w:rFonts w:ascii="Arial" w:hAnsi="Arial" w:cs="Arial"/>
          <w:color w:val="000000" w:themeColor="text1"/>
          <w:vertAlign w:val="superscript"/>
        </w:rPr>
        <w:fldChar w:fldCharType="separate"/>
      </w:r>
      <w:r w:rsidRPr="00D74025">
        <w:rPr>
          <w:rFonts w:ascii="Arial" w:hAnsi="Arial" w:cs="Arial"/>
          <w:color w:val="000000" w:themeColor="text1"/>
          <w:vertAlign w:val="superscript"/>
        </w:rPr>
        <w:t>54</w:t>
      </w:r>
      <w:r w:rsidRPr="00D74025">
        <w:rPr>
          <w:rFonts w:ascii="Arial" w:hAnsi="Arial" w:cs="Arial"/>
          <w:color w:val="000000" w:themeColor="text1"/>
          <w:vertAlign w:val="superscript"/>
        </w:rPr>
        <w:fldChar w:fldCharType="end"/>
      </w:r>
      <w:r w:rsidRPr="00D74025">
        <w:rPr>
          <w:rFonts w:ascii="Arial" w:hAnsi="Arial" w:cs="Arial"/>
          <w:color w:val="000000" w:themeColor="text1"/>
        </w:rPr>
        <w:t xml:space="preserve">, and the lower expression of </w:t>
      </w:r>
      <w:proofErr w:type="spellStart"/>
      <w:r w:rsidRPr="00D74025">
        <w:rPr>
          <w:rFonts w:ascii="Arial" w:hAnsi="Arial" w:cs="Arial"/>
          <w:color w:val="000000" w:themeColor="text1"/>
        </w:rPr>
        <w:t>floppases</w:t>
      </w:r>
      <w:proofErr w:type="spellEnd"/>
      <w:r w:rsidRPr="00D74025">
        <w:rPr>
          <w:rFonts w:ascii="Arial" w:hAnsi="Arial" w:cs="Arial"/>
          <w:color w:val="000000" w:themeColor="text1"/>
        </w:rPr>
        <w:t xml:space="preserve"> (ATP11b)</w:t>
      </w:r>
      <w:r w:rsidRPr="00D74025">
        <w:rPr>
          <w:rFonts w:ascii="Arial" w:hAnsi="Arial" w:cs="Arial"/>
          <w:color w:val="000000" w:themeColor="text1"/>
          <w:vertAlign w:val="superscript"/>
        </w:rPr>
        <w:fldChar w:fldCharType="begin"/>
      </w:r>
      <w:r w:rsidR="00174D75">
        <w:rPr>
          <w:rFonts w:ascii="Arial" w:hAnsi="Arial" w:cs="Arial"/>
          <w:color w:val="000000" w:themeColor="text1"/>
          <w:vertAlign w:val="superscript"/>
        </w:rPr>
        <w:instrText xml:space="preserve"> ADDIN ZOTERO_ITEM CSL_CITATION {"citationID":"a17vl1dtrpa","properties":{"formattedCitation":"\\super 55\\nosupersub{}","plainCitation":"55","noteIndex":0},"citationItems":[{"id":311,"uris":["http://zotero.org/users/7661987/items/YEZC7QC7"],"itemData":{"id":311,"type":"article-journal","container-title":"Journal of Clinical Investigation","DOI":"10.1172/JCI149473","ISSN":"1558-8238","issue":"5","language":"en","page":"e149473","source":"DOI.org (Crossref)","title":"ATP11B inhibits breast cancer metastasis in a mouse model by suppressing externalization of nonapoptotic phosphatidylserine","volume":"132","author":[{"family":"Xu","given":"Jun"},{"family":"Su","given":"Sek Man"},{"family":"Zhang","given":"Xin"},{"family":"Chan","given":"Un In"},{"family":"Adhav","given":"Ragini"},{"family":"Shu","given":"Xiaodong"},{"family":"Liu","given":"Jianlin"},{"family":"Li","given":"Jianjie"},{"family":"Mo","given":"Lihua"},{"family":"Wang","given":"Yuqing"},{"family":"An","given":"Tingting"},{"family":"Lei","given":"Josh Haipeng"},{"family":"Miao","given":"Kai"},{"family":"Deng","given":"Chu-Xia"},{"family":"Xu","given":"Xiaoling"}],"issued":{"date-parts":[["2022",3,1]]}}}],"schema":"https://github.com/citation-style-language/schema/raw/master/csl-citation.json"} </w:instrText>
      </w:r>
      <w:r w:rsidRPr="00D74025">
        <w:rPr>
          <w:rFonts w:ascii="Arial" w:hAnsi="Arial" w:cs="Arial"/>
          <w:color w:val="000000" w:themeColor="text1"/>
          <w:vertAlign w:val="superscript"/>
        </w:rPr>
        <w:fldChar w:fldCharType="separate"/>
      </w:r>
      <w:r w:rsidRPr="00D74025">
        <w:rPr>
          <w:rFonts w:ascii="Arial" w:hAnsi="Arial" w:cs="Arial"/>
          <w:color w:val="000000" w:themeColor="text1"/>
          <w:vertAlign w:val="superscript"/>
        </w:rPr>
        <w:t>55</w:t>
      </w:r>
      <w:r w:rsidRPr="00D74025">
        <w:rPr>
          <w:rFonts w:ascii="Arial" w:hAnsi="Arial" w:cs="Arial"/>
          <w:color w:val="000000" w:themeColor="text1"/>
          <w:vertAlign w:val="superscript"/>
        </w:rPr>
        <w:fldChar w:fldCharType="end"/>
      </w:r>
      <w:r w:rsidRPr="00D74025">
        <w:rPr>
          <w:rFonts w:ascii="Arial" w:hAnsi="Arial" w:cs="Arial"/>
          <w:color w:val="000000" w:themeColor="text1"/>
        </w:rPr>
        <w:t xml:space="preserve"> are potential mechanisms for the PS externalization on non-apoptotic cancer cells.</w:t>
      </w:r>
    </w:p>
    <w:p w14:paraId="46CCDC07" w14:textId="418BD4D8" w:rsidR="00E85B9C" w:rsidRPr="00D74025" w:rsidRDefault="00E85B9C" w:rsidP="00E85B9C">
      <w:pPr>
        <w:autoSpaceDE w:val="0"/>
        <w:autoSpaceDN w:val="0"/>
        <w:adjustRightInd w:val="0"/>
        <w:spacing w:line="360" w:lineRule="auto"/>
        <w:ind w:firstLine="1440"/>
        <w:jc w:val="both"/>
        <w:rPr>
          <w:rFonts w:ascii="Arial" w:hAnsi="Arial" w:cs="Arial"/>
          <w:color w:val="000000" w:themeColor="text1"/>
        </w:rPr>
      </w:pPr>
      <w:bookmarkStart w:id="16" w:name="_Toc87466635"/>
      <w:r w:rsidRPr="00D74025">
        <w:rPr>
          <w:rFonts w:ascii="Arial" w:hAnsi="Arial" w:cs="Arial"/>
          <w:color w:val="000000" w:themeColor="text1"/>
        </w:rPr>
        <w:t>Tumor cells have developed mechanisms to circumvent immune destruction. PS exposure is a hallmark of apoptosis as an “eat-me signal” for antigen-presenting cells (APCs), such as macrophages and dendritic cells, as part of the apoptotic machinery for non-immunogenic clearance</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{"citationID":"a12hfqu9f9f","properties":{"formattedCitation":"\\super 56,57\\nosupersub{}","plainCitation":"56,57","noteIndex":0},"citationItems":[{"id":415,"uris":["http://zotero.org/users/7661987/items/WQ68NWAS"],"itemData":{"id":415,"type":"article-journal","language":"en","page":"11","source":"Zotero","title":"Exposure of phosphatidylserine on the surface of apoptotic lymphocytes triggers specific recognition and removal by macrophages.","author":[{"family":"Fadok","given":"V A"},{"family":"Voelker","given":"D R"},{"family":"Campbell","given":"P A"},{"family":"Cohen","given":"J J"},{"family":"Henson","given":"P M"}]}},{"id":416,"uris":["http://zotero.org/users/7661987/items/HJ535G2F"],"itemData":{"id":416,"type":"article-journal","container-title":"Nature","DOI":"10.1038/32183","ISSN":"0028-0836, 1476-4687","issue":"6671","journalAbbreviation":"Nature","language":"en","page":"86-89","source":"DOI.org (Crossref)","title":"Dendritic cells acquire antigen from apoptotic cells and induce class I-restricted CTLs","volume":"392","author":[{"family":"Albert","given":"Matthew L."},{"family":"Sauter","given":"Birthe"},{"family":"Bhardwaj","given":"Nina"}],"issued":{"date-parts":[["1998",3]]}}}],"schema":"https://github.com/citation-style-language/schema/raw/master/csl-citation.json"}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56,57</w:t>
      </w:r>
      <w:r w:rsidRPr="00D74025">
        <w:rPr>
          <w:rFonts w:ascii="Arial" w:hAnsi="Arial" w:cs="Arial"/>
          <w:color w:val="000000" w:themeColor="text1"/>
        </w:rPr>
        <w:fldChar w:fldCharType="end"/>
      </w:r>
      <w:r w:rsidRPr="00D74025">
        <w:rPr>
          <w:rFonts w:ascii="Arial" w:hAnsi="Arial" w:cs="Arial"/>
          <w:color w:val="000000" w:themeColor="text1"/>
        </w:rPr>
        <w:t>. As previously mentioned, the phosphatidylserine receptors (PSR) on APCs recognize PS externalization on apoptotic cells, triggering phagocytosis by immune cells. Even though cancer cells overexpress PS on their surface, they are not engulfed by APCs. This paradox has been correlated to the hyperexpression of CD47, a cell surface ligand that sends a potent “don’t eat me” signal to macrophages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{"citationID":"a1nr37fuglc","properties":{"formattedCitation":"\\super 58\\nosupersub{}","plainCitation":"58","noteIndex":0},"citationItems":[{"id":421,"uris":["http://zotero.org/users/7661987/items/7BH2AHDZ"],"itemData":{"id":421,"type":"article-journal","abstract":"CD47, or integrin-associated protein, is a cell surface ligand expressed in low levels by nearly all cells of the body. It plays an integral role in various immune responses as well as autoimmunity, by sending a potent “don’t eat me” signal to prevent phagocytosis. A growing body of evidence demonstrates that CD47 is overexpressed in various hematological malignancies and its interaction with SIRPα on the phagocytic cells prevents phagocytosis of cancer cells. Additionally, it is expressed by different cell types in the tumor microenvironment and is required for establishing tumor metastasis. Overexpression of CD47 is thus often associated with poor clinical outcomes. CD47 has emerged as a potential therapeutic target and is being investigated in various preclinical studies as well as clinical trials to prove its safety and efficacy in treating hematological neoplasms. This review focuses on different therapeutic mechanisms to target CD47, either alone or in combination with other cell surface markers, and its pivotal role in impairing tumor growth and metastatic spread of various types of hematological malignancies.","container-title":"Journal of Hematology &amp; Oncology","DOI":"10.1186/s13045-020-00930-1","ISSN":"1756-8722","issue":"1","journalAbbreviation":"J Hematol Oncol","language":"en","page":"96","source":"DOI.org (Crossref)","title":"Role of CD47 in Hematological Malignancies","volume":"13","author":[{"family":"Eladl","given":"Entsar"},{"family":"Tremblay-LeMay","given":"Rosemarie"},{"family":"Rastgoo","given":"Nasrin"},{"family":"Musani","given":"Rumina"},{"family":"Chen","given":"Wenming"},{"family":"Liu","given":"Aijun"},{"family":"Chang","given":"Hong"}],"issued":{"date-parts":[["2020",12]]}}}],"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58</w:t>
      </w:r>
      <w:r w:rsidRPr="00D74025">
        <w:rPr>
          <w:rFonts w:ascii="Arial" w:hAnsi="Arial" w:cs="Arial"/>
          <w:color w:val="000000" w:themeColor="text1"/>
        </w:rPr>
        <w:fldChar w:fldCharType="end"/>
      </w:r>
      <w:r w:rsidRPr="00D74025">
        <w:rPr>
          <w:rFonts w:ascii="Arial" w:hAnsi="Arial" w:cs="Arial"/>
          <w:color w:val="000000" w:themeColor="text1"/>
        </w:rPr>
        <w:t xml:space="preserve">. Thus, immune cells fail to act on the destruction of tumor cells in the presence of PS on the surface of cancer cells. </w:t>
      </w:r>
    </w:p>
    <w:p w14:paraId="4044F28D" w14:textId="6D6EB99A" w:rsidR="00634B8B" w:rsidRPr="00D74025" w:rsidRDefault="00634B8B" w:rsidP="00634B8B">
      <w:pPr>
        <w:autoSpaceDE w:val="0"/>
        <w:autoSpaceDN w:val="0"/>
        <w:adjustRightInd w:val="0"/>
        <w:spacing w:line="360" w:lineRule="auto"/>
        <w:ind w:firstLine="1440"/>
        <w:jc w:val="both"/>
        <w:rPr>
          <w:rFonts w:ascii="Arial" w:hAnsi="Arial" w:cs="Arial"/>
          <w:color w:val="000000" w:themeColor="text1"/>
        </w:rPr>
      </w:pPr>
      <w:r w:rsidRPr="00D74025">
        <w:rPr>
          <w:rFonts w:ascii="Arial" w:hAnsi="Arial" w:cs="Arial"/>
          <w:color w:val="000000" w:themeColor="text1"/>
        </w:rPr>
        <w:t>Furthermore, cancer cells use the anti-inflammatory effects of PS on APCs to induce a tumor-favoring environment. Cancer cells’ PS overexpression causes the shed of soluble phosphatidylserine (</w:t>
      </w:r>
      <w:proofErr w:type="spellStart"/>
      <w:r w:rsidRPr="00D74025">
        <w:rPr>
          <w:rFonts w:ascii="Arial" w:hAnsi="Arial" w:cs="Arial"/>
          <w:color w:val="000000" w:themeColor="text1"/>
        </w:rPr>
        <w:t>sPS</w:t>
      </w:r>
      <w:proofErr w:type="spellEnd"/>
      <w:r w:rsidRPr="00D74025">
        <w:rPr>
          <w:rFonts w:ascii="Arial" w:hAnsi="Arial" w:cs="Arial"/>
          <w:color w:val="000000" w:themeColor="text1"/>
        </w:rPr>
        <w:t xml:space="preserve">). </w:t>
      </w:r>
      <w:proofErr w:type="spellStart"/>
      <w:r w:rsidRPr="00D74025">
        <w:rPr>
          <w:rFonts w:ascii="Arial" w:hAnsi="Arial" w:cs="Arial"/>
          <w:color w:val="000000" w:themeColor="text1"/>
        </w:rPr>
        <w:t>sPS</w:t>
      </w:r>
      <w:proofErr w:type="spellEnd"/>
      <w:r w:rsidRPr="00D74025">
        <w:rPr>
          <w:rFonts w:ascii="Arial" w:hAnsi="Arial" w:cs="Arial"/>
          <w:color w:val="000000" w:themeColor="text1"/>
        </w:rPr>
        <w:t xml:space="preserve"> binds to PS receptors (PSR) on APCs (dendritic cells, macrophages, and T-cells), which activates their production of anti-inflammatory species, such as IL-10, TGF-β, and prostaglandin E2 (PGE2). Furthermore, cancer cells overexpress themselves PSR, which their own shed </w:t>
      </w:r>
      <w:proofErr w:type="spellStart"/>
      <w:r w:rsidRPr="00D74025">
        <w:rPr>
          <w:rFonts w:ascii="Arial" w:hAnsi="Arial" w:cs="Arial"/>
          <w:color w:val="000000" w:themeColor="text1"/>
        </w:rPr>
        <w:t>sPS</w:t>
      </w:r>
      <w:proofErr w:type="spellEnd"/>
      <w:r w:rsidRPr="00D74025">
        <w:rPr>
          <w:rFonts w:ascii="Arial" w:hAnsi="Arial" w:cs="Arial"/>
          <w:color w:val="000000" w:themeColor="text1"/>
        </w:rPr>
        <w:t xml:space="preserve"> can trigger. This binding also induces cancer cells to produce the same anti-inflammatory species (IL-10, TGF-β, PGE2). Those species act on macrophages, dampening their anti-tumoral </w:t>
      </w:r>
      <w:r w:rsidRPr="00D74025">
        <w:rPr>
          <w:rFonts w:ascii="Arial" w:hAnsi="Arial" w:cs="Arial"/>
          <w:color w:val="000000" w:themeColor="text1"/>
        </w:rPr>
        <w:lastRenderedPageBreak/>
        <w:t>response, thus generating tumor-associated macrophages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{"citationID":"a2f3u5sq4if","properties":{"formattedCitation":"\\super 59\\nosupersub{}","plainCitation":"59","noteIndex":0},"citationItems":[{"id":413,"uris":["http://zotero.org/users/7661987/items/FSLPAAT9"],"itemData":{"id":413,"type":"article-journal","container-title":"Cancer Biology &amp; Therapy","DOI":"10.4161/cbt.4.9.2101","ISSN":"1538-4047, 1555-8576","issue":"9","journalAbbreviation":"Cancer Biology &amp; Therapy","language":"en","page":"924-933","source":"DOI.org (Crossref)","title":"Cancer cell immune escape and tumor progression by exploitation of anti-inflammatory and pro-inflammatory responses","volume":"4","author":[{"family":"Kim","given":"Ryungsa"},{"family":"Emi","given":"Manabu"},{"family":"Tanabe","given":"Kazuaki"}],"issued":{"date-parts":[["2005",9]]}}}],"schema":"https://github.com/citation-style-language/schema/raw/master/csl-citation.json"}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59</w:t>
      </w:r>
      <w:r w:rsidRPr="00D74025">
        <w:rPr>
          <w:rFonts w:ascii="Arial" w:hAnsi="Arial" w:cs="Arial"/>
          <w:color w:val="000000" w:themeColor="text1"/>
        </w:rPr>
        <w:fldChar w:fldCharType="end"/>
      </w:r>
      <w:r w:rsidRPr="00D74025">
        <w:rPr>
          <w:rFonts w:ascii="Arial" w:hAnsi="Arial" w:cs="Arial"/>
          <w:color w:val="000000" w:themeColor="text1"/>
        </w:rPr>
        <w:t>. The same species also inhibit dendritic cell antigen presentation to T-cells, which promote regulatory T-cell</w:t>
      </w:r>
      <w:r w:rsidR="00277DA5">
        <w:rPr>
          <w:rFonts w:ascii="Arial" w:hAnsi="Arial" w:cs="Arial"/>
          <w:color w:val="000000" w:themeColor="text1"/>
        </w:rPr>
        <w:t>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{"citationID":"a2go08p8mer","properties":{"formattedCitation":"\\super 60\\nosupersub{}","plainCitation":"60","noteIndex":0},"citationItems":[{"id":271,"uris":["http://zotero.org/users/7661987/items/9UVWYNYD"],"itemData":{"id":271,"type":"article-journal","abstract":"Speciﬁc immune suppression and induction of tolerance are essential processes in the regulation and circumvention of immune defence. The balance between allergen-speciﬁc type 1 regulatory (Tr1) cells and T helper (Th) 2 cells appears to be decisive in the development of allergy. Tr1 cells consistently represent the dominant subset speciﬁc for common environmental allergens in healthy individuals. In contrast, there is a high frequency of allergen-speciﬁc interleukin-4 (IL-4)-secreting T cells in allergic individuals. Allergen-speciﬁc immunotherapy can induce speciﬁc Tr1 cells that abolish allergen-induced proliferation of Th1 and Th2 cells, as well as their cytokine production. Tr1 cells utilize multiple suppressor mechanisms, such as IL-10 and transforming growth factor-b (TGF-b) as secreted cytokines and various surface molecules, such as cytotoxic T-lymphocyte antigen 4 and programmed death-1. IL-10 only inhibits T cells stimulated by low numbers of triggered T-cell receptors, which depend on CD28 costimulation. IL-10 inhibits CD28 tyrosine phosphorylation, preventing the binding of phosphatidylinositol 3-kinase p85 and consequently inhibiting the CD28 signalling pathway. In addition, IL-10 and TGF-b secreted by Tr1 cells skew the antibody production from immunoglobulin E (IgE) towards the non-inﬂammatory isotypes IgG4 and IgA, respectively. Induction of antigen-speciﬁc Tr1 cells can thus re-direct an inappropriate immune response against allergens or auto-antigens using a broad range of suppressor mechanisms.","container-title":"Immunology","DOI":"10.1111/j.1365-2567.2006.02321.x","ISSN":"0019-2805, 1365-2567","issue":"4","journalAbbreviation":"Immunology","language":"en","page":"433-442","source":"DOI.org (Crossref)","title":"Mechanisms of immune suppression by interleukin-10 and transforming growth factor-beta: the role of T regulatory cells","title-short":"Mechanisms of immune suppression by interleukin-10 and transforming growth factor-beta","volume":"117","author":[{"family":"Taylor","given":"Alison"},{"family":"Verhagen","given":"Johan"},{"family":"Blaser","given":"Kurt"},{"family":"Akdis","given":"Mubeccel"},{"family":"Akdis","given":"Cezmi A."}],"issued":{"date-parts":[["2006",4]]}}}],"schema":"https://github.com/citation-style-language/schema/raw/master/csl-citation.json"}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60</w:t>
      </w:r>
      <w:r w:rsidRPr="00D74025">
        <w:rPr>
          <w:rFonts w:ascii="Arial" w:hAnsi="Arial" w:cs="Arial"/>
          <w:color w:val="000000" w:themeColor="text1"/>
        </w:rPr>
        <w:fldChar w:fldCharType="end"/>
      </w:r>
      <w:r w:rsidRPr="00D74025">
        <w:rPr>
          <w:rFonts w:ascii="Arial" w:hAnsi="Arial" w:cs="Arial"/>
          <w:color w:val="000000" w:themeColor="text1"/>
        </w:rPr>
        <w:t xml:space="preserve">. Additionally, the PSR firing on macrophages caused by cancer surface PS and </w:t>
      </w:r>
      <w:proofErr w:type="spellStart"/>
      <w:r w:rsidRPr="00D74025">
        <w:rPr>
          <w:rFonts w:ascii="Arial" w:hAnsi="Arial" w:cs="Arial"/>
          <w:color w:val="000000" w:themeColor="text1"/>
        </w:rPr>
        <w:t>sPS</w:t>
      </w:r>
      <w:proofErr w:type="spellEnd"/>
      <w:r w:rsidRPr="00D74025">
        <w:rPr>
          <w:rFonts w:ascii="Arial" w:hAnsi="Arial" w:cs="Arial"/>
          <w:color w:val="000000" w:themeColor="text1"/>
        </w:rPr>
        <w:t xml:space="preserve"> induces a change in macrophage polarization from pro-inflammatory (M1-like) phenotype to a protumor (M2-like) phenotype</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{"citationID":"ae3ah85b16","properties":{"formattedCitation":"\\super 61\\nosupersub{}","plainCitation":"61","noteIndex":0},"citationItems":[{"id":307,"uris":["http://zotero.org/users/7661987/items/AULH7P5G"],"itemData":{"id":307,"type":"article-journal","abstract":"Cancer is a leading cause of mortality and morbidity worldwide. Despite major improvements in current therapeutic methods, ideal therapeutic strategies for improved tumor elimination are still lacking. Recently, immunotherapy has attracted much attention, and many immune-active agents have been approved for clinical use alone or in combination with other cancer drugs. However, some patients have a poor response to these agents. New agents and strategies are needed to overcome such deficiencies. Phosphatidylserine (PS) is an essential component of bilayer cell membranes and is normally present in the inner leaflet. In the physiological state, PS exposure on the external leaflet not only acts as an engulfment signal for phagocytosis in apoptotic cells but also participates in blood coagulation, myoblast fusion and immune regulation in nonapoptotic cells. In the tumor microenvironment, PS exposure is significantly increased on the surface of tumor cells or tumor cell-derived microvesicles, which have innate immunosuppressive properties and facilitate tumor growth and metastasis. To date, agents targeting PS have been developed, some of which are under investigation in clinical trials as combination drugs for various cancers. However, controversial results are emerging in laboratory research as well as in clinical trials, and the efficiency of PS-targeting agents remains uncertain. In this review, we summarize recent progress in our understanding of the physiological and pathological roles of PS, with a focus on immune suppressive features. In addition, we discuss current drug developments that are based on PS-targeting strategies in both experimental and clinical studies. We hope to provide a future research direction for the development of new agents for cancer therapy.","container-title":"Theranostics","DOI":"10.7150/thno.45125","ISSN":"1838-7640","issue":"20","journalAbbreviation":"Theranostics","language":"en","page":"9214-9229","source":"DOI.org (Crossref)","title":"Targeting phosphatidylserine for Cancer therapy: prospects and challenges","title-short":"Targeting phosphatidylserine for Cancer therapy","volume":"10","author":[{"family":"Chang","given":"Wenguang"},{"family":"Fa","given":"Hongge"},{"family":"Xiao","given":"Dandan"},{"family":"Wang","given":"Jianxun"}],"issued":{"date-parts":[["2020"]]}}}],"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61</w:t>
      </w:r>
      <w:r w:rsidRPr="00D74025">
        <w:rPr>
          <w:rFonts w:ascii="Arial" w:hAnsi="Arial" w:cs="Arial"/>
          <w:color w:val="000000" w:themeColor="text1"/>
        </w:rPr>
        <w:fldChar w:fldCharType="end"/>
      </w:r>
      <w:r w:rsidRPr="00D74025">
        <w:rPr>
          <w:rFonts w:ascii="Arial" w:hAnsi="Arial" w:cs="Arial"/>
          <w:color w:val="000000" w:themeColor="text1"/>
        </w:rPr>
        <w:t>.</w:t>
      </w:r>
    </w:p>
    <w:p w14:paraId="0990DDD3" w14:textId="6BF37DC0" w:rsidR="00540E7B" w:rsidRPr="00D74025" w:rsidRDefault="00540E7B" w:rsidP="00540E7B">
      <w:pPr>
        <w:autoSpaceDE w:val="0"/>
        <w:autoSpaceDN w:val="0"/>
        <w:adjustRightInd w:val="0"/>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Likewise, tumor-derived </w:t>
      </w:r>
      <w:proofErr w:type="spellStart"/>
      <w:r w:rsidRPr="00D74025">
        <w:rPr>
          <w:rFonts w:ascii="Arial" w:hAnsi="Arial" w:cs="Arial"/>
          <w:color w:val="000000" w:themeColor="text1"/>
        </w:rPr>
        <w:t>microvesicles</w:t>
      </w:r>
      <w:proofErr w:type="spellEnd"/>
      <w:r w:rsidRPr="00D74025">
        <w:rPr>
          <w:rFonts w:ascii="Arial" w:hAnsi="Arial" w:cs="Arial"/>
          <w:color w:val="000000" w:themeColor="text1"/>
        </w:rPr>
        <w:t xml:space="preserve"> also promote an anti-inflammatory tumor microenvironment. Those vesicles have enhanced PS exposure, which enhances apoptotic cell removal by phagocytes. This immunological silent removal inhibits inflammatory response, promoting an immunosuppressive tumor microenvironment</w:t>
      </w:r>
      <w:r w:rsidR="00093B22"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{"citationID":"a2crk08nnq1","properties":{"formattedCitation":"\\super 61\\nosupersub{}","plainCitation":"61","noteIndex":0},"citationItems":[{"id":307,"uris":["http://zotero.org/users/7661987/items/AULH7P5G"],"itemData":{"id":307,"type":"article-journal","abstract":"Cancer is a leading cause of mortality and morbidity worldwide. Despite major improvements in current therapeutic methods, ideal therapeutic strategies for improved tumor elimination are still lacking. Recently, immunotherapy has attracted much attention, and many immune-active agents have been approved for clinical use alone or in combination with other cancer drugs. However, some patients have a poor response to these agents. New agents and strategies are needed to overcome such deficiencies. Phosphatidylserine (PS) is an essential component of bilayer cell membranes and is normally present in the inner leaflet. In the physiological state, PS exposure on the external leaflet not only acts as an engulfment signal for phagocytosis in apoptotic cells but also participates in blood coagulation, myoblast fusion and immune regulation in nonapoptotic cells. In the tumor microenvironment, PS exposure is significantly increased on the surface of tumor cells or tumor cell-derived microvesicles, which have innate immunosuppressive properties and facilitate tumor growth and metastasis. To date, agents targeting PS have been developed, some of which are under investigation in clinical trials as combination drugs for various cancers. However, controversial results are emerging in laboratory research as well as in clinical trials, and the efficiency of PS-targeting agents remains uncertain. In this review, we summarize recent progress in our understanding of the physiological and pathological roles of PS, with a focus on immune suppressive features. In addition, we discuss current drug developments that are based on PS-targeting strategies in both experimental and clinical studies. We hope to provide a future research direction for the development of new agents for cancer therapy.","container-title":"Theranostics","DOI":"10.7150/thno.45125","ISSN":"1838-7640","issue":"20","journalAbbreviation":"Theranostics","language":"en","page":"9214-9229","source":"DOI.org (Crossref)","title":"Targeting phosphatidylserine for Cancer therapy: prospects and challenges","title-short":"Targeting phosphatidylserine for Cancer therapy","volume":"10","author":[{"family":"Chang","given":"Wenguang"},{"family":"Fa","given":"Hongge"},{"family":"Xiao","given":"Dandan"},{"family":"Wang","given":"Jianxun"}],"issued":{"date-parts":[["2020"]]}}}],"schema":"https://github.com/citation-style-language/schema/raw/master/csl-citation.json"} </w:instrText>
      </w:r>
      <w:r w:rsidR="00093B22" w:rsidRPr="00D74025">
        <w:rPr>
          <w:rFonts w:ascii="Arial" w:hAnsi="Arial" w:cs="Arial"/>
          <w:color w:val="000000" w:themeColor="text1"/>
        </w:rPr>
        <w:fldChar w:fldCharType="separate"/>
      </w:r>
      <w:r w:rsidR="00174D75" w:rsidRPr="00174D75">
        <w:rPr>
          <w:rFonts w:ascii="Arial" w:hAnsi="Arial" w:cs="Arial"/>
          <w:color w:val="000000"/>
          <w:vertAlign w:val="superscript"/>
        </w:rPr>
        <w:t>61</w:t>
      </w:r>
      <w:r w:rsidR="00093B22" w:rsidRPr="00D74025">
        <w:rPr>
          <w:rFonts w:ascii="Arial" w:hAnsi="Arial" w:cs="Arial"/>
          <w:color w:val="000000" w:themeColor="text1"/>
        </w:rPr>
        <w:fldChar w:fldCharType="end"/>
      </w:r>
      <w:r w:rsidRPr="00D74025">
        <w:rPr>
          <w:rFonts w:ascii="Arial" w:hAnsi="Arial" w:cs="Arial"/>
          <w:color w:val="000000" w:themeColor="text1"/>
        </w:rPr>
        <w:t xml:space="preserve">. Those </w:t>
      </w:r>
      <w:proofErr w:type="spellStart"/>
      <w:r w:rsidRPr="00D74025">
        <w:rPr>
          <w:rFonts w:ascii="Arial" w:hAnsi="Arial" w:cs="Arial"/>
          <w:color w:val="000000" w:themeColor="text1"/>
        </w:rPr>
        <w:t>microvesicles</w:t>
      </w:r>
      <w:proofErr w:type="spellEnd"/>
      <w:r w:rsidRPr="00D74025">
        <w:rPr>
          <w:rFonts w:ascii="Arial" w:hAnsi="Arial" w:cs="Arial"/>
          <w:color w:val="000000" w:themeColor="text1"/>
        </w:rPr>
        <w:t xml:space="preserve"> are </w:t>
      </w:r>
      <w:r w:rsidR="00CC12B0" w:rsidRPr="00D74025">
        <w:rPr>
          <w:rFonts w:ascii="Arial" w:hAnsi="Arial" w:cs="Arial"/>
          <w:color w:val="000000" w:themeColor="text1"/>
        </w:rPr>
        <w:t xml:space="preserve">also </w:t>
      </w:r>
      <w:r w:rsidRPr="00D74025">
        <w:rPr>
          <w:rFonts w:ascii="Arial" w:hAnsi="Arial" w:cs="Arial"/>
          <w:color w:val="000000" w:themeColor="text1"/>
        </w:rPr>
        <w:t>correlated to the T-cell response suppression by arresting the T-cell signaling cascade</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{"citationID":"a1l5b5a7k5","properties":{"formattedCitation":"\\super 62\\nosupersub{}","plainCitation":"62","noteIndex":0},"citationItems":[{"id":270,"uris":["http://zotero.org/users/7661987/items/FDQPFHL3"],"itemData":{"id":270,"type":"article-journal","abstract":"Abstract\n            The identification of immunosuppressive factors within human tumor microenvironments, and the ability to block these factors, would be expected to enhance patients' antitumor immune responses. We previously established that an unidentified factor, or factors, present in ovarian tumor ascites fluids reversibly inhibited the activation of T cells by arresting the T-cell signaling cascade. Ultracentrifugation of the tumor ascites fluid has now revealed a pellet that contains small extracellular vesicles (EV) with an average diameter of 80 nm. The T-cell arrest was determined to be causally linked to phosphatidylserine (PS) that is present on the outer leaflet of the vesicle bilayer, as a depletion of PS-expressing EV or a blockade of PS with anti-PS antibody significantly inhibits the vesicle-induced signaling arrest. The inhibitory EV were also isolated from solid tumor tissues. The presence of immunosuppressive vesicles in the microenvironments of ovarian tumors and our ability to block their inhibition of T-cell function represent a potential therapeutic target for patients with ovarian cancer. Cancer Immunol Res; 3(11); 1269–78. ©2015 AACR.","container-title":"Cancer Immunology Research","DOI":"10.1158/2326-6066.CIR-15-0086","ISSN":"2326-6066, 2326-6074","issue":"11","language":"en","page":"1269-1278","source":"DOI.org (Crossref)","title":"Extracellular Vesicles Present in Human Ovarian Tumor Microenvironments Induce a Phosphatidylserine-Dependent Arrest in the T-cell Signaling Cascade","volume":"3","author":[{"family":"Kelleher","given":"Raymond J."},{"family":"Balu-Iyer","given":"Sathy"},{"family":"Loyall","given":"Jenni"},{"family":"Sacca","given":"Anthony J."},{"family":"Shenoy","given":"Gautam N."},{"family":"Peng","given":"Peng"},{"family":"Iyer","given":"Vandana"},{"family":"Fathallah","given":"Anas M."},{"family":"Berenson","given":"Charles S."},{"family":"Wallace","given":"Paul K."},{"family":"Tario","given":"Joseph"},{"family":"Odunsi","given":"Kunle"},{"family":"Bankert","given":"Richard B."}],"issued":{"date-parts":[["2015",11,1]]}}}],"schema":"https://github.com/citation-style-language/schema/raw/master/csl-citation.json"}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62</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3253B58C" w14:textId="4EC92D8F" w:rsidR="00CC12B0" w:rsidRDefault="00CC12B0" w:rsidP="00540E7B">
      <w:pPr>
        <w:autoSpaceDE w:val="0"/>
        <w:autoSpaceDN w:val="0"/>
        <w:adjustRightInd w:val="0"/>
        <w:spacing w:line="360" w:lineRule="auto"/>
        <w:ind w:firstLine="1440"/>
        <w:jc w:val="both"/>
        <w:rPr>
          <w:rFonts w:ascii="Arial" w:hAnsi="Arial" w:cs="Arial"/>
          <w:color w:val="000000" w:themeColor="text1"/>
        </w:rPr>
      </w:pPr>
    </w:p>
    <w:p w14:paraId="16E5A37D" w14:textId="77777777" w:rsidR="000678A6" w:rsidRPr="00D74025" w:rsidRDefault="000678A6" w:rsidP="00540E7B">
      <w:pPr>
        <w:autoSpaceDE w:val="0"/>
        <w:autoSpaceDN w:val="0"/>
        <w:adjustRightInd w:val="0"/>
        <w:spacing w:line="360" w:lineRule="auto"/>
        <w:ind w:firstLine="1440"/>
        <w:jc w:val="both"/>
        <w:rPr>
          <w:rFonts w:ascii="Arial" w:hAnsi="Arial" w:cs="Arial"/>
          <w:color w:val="000000" w:themeColor="text1"/>
        </w:rPr>
      </w:pPr>
    </w:p>
    <w:p w14:paraId="31AC5AB7" w14:textId="02459898" w:rsidR="00791D13" w:rsidRPr="00D74025" w:rsidRDefault="008658E4" w:rsidP="0064498B">
      <w:pPr>
        <w:spacing w:line="360" w:lineRule="auto"/>
        <w:outlineLvl w:val="1"/>
        <w:rPr>
          <w:rFonts w:ascii="Arial" w:hAnsi="Arial" w:cs="Arial"/>
          <w:b/>
          <w:bCs/>
          <w:color w:val="000000" w:themeColor="text1"/>
          <w:sz w:val="28"/>
          <w:szCs w:val="28"/>
          <w:u w:val="single"/>
        </w:rPr>
      </w:pPr>
      <w:bookmarkStart w:id="17" w:name="_Toc121217226"/>
      <w:r w:rsidRPr="00D74025">
        <w:rPr>
          <w:rFonts w:ascii="Arial" w:hAnsi="Arial" w:cs="Arial"/>
          <w:b/>
          <w:bCs/>
          <w:color w:val="000000" w:themeColor="text1"/>
          <w:sz w:val="28"/>
          <w:szCs w:val="28"/>
          <w:u w:val="single"/>
        </w:rPr>
        <w:t xml:space="preserve">1.2 </w:t>
      </w:r>
      <w:r w:rsidR="00791D13" w:rsidRPr="00D74025">
        <w:rPr>
          <w:rFonts w:ascii="Arial" w:hAnsi="Arial" w:cs="Arial"/>
          <w:b/>
          <w:bCs/>
          <w:color w:val="000000" w:themeColor="text1"/>
          <w:sz w:val="28"/>
          <w:szCs w:val="28"/>
          <w:u w:val="single"/>
        </w:rPr>
        <w:t xml:space="preserve">Annexin A5 binds to externalized </w:t>
      </w:r>
      <w:r w:rsidR="00277DA5">
        <w:rPr>
          <w:rFonts w:ascii="Arial" w:hAnsi="Arial" w:cs="Arial"/>
          <w:b/>
          <w:bCs/>
          <w:color w:val="000000" w:themeColor="text1"/>
          <w:sz w:val="28"/>
          <w:szCs w:val="28"/>
          <w:u w:val="single"/>
        </w:rPr>
        <w:t>p</w:t>
      </w:r>
      <w:r w:rsidR="00791D13" w:rsidRPr="00D74025">
        <w:rPr>
          <w:rFonts w:ascii="Arial" w:hAnsi="Arial" w:cs="Arial"/>
          <w:b/>
          <w:bCs/>
          <w:color w:val="000000" w:themeColor="text1"/>
          <w:sz w:val="28"/>
          <w:szCs w:val="28"/>
          <w:u w:val="single"/>
        </w:rPr>
        <w:t>hosphatidylserine</w:t>
      </w:r>
      <w:bookmarkEnd w:id="16"/>
      <w:bookmarkEnd w:id="17"/>
    </w:p>
    <w:p w14:paraId="1F8C9017" w14:textId="591D3375" w:rsidR="00F665A0" w:rsidRDefault="00F665A0" w:rsidP="000129D2">
      <w:pPr>
        <w:rPr>
          <w:rFonts w:ascii="Arial" w:hAnsi="Arial" w:cs="Arial"/>
          <w:b/>
          <w:bCs/>
          <w:color w:val="000000" w:themeColor="text1"/>
        </w:rPr>
      </w:pPr>
    </w:p>
    <w:p w14:paraId="504BEA77" w14:textId="129A8701" w:rsidR="000678A6" w:rsidRDefault="000678A6" w:rsidP="000129D2">
      <w:pPr>
        <w:rPr>
          <w:rFonts w:ascii="Arial" w:hAnsi="Arial" w:cs="Arial"/>
          <w:b/>
          <w:bCs/>
          <w:color w:val="000000" w:themeColor="text1"/>
        </w:rPr>
      </w:pPr>
    </w:p>
    <w:p w14:paraId="4D39F76C" w14:textId="77777777" w:rsidR="00587844" w:rsidRPr="00D74025" w:rsidRDefault="00587844" w:rsidP="000129D2">
      <w:pPr>
        <w:rPr>
          <w:rFonts w:ascii="Arial" w:hAnsi="Arial" w:cs="Arial"/>
          <w:b/>
          <w:bCs/>
          <w:color w:val="000000" w:themeColor="text1"/>
        </w:rPr>
      </w:pPr>
    </w:p>
    <w:p w14:paraId="13446BE0" w14:textId="5F76C42C" w:rsidR="000F4347" w:rsidRPr="00D74025" w:rsidRDefault="000F4347" w:rsidP="000F4347">
      <w:pPr>
        <w:spacing w:line="360" w:lineRule="auto"/>
        <w:ind w:firstLine="1440"/>
        <w:contextualSpacing/>
        <w:jc w:val="both"/>
        <w:rPr>
          <w:rFonts w:ascii="Arial" w:hAnsi="Arial" w:cs="Arial"/>
          <w:color w:val="000000" w:themeColor="text1"/>
        </w:rPr>
      </w:pPr>
      <w:r w:rsidRPr="00A92F83">
        <w:rPr>
          <w:rFonts w:ascii="Arial" w:hAnsi="Arial" w:cs="Arial"/>
          <w:color w:val="000000" w:themeColor="text1"/>
        </w:rPr>
        <w:t xml:space="preserve">The contrasting PS expression between cancer and healthy cells compels the use of PS as a target for cancer treatment. Whereas the absence of externalized PS is the default state of far most healthy cells, PS is externalized in cancer cells, tumor vasculature, and metastatic cancer cells. The lack of PS on healthy cells might </w:t>
      </w:r>
      <w:r w:rsidR="00A2468F">
        <w:rPr>
          <w:rFonts w:ascii="Arial" w:hAnsi="Arial" w:cs="Arial"/>
          <w:color w:val="000000" w:themeColor="text1"/>
        </w:rPr>
        <w:t>redu</w:t>
      </w:r>
      <w:r w:rsidR="007508FA">
        <w:rPr>
          <w:rFonts w:ascii="Arial" w:hAnsi="Arial" w:cs="Arial"/>
          <w:color w:val="000000" w:themeColor="text1"/>
        </w:rPr>
        <w:t>c</w:t>
      </w:r>
      <w:r w:rsidR="00A2468F">
        <w:rPr>
          <w:rFonts w:ascii="Arial" w:hAnsi="Arial" w:cs="Arial"/>
          <w:color w:val="000000" w:themeColor="text1"/>
        </w:rPr>
        <w:t xml:space="preserve">e the effect of PS-targeted therapies </w:t>
      </w:r>
      <w:r w:rsidR="007508FA">
        <w:rPr>
          <w:rFonts w:ascii="Arial" w:hAnsi="Arial" w:cs="Arial"/>
          <w:color w:val="000000" w:themeColor="text1"/>
        </w:rPr>
        <w:t>on those cells</w:t>
      </w:r>
      <w:r w:rsidRPr="00A92F83">
        <w:rPr>
          <w:rFonts w:ascii="Arial" w:hAnsi="Arial" w:cs="Arial"/>
          <w:color w:val="000000" w:themeColor="text1"/>
        </w:rPr>
        <w:t xml:space="preserve">, reducing the overall side effects. Due to the relevance of targeting treatment regimens in the prognosis of cancer treatment, it is of utmost importance to develop new targeting strategies. </w:t>
      </w:r>
    </w:p>
    <w:p w14:paraId="51BCD483" w14:textId="22B351E6" w:rsidR="000F4347" w:rsidRPr="00D74025" w:rsidRDefault="000F4347" w:rsidP="000F4347">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 xml:space="preserve">In this work, </w:t>
      </w:r>
      <w:r w:rsidR="00297FCE">
        <w:rPr>
          <w:rFonts w:ascii="Arial" w:hAnsi="Arial" w:cs="Arial"/>
          <w:color w:val="000000" w:themeColor="text1"/>
        </w:rPr>
        <w:t>a</w:t>
      </w:r>
      <w:r w:rsidRPr="00D74025">
        <w:rPr>
          <w:rFonts w:ascii="Arial" w:hAnsi="Arial" w:cs="Arial"/>
          <w:color w:val="000000" w:themeColor="text1"/>
        </w:rPr>
        <w:t xml:space="preserve">nnexin A5 has been used as a targeting strategy for externalized PS because this relatively small soluble protein (~36 </w:t>
      </w:r>
      <w:proofErr w:type="spellStart"/>
      <w:r w:rsidRPr="00D74025">
        <w:rPr>
          <w:rFonts w:ascii="Arial" w:hAnsi="Arial" w:cs="Arial"/>
          <w:color w:val="000000" w:themeColor="text1"/>
        </w:rPr>
        <w:t>kDa</w:t>
      </w:r>
      <w:proofErr w:type="spellEnd"/>
      <w:r w:rsidRPr="00D74025">
        <w:rPr>
          <w:rFonts w:ascii="Arial" w:hAnsi="Arial" w:cs="Arial"/>
          <w:color w:val="000000" w:themeColor="text1"/>
        </w:rPr>
        <w:t>) binds specifically to PS clusters on the surface of the plasma membrane.</w:t>
      </w:r>
      <w:r w:rsidR="00297FCE">
        <w:rPr>
          <w:rFonts w:ascii="Arial" w:hAnsi="Arial" w:cs="Arial"/>
          <w:color w:val="000000" w:themeColor="text1"/>
        </w:rPr>
        <w:t xml:space="preserve"> </w:t>
      </w:r>
      <w:r w:rsidRPr="00D74025">
        <w:rPr>
          <w:rFonts w:ascii="Arial" w:hAnsi="Arial" w:cs="Arial"/>
          <w:color w:val="000000" w:themeColor="text1"/>
        </w:rPr>
        <w:t>Annexin A5 (ANXA5)  was first identified in 1985 due to its anticoagulant effect</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{"citationID":"0yORlvna","properties":{"formattedCitation":"\\super 63\\nosupersub{}","plainCitation":"63","noteIndex":0},"citationItems":[{"id":69,"uris":["http://zotero.org/users/7661987/items/PLE9UKN8"],"itemData":{"id":69,"type":"article-journal","language":"en","page":"8","source":"Zotero","title":"Purification and characterization of a novel protein from bovine aorta that inhibits coagulation","author":[{"family":"Reutelingsperger","given":"Chris P M"},{"family":"Kop","given":"M M"},{"family":"Hornstra","given":"Gerard"},{"family":"Hemker","given":"H Coenraad"}]}}],"schema":"https://github.com/citation-style-language/schema/raw/master/csl-citation.json"}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63</w:t>
      </w:r>
      <w:r w:rsidRPr="00D74025">
        <w:rPr>
          <w:rFonts w:ascii="Arial" w:hAnsi="Arial" w:cs="Arial"/>
          <w:color w:val="000000" w:themeColor="text1"/>
        </w:rPr>
        <w:fldChar w:fldCharType="end"/>
      </w:r>
      <w:r w:rsidRPr="00D74025">
        <w:rPr>
          <w:rFonts w:ascii="Arial" w:hAnsi="Arial" w:cs="Arial"/>
          <w:color w:val="000000" w:themeColor="text1"/>
        </w:rPr>
        <w:t>. It has been proved that ANXA5 has a high binding affinity to negatively charged phospholipids such as PS. The binding occurs through a calcium-mediated mechanism</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{"citationID":"GRgtWX0P","properties":{"formattedCitation":"\\super 63\\uc0\\u8211{}65\\nosupersub{}","plainCitation":"63–65","noteIndex":0},"citationItems":[{"id":69,"uris":["http://zotero.org/users/7661987/items/PLE9UKN8"],"itemData":{"id":69,"type":"article-journal","language":"en","page":"8","source":"Zotero","title":"Purification and characterization of a novel protein from bovine aorta that inhibits coagulation","author":[{"family":"Reutelingsperger","given":"Chris P M"},{"family":"Kop","given":"M M"},{"family":"Hornstra","given":"Gerard"},{"family":"Hemker","given":"H Coenraad"}]}},{"id":60,"uris":["http://zotero.org/users/7661987/items/U57WHKV8"],"itemData":{"id":60,"type":"article-journal","container-title":"Journal of Biological Chemistry","DOI":"10.1016/S0021-9258(18)83133-7","ISSN":"00219258","issue":"14","journalAbbreviation":"Journal of Biological Chemistry","language":"en","page":"7944-7949","source":"DOI.org (Crossref)","title":"Phospholipid binding properties of human placental anticoagulant protein-I, a member of the lipocortin family","volume":"264","author":[{"family":"Tait","given":"J F"},{"family":"Gibson","given":"D"},{"family":"Fujikawa","given":"K"}],"issued":{"date-parts":[["1989",5]]}}},{"id":70,"uris":["http://zotero.org/users/7661987/items/WJJ3ZQRH"],"itemData":{"id":70,"type":"article-journal","container-title":"Journal of Biological Chemistry","DOI":"10.1016/S0021-9258(19)37128-5","ISSN":"00219258","issue":"25","journalAbbreviation":"Journal of Biological Chemistry","language":"en","page":"17907-17912","source":"DOI.org (Crossref)","title":"Clustering of lipid-bound annexin V may explain its anticoagulant effect.","volume":"267","author":[{"family":"Andree","given":"H.A."},{"family":"Stuart","given":"M.C."},{"family":"Hermens","given":"W.T."},{"family":"Reutelingsperger","given":"C.P."},{"family":"Hemker","given":"H.C."},{"family":"Frederik","given":"P.M."},{"family":"Willems","given":"G.M."}],"issued":{"date-parts":[["1992",9]]}}}],"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63–65</w:t>
      </w:r>
      <w:r w:rsidRPr="00D74025">
        <w:rPr>
          <w:rFonts w:ascii="Arial" w:hAnsi="Arial" w:cs="Arial"/>
          <w:color w:val="000000" w:themeColor="text1"/>
        </w:rPr>
        <w:fldChar w:fldCharType="end"/>
      </w:r>
      <w:r w:rsidRPr="00D74025">
        <w:rPr>
          <w:rFonts w:ascii="Arial" w:hAnsi="Arial" w:cs="Arial"/>
          <w:color w:val="000000" w:themeColor="text1"/>
        </w:rPr>
        <w:t>. Therefore, the natural concentration of Ca</w:t>
      </w:r>
      <w:r w:rsidRPr="00D74025">
        <w:rPr>
          <w:rFonts w:ascii="Arial" w:hAnsi="Arial" w:cs="Arial"/>
          <w:color w:val="000000" w:themeColor="text1"/>
          <w:vertAlign w:val="superscript"/>
        </w:rPr>
        <w:t>2+</w:t>
      </w:r>
      <w:r w:rsidRPr="00D74025">
        <w:rPr>
          <w:rFonts w:ascii="Arial" w:hAnsi="Arial" w:cs="Arial"/>
          <w:color w:val="000000" w:themeColor="text1"/>
        </w:rPr>
        <w:t xml:space="preserve"> in the bloodstream facilitated the efficient binding of ANXA5 to PS on the surface of cells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{"citationID":"0FxZD5EP","properties":{"formattedCitation":"\\super 66\\nosupersub{}","plainCitation":"66","noteIndex":0},"citationItems":[{"id":59,"uris":["http://zotero.org/users/7661987/items/GEP7VXT8"],"itemData":{"id":59,"type":"article-journal","abstract":"We developed a method for measuring the binding aYnity of annexin V for phospholipid vesicles and cells at very low levels of membrane occupancy. The annexin V-117 mutant was labeled with Xuorescein iodoacetamide on its single N-terminal cysteine residue; binding to phospholipid vesicles containing phosphatidylserine (PS) and 2% rhodamine–phosphatidylethanolamine was measured by Xuorescence quenching due to resonance energy transfer; binding to cells with exposed PS was measured by Xuorometry after elution of bound protein. The equilibrium constant was calculated as a function of the midpoint of the calcium titration curve, the Hill coeYcient, and the concentration of membrane binding sites. Calcium titrations at very low ratios of protein to membrane revealed Hill coeYcients of approximately 8 for both vesicles and cells, far higher than previously measured, but as the protein–membrane ratio was increased above 3% of maximum membrane occupancy, the value of the Hill coeYcient progressively decreased to a limiting value of about 2. High Hill coeYcients were also observed for measurements performed at diVerent ionic strengths and with membrane PS content varied over the range from 20 to 50%. This method allows the accurate determination of the aYnity and cooperativity of annexin V–membrane binding and will be useful for the evaluation of modiWed annexin V derivatives intended for diagnostic and therapeutic applications.","container-title":"Analytical Biochemistry","DOI":"10.1016/j.ab.2004.02.043","ISSN":"00032697","issue":"1","journalAbbreviation":"Analytical Biochemistry","language":"en","page":"112-119","source":"DOI.org (Crossref)","title":"Measurement of the affinity and cooperativity of annexin V–membrane binding under conditions of low membrane occupancy","volume":"329","author":[{"family":"Tait","given":"Jonathan F"},{"family":"Gibson","given":"Donald F"},{"family":"Smith","given":"Christina"}],"issued":{"date-parts":[["2004",6]]}}}],"schema":"https://github.com/citation-style-language/schema/raw/master/csl-citation.json"}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66</w:t>
      </w:r>
      <w:r w:rsidRPr="00D74025">
        <w:rPr>
          <w:rFonts w:ascii="Arial" w:hAnsi="Arial" w:cs="Arial"/>
          <w:color w:val="000000" w:themeColor="text1"/>
        </w:rPr>
        <w:fldChar w:fldCharType="end"/>
      </w:r>
      <w:r w:rsidRPr="00D74025">
        <w:rPr>
          <w:rFonts w:ascii="Arial" w:hAnsi="Arial" w:cs="Arial"/>
          <w:color w:val="000000" w:themeColor="text1"/>
        </w:rPr>
        <w:t>.</w:t>
      </w:r>
    </w:p>
    <w:p w14:paraId="35198506" w14:textId="3DDE8B32" w:rsidR="009B375D" w:rsidRPr="00D74025" w:rsidRDefault="009B375D" w:rsidP="009B375D">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lastRenderedPageBreak/>
        <w:t>The structure of ANXA5 was elucidated by X-ray crystallography</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{"citationID":"aum8r4ble2","properties":{"formattedCitation":"\\super 67\\nosupersub{}","plainCitation":"67","noteIndex":0},"citationItems":[{"id":66,"uris":["http://zotero.org/users/7661987/items/YJNSHXE3"],"itemData":{"id":66,"type":"article-journal","container-title":"The EMBO Journal","DOI":"10.1002/j.1460-2075.1990.tb07605.x","ISSN":"02614189","issue":"12","journalAbbreviation":"The EMBO Journal","language":"en","page":"3867-3874","source":"DOI.org (Crossref)","title":"The crystal and molecular structure of human annexin V, an anticoagulant protein that binds to calcium and membranes.","volume":"9","author":[{"family":"Huber","given":"R."},{"family":"Römisch","given":"J."},{"family":"Paques","given":"E. P."}],"issued":{"date-parts":[["1990",12]]}}}],"schema":"https://github.com/citation-style-language/schema/raw/master/csl-citation.json"}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67</w:t>
      </w:r>
      <w:r w:rsidRPr="00D74025">
        <w:rPr>
          <w:rFonts w:ascii="Arial" w:hAnsi="Arial" w:cs="Arial"/>
          <w:color w:val="000000" w:themeColor="text1"/>
        </w:rPr>
        <w:fldChar w:fldCharType="end"/>
      </w:r>
      <w:r w:rsidRPr="00D74025">
        <w:rPr>
          <w:rFonts w:ascii="Arial" w:hAnsi="Arial" w:cs="Arial"/>
          <w:color w:val="000000" w:themeColor="text1"/>
        </w:rPr>
        <w:t>. The tertiary arrangement is shaped as a slightly curved structure formed by four domains aligned cyclically</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{"citationID":"a17lccucat2","properties":{"formattedCitation":"\\super 68\\nosupersub{}","plainCitation":"68","noteIndex":0},"citationItems":[{"id":"a7Mi7BUu/G3MAwWrB","uris":["http://www.mendeley.com/documents/?uuid=b6ae59e6-e5bc-4ab5-96d5-65e619ad2f04"],"itemData":{"author":[{"dropping-particle":"","family":"Huber","given":"Robert","non-dropping-particle":"","parse-names":false,"suffix":""},{"dropping-particle":"","family":"Schneider","given":"Monika","non-dropping-particle":"","parse-names":false,"suffix":""},{"dropping-particle":"","family":"Mayr","given":"Irmgard","non-dropping-particle":"","parse-names":false,"suffix":""},{"dropping-particle":"","family":"Römisch","given":"Jurgen","non-dropping-particle":"","parse-names":false,"suffix":""},{"dropping-particle":"","family":"Paques","given":"Eric- P","non-dropping-particle":"","parse-names":false,"suffix":""}],"container-title":"FEBS Lett","id":"bsmkwR9o/fYb22lYf","issue":"1-2","issued":{"date-parts":[["1990"]]},"page":"15-21","title":"The Calcium Binding Sites in Human Annexin V by Crystal Structure Analysis at 2.0 A Resolution. Implications for Membrane Binding and Calcium Channel Activity","type":"article-journal","volume":"275"}}],"schema":"https://github.com/citation-style-language/schema/raw/master/csl-citation.json"}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68</w:t>
      </w:r>
      <w:r w:rsidRPr="00D74025">
        <w:rPr>
          <w:rFonts w:ascii="Arial" w:hAnsi="Arial" w:cs="Arial"/>
          <w:color w:val="000000" w:themeColor="text1"/>
        </w:rPr>
        <w:fldChar w:fldCharType="end"/>
      </w:r>
      <w:r w:rsidRPr="00D74025">
        <w:rPr>
          <w:rFonts w:ascii="Arial" w:hAnsi="Arial" w:cs="Arial"/>
          <w:color w:val="000000" w:themeColor="text1"/>
        </w:rPr>
        <w:t xml:space="preserve">, as shown in </w:t>
      </w:r>
      <w:r w:rsidR="009A1B74" w:rsidRPr="009A1B74">
        <w:rPr>
          <w:rFonts w:ascii="Arial" w:hAnsi="Arial" w:cs="Arial"/>
          <w:b/>
          <w:bCs/>
          <w:color w:val="000000" w:themeColor="text1"/>
        </w:rPr>
        <w:t>F</w:t>
      </w:r>
      <w:r w:rsidRPr="009A1B74">
        <w:rPr>
          <w:rFonts w:ascii="Arial" w:hAnsi="Arial" w:cs="Arial"/>
          <w:b/>
          <w:bCs/>
          <w:color w:val="000000" w:themeColor="text1"/>
        </w:rPr>
        <w:t>igure 8</w:t>
      </w:r>
      <w:r w:rsidRPr="00D74025">
        <w:rPr>
          <w:rFonts w:ascii="Arial" w:hAnsi="Arial" w:cs="Arial"/>
          <w:color w:val="000000" w:themeColor="text1"/>
        </w:rPr>
        <w:t xml:space="preserve">. Both the calcium and the PS binding sites are located on the curved structure's convex side, consequently consisting of the side facing the membrane. Non-covalent interactions between the distinct domains maintain this architecture (see </w:t>
      </w:r>
      <w:r w:rsidRPr="009A1B74">
        <w:rPr>
          <w:rFonts w:ascii="Arial" w:hAnsi="Arial" w:cs="Arial"/>
          <w:b/>
          <w:bCs/>
          <w:color w:val="000000" w:themeColor="text1"/>
        </w:rPr>
        <w:t xml:space="preserve">Figure </w:t>
      </w:r>
      <w:r w:rsidR="009A1B74">
        <w:rPr>
          <w:rFonts w:ascii="Arial" w:hAnsi="Arial" w:cs="Arial"/>
          <w:b/>
          <w:bCs/>
          <w:color w:val="000000" w:themeColor="text1"/>
        </w:rPr>
        <w:t>9</w:t>
      </w:r>
      <w:r w:rsidRPr="00D74025">
        <w:rPr>
          <w:rFonts w:ascii="Arial" w:hAnsi="Arial" w:cs="Arial"/>
          <w:color w:val="000000" w:themeColor="text1"/>
        </w:rPr>
        <w:t xml:space="preserve">). </w:t>
      </w:r>
    </w:p>
    <w:p w14:paraId="54940941" w14:textId="77777777" w:rsidR="00892A4B" w:rsidRPr="00D74025" w:rsidRDefault="00892A4B" w:rsidP="00CF0CD5">
      <w:pPr>
        <w:spacing w:line="360" w:lineRule="auto"/>
        <w:ind w:firstLine="1440"/>
        <w:contextualSpacing/>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0B6619F0" w14:textId="77777777" w:rsidTr="001B3920">
        <w:tc>
          <w:tcPr>
            <w:tcW w:w="9350" w:type="dxa"/>
          </w:tcPr>
          <w:p w14:paraId="4AC53A9B" w14:textId="7A047F9A" w:rsidR="001B3920" w:rsidRPr="00D74025" w:rsidRDefault="00994780" w:rsidP="00994780">
            <w:pPr>
              <w:tabs>
                <w:tab w:val="left" w:pos="1511"/>
              </w:tabs>
              <w:spacing w:beforeAutospacing="0" w:afterAutospacing="0"/>
              <w:ind w:firstLine="0"/>
              <w:rPr>
                <w:rFonts w:ascii="Arial" w:hAnsi="Arial" w:cs="Arial"/>
                <w:color w:val="000000" w:themeColor="text1"/>
              </w:rPr>
            </w:pPr>
            <w:r w:rsidRPr="00994780">
              <w:rPr>
                <w:rFonts w:ascii="Arial" w:hAnsi="Arial" w:cs="Arial"/>
                <w:noProof/>
                <w:color w:val="000000" w:themeColor="text1"/>
              </w:rPr>
              <w:drawing>
                <wp:inline distT="0" distB="0" distL="0" distR="0" wp14:anchorId="19A035A7" wp14:editId="297C8060">
                  <wp:extent cx="5713839" cy="2763520"/>
                  <wp:effectExtent l="0" t="0" r="1270" b="508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24602" cy="2768726"/>
                          </a:xfrm>
                          <a:prstGeom prst="rect">
                            <a:avLst/>
                          </a:prstGeom>
                        </pic:spPr>
                      </pic:pic>
                    </a:graphicData>
                  </a:graphic>
                </wp:inline>
              </w:drawing>
            </w:r>
          </w:p>
        </w:tc>
      </w:tr>
      <w:tr w:rsidR="001B3920" w:rsidRPr="00D74025" w14:paraId="30B72288" w14:textId="77777777" w:rsidTr="001B3920">
        <w:tc>
          <w:tcPr>
            <w:tcW w:w="9350" w:type="dxa"/>
          </w:tcPr>
          <w:p w14:paraId="66FDC68E" w14:textId="11821BC1" w:rsidR="001B3920" w:rsidRPr="00D74025" w:rsidRDefault="00D747F3" w:rsidP="00D747F3">
            <w:pPr>
              <w:spacing w:beforeAutospacing="0" w:line="360" w:lineRule="auto"/>
              <w:ind w:firstLine="0"/>
              <w:rPr>
                <w:color w:val="000000" w:themeColor="text1"/>
              </w:rPr>
            </w:pPr>
            <w:bookmarkStart w:id="18" w:name="_Toc121217330"/>
            <w:r w:rsidRPr="00D747F3">
              <w:rPr>
                <w:rFonts w:ascii="Arial" w:hAnsi="Arial" w:cs="Arial"/>
                <w:b/>
                <w:bCs/>
                <w:color w:val="000000" w:themeColor="text1"/>
              </w:rPr>
              <w:t xml:space="preserve">Figure </w:t>
            </w:r>
            <w:r w:rsidRPr="00D747F3">
              <w:rPr>
                <w:rFonts w:ascii="Arial" w:hAnsi="Arial" w:cs="Arial"/>
                <w:b/>
                <w:bCs/>
                <w:color w:val="000000" w:themeColor="text1"/>
              </w:rPr>
              <w:fldChar w:fldCharType="begin"/>
            </w:r>
            <w:r w:rsidRPr="00D747F3">
              <w:rPr>
                <w:rFonts w:ascii="Arial" w:hAnsi="Arial" w:cs="Arial"/>
                <w:b/>
                <w:bCs/>
                <w:color w:val="000000" w:themeColor="text1"/>
              </w:rPr>
              <w:instrText xml:space="preserve"> SEQ Figure \* ARABIC </w:instrText>
            </w:r>
            <w:r w:rsidRPr="00D747F3">
              <w:rPr>
                <w:rFonts w:ascii="Arial" w:hAnsi="Arial" w:cs="Arial"/>
                <w:b/>
                <w:bCs/>
                <w:color w:val="000000" w:themeColor="text1"/>
              </w:rPr>
              <w:fldChar w:fldCharType="separate"/>
            </w:r>
            <w:r w:rsidR="002C4B25">
              <w:rPr>
                <w:rFonts w:ascii="Arial" w:hAnsi="Arial" w:cs="Arial"/>
                <w:b/>
                <w:bCs/>
                <w:noProof/>
                <w:color w:val="000000" w:themeColor="text1"/>
              </w:rPr>
              <w:t>8</w:t>
            </w:r>
            <w:r w:rsidRPr="00D747F3">
              <w:rPr>
                <w:rFonts w:ascii="Arial" w:hAnsi="Arial" w:cs="Arial"/>
                <w:b/>
                <w:bCs/>
                <w:color w:val="000000" w:themeColor="text1"/>
              </w:rPr>
              <w:fldChar w:fldCharType="end"/>
            </w:r>
            <w:r w:rsidR="00442FB4" w:rsidRPr="00D74025">
              <w:rPr>
                <w:rFonts w:ascii="Arial" w:hAnsi="Arial" w:cs="Arial"/>
                <w:b/>
                <w:bCs/>
                <w:color w:val="000000" w:themeColor="text1"/>
              </w:rPr>
              <w:t xml:space="preserve">: Three-dimensional model of </w:t>
            </w:r>
            <w:r w:rsidR="00EC3633">
              <w:rPr>
                <w:rFonts w:ascii="Arial" w:hAnsi="Arial" w:cs="Arial"/>
                <w:b/>
                <w:bCs/>
                <w:color w:val="000000" w:themeColor="text1"/>
              </w:rPr>
              <w:t>h</w:t>
            </w:r>
            <w:r w:rsidR="00442FB4" w:rsidRPr="00D74025">
              <w:rPr>
                <w:rFonts w:ascii="Arial" w:hAnsi="Arial" w:cs="Arial"/>
                <w:b/>
                <w:bCs/>
                <w:color w:val="000000" w:themeColor="text1"/>
              </w:rPr>
              <w:t xml:space="preserve">uman </w:t>
            </w:r>
            <w:r w:rsidR="00EC3633">
              <w:rPr>
                <w:rFonts w:ascii="Arial" w:hAnsi="Arial" w:cs="Arial"/>
                <w:b/>
                <w:bCs/>
                <w:color w:val="000000" w:themeColor="text1"/>
              </w:rPr>
              <w:t>a</w:t>
            </w:r>
            <w:r w:rsidR="00442FB4" w:rsidRPr="00D74025">
              <w:rPr>
                <w:rFonts w:ascii="Arial" w:hAnsi="Arial" w:cs="Arial"/>
                <w:b/>
                <w:bCs/>
                <w:color w:val="000000" w:themeColor="text1"/>
              </w:rPr>
              <w:t>nnexin A5.</w:t>
            </w:r>
            <w:r w:rsidR="00442FB4" w:rsidRPr="00D74025">
              <w:rPr>
                <w:rFonts w:ascii="Arial" w:hAnsi="Arial" w:cs="Arial"/>
                <w:color w:val="000000" w:themeColor="text1"/>
              </w:rPr>
              <w:t xml:space="preserve"> A) Visualization of the 3D structure from the top, considering the binding sites at the bottom of the protein (regions that interact with the PS-bearing plasma membrane). B) Side view of the 3D structure depicting the convex attachment region to the membrane and the concave area. Images from the RCSB PDB (</w:t>
            </w:r>
            <w:hyperlink r:id="rId19" w:history="1">
              <w:r w:rsidR="00442FB4" w:rsidRPr="00D74025">
                <w:rPr>
                  <w:rStyle w:val="Hyperlink"/>
                  <w:rFonts w:ascii="Arial" w:hAnsi="Arial" w:cs="Arial"/>
                  <w:color w:val="000000" w:themeColor="text1"/>
                </w:rPr>
                <w:t>rcsb.org</w:t>
              </w:r>
            </w:hyperlink>
            <w:r w:rsidR="00442FB4" w:rsidRPr="00D74025">
              <w:rPr>
                <w:rFonts w:ascii="Arial" w:hAnsi="Arial" w:cs="Arial"/>
                <w:color w:val="000000" w:themeColor="text1"/>
              </w:rPr>
              <w:t>) of PDB ID 1A8A (</w:t>
            </w:r>
            <w:proofErr w:type="spellStart"/>
            <w:r>
              <w:fldChar w:fldCharType="begin"/>
            </w:r>
            <w:r>
              <w:instrText>HYPERLINK "https://www.rcsb.org/search?q=citation.rcsb_authors:Swairjo,%20M.A."</w:instrText>
            </w:r>
            <w:r>
              <w:fldChar w:fldCharType="separate"/>
            </w:r>
            <w:r w:rsidR="00442FB4" w:rsidRPr="00D74025">
              <w:rPr>
                <w:rStyle w:val="Hyperlink"/>
                <w:rFonts w:ascii="Arial" w:hAnsi="Arial" w:cs="Arial"/>
                <w:color w:val="000000" w:themeColor="text1"/>
              </w:rPr>
              <w:t>Swairjo</w:t>
            </w:r>
            <w:proofErr w:type="spellEnd"/>
            <w:r w:rsidR="00442FB4" w:rsidRPr="00D74025">
              <w:rPr>
                <w:rStyle w:val="Hyperlink"/>
                <w:rFonts w:ascii="Arial" w:hAnsi="Arial" w:cs="Arial"/>
                <w:color w:val="000000" w:themeColor="text1"/>
              </w:rPr>
              <w:t>, M.A.</w:t>
            </w:r>
            <w:r>
              <w:rPr>
                <w:rStyle w:val="Hyperlink"/>
                <w:rFonts w:ascii="Arial" w:hAnsi="Arial" w:cs="Arial"/>
                <w:color w:val="000000" w:themeColor="text1"/>
              </w:rPr>
              <w:fldChar w:fldCharType="end"/>
            </w:r>
            <w:r w:rsidR="00442FB4" w:rsidRPr="00D74025">
              <w:rPr>
                <w:rFonts w:ascii="Arial" w:hAnsi="Arial" w:cs="Arial"/>
                <w:color w:val="000000" w:themeColor="text1"/>
              </w:rPr>
              <w:t>, </w:t>
            </w:r>
            <w:hyperlink r:id="rId20" w:history="1">
              <w:r w:rsidR="00442FB4" w:rsidRPr="00D74025">
                <w:rPr>
                  <w:rStyle w:val="Hyperlink"/>
                  <w:rFonts w:ascii="Arial" w:hAnsi="Arial" w:cs="Arial"/>
                  <w:color w:val="000000" w:themeColor="text1"/>
                </w:rPr>
                <w:t>Concha, N.O.</w:t>
              </w:r>
            </w:hyperlink>
            <w:r w:rsidR="00442FB4" w:rsidRPr="00D74025">
              <w:rPr>
                <w:rFonts w:ascii="Arial" w:hAnsi="Arial" w:cs="Arial"/>
                <w:color w:val="000000" w:themeColor="text1"/>
              </w:rPr>
              <w:t>, </w:t>
            </w:r>
            <w:proofErr w:type="spellStart"/>
            <w:r>
              <w:fldChar w:fldCharType="begin"/>
            </w:r>
            <w:r>
              <w:instrText>HYPERLINK "https://www.rcsb.org/search?q=citation.rcsb_authors:Kaetzel,%20M.A."</w:instrText>
            </w:r>
            <w:r>
              <w:fldChar w:fldCharType="separate"/>
            </w:r>
            <w:r w:rsidR="00442FB4" w:rsidRPr="00D74025">
              <w:rPr>
                <w:rStyle w:val="Hyperlink"/>
                <w:rFonts w:ascii="Arial" w:hAnsi="Arial" w:cs="Arial"/>
                <w:color w:val="000000" w:themeColor="text1"/>
              </w:rPr>
              <w:t>Kaetzel</w:t>
            </w:r>
            <w:proofErr w:type="spellEnd"/>
            <w:r w:rsidR="00442FB4" w:rsidRPr="00D74025">
              <w:rPr>
                <w:rStyle w:val="Hyperlink"/>
                <w:rFonts w:ascii="Arial" w:hAnsi="Arial" w:cs="Arial"/>
                <w:color w:val="000000" w:themeColor="text1"/>
              </w:rPr>
              <w:t>, M.A.</w:t>
            </w:r>
            <w:r>
              <w:rPr>
                <w:rStyle w:val="Hyperlink"/>
                <w:rFonts w:ascii="Arial" w:hAnsi="Arial" w:cs="Arial"/>
                <w:color w:val="000000" w:themeColor="text1"/>
              </w:rPr>
              <w:fldChar w:fldCharType="end"/>
            </w:r>
            <w:r w:rsidR="00442FB4" w:rsidRPr="00D74025">
              <w:rPr>
                <w:rFonts w:ascii="Arial" w:hAnsi="Arial" w:cs="Arial"/>
                <w:color w:val="000000" w:themeColor="text1"/>
              </w:rPr>
              <w:t>, </w:t>
            </w:r>
            <w:hyperlink r:id="rId21" w:history="1">
              <w:r w:rsidR="00442FB4" w:rsidRPr="00D74025">
                <w:rPr>
                  <w:rStyle w:val="Hyperlink"/>
                  <w:rFonts w:ascii="Arial" w:hAnsi="Arial" w:cs="Arial"/>
                  <w:color w:val="000000" w:themeColor="text1"/>
                </w:rPr>
                <w:t>Dedman, J.R.</w:t>
              </w:r>
            </w:hyperlink>
            <w:r w:rsidR="00442FB4" w:rsidRPr="00D74025">
              <w:rPr>
                <w:rFonts w:ascii="Arial" w:hAnsi="Arial" w:cs="Arial"/>
                <w:color w:val="000000" w:themeColor="text1"/>
              </w:rPr>
              <w:t>, </w:t>
            </w:r>
            <w:hyperlink r:id="rId22" w:history="1">
              <w:r w:rsidR="00442FB4" w:rsidRPr="00D74025">
                <w:rPr>
                  <w:rStyle w:val="Hyperlink"/>
                  <w:rFonts w:ascii="Arial" w:hAnsi="Arial" w:cs="Arial"/>
                  <w:color w:val="000000" w:themeColor="text1"/>
                </w:rPr>
                <w:t>Seaton, B.A.</w:t>
              </w:r>
            </w:hyperlink>
            <w:r w:rsidR="00442FB4" w:rsidRPr="00D74025">
              <w:rPr>
                <w:rFonts w:ascii="Arial" w:hAnsi="Arial" w:cs="Arial"/>
                <w:color w:val="000000" w:themeColor="text1"/>
              </w:rPr>
              <w:t xml:space="preserve"> Ca(2+)-bridging mechanism and phospholipid head group recognition in the membrane-binding protein annexin V. (1995) Nat Struct Biol </w:t>
            </w:r>
            <w:r w:rsidR="00442FB4" w:rsidRPr="00D74025">
              <w:rPr>
                <w:rStyle w:val="Strong"/>
                <w:rFonts w:ascii="Arial" w:hAnsi="Arial" w:cs="Arial"/>
                <w:color w:val="000000" w:themeColor="text1"/>
              </w:rPr>
              <w:t>2</w:t>
            </w:r>
            <w:r w:rsidR="00442FB4" w:rsidRPr="00D74025">
              <w:rPr>
                <w:rFonts w:ascii="Arial" w:hAnsi="Arial" w:cs="Arial"/>
                <w:color w:val="000000" w:themeColor="text1"/>
              </w:rPr>
              <w:t>: 968-974.</w:t>
            </w:r>
            <w:r w:rsidR="00442FB4"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{"citationID":"lohtIRhY","properties":{"formattedCitation":"\\super 69\\nosupersub{}","plainCitation":"69","noteIndex":0},"citationItems":[{"id":58,"uris":["http://zotero.org/users/7661987/items/ZKYWILXM"],"itemData":{"id":58,"type":"article-journal","container-title":"Nature Structural &amp; Molecular Biology","DOI":"10.1038/nsb1195-968","ISSN":"1545-9993, 1545-9985","issue":"11","journalAbbreviation":"Nat Struct Mol Biol","language":"en","page":"968-974","source":"DOI.org (Crossref)","title":"Ca2+-bridging mechanism and phospholipid head group recognition in the membrane-binding protein annexin V","volume":"2","author":[{"family":"Swairjo","given":"M.A."},{"family":"Concha","given":"N.O."},{"family":"Kaetzel","given":"M.A."},{"family":"Dedman","given":"J.R."},{"family":"Seaton","given":"B.A."}],"issued":{"date-parts":[["1995",11]]}}}],"schema":"https://github.com/citation-style-language/schema/raw/master/csl-citation.json"} </w:instrText>
            </w:r>
            <w:r w:rsidR="00442FB4" w:rsidRPr="00D74025">
              <w:rPr>
                <w:rFonts w:ascii="Arial" w:hAnsi="Arial" w:cs="Arial"/>
                <w:color w:val="000000" w:themeColor="text1"/>
              </w:rPr>
              <w:fldChar w:fldCharType="separate"/>
            </w:r>
            <w:r w:rsidR="00174D75" w:rsidRPr="00174D75">
              <w:rPr>
                <w:rFonts w:ascii="Arial" w:hAnsi="Arial" w:cs="Arial"/>
                <w:color w:val="000000"/>
                <w:vertAlign w:val="superscript"/>
              </w:rPr>
              <w:t>69</w:t>
            </w:r>
            <w:r w:rsidR="00442FB4" w:rsidRPr="00D74025">
              <w:rPr>
                <w:rFonts w:ascii="Arial" w:hAnsi="Arial" w:cs="Arial"/>
                <w:color w:val="000000" w:themeColor="text1"/>
              </w:rPr>
              <w:fldChar w:fldCharType="end"/>
            </w:r>
            <w:r w:rsidR="00442FB4" w:rsidRPr="00D74025">
              <w:rPr>
                <w:rFonts w:ascii="Arial" w:hAnsi="Arial" w:cs="Arial"/>
                <w:color w:val="000000" w:themeColor="text1"/>
              </w:rPr>
              <w:t xml:space="preserve">) DOI: </w:t>
            </w:r>
            <w:hyperlink r:id="rId23" w:tgtFrame="_blank" w:history="1">
              <w:r w:rsidR="00442FB4" w:rsidRPr="00D74025">
                <w:rPr>
                  <w:rStyle w:val="Hyperlink"/>
                  <w:rFonts w:ascii="Arial" w:hAnsi="Arial" w:cs="Arial"/>
                  <w:color w:val="000000" w:themeColor="text1"/>
                </w:rPr>
                <w:t>10.2210/pdb1A8A/</w:t>
              </w:r>
              <w:proofErr w:type="spellStart"/>
              <w:r w:rsidR="00442FB4" w:rsidRPr="00D74025">
                <w:rPr>
                  <w:rStyle w:val="Hyperlink"/>
                  <w:rFonts w:ascii="Arial" w:hAnsi="Arial" w:cs="Arial"/>
                  <w:color w:val="000000" w:themeColor="text1"/>
                </w:rPr>
                <w:t>pdb</w:t>
              </w:r>
              <w:bookmarkEnd w:id="18"/>
              <w:proofErr w:type="spellEnd"/>
            </w:hyperlink>
          </w:p>
        </w:tc>
      </w:tr>
    </w:tbl>
    <w:p w14:paraId="64CC15B0" w14:textId="1ED6C048" w:rsidR="001B3920" w:rsidRPr="00D74025" w:rsidRDefault="001B3920" w:rsidP="00D747F3">
      <w:pPr>
        <w:pStyle w:val="Caption"/>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3C2E2C4C" w14:textId="77777777" w:rsidTr="001B3920">
        <w:tc>
          <w:tcPr>
            <w:tcW w:w="9350" w:type="dxa"/>
          </w:tcPr>
          <w:p w14:paraId="0AD8D9F4" w14:textId="5E6EB4F1" w:rsidR="001B3920" w:rsidRPr="00D74025" w:rsidRDefault="001B3920" w:rsidP="00F525A0">
            <w:pPr>
              <w:spacing w:before="240" w:beforeAutospacing="0" w:after="0" w:afterAutospacing="0" w:line="276" w:lineRule="auto"/>
              <w:ind w:firstLine="0"/>
              <w:contextualSpacing/>
              <w:jc w:val="center"/>
              <w:rPr>
                <w:rFonts w:ascii="Arial" w:hAnsi="Arial" w:cs="Arial"/>
                <w:color w:val="000000" w:themeColor="text1"/>
              </w:rPr>
            </w:pPr>
            <w:r w:rsidRPr="00D74025">
              <w:rPr>
                <w:rFonts w:ascii="Arial" w:hAnsi="Arial" w:cs="Arial"/>
                <w:noProof/>
                <w:color w:val="000000" w:themeColor="text1"/>
              </w:rPr>
              <w:lastRenderedPageBreak/>
              <w:drawing>
                <wp:inline distT="0" distB="0" distL="0" distR="0" wp14:anchorId="582066A1" wp14:editId="1E1E47A6">
                  <wp:extent cx="1930020" cy="2220686"/>
                  <wp:effectExtent l="0" t="0" r="635"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940593" cy="2232852"/>
                          </a:xfrm>
                          <a:prstGeom prst="rect">
                            <a:avLst/>
                          </a:prstGeom>
                        </pic:spPr>
                      </pic:pic>
                    </a:graphicData>
                  </a:graphic>
                </wp:inline>
              </w:drawing>
            </w:r>
          </w:p>
        </w:tc>
      </w:tr>
      <w:tr w:rsidR="001B3920" w:rsidRPr="00D74025" w14:paraId="385D4F70" w14:textId="77777777" w:rsidTr="001B3920">
        <w:tc>
          <w:tcPr>
            <w:tcW w:w="9350" w:type="dxa"/>
          </w:tcPr>
          <w:p w14:paraId="52664476" w14:textId="61CE920A" w:rsidR="001B3920" w:rsidRPr="00D74025" w:rsidRDefault="00D747F3" w:rsidP="00F525A0">
            <w:pPr>
              <w:spacing w:beforeAutospacing="0" w:line="360" w:lineRule="auto"/>
              <w:ind w:firstLine="0"/>
              <w:rPr>
                <w:color w:val="000000" w:themeColor="text1"/>
              </w:rPr>
            </w:pPr>
            <w:bookmarkStart w:id="19" w:name="_Toc121217331"/>
            <w:r w:rsidRPr="00D747F3">
              <w:rPr>
                <w:rFonts w:ascii="Arial" w:hAnsi="Arial" w:cs="Arial"/>
                <w:b/>
                <w:bCs/>
                <w:color w:val="000000" w:themeColor="text1"/>
              </w:rPr>
              <w:t xml:space="preserve">Figure </w:t>
            </w:r>
            <w:r w:rsidRPr="00D747F3">
              <w:rPr>
                <w:rFonts w:ascii="Arial" w:hAnsi="Arial" w:cs="Arial"/>
                <w:b/>
                <w:bCs/>
                <w:color w:val="000000" w:themeColor="text1"/>
              </w:rPr>
              <w:fldChar w:fldCharType="begin"/>
            </w:r>
            <w:r w:rsidRPr="00D747F3">
              <w:rPr>
                <w:rFonts w:ascii="Arial" w:hAnsi="Arial" w:cs="Arial"/>
                <w:b/>
                <w:bCs/>
                <w:color w:val="000000" w:themeColor="text1"/>
              </w:rPr>
              <w:instrText xml:space="preserve"> SEQ Figure \* ARABIC </w:instrText>
            </w:r>
            <w:r w:rsidRPr="00D747F3">
              <w:rPr>
                <w:rFonts w:ascii="Arial" w:hAnsi="Arial" w:cs="Arial"/>
                <w:b/>
                <w:bCs/>
                <w:color w:val="000000" w:themeColor="text1"/>
              </w:rPr>
              <w:fldChar w:fldCharType="separate"/>
            </w:r>
            <w:r w:rsidR="002C4B25">
              <w:rPr>
                <w:rFonts w:ascii="Arial" w:hAnsi="Arial" w:cs="Arial"/>
                <w:b/>
                <w:bCs/>
                <w:noProof/>
                <w:color w:val="000000" w:themeColor="text1"/>
              </w:rPr>
              <w:t>9</w:t>
            </w:r>
            <w:r w:rsidRPr="00D747F3">
              <w:rPr>
                <w:rFonts w:ascii="Arial" w:hAnsi="Arial" w:cs="Arial"/>
                <w:b/>
                <w:bCs/>
                <w:color w:val="000000" w:themeColor="text1"/>
              </w:rPr>
              <w:fldChar w:fldCharType="end"/>
            </w:r>
            <w:r w:rsidR="00C4287B" w:rsidRPr="00D74025">
              <w:rPr>
                <w:rFonts w:ascii="Arial" w:hAnsi="Arial" w:cs="Arial"/>
                <w:b/>
                <w:bCs/>
                <w:color w:val="000000" w:themeColor="text1"/>
              </w:rPr>
              <w:t>: Three-dimensional model of Ca</w:t>
            </w:r>
            <w:r w:rsidR="00C4287B" w:rsidRPr="00D74025">
              <w:rPr>
                <w:rFonts w:ascii="Arial" w:hAnsi="Arial" w:cs="Arial"/>
                <w:b/>
                <w:bCs/>
                <w:color w:val="000000" w:themeColor="text1"/>
                <w:vertAlign w:val="superscript"/>
              </w:rPr>
              <w:t>2+</w:t>
            </w:r>
            <w:r w:rsidR="00C4287B" w:rsidRPr="00D74025">
              <w:rPr>
                <w:rFonts w:ascii="Arial" w:hAnsi="Arial" w:cs="Arial"/>
                <w:b/>
                <w:bCs/>
                <w:color w:val="000000" w:themeColor="text1"/>
              </w:rPr>
              <w:t>-dependent binding of Annexin A5 to membrane model showing.</w:t>
            </w:r>
            <w:r w:rsidR="00C4287B" w:rsidRPr="00D74025">
              <w:rPr>
                <w:rFonts w:ascii="Arial" w:hAnsi="Arial" w:cs="Arial"/>
                <w:color w:val="000000" w:themeColor="text1"/>
              </w:rPr>
              <w:t xml:space="preserve"> The positions of protein, PS and Ca</w:t>
            </w:r>
            <w:r w:rsidR="00C4287B" w:rsidRPr="00D74025">
              <w:rPr>
                <w:rFonts w:ascii="Arial" w:hAnsi="Arial" w:cs="Arial"/>
                <w:color w:val="000000" w:themeColor="text1"/>
                <w:vertAlign w:val="superscript"/>
              </w:rPr>
              <w:t>2+</w:t>
            </w:r>
            <w:r w:rsidR="00C4287B" w:rsidRPr="00D74025">
              <w:rPr>
                <w:rFonts w:ascii="Arial" w:hAnsi="Arial" w:cs="Arial"/>
                <w:color w:val="000000" w:themeColor="text1"/>
              </w:rPr>
              <w:t xml:space="preserve"> atoms were derived from crystallographic data, whereas acyl chain of the bound lipid was modelled graphically. Yellow: protein backbone; light blue: membrane lipid acyl chains; red: Ca</w:t>
            </w:r>
            <w:r w:rsidR="00C4287B" w:rsidRPr="00D74025">
              <w:rPr>
                <w:rFonts w:ascii="Arial" w:hAnsi="Arial" w:cs="Arial"/>
                <w:color w:val="000000" w:themeColor="text1"/>
                <w:vertAlign w:val="superscript"/>
              </w:rPr>
              <w:t>2+</w:t>
            </w:r>
            <w:r w:rsidR="00C4287B" w:rsidRPr="00D74025">
              <w:rPr>
                <w:rFonts w:ascii="Arial" w:hAnsi="Arial" w:cs="Arial"/>
                <w:color w:val="000000" w:themeColor="text1"/>
              </w:rPr>
              <w:t xml:space="preserve"> ions; green: bound phosphatidylserine; magenta: membrane lipid polar heads. Image from </w:t>
            </w:r>
            <w:proofErr w:type="spellStart"/>
            <w:r w:rsidR="00C4287B" w:rsidRPr="00D74025">
              <w:rPr>
                <w:rFonts w:ascii="Arial" w:hAnsi="Arial" w:cs="Arial"/>
                <w:color w:val="000000" w:themeColor="text1"/>
              </w:rPr>
              <w:t>Swairjo</w:t>
            </w:r>
            <w:proofErr w:type="spellEnd"/>
            <w:r w:rsidR="00C4287B" w:rsidRPr="00D74025">
              <w:rPr>
                <w:rFonts w:ascii="Arial" w:hAnsi="Arial" w:cs="Arial"/>
                <w:color w:val="000000" w:themeColor="text1"/>
              </w:rPr>
              <w:t xml:space="preserve"> </w:t>
            </w:r>
            <w:r w:rsidR="00C4287B" w:rsidRPr="00D74025">
              <w:rPr>
                <w:rFonts w:ascii="Arial" w:hAnsi="Arial" w:cs="Arial"/>
                <w:i/>
                <w:iCs/>
                <w:color w:val="000000" w:themeColor="text1"/>
              </w:rPr>
              <w:t>et al.,</w:t>
            </w:r>
            <w:r w:rsidR="00C4287B" w:rsidRPr="00D74025">
              <w:rPr>
                <w:rFonts w:ascii="Arial" w:hAnsi="Arial" w:cs="Arial"/>
                <w:color w:val="000000" w:themeColor="text1"/>
              </w:rPr>
              <w:t xml:space="preserve"> 1995 </w:t>
            </w:r>
            <w:r w:rsidR="00C4287B"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{"citationID":"9LA15GCj","properties":{"formattedCitation":"\\super 69\\nosupersub{}","plainCitation":"69","noteIndex":0},"citationItems":[{"id":58,"uris":["http://zotero.org/users/7661987/items/ZKYWILXM"],"itemData":{"id":58,"type":"article-journal","container-title":"Nature Structural &amp; Molecular Biology","DOI":"10.1038/nsb1195-968","ISSN":"1545-9993, 1545-9985","issue":"11","journalAbbreviation":"Nat Struct Mol Biol","language":"en","page":"968-974","source":"DOI.org (Crossref)","title":"Ca2+-bridging mechanism and phospholipid head group recognition in the membrane-binding protein annexin V","volume":"2","author":[{"family":"Swairjo","given":"M.A."},{"family":"Concha","given":"N.O."},{"family":"Kaetzel","given":"M.A."},{"family":"Dedman","given":"J.R."},{"family":"Seaton","given":"B.A."}],"issued":{"date-parts":[["1995",11]]}}}],"schema":"https://github.com/citation-style-language/schema/raw/master/csl-citation.json"} </w:instrText>
            </w:r>
            <w:r w:rsidR="00C4287B" w:rsidRPr="00D74025">
              <w:rPr>
                <w:rFonts w:ascii="Arial" w:hAnsi="Arial" w:cs="Arial"/>
                <w:color w:val="000000" w:themeColor="text1"/>
              </w:rPr>
              <w:fldChar w:fldCharType="separate"/>
            </w:r>
            <w:r w:rsidR="00174D75" w:rsidRPr="00174D75">
              <w:rPr>
                <w:rFonts w:ascii="Arial" w:hAnsi="Arial" w:cs="Arial"/>
                <w:color w:val="000000"/>
                <w:vertAlign w:val="superscript"/>
              </w:rPr>
              <w:t>69</w:t>
            </w:r>
            <w:r w:rsidR="00C4287B" w:rsidRPr="00D74025">
              <w:rPr>
                <w:rFonts w:ascii="Arial" w:hAnsi="Arial" w:cs="Arial"/>
                <w:color w:val="000000" w:themeColor="text1"/>
              </w:rPr>
              <w:fldChar w:fldCharType="end"/>
            </w:r>
            <w:r w:rsidR="00C4287B" w:rsidRPr="00D74025">
              <w:rPr>
                <w:rFonts w:ascii="Arial" w:hAnsi="Arial" w:cs="Arial"/>
                <w:color w:val="000000" w:themeColor="text1"/>
              </w:rPr>
              <w:t>.</w:t>
            </w:r>
            <w:bookmarkEnd w:id="19"/>
          </w:p>
        </w:tc>
      </w:tr>
    </w:tbl>
    <w:p w14:paraId="76A00795" w14:textId="77777777" w:rsidR="00D747F3" w:rsidRPr="00D74025" w:rsidRDefault="00D747F3" w:rsidP="00D747F3">
      <w:pPr>
        <w:spacing w:line="360" w:lineRule="auto"/>
        <w:rPr>
          <w:rFonts w:ascii="Arial" w:hAnsi="Arial" w:cs="Arial"/>
          <w:color w:val="000000" w:themeColor="text1"/>
        </w:rPr>
      </w:pPr>
    </w:p>
    <w:p w14:paraId="72C20DE8" w14:textId="6DC60CE3" w:rsidR="00C11400" w:rsidRPr="00D74025" w:rsidRDefault="00C11400" w:rsidP="00C11400">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It is believed that the convexity of the protein promotes shape changes in membrane regions where it binds, inducing a complementary curvature of the membrane to the protein assembly. The reasoning is that all four ANXA5 domains have PS-binding sides, even the ones that would be more distant from the membrane if the membrane had a straight or outward bent conformation</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{"citationID":"ac9oa9rmpu","properties":{"formattedCitation":"\\super 70\\nosupersub{}","plainCitation":"70","noteIndex":0},"citationItems":[{"id":346,"uris":["http://zotero.org/users/7661987/items/HR6SG5EC"],"itemData":{"id":346,"type":"article-journal","container-title":"Journal of Biological Chemistry","DOI":"10.1074/jbc.M409009200","ISSN":"00219258","issue":"50","journalAbbreviation":"Journal of Biological Chemistry","language":"en","page":"52623-52629","source":"DOI.org (Crossref)","title":"Cell Surface-expressed Phosphatidylserine and Annexin A5 Open a Novel Portal of Cell Entry","volume":"279","author":[{"family":"Kenis","given":"Heidi"},{"family":"Genderen","given":"Hugo","non-dropping-particle":"van"},{"family":"Bennaghmouch","given":"Abdel"},{"family":"Rinia","given":"Hilde A."},{"family":"Frederik","given":"Peter"},{"family":"Narula","given":"Jagat"},{"family":"Hofstra","given":"Leo"},{"family":"Reutelingsperger","given":"Chris P.M."}],"issued":{"date-parts":[["2004",12]]}}}],"schema":"https://github.com/citation-style-language/schema/raw/master/csl-citation.json"}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70</w:t>
      </w:r>
      <w:r w:rsidRPr="00D74025">
        <w:rPr>
          <w:rFonts w:ascii="Arial" w:hAnsi="Arial" w:cs="Arial"/>
          <w:color w:val="000000" w:themeColor="text1"/>
        </w:rPr>
        <w:fldChar w:fldCharType="end"/>
      </w:r>
      <w:r w:rsidRPr="00D74025">
        <w:rPr>
          <w:rFonts w:ascii="Arial" w:hAnsi="Arial" w:cs="Arial"/>
          <w:color w:val="000000" w:themeColor="text1"/>
        </w:rPr>
        <w:t>.</w:t>
      </w:r>
    </w:p>
    <w:p w14:paraId="26C1BC7E" w14:textId="013314C7" w:rsidR="00A7483A" w:rsidRPr="00D74025" w:rsidRDefault="00A7483A" w:rsidP="00A7483A">
      <w:pPr>
        <w:spacing w:line="360" w:lineRule="auto"/>
        <w:ind w:firstLine="1440"/>
        <w:jc w:val="both"/>
        <w:rPr>
          <w:rFonts w:ascii="Arial" w:hAnsi="Arial" w:cs="Arial"/>
          <w:color w:val="000000" w:themeColor="text1"/>
        </w:rPr>
      </w:pPr>
      <w:r w:rsidRPr="00D74025">
        <w:rPr>
          <w:rFonts w:ascii="Arial" w:hAnsi="Arial" w:cs="Arial"/>
          <w:color w:val="000000" w:themeColor="text1"/>
        </w:rPr>
        <w:t>Furthermore, whereas soluble ANXA5 flows in the bloodstream as monomers, the bonding to the membrane induces the polymerization of ANXA5 molecules into trimers. Studies on membrane-bound ANXA5 using electron crystallography indicate that ANXA5 molecules associate due to protein-protein interactions and form a two-dimensional crystal lattice - the symmetrical arrangement of atoms inside a crystalline structure. The eventual conformation of the trimer after association also results in a convex geometry that reshapes the membrane</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{"citationID":"a2f58eehv4d","properties":{"formattedCitation":"\\super 71\\nosupersub{}","plainCitation":"71","noteIndex":0},"citationItems":[{"id":344,"uris":["http://zotero.org/users/7661987/items/S2PVAQNP"],"itemData":{"id":344,"type":"article-journal","container-title":"Journal of Molecular Biology","DOI":"10.1006/jmbi.2000.4183","ISSN":"00222836","issue":"4","journalAbbreviation":"Journal of Molecular Biology","language":"en","page":"561-573","source":"DOI.org (Crossref)","title":"Structure of Membrane-bound Annexin A5 Trimers: A Hybrid Cryo-EM - X-ray Crystallography Study","title-short":"Structure of Membrane-bound Annexin A5 Trimers","volume":"304","author":[{"family":"Oling","given":"Frank"},{"family":"Santos","given":"Jana Sopkova-de Oliveira"},{"family":"Govorukhina","given":"Natalia"},{"family":"Mazères-Dubut","given":"Christine"},{"family":"Bergsma-Schutter","given":"Wilma"},{"family":"Oostergetel","given":"Gert"},{"family":"Keegstra","given":"Wilko"},{"family":"Lambert","given":"Olivier"},{"family":"Lewit-Bentley","given":"Anita"},{"family":"Brisson","given":"Alain"}],"issued":{"date-parts":[["2000",12]]}}}],"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71</w:t>
      </w:r>
      <w:r w:rsidRPr="00D74025">
        <w:rPr>
          <w:rFonts w:ascii="Arial" w:hAnsi="Arial" w:cs="Arial"/>
          <w:color w:val="000000" w:themeColor="text1"/>
        </w:rPr>
        <w:fldChar w:fldCharType="end"/>
      </w:r>
      <w:r w:rsidRPr="00D74025">
        <w:rPr>
          <w:rFonts w:ascii="Arial" w:hAnsi="Arial" w:cs="Arial"/>
          <w:color w:val="000000" w:themeColor="text1"/>
        </w:rPr>
        <w:t xml:space="preserve">. The </w:t>
      </w:r>
      <w:proofErr w:type="gramStart"/>
      <w:r w:rsidRPr="00D74025">
        <w:rPr>
          <w:rFonts w:ascii="Arial" w:hAnsi="Arial" w:cs="Arial"/>
          <w:color w:val="000000" w:themeColor="text1"/>
        </w:rPr>
        <w:t>membrane-bound</w:t>
      </w:r>
      <w:proofErr w:type="gramEnd"/>
      <w:r w:rsidRPr="00D74025">
        <w:rPr>
          <w:rFonts w:ascii="Arial" w:hAnsi="Arial" w:cs="Arial"/>
          <w:color w:val="000000" w:themeColor="text1"/>
        </w:rPr>
        <w:t xml:space="preserve"> ANXA5 trimer can further associate with other trimers through the interaction of amino acid residues on domain III. Different organizations of crystal lattice can be formed and are influenced by the concentration of Ca</w:t>
      </w:r>
      <w:r w:rsidRPr="00D74025">
        <w:rPr>
          <w:rFonts w:ascii="Arial" w:hAnsi="Arial" w:cs="Arial"/>
          <w:color w:val="000000" w:themeColor="text1"/>
          <w:vertAlign w:val="superscript"/>
        </w:rPr>
        <w:t>2+</w:t>
      </w:r>
      <w:r w:rsidRPr="00D74025">
        <w:rPr>
          <w:rFonts w:ascii="Arial" w:hAnsi="Arial" w:cs="Arial"/>
          <w:color w:val="000000" w:themeColor="text1"/>
        </w:rPr>
        <w:t xml:space="preserve"> in the proximity and the </w:t>
      </w:r>
      <w:r w:rsidRPr="00D74025">
        <w:rPr>
          <w:rFonts w:ascii="Arial" w:hAnsi="Arial" w:cs="Arial"/>
          <w:color w:val="000000" w:themeColor="text1"/>
        </w:rPr>
        <w:lastRenderedPageBreak/>
        <w:t xml:space="preserve">level of PS externalization. Therefore, the crystal lattice can be created by trimers, dimers of the trimers, </w:t>
      </w:r>
      <w:r w:rsidR="007360DA">
        <w:rPr>
          <w:rFonts w:ascii="Arial" w:hAnsi="Arial" w:cs="Arial"/>
          <w:color w:val="000000" w:themeColor="text1"/>
        </w:rPr>
        <w:t>and</w:t>
      </w:r>
      <w:r w:rsidRPr="00D74025">
        <w:rPr>
          <w:rFonts w:ascii="Arial" w:hAnsi="Arial" w:cs="Arial"/>
          <w:color w:val="000000" w:themeColor="text1"/>
        </w:rPr>
        <w:t xml:space="preserve"> trimers of the trimers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{"citationID":"a2esntg5svb","properties":{"formattedCitation":"\\super 72\\nosupersub{}","plainCitation":"72","noteIndex":0},"citationItems":[{"id":345,"uris":["http://zotero.org/users/7661987/items/PZ7HUFTD"],"itemData":{"id":345,"type":"article-journal","container-title":"Journal of Structural Biology","DOI":"10.1006/jsbi.2000.4337","ISSN":"10478477","issue":"1","journalAbbreviation":"Journal of Structural Biology","language":"en","page":"55-63","source":"DOI.org (Crossref)","title":"Trimers, Dimers of Trimers, and Trimers of Trimers Are Common Building Blocks of Annexin A5 Two-Dimensional Crystals","volume":"133","author":[{"family":"Oling","given":"Frank"},{"family":"Bergsma-Schutter","given":"Wilma"},{"family":"Brisson","given":"Alain"}],"issued":{"date-parts":[["2001",1]]}}}],"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72</w:t>
      </w:r>
      <w:r w:rsidRPr="00D74025">
        <w:rPr>
          <w:rFonts w:ascii="Arial" w:hAnsi="Arial" w:cs="Arial"/>
          <w:color w:val="000000" w:themeColor="text1"/>
        </w:rPr>
        <w:fldChar w:fldCharType="end"/>
      </w:r>
      <w:r w:rsidRPr="00D74025">
        <w:rPr>
          <w:rFonts w:ascii="Arial" w:hAnsi="Arial" w:cs="Arial"/>
          <w:color w:val="000000" w:themeColor="text1"/>
        </w:rPr>
        <w:t xml:space="preserve">, as shown in </w:t>
      </w:r>
      <w:r w:rsidR="00C95B5E" w:rsidRPr="00C95B5E">
        <w:rPr>
          <w:rFonts w:ascii="Arial" w:hAnsi="Arial" w:cs="Arial"/>
          <w:b/>
          <w:bCs/>
          <w:color w:val="000000" w:themeColor="text1"/>
        </w:rPr>
        <w:t>F</w:t>
      </w:r>
      <w:r w:rsidRPr="00C95B5E">
        <w:rPr>
          <w:rFonts w:ascii="Arial" w:hAnsi="Arial" w:cs="Arial"/>
          <w:b/>
          <w:bCs/>
          <w:color w:val="000000" w:themeColor="text1"/>
        </w:rPr>
        <w:t>igure 10</w:t>
      </w:r>
      <w:r w:rsidRPr="00D74025">
        <w:rPr>
          <w:rFonts w:ascii="Arial" w:hAnsi="Arial" w:cs="Arial"/>
          <w:color w:val="000000" w:themeColor="text1"/>
        </w:rPr>
        <w:t>.</w:t>
      </w:r>
    </w:p>
    <w:p w14:paraId="12BE606B" w14:textId="46E960F6" w:rsidR="00791D13" w:rsidRPr="00D74025" w:rsidRDefault="00791D13" w:rsidP="00CF0CD5">
      <w:pPr>
        <w:spacing w:line="360" w:lineRule="auto"/>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20B61092" w14:textId="77777777" w:rsidTr="001B3920">
        <w:tc>
          <w:tcPr>
            <w:tcW w:w="9350" w:type="dxa"/>
          </w:tcPr>
          <w:p w14:paraId="7E12578F" w14:textId="056B564E" w:rsidR="001B3920" w:rsidRPr="00D74025" w:rsidRDefault="001B3920" w:rsidP="00F525A0">
            <w:pPr>
              <w:spacing w:beforeAutospacing="0" w:line="360" w:lineRule="auto"/>
              <w:ind w:firstLine="0"/>
              <w:jc w:val="center"/>
              <w:rPr>
                <w:rFonts w:ascii="Arial" w:hAnsi="Arial" w:cs="Arial"/>
                <w:color w:val="000000" w:themeColor="text1"/>
              </w:rPr>
            </w:pPr>
            <w:r w:rsidRPr="00D74025">
              <w:rPr>
                <w:rFonts w:ascii="Arial" w:hAnsi="Arial" w:cs="Arial"/>
                <w:noProof/>
                <w:color w:val="000000" w:themeColor="text1"/>
              </w:rPr>
              <w:drawing>
                <wp:inline distT="0" distB="0" distL="0" distR="0" wp14:anchorId="01DAB140" wp14:editId="3DCE9F98">
                  <wp:extent cx="5156200" cy="5702300"/>
                  <wp:effectExtent l="0" t="0" r="0" b="0"/>
                  <wp:docPr id="37" name="Picture 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Diagram&#10;&#10;Description automatically generated"/>
                          <pic:cNvPicPr/>
                        </pic:nvPicPr>
                        <pic:blipFill>
                          <a:blip r:embed="rId25"/>
                          <a:stretch>
                            <a:fillRect/>
                          </a:stretch>
                        </pic:blipFill>
                        <pic:spPr>
                          <a:xfrm>
                            <a:off x="0" y="0"/>
                            <a:ext cx="5156200" cy="5702300"/>
                          </a:xfrm>
                          <a:prstGeom prst="rect">
                            <a:avLst/>
                          </a:prstGeom>
                        </pic:spPr>
                      </pic:pic>
                    </a:graphicData>
                  </a:graphic>
                </wp:inline>
              </w:drawing>
            </w:r>
          </w:p>
        </w:tc>
      </w:tr>
      <w:tr w:rsidR="001B3920" w:rsidRPr="00D74025" w14:paraId="25DD3A6A" w14:textId="77777777" w:rsidTr="001B3920">
        <w:tc>
          <w:tcPr>
            <w:tcW w:w="9350" w:type="dxa"/>
          </w:tcPr>
          <w:p w14:paraId="03A68231" w14:textId="130408AD" w:rsidR="001B3920" w:rsidRPr="00D74025" w:rsidRDefault="005C3F82" w:rsidP="00A448F1">
            <w:pPr>
              <w:spacing w:beforeAutospacing="0" w:line="360" w:lineRule="auto"/>
              <w:ind w:firstLine="0"/>
              <w:rPr>
                <w:color w:val="000000" w:themeColor="text1"/>
              </w:rPr>
            </w:pPr>
            <w:bookmarkStart w:id="20" w:name="_Toc121217332"/>
            <w:r w:rsidRPr="005C3F82">
              <w:rPr>
                <w:rFonts w:ascii="Arial" w:hAnsi="Arial" w:cs="Arial"/>
                <w:b/>
                <w:bCs/>
                <w:color w:val="000000" w:themeColor="text1"/>
              </w:rPr>
              <w:t xml:space="preserve">Figure </w:t>
            </w:r>
            <w:r w:rsidRPr="005C3F82">
              <w:rPr>
                <w:rFonts w:ascii="Arial" w:hAnsi="Arial" w:cs="Arial"/>
                <w:b/>
                <w:bCs/>
                <w:color w:val="000000" w:themeColor="text1"/>
              </w:rPr>
              <w:fldChar w:fldCharType="begin"/>
            </w:r>
            <w:r w:rsidRPr="005C3F82">
              <w:rPr>
                <w:rFonts w:ascii="Arial" w:hAnsi="Arial" w:cs="Arial"/>
                <w:b/>
                <w:bCs/>
                <w:color w:val="000000" w:themeColor="text1"/>
              </w:rPr>
              <w:instrText xml:space="preserve"> SEQ Figure \* ARABIC </w:instrText>
            </w:r>
            <w:r w:rsidRPr="005C3F82">
              <w:rPr>
                <w:rFonts w:ascii="Arial" w:hAnsi="Arial" w:cs="Arial"/>
                <w:b/>
                <w:bCs/>
                <w:color w:val="000000" w:themeColor="text1"/>
              </w:rPr>
              <w:fldChar w:fldCharType="separate"/>
            </w:r>
            <w:r w:rsidR="002C4B25">
              <w:rPr>
                <w:rFonts w:ascii="Arial" w:hAnsi="Arial" w:cs="Arial"/>
                <w:b/>
                <w:bCs/>
                <w:noProof/>
                <w:color w:val="000000" w:themeColor="text1"/>
              </w:rPr>
              <w:t>10</w:t>
            </w:r>
            <w:r w:rsidRPr="005C3F82">
              <w:rPr>
                <w:rFonts w:ascii="Arial" w:hAnsi="Arial" w:cs="Arial"/>
                <w:b/>
                <w:bCs/>
                <w:color w:val="000000" w:themeColor="text1"/>
              </w:rPr>
              <w:fldChar w:fldCharType="end"/>
            </w:r>
            <w:r w:rsidR="00D1673F" w:rsidRPr="00D74025">
              <w:rPr>
                <w:rFonts w:ascii="Arial" w:hAnsi="Arial" w:cs="Arial"/>
                <w:b/>
                <w:bCs/>
                <w:color w:val="000000" w:themeColor="text1"/>
              </w:rPr>
              <w:t>: Annexin A5 domains and trimerization</w:t>
            </w:r>
            <w:r w:rsidR="00D1673F" w:rsidRPr="00D74025">
              <w:rPr>
                <w:rFonts w:ascii="Arial" w:hAnsi="Arial" w:cs="Arial"/>
                <w:color w:val="000000" w:themeColor="text1"/>
              </w:rPr>
              <w:t xml:space="preserve">: A) Representation of monomeric </w:t>
            </w:r>
            <w:r w:rsidR="007360DA">
              <w:rPr>
                <w:rFonts w:ascii="Arial" w:hAnsi="Arial" w:cs="Arial"/>
                <w:color w:val="000000" w:themeColor="text1"/>
              </w:rPr>
              <w:t>a</w:t>
            </w:r>
            <w:r w:rsidR="00D1673F" w:rsidRPr="00D74025">
              <w:rPr>
                <w:rFonts w:ascii="Arial" w:hAnsi="Arial" w:cs="Arial"/>
                <w:color w:val="000000" w:themeColor="text1"/>
              </w:rPr>
              <w:t xml:space="preserve">nnexin A5 and its four domains. B) Membrane-bound annexin A5 assembly into a trimer: this organization leads to the location of every domain II from each monomeric protein in the center of the trimer. Trimerization induces the formation of a two-dimensional crystal lattice characterized by P6 symmetry. C) Representation of the </w:t>
            </w:r>
            <w:r w:rsidR="00D1673F" w:rsidRPr="00D74025">
              <w:rPr>
                <w:rFonts w:ascii="Arial" w:hAnsi="Arial" w:cs="Arial"/>
                <w:color w:val="000000" w:themeColor="text1"/>
              </w:rPr>
              <w:lastRenderedPageBreak/>
              <w:t>trimer of trimers of the membrane-bound annexin A5. Image from</w:t>
            </w:r>
            <w:r w:rsidR="00D1673F" w:rsidRPr="00D74025">
              <w:rPr>
                <w:color w:val="000000" w:themeColor="text1"/>
              </w:rPr>
              <w:t xml:space="preserve"> </w:t>
            </w:r>
            <w:r w:rsidR="00D1673F" w:rsidRPr="00D74025">
              <w:rPr>
                <w:rFonts w:ascii="Arial" w:hAnsi="Arial" w:cs="Arial"/>
                <w:color w:val="000000" w:themeColor="text1"/>
              </w:rPr>
              <w:t xml:space="preserve">van </w:t>
            </w:r>
            <w:proofErr w:type="spellStart"/>
            <w:r w:rsidR="00D1673F" w:rsidRPr="00D74025">
              <w:rPr>
                <w:rFonts w:ascii="Arial" w:hAnsi="Arial" w:cs="Arial"/>
                <w:color w:val="000000" w:themeColor="text1"/>
              </w:rPr>
              <w:t>Genderen</w:t>
            </w:r>
            <w:proofErr w:type="spellEnd"/>
            <w:r w:rsidR="00D1673F" w:rsidRPr="00D74025">
              <w:rPr>
                <w:rFonts w:ascii="Arial" w:hAnsi="Arial" w:cs="Arial"/>
                <w:color w:val="000000" w:themeColor="text1"/>
              </w:rPr>
              <w:t xml:space="preserve"> </w:t>
            </w:r>
            <w:r w:rsidR="00D1673F" w:rsidRPr="00D74025">
              <w:rPr>
                <w:rFonts w:ascii="Arial" w:hAnsi="Arial" w:cs="Arial"/>
                <w:i/>
                <w:iCs/>
                <w:color w:val="000000" w:themeColor="text1"/>
              </w:rPr>
              <w:t xml:space="preserve">et al., </w:t>
            </w:r>
            <w:r w:rsidR="00D1673F" w:rsidRPr="00D74025">
              <w:rPr>
                <w:rFonts w:ascii="Arial" w:hAnsi="Arial" w:cs="Arial"/>
                <w:color w:val="000000" w:themeColor="text1"/>
              </w:rPr>
              <w:t xml:space="preserve">2008 </w:t>
            </w:r>
            <w:r w:rsidR="00D1673F"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{"citationID":"dtV5KWgr","properties":{"formattedCitation":"\\super 73\\nosupersub{}","plainCitation":"73","noteIndex":0},"citationItems":[{"id":65,"uris":["http://zotero.org/users/7661987/items/JEWM2YZU"],"itemData":{"id":65,"type":"article-journal","abstract":"In normal healthy cells phosphatidylserine is located in the inner leaflet of the plasma membrane. However, on activated platelets, dying cells and under specific circumstances also on various types of viable leukocytes phosphatidylserine is actively externalized to the outer leaflet of the plasma membrane. Annexin A5 has the ability to bind in a calcium-dependent manner to phosphatidylserine and to form a membrane-bound two-dimensional crystal lattice. Based on these abilities various functions for extracellular annexin A5 on the phosphatidylserine-expressing plasma membrane have been proposed. In this review we describe possible mechanisms for externalization of annexin A5 and various processes in which extracellular annexin A5 may play a role such as blood coagulation, apoptosis, phagocytosis and formation of plasma membrane-derived microparticles. We further highlight the recent discovery of internalization of extracellular annexin A5 by phosphatidylserine-expressing cells.","container-title":"Biochimica et Biophysica Acta (BBA) - Molecular Cell Research","DOI":"10.1016/j.bbamcr.2008.01.030","ISSN":"01674889","issue":"6","journalAbbreviation":"Biochimica et Biophysica Acta (BBA) - Molecular Cell Research","language":"en","page":"953-963","source":"DOI.org (Crossref)","title":"Extracellular annexin A5: Functions of phosphatidylserine-binding and two-dimensional crystallization","title-short":"Extracellular annexin A5","volume":"1783","author":[{"family":"Genderen","given":"Hugo O.","non-dropping-particle":"van"},{"family":"Kenis","given":"Heidi"},{"family":"Hofstra","given":"Leo"},{"family":"Narula","given":"Jagat"},{"family":"Reutelingsperger","given":"Chris P.M."}],"issued":{"date-parts":[["2008",6]]}}}],"schema":"https://github.com/citation-style-language/schema/raw/master/csl-citation.json"} </w:instrText>
            </w:r>
            <w:r w:rsidR="00D1673F" w:rsidRPr="00D74025">
              <w:rPr>
                <w:rFonts w:ascii="Arial" w:hAnsi="Arial" w:cs="Arial"/>
                <w:color w:val="000000" w:themeColor="text1"/>
              </w:rPr>
              <w:fldChar w:fldCharType="separate"/>
            </w:r>
            <w:r w:rsidR="00174D75" w:rsidRPr="00174D75">
              <w:rPr>
                <w:rFonts w:ascii="Arial" w:hAnsi="Arial" w:cs="Arial"/>
                <w:color w:val="000000"/>
                <w:vertAlign w:val="superscript"/>
              </w:rPr>
              <w:t>73</w:t>
            </w:r>
            <w:r w:rsidR="00D1673F" w:rsidRPr="00D74025">
              <w:rPr>
                <w:rFonts w:ascii="Arial" w:hAnsi="Arial" w:cs="Arial"/>
                <w:color w:val="000000" w:themeColor="text1"/>
              </w:rPr>
              <w:fldChar w:fldCharType="end"/>
            </w:r>
            <w:r w:rsidR="00492F2D" w:rsidRPr="00D74025">
              <w:rPr>
                <w:rFonts w:ascii="Arial" w:hAnsi="Arial" w:cs="Arial"/>
                <w:color w:val="000000" w:themeColor="text1"/>
              </w:rPr>
              <w:t>.</w:t>
            </w:r>
            <w:bookmarkEnd w:id="20"/>
          </w:p>
        </w:tc>
      </w:tr>
    </w:tbl>
    <w:p w14:paraId="07B92708" w14:textId="4A2CF38F" w:rsidR="005C3F82" w:rsidRPr="00D74025" w:rsidRDefault="005C3F82" w:rsidP="005C3F82">
      <w:pPr>
        <w:pStyle w:val="Caption"/>
        <w:rPr>
          <w:rFonts w:ascii="Arial" w:hAnsi="Arial" w:cs="Arial"/>
          <w:color w:val="000000" w:themeColor="text1"/>
        </w:rPr>
      </w:pPr>
    </w:p>
    <w:p w14:paraId="73DC3C6D" w14:textId="273BEB02" w:rsidR="00D7789F" w:rsidRPr="00D74025" w:rsidRDefault="00D7789F" w:rsidP="00545142">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One of the main functions of ANXA5 is anticoagulation. Two mechanisms have been proposed for the anticoagulation properties of ANXA5. First, the binding of ANXA5 to the externalized PS on the surface of activated platelets, a catalytic surface for the coagulation cascade, competes with the binding of coagulation factors to the catalytic surface</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{"citationID":"aqruai6d3h","properties":{"formattedCitation":"\\super 74\\nosupersub{}","plainCitation":"74","noteIndex":0},"citationItems":[{"id":341,"uris":["http://zotero.org/users/7661987/items/HUGBR3JV"],"itemData":{"id":341,"type":"article-journal","abstract":"Annexin V binds with high affinity to procoagulant phospholipid vesicles and thereby inhibits the procoagulant reactions catalysed by these surfaces in vitro. In vivo, vascular endothelial cells are known to catalyse the formation of thrombin by the expression of binding sites at which procoagulant complexes can assemble. Here, we have studied the binding capacity of recombinant annexin V (rANV) to quiescent, phorbol 12-myristate 13-acetate (PMA)- and tumour necrosis factor alpha (TNF-alpha)-stimulated cultured human umbilical-vein endothelial cells (HUVEC). The dissociation constant (Kd) was 15.5 +/- 3.3 nM and the number of binding sites was 8.8 (+/- 3.9) x 10(6)/cell. These binding parameters did not change significantly during a 30 h incubation period with PMA or TNF-alpha. rANV inhibited HUVEC-mediated factor Xa formation via the extrinsic as well as the intrinsic route. Activation of factor X by the tissue factor-factor VII-factor X complex and tenase complex was inhibited with IC50 values of 43 +/- 30 nM and 33 +/- 24 nM respectively. Endothelial-cell-mediated generation of thrombin by the prothrombinase complex was inhibited by rANV with an IC50 of 16 +/- 12 nM. Preincubation of rANV with the endothelial cells did not significantly influence the IC50 values. These results show that rANV binds to the same extent to quiescent, PMA- and TNF-stimulated HUVEC, and, as a result of this binding, rANV efficiently inhibits endothelial-cell-mediated thrombin formation.","container-title":"Biochemical Journal","DOI":"10.1042/bj3020305","ISSN":"0264-6021, 1470-8728","issue":"1","language":"en","page":"305-312","source":"DOI.org (Crossref)","title":"Binding of recombinant annexin V to endothelial cells: effect of annexin V binding on endothelial-cell-mediated thrombin formation","title-short":"Binding of recombinant annexin V to endothelial cells","volume":"302","author":[{"family":"Heerde","given":"W L","non-dropping-particle":"van"},{"family":"Poort","given":"S"},{"family":"Veer","given":"C","non-dropping-particle":"van 't"},{"family":"Reutelingsperger","given":"C P M"},{"family":"Groot","given":"P G","non-dropping-particle":"de"}],"issued":{"date-parts":[["1994",8,15]]}}}],"schema":"https://github.com/citation-style-language/schema/raw/master/csl-citation.json"}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74</w:t>
      </w:r>
      <w:r w:rsidRPr="00D74025">
        <w:rPr>
          <w:rFonts w:ascii="Arial" w:hAnsi="Arial" w:cs="Arial"/>
          <w:color w:val="000000" w:themeColor="text1"/>
        </w:rPr>
        <w:fldChar w:fldCharType="end"/>
      </w:r>
      <w:r w:rsidRPr="00D74025">
        <w:rPr>
          <w:rFonts w:ascii="Arial" w:hAnsi="Arial" w:cs="Arial"/>
          <w:color w:val="000000" w:themeColor="text1"/>
        </w:rPr>
        <w:t>. Additionally, the formation of the 2D crystal lattice on the surface of the platelets due to ANXA5 binding inhibits the formation of prothrombinase due to the limitation of lateral movements of its precursors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{"citationID":"aj74o4ken4","properties":{"formattedCitation":"\\super 65\\nosupersub{}","plainCitation":"65","noteIndex":0},"citationItems":[{"id":70,"uris":["http://zotero.org/users/7661987/items/WJJ3ZQRH"],"itemData":{"id":70,"type":"article-journal","container-title":"Journal of Biological Chemistry","DOI":"10.1016/S0021-9258(19)37128-5","ISSN":"00219258","issue":"25","journalAbbreviation":"Journal of Biological Chemistry","language":"en","page":"17907-17912","source":"DOI.org (Crossref)","title":"Clustering of lipid-bound annexin V may explain its anticoagulant effect.","volume":"267","author":[{"family":"Andree","given":"H.A."},{"family":"Stuart","given":"M.C."},{"family":"Hermens","given":"W.T."},{"family":"Reutelingsperger","given":"C.P."},{"family":"Hemker","given":"H.C."},{"family":"Frederik","given":"P.M."},{"family":"Willems","given":"G.M."}],"issued":{"date-parts":[["1992",9]]}}}],"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65</w:t>
      </w:r>
      <w:r w:rsidRPr="00D74025">
        <w:rPr>
          <w:rFonts w:ascii="Arial" w:hAnsi="Arial" w:cs="Arial"/>
          <w:color w:val="000000" w:themeColor="text1"/>
        </w:rPr>
        <w:fldChar w:fldCharType="end"/>
      </w:r>
      <w:r w:rsidRPr="00D74025">
        <w:rPr>
          <w:rFonts w:ascii="Arial" w:hAnsi="Arial" w:cs="Arial"/>
          <w:color w:val="000000" w:themeColor="text1"/>
        </w:rPr>
        <w:t>. Second, the PS-bearing blebs generated by activated platelets, also called microparticles (MP), have a coagulant effect and promote the further activation of the coagulation cascade because of the presence of the PS-rich catalytic surface. Therefore, the ANXA5 binding to platelet MP inhibits the procoagulant activity of those blebs identically to ANXA5 on the surface of platelets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{"citationID":"a1h50aipj52","properties":{"formattedCitation":"\\super 75\\nosupersub{}","plainCitation":"75","noteIndex":0},"citationItems":[{"id":338,"uris":["http://zotero.org/users/7661987/items/QBV7EY6F"],"itemData":{"id":338,"type":"article-journal","abstract":"Background—The specific role of apoptosis in human atherosclerosis remains unknown. During apoptotic cell death, phosphatidylserine exposure on the cell surface confers a high tissue-factor (TF)– dependent procoagulant activity.\nMethods and Results—In this study, we examined the role of apoptotic cell death in the promotion of plaque thrombogenicity. TF expression and its relation to apoptosis was analyzed in 16 human atherosclerotic plaques by the use of immunohistochemical techniques. The presence of shed membrane apoptotic microparticles was analyzed in extracts from 6 human atherosclerotic plaques and 3 underlying arterial walls. The microparticles were captured by annexin V and their amounts estimated with respect to their phospholipid content by use of a prothrombinase assay. The prothrombogenic potential of the microparticles was further assessed by the measurement of total and microparticledependent TF activity in the extracts. The cell origin of the microparticles was determined after capture by specific antibodies. We were able to detect marked TF expression in the plaques in close proximity to apoptotic cells and debris, suggesting a potential interaction between TF and the apoptotic cell surfaces. High levels of shed membrane apoptotic microparticles were detected in extracts from atherosclerotic plaques but not in the underlying arterial walls (29.5Ϯ3.7 nmol/L phosphatidylserine equivalent versus 1.3Ϯ0.4 nmol/L, respectively, PϽ0.02). The microparticles were mainly of monocytic and lymphocytic origin and retained 97Ϯ2% of total TF activity, indicating a direct causal relationship between shed membrane microparticles and procoagulant activity of plaque extracts.\nConclusions—These results indicate that shed membrane microparticles with procoagulant potential are produced in human atherosclerotic plaques. Apoptosis could be a critical determinant of plaque thrombogenicity after plaque rupture. (Circulation. 1999;99:348-353.)","container-title":"Circulation","DOI":"10.1161/01.CIR.99.3.348","ISSN":"0009-7322, 1524-4539","issue":"3","journalAbbreviation":"Circulation","language":"en","page":"348-353","source":"DOI.org (Crossref)","title":"Shed Membrane Microparticles With Procoagulant Potential in Human Atherosclerotic Plaques: A Role for Apoptosis in Plaque Thrombogenicity","title-short":"Shed Membrane Microparticles With Procoagulant Potential in Human Atherosclerotic Plaques","volume":"99","author":[{"family":"Mallat","given":"Ziad"},{"family":"Hugel","given":"Bénédicte"},{"family":"Ohan","given":"Jeanny"},{"family":"Lesèche","given":"Guy"},{"family":"Freyssinet","given":"Jean-Marie"},{"family":"Tedgui","given":"Alain"}],"issued":{"date-parts":[["1999",1,26]]}}}],"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75</w:t>
      </w:r>
      <w:r w:rsidRPr="00D74025">
        <w:rPr>
          <w:rFonts w:ascii="Arial" w:hAnsi="Arial" w:cs="Arial"/>
          <w:color w:val="000000" w:themeColor="text1"/>
        </w:rPr>
        <w:fldChar w:fldCharType="end"/>
      </w:r>
      <w:r w:rsidRPr="00D74025">
        <w:rPr>
          <w:rFonts w:ascii="Arial" w:hAnsi="Arial" w:cs="Arial"/>
          <w:color w:val="000000" w:themeColor="text1"/>
        </w:rPr>
        <w:t>. ANX</w:t>
      </w:r>
      <w:r w:rsidR="00187AE6">
        <w:rPr>
          <w:rFonts w:ascii="Arial" w:hAnsi="Arial" w:cs="Arial"/>
          <w:color w:val="000000" w:themeColor="text1"/>
        </w:rPr>
        <w:t>A</w:t>
      </w:r>
      <w:r w:rsidRPr="00D74025">
        <w:rPr>
          <w:rFonts w:ascii="Arial" w:hAnsi="Arial" w:cs="Arial"/>
          <w:color w:val="000000" w:themeColor="text1"/>
        </w:rPr>
        <w:t>5 might also inhibit the formation of blebs by restricting the outward membrane conformation necessary for the shedding of MP, which is correlated to the induction of a concave shape of the membrane on the ANXA5 binding region</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{"citationID":"a2nrgn8r1v3","properties":{"formattedCitation":"\\super 76\\nosupersub{}","plainCitation":"76","noteIndex":0},"citationItems":[{"id":339,"uris":["http://zotero.org/users/7661987/items/GCTE465V"],"itemData":{"id":339,"type":"article-journal","abstract":"Phosphatidylserine exposure in the exoplasmic leaflet of the plasma membrane is one of the early hallmarks of cells undergoing apoptosis. The shedding of membrane particles carrying Ags testifying to their tissue origin is another characteristic feature. Annexin V, a protein of as yet unknown specific physiologic function, presents a high Ca2+-dependent affinity for phosphatidylserine and forms two-dimensional arrays at the membrane surface. In this study, we report the delaying action of annexin V on apoptosis in the CEM human T cell line expressing CD4 and the normal cellular prion protein (PrPc), two Ags of particular relevance to cell degeneration and with different attachments to the membrane. The effect of annexin V was additive to that of z-Val-Ala-Asp-fluoromethyl ketone, a potent caspase inhibitor. Annexin V significantly reduced the degree of proteolytic activation of caspase-3, and totally blocked the release of CD4+ and PrPc+ membrane particles. z-Val-Ala-Asp-fluoromethyl ketone was a more powerful antagonist of caspase-3 processing, but prevented the shedding of CD4+ vesicles only partially and had no effect on that of PrPc+ ones. These results suggest that an external membrane constraint, such as that exerted by annexin V, has important consequences on the course of programmed cell death and on the dissemination of particular Ags. In vivo, annexin V had a significant protective effect against spleen weight loss in mice treated by an alkylating agent previously shown to induce lymphocyte apoptosis.","container-title":"Journal of Immunology (Baltimore, Md.: 1950)","ISSN":"0022-1767","issue":"10","journalAbbreviation":"J Immunol","language":"eng","note":"PMID: 10229803","page":"5712-5718","source":"PubMed","title":"Annexin V delays apoptosis while exerting an external constraint preventing the release of CD4+ and PrPc+ membrane particles in a human T lymphocyte model","volume":"162","author":[{"family":"Gidon-Jeangirard","given":"C."},{"family":"Hugel","given":"B."},{"family":"Holl","given":"V."},{"family":"Toti","given":"F."},{"family":"Laplanche","given":"J. L."},{"family":"Meyer","given":"D."},{"family":"Freyssinet","given":"J. M."}],"issued":{"date-parts":[["1999",5,15]]}}}],"schema":"https://github.com/citation-style-language/schema/raw/master/csl-citation.json"}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76</w:t>
      </w:r>
      <w:r w:rsidRPr="00D74025">
        <w:rPr>
          <w:rFonts w:ascii="Arial" w:hAnsi="Arial" w:cs="Arial"/>
          <w:color w:val="000000" w:themeColor="text1"/>
        </w:rPr>
        <w:fldChar w:fldCharType="end"/>
      </w:r>
      <w:r w:rsidRPr="00D74025">
        <w:rPr>
          <w:rFonts w:ascii="Arial" w:hAnsi="Arial" w:cs="Arial"/>
          <w:color w:val="000000" w:themeColor="text1"/>
        </w:rPr>
        <w:t>.</w:t>
      </w:r>
    </w:p>
    <w:p w14:paraId="5B1995C7" w14:textId="00ABD9B5" w:rsidR="005E550A" w:rsidRPr="00D74025" w:rsidRDefault="005E550A" w:rsidP="005E550A">
      <w:pPr>
        <w:autoSpaceDE w:val="0"/>
        <w:autoSpaceDN w:val="0"/>
        <w:adjustRightInd w:val="0"/>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It is hypothesized that the binding of ANXA5 to the cell membrane promotes internalization. The formation of convex ANXA5 trimers on the surface of cells causes invagination of the plasma membrane and consequent endocytosis. The complementary membrane shape to the trimer convexity, followed by the formation of the crystal lattice, induces membrane arching, which consequently results in the vesicle generation</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{"citationID":"a20euo57hd2","properties":{"formattedCitation":"\\super 70\\nosupersub{}","plainCitation":"70","noteIndex":0},"citationItems":[{"id":346,"uris":["http://zotero.org/users/7661987/items/HR6SG5EC"],"itemData":{"id":346,"type":"article-journal","container-title":"Journal of Biological Chemistry","DOI":"10.1074/jbc.M409009200","ISSN":"00219258","issue":"50","journalAbbreviation":"Journal of Biological Chemistry","language":"en","page":"52623-52629","source":"DOI.org (Crossref)","title":"Cell Surface-expressed Phosphatidylserine and Annexin A5 Open a Novel Portal of Cell Entry","volume":"279","author":[{"family":"Kenis","given":"Heidi"},{"family":"Genderen","given":"Hugo","non-dropping-particle":"van"},{"family":"Bennaghmouch","given":"Abdel"},{"family":"Rinia","given":"Hilde A."},{"family":"Frederik","given":"Peter"},{"family":"Narula","given":"Jagat"},{"family":"Hofstra","given":"Leo"},{"family":"Reutelingsperger","given":"Chris P.M."}],"issued":{"date-parts":[["2004",12]]}}}],"schema":"https://github.com/citation-style-language/schema/raw/master/csl-citation.json"}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70</w:t>
      </w:r>
      <w:r w:rsidRPr="00D74025">
        <w:rPr>
          <w:rFonts w:ascii="Arial" w:hAnsi="Arial" w:cs="Arial"/>
          <w:color w:val="000000" w:themeColor="text1"/>
        </w:rPr>
        <w:fldChar w:fldCharType="end"/>
      </w:r>
      <w:r w:rsidRPr="00D74025">
        <w:rPr>
          <w:rFonts w:ascii="Arial" w:hAnsi="Arial" w:cs="Arial"/>
          <w:color w:val="000000" w:themeColor="text1"/>
        </w:rPr>
        <w:t xml:space="preserve">, as shown in </w:t>
      </w:r>
      <w:r w:rsidR="00C95B5E" w:rsidRPr="00C95B5E">
        <w:rPr>
          <w:rFonts w:ascii="Arial" w:hAnsi="Arial" w:cs="Arial"/>
          <w:b/>
          <w:bCs/>
          <w:color w:val="000000" w:themeColor="text1"/>
        </w:rPr>
        <w:t>F</w:t>
      </w:r>
      <w:r w:rsidRPr="00C95B5E">
        <w:rPr>
          <w:rFonts w:ascii="Arial" w:hAnsi="Arial" w:cs="Arial"/>
          <w:b/>
          <w:bCs/>
          <w:color w:val="000000" w:themeColor="text1"/>
        </w:rPr>
        <w:t>igure 11</w:t>
      </w:r>
      <w:r w:rsidRPr="00D74025">
        <w:rPr>
          <w:rFonts w:ascii="Arial" w:hAnsi="Arial" w:cs="Arial"/>
          <w:color w:val="000000" w:themeColor="text1"/>
        </w:rPr>
        <w:t>. This hypothesis is supported by evidence of ANXA5 internalization into the cytosol by stressed cardiomyocytes, myoblasts, and apoptotic neurons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{"citationID":"a2e151v0t1m","properties":{"formattedCitation":"\\super 77\\nosupersub{}","plainCitation":"77","noteIndex":0},"citationItems":[{"id":336,"uris":["http://zotero.org/users/7661987/items/KPUTF78W"],"itemData":{"id":336,"type":"article-journal","container-title":"European Journal of Nuclear Medicine and Molecular Imaging","DOI":"10.1007/s00259-004-1473-5","ISSN":"1619-7070, 1619-7089","issue":"5","journalAbbreviation":"European Journal of Nuclear Medicine and Molecular Imaging","language":"en","page":"733-739","source":"DOI.org (Crossref)","title":"Detection of focal hypoxic-ischemic injury and neuronal stress in a rodent model of unilateral MCA occlusion/reperfusion using radiolabeled annexin V","volume":"31","author":[{"family":"Mari","given":"Carina"},{"family":"Karabiyikoglu","given":"Murat"},{"family":"Goris","given":"Michael L."},{"family":"Tait","given":"Jonathan F."},{"family":"Yenari","given":"Midori Anne"},{"family":"Blankenberg","given":"Francis G."}],"issued":{"date-parts":[["2004",5,1]]}}}],"schema":"https://github.com/citation-style-language/schema/raw/master/csl-citation.json"}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77</w:t>
      </w:r>
      <w:r w:rsidRPr="00D74025">
        <w:rPr>
          <w:rFonts w:ascii="Arial" w:hAnsi="Arial" w:cs="Arial"/>
          <w:color w:val="000000" w:themeColor="text1"/>
        </w:rPr>
        <w:fldChar w:fldCharType="end"/>
      </w:r>
      <w:r w:rsidRPr="00D74025">
        <w:rPr>
          <w:rFonts w:ascii="Arial" w:hAnsi="Arial" w:cs="Arial"/>
          <w:color w:val="000000" w:themeColor="text1"/>
        </w:rPr>
        <w:t xml:space="preserve">. Additionally, studies in </w:t>
      </w:r>
      <w:proofErr w:type="spellStart"/>
      <w:r w:rsidRPr="00D74025">
        <w:rPr>
          <w:rFonts w:ascii="Arial" w:hAnsi="Arial" w:cs="Arial"/>
          <w:color w:val="000000" w:themeColor="text1"/>
        </w:rPr>
        <w:t>Jukart</w:t>
      </w:r>
      <w:proofErr w:type="spellEnd"/>
      <w:r w:rsidRPr="00D74025">
        <w:rPr>
          <w:rFonts w:ascii="Arial" w:hAnsi="Arial" w:cs="Arial"/>
          <w:color w:val="000000" w:themeColor="text1"/>
        </w:rPr>
        <w:t xml:space="preserve"> cells and HeLa tumor cells have shown that ANXA5 internalization is independent of the classical endocytic pathways commonly responsible for internalizing extracellular proteins: </w:t>
      </w:r>
      <w:proofErr w:type="spellStart"/>
      <w:r w:rsidRPr="00D74025">
        <w:rPr>
          <w:rFonts w:ascii="Arial" w:hAnsi="Arial" w:cs="Arial"/>
          <w:color w:val="000000" w:themeColor="text1"/>
        </w:rPr>
        <w:t>macropinocytosis</w:t>
      </w:r>
      <w:proofErr w:type="spellEnd"/>
      <w:r w:rsidRPr="00D74025">
        <w:rPr>
          <w:rFonts w:ascii="Arial" w:hAnsi="Arial" w:cs="Arial"/>
          <w:color w:val="000000" w:themeColor="text1"/>
        </w:rPr>
        <w:t xml:space="preserve"> or receptor-mediated internalization</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{"citationID":"a2hufm0tbip","properties":{"formattedCitation":"\\super 70\\nosupersub{}","plainCitation":"70","noteIndex":0},"citationItems":[{"id":346,"uris":["http://zotero.org/users/7661987/items/HR6SG5EC"],"itemData":{"id":346,"type":"article-journal","container-title":"Journal of Biological Chemistry","DOI":"10.1074/jbc.M409009200","ISSN":"00219258","issue":"50","journalAbbreviation":"Journal of Biological Chemistry","language":"en","page":"52623-52629","source":"DOI.org (Crossref)","title":"Cell Surface-expressed Phosphatidylserine and Annexin A5 Open a Novel Portal of Cell Entry","volume":"279","author":[{"family":"Kenis","given":"Heidi"},{"family":"Genderen","given":"Hugo","non-dropping-particle":"van"},{"family":"Bennaghmouch","given":"Abdel"},{"family":"Rinia","given":"Hilde A."},{"family":"Frederik","given":"Peter"},{"family":"Narula","given":"Jagat"},{"family":"Hofstra","given":"Leo"},{"family":"Reutelingsperger","given":"Chris P.M."}],"issued":{"date-parts":[["2004",12]]}}}],"schema":"https://github.com/citation-style-language/schema/raw/master/csl-citation.json"}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70</w:t>
      </w:r>
      <w:r w:rsidRPr="00D74025">
        <w:rPr>
          <w:rFonts w:ascii="Arial" w:hAnsi="Arial" w:cs="Arial"/>
          <w:color w:val="000000" w:themeColor="text1"/>
        </w:rPr>
        <w:fldChar w:fldCharType="end"/>
      </w:r>
      <w:r w:rsidRPr="00D74025">
        <w:rPr>
          <w:rFonts w:ascii="Arial" w:hAnsi="Arial" w:cs="Arial"/>
          <w:color w:val="000000" w:themeColor="text1"/>
        </w:rPr>
        <w:t>.</w:t>
      </w:r>
    </w:p>
    <w:tbl>
      <w:tblPr>
        <w:tblStyle w:val="TableGrid"/>
        <w:tblW w:w="0" w:type="auto"/>
        <w:tblLook w:val="04A0" w:firstRow="1" w:lastRow="0" w:firstColumn="1" w:lastColumn="0" w:noHBand="0" w:noVBand="1"/>
      </w:tblPr>
      <w:tblGrid>
        <w:gridCol w:w="9350"/>
      </w:tblGrid>
      <w:tr w:rsidR="00D74025" w:rsidRPr="00D74025" w14:paraId="001EB84B" w14:textId="77777777" w:rsidTr="001B3920">
        <w:tc>
          <w:tcPr>
            <w:tcW w:w="9350" w:type="dxa"/>
          </w:tcPr>
          <w:p w14:paraId="5730A45F" w14:textId="594929C2" w:rsidR="001B3920" w:rsidRPr="00D74025" w:rsidRDefault="00276D0C" w:rsidP="00A448F1">
            <w:pPr>
              <w:autoSpaceDE w:val="0"/>
              <w:autoSpaceDN w:val="0"/>
              <w:adjustRightInd w:val="0"/>
              <w:spacing w:before="120" w:beforeAutospacing="0" w:afterAutospacing="0" w:line="360" w:lineRule="auto"/>
              <w:ind w:firstLine="0"/>
              <w:contextualSpacing/>
              <w:rPr>
                <w:rFonts w:ascii="Arial" w:hAnsi="Arial" w:cs="Arial"/>
                <w:color w:val="000000" w:themeColor="text1"/>
              </w:rPr>
            </w:pPr>
            <w:r w:rsidRPr="00D74025">
              <w:rPr>
                <w:rFonts w:ascii="Arial" w:hAnsi="Arial" w:cs="Arial"/>
                <w:noProof/>
                <w:color w:val="000000" w:themeColor="text1"/>
              </w:rPr>
              <w:lastRenderedPageBreak/>
              <w:drawing>
                <wp:anchor distT="182880" distB="182880" distL="114300" distR="114300" simplePos="0" relativeHeight="251658242" behindDoc="0" locked="0" layoutInCell="1" allowOverlap="1" wp14:anchorId="66D3E28C" wp14:editId="69A7045A">
                  <wp:simplePos x="0" y="0"/>
                  <wp:positionH relativeFrom="column">
                    <wp:posOffset>-6350</wp:posOffset>
                  </wp:positionH>
                  <wp:positionV relativeFrom="paragraph">
                    <wp:posOffset>443865</wp:posOffset>
                  </wp:positionV>
                  <wp:extent cx="5522595" cy="3529330"/>
                  <wp:effectExtent l="0" t="0" r="1905" b="1270"/>
                  <wp:wrapTopAndBottom/>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522595" cy="3529330"/>
                          </a:xfrm>
                          <a:prstGeom prst="rect">
                            <a:avLst/>
                          </a:prstGeom>
                        </pic:spPr>
                      </pic:pic>
                    </a:graphicData>
                  </a:graphic>
                  <wp14:sizeRelH relativeFrom="margin">
                    <wp14:pctWidth>0</wp14:pctWidth>
                  </wp14:sizeRelH>
                  <wp14:sizeRelV relativeFrom="margin">
                    <wp14:pctHeight>0</wp14:pctHeight>
                  </wp14:sizeRelV>
                </wp:anchor>
              </w:drawing>
            </w:r>
          </w:p>
        </w:tc>
      </w:tr>
      <w:tr w:rsidR="001B3920" w:rsidRPr="00D74025" w14:paraId="0BFBAF35" w14:textId="77777777" w:rsidTr="001B3920">
        <w:tc>
          <w:tcPr>
            <w:tcW w:w="9350" w:type="dxa"/>
          </w:tcPr>
          <w:p w14:paraId="3590B850" w14:textId="7A0E5AB8" w:rsidR="001B3920" w:rsidRPr="00D74025" w:rsidRDefault="005C3F82" w:rsidP="00B43CA5">
            <w:pPr>
              <w:spacing w:beforeAutospacing="0" w:line="360" w:lineRule="auto"/>
              <w:ind w:firstLine="0"/>
              <w:rPr>
                <w:color w:val="000000" w:themeColor="text1"/>
              </w:rPr>
            </w:pPr>
            <w:bookmarkStart w:id="21" w:name="_Toc121217333"/>
            <w:r w:rsidRPr="005C3F82">
              <w:rPr>
                <w:rFonts w:ascii="Arial" w:hAnsi="Arial" w:cs="Arial"/>
                <w:b/>
                <w:bCs/>
                <w:color w:val="000000" w:themeColor="text1"/>
              </w:rPr>
              <w:t xml:space="preserve">Figure </w:t>
            </w:r>
            <w:r w:rsidRPr="005C3F82">
              <w:rPr>
                <w:rFonts w:ascii="Arial" w:hAnsi="Arial" w:cs="Arial"/>
                <w:b/>
                <w:bCs/>
                <w:color w:val="000000" w:themeColor="text1"/>
              </w:rPr>
              <w:fldChar w:fldCharType="begin"/>
            </w:r>
            <w:r w:rsidRPr="005C3F82">
              <w:rPr>
                <w:rFonts w:ascii="Arial" w:hAnsi="Arial" w:cs="Arial"/>
                <w:b/>
                <w:bCs/>
                <w:color w:val="000000" w:themeColor="text1"/>
              </w:rPr>
              <w:instrText xml:space="preserve"> SEQ Figure \* ARABIC </w:instrText>
            </w:r>
            <w:r w:rsidRPr="005C3F82">
              <w:rPr>
                <w:rFonts w:ascii="Arial" w:hAnsi="Arial" w:cs="Arial"/>
                <w:b/>
                <w:bCs/>
                <w:color w:val="000000" w:themeColor="text1"/>
              </w:rPr>
              <w:fldChar w:fldCharType="separate"/>
            </w:r>
            <w:r w:rsidR="002C4B25">
              <w:rPr>
                <w:rFonts w:ascii="Arial" w:hAnsi="Arial" w:cs="Arial"/>
                <w:b/>
                <w:bCs/>
                <w:noProof/>
                <w:color w:val="000000" w:themeColor="text1"/>
              </w:rPr>
              <w:t>11</w:t>
            </w:r>
            <w:r w:rsidRPr="005C3F82">
              <w:rPr>
                <w:rFonts w:ascii="Arial" w:hAnsi="Arial" w:cs="Arial"/>
                <w:b/>
                <w:bCs/>
                <w:color w:val="000000" w:themeColor="text1"/>
              </w:rPr>
              <w:fldChar w:fldCharType="end"/>
            </w:r>
            <w:r w:rsidR="00A0742E" w:rsidRPr="00D74025">
              <w:rPr>
                <w:rFonts w:ascii="Arial" w:hAnsi="Arial" w:cs="Arial"/>
                <w:b/>
                <w:bCs/>
                <w:color w:val="000000" w:themeColor="text1"/>
              </w:rPr>
              <w:t>:</w:t>
            </w:r>
            <w:r w:rsidR="00A0742E" w:rsidRPr="00D74025">
              <w:rPr>
                <w:rFonts w:ascii="Arial" w:hAnsi="Arial" w:cs="Arial"/>
                <w:color w:val="000000" w:themeColor="text1"/>
              </w:rPr>
              <w:t xml:space="preserve"> </w:t>
            </w:r>
            <w:r w:rsidR="00A0742E" w:rsidRPr="00D74025">
              <w:rPr>
                <w:rFonts w:ascii="Arial" w:hAnsi="Arial" w:cs="Arial"/>
                <w:b/>
                <w:bCs/>
                <w:color w:val="000000" w:themeColor="text1"/>
              </w:rPr>
              <w:t>Annexin A5 binding to phosphatidylserine induces endocytosis</w:t>
            </w:r>
            <w:r w:rsidR="00A0742E" w:rsidRPr="00D74025">
              <w:rPr>
                <w:rFonts w:ascii="Arial" w:hAnsi="Arial" w:cs="Arial"/>
                <w:color w:val="000000" w:themeColor="text1"/>
              </w:rPr>
              <w:t>. (1) ANXA5 binds to PS; (2) two-dimensional crystallization of ANXA5 causes a bend on the plasma membrane; (3) formation of an endocytic vesicle; (4) vesicle</w:t>
            </w:r>
            <w:r w:rsidR="00F01BA1" w:rsidRPr="00D74025">
              <w:rPr>
                <w:rFonts w:ascii="Arial" w:hAnsi="Arial" w:cs="Arial"/>
                <w:color w:val="000000" w:themeColor="text1"/>
              </w:rPr>
              <w:t>s</w:t>
            </w:r>
            <w:r w:rsidR="00A0742E" w:rsidRPr="00D74025">
              <w:rPr>
                <w:rFonts w:ascii="Arial" w:hAnsi="Arial" w:cs="Arial"/>
                <w:color w:val="000000" w:themeColor="text1"/>
              </w:rPr>
              <w:t xml:space="preserve"> separate from the plasma membrane. Image from van </w:t>
            </w:r>
            <w:proofErr w:type="spellStart"/>
            <w:r w:rsidR="00A0742E" w:rsidRPr="00D74025">
              <w:rPr>
                <w:rFonts w:ascii="Arial" w:hAnsi="Arial" w:cs="Arial"/>
                <w:color w:val="000000" w:themeColor="text1"/>
              </w:rPr>
              <w:t>Genderen</w:t>
            </w:r>
            <w:proofErr w:type="spellEnd"/>
            <w:r w:rsidR="00A0742E" w:rsidRPr="00D74025">
              <w:rPr>
                <w:rFonts w:ascii="Arial" w:hAnsi="Arial" w:cs="Arial"/>
                <w:color w:val="000000" w:themeColor="text1"/>
              </w:rPr>
              <w:t xml:space="preserve"> </w:t>
            </w:r>
            <w:r w:rsidR="00A0742E" w:rsidRPr="00D74025">
              <w:rPr>
                <w:rFonts w:ascii="Arial" w:hAnsi="Arial" w:cs="Arial"/>
                <w:i/>
                <w:iCs/>
                <w:color w:val="000000" w:themeColor="text1"/>
              </w:rPr>
              <w:t xml:space="preserve">et al., </w:t>
            </w:r>
            <w:r w:rsidR="00A0742E" w:rsidRPr="00D74025">
              <w:rPr>
                <w:rFonts w:ascii="Arial" w:hAnsi="Arial" w:cs="Arial"/>
                <w:color w:val="000000" w:themeColor="text1"/>
              </w:rPr>
              <w:t xml:space="preserve">2008 </w:t>
            </w:r>
            <w:r w:rsidR="00A0742E" w:rsidRPr="00D74025">
              <w:rPr>
                <w:rFonts w:ascii="Arial" w:hAnsi="Arial" w:cs="Arial"/>
                <w:color w:val="000000" w:themeColor="text1"/>
              </w:rPr>
              <w:fldChar w:fldCharType="begin" w:fldLock="1"/>
            </w:r>
            <w:r w:rsidR="000F4F53">
              <w:rPr>
                <w:rFonts w:ascii="Arial" w:hAnsi="Arial" w:cs="Arial"/>
                <w:color w:val="000000" w:themeColor="text1"/>
              </w:rPr>
              <w:instrText xml:space="preserve"> ADDIN ZOTERO_ITEM CSL_CITATION {"citationID":"iWeLkXME","properties":{"formattedCitation":"\\super 78\\nosupersub{}","plainCitation":"78","noteIndex":0},"citationItems":[{"id":"a7Mi7BUu/diRBMFQr","uris":["http://www.mendeley.com/documents/?uuid=9d83fc12-ab1f-4efb-8675-87a7ba0080fc"],"itemData":{"DOI":"10.1016/j.bbamcr.2008.01.030","ISSN":"01674889","abstract":"In normal healthy cells phosphatidylserine is located in the inner leaflet of the plasma membrane. However, on activated platelets, dying cells and under specific circumstances also on various types of viable leukocytes phosphatidylserine is actively externalized to the outer leaflet of the plasma membrane. Annexin A5 has the ability to bind in a calcium-dependent manner to phosphatidylserine and to form a membrane-bound two-dimensional crystal lattice. Based on these abilities various functions for extracellular annexin A5 on the phosphatidylserine-expressing plasma membrane have been proposed. In this review we describe possible mechanisms for externalization of annexin A5 and various processes in which extracellular annexin A5 may play a role such as blood coagulation, apoptosis, phagocytosis and formation of plasma membrane-derived microparticles. We further highlight the recent discovery of internalization of extracellular annexin A5 by phosphatidylserine-expressing cells. © 2008 Elsevier B.V. All rights reserved.","author":[{"dropping-particle":"","family":"Genderen","given":"Hugo O.","non-dropping-particle":"van","parse-names":false,"suffix":""},{"dropping-particle":"","family":"Kenis","given":"Heidi","non-dropping-particle":"","parse-names":false,"suffix":""},{"dropping-particle":"","family":"Hofstra","given":"Leo","non-dropping-particle":"","parse-names":false,"suffix":""},{"dropping-particle":"","family":"Narula","given":"Jagat","non-dropping-particle":"","parse-names":false,"suffix":""},{"dropping-particle":"","family":"Reutelingsperger","given":"Chris P.M.","non-dropping-particle":"","parse-names":false,"suffix":""}],"container-title":"Biochimica et Biophysica Acta - Molecular Cell Research","id":"ITEM-1","issue":"6","issued":{"date-parts":[["2008"]]},"page":"953-963","title":"Extracellular annexin A5: Functions of phosphatidylserine-binding and two-dimensional crystallization","type":"article-journal","volume":"1783"}}],"schema":"https://github.com/citation-style-language/schema/raw/master/csl-citation.json"} </w:instrText>
            </w:r>
            <w:r w:rsidR="00A0742E" w:rsidRPr="00D74025">
              <w:rPr>
                <w:rFonts w:ascii="Arial" w:hAnsi="Arial" w:cs="Arial"/>
                <w:color w:val="000000" w:themeColor="text1"/>
              </w:rPr>
              <w:fldChar w:fldCharType="separate"/>
            </w:r>
            <w:r w:rsidR="00174D75" w:rsidRPr="00174D75">
              <w:rPr>
                <w:rFonts w:ascii="Arial" w:hAnsi="Arial" w:cs="Arial"/>
                <w:color w:val="000000"/>
                <w:vertAlign w:val="superscript"/>
              </w:rPr>
              <w:t>78</w:t>
            </w:r>
            <w:r w:rsidR="00A0742E" w:rsidRPr="00D74025">
              <w:rPr>
                <w:rFonts w:ascii="Arial" w:hAnsi="Arial" w:cs="Arial"/>
                <w:color w:val="000000" w:themeColor="text1"/>
              </w:rPr>
              <w:fldChar w:fldCharType="end"/>
            </w:r>
            <w:r w:rsidR="00A0742E" w:rsidRPr="00D74025">
              <w:rPr>
                <w:rFonts w:ascii="Arial" w:hAnsi="Arial" w:cs="Arial"/>
                <w:color w:val="000000" w:themeColor="text1"/>
              </w:rPr>
              <w:t>.</w:t>
            </w:r>
            <w:bookmarkEnd w:id="21"/>
          </w:p>
        </w:tc>
      </w:tr>
    </w:tbl>
    <w:p w14:paraId="1266EFBB" w14:textId="77777777" w:rsidR="005C3F82" w:rsidRPr="00D74025" w:rsidRDefault="005C3F82" w:rsidP="00CF0CD5">
      <w:pPr>
        <w:spacing w:line="360" w:lineRule="auto"/>
        <w:jc w:val="both"/>
        <w:rPr>
          <w:rFonts w:ascii="Arial" w:hAnsi="Arial" w:cs="Arial"/>
          <w:color w:val="000000" w:themeColor="text1"/>
        </w:rPr>
      </w:pPr>
    </w:p>
    <w:p w14:paraId="61122E0D" w14:textId="77777777" w:rsidR="001201F6" w:rsidRPr="00D74025" w:rsidRDefault="001201F6" w:rsidP="001201F6">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The fact that annexin A5 binds strongly and specifically to externalized phosphatidylserine of a minority of cells that had left the membrane asymmetry default state establishes the protein suitability for targeting agent. Additionally, the evidence that ANXA5 promotes internalization can make this strategy even more efficient for delivering therapeutic agents to tumors.</w:t>
      </w:r>
    </w:p>
    <w:p w14:paraId="117D856A" w14:textId="77777777" w:rsidR="001201F6" w:rsidRPr="00D74025" w:rsidRDefault="001201F6" w:rsidP="001201F6">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 xml:space="preserve">In this work, the strategy of using ANXA5 as a targeting agent for cancer treatment, specifically triple-negative breast cancer, a subtype of cancer lacking current targeted therapies, will be presented. </w:t>
      </w:r>
    </w:p>
    <w:p w14:paraId="5DE00F52" w14:textId="77B896DA" w:rsidR="00E1050E" w:rsidRPr="00D74025" w:rsidRDefault="00E1050E" w:rsidP="00CF0CD5">
      <w:pPr>
        <w:spacing w:line="360" w:lineRule="auto"/>
        <w:ind w:firstLine="1440"/>
        <w:contextualSpacing/>
        <w:jc w:val="both"/>
        <w:rPr>
          <w:rFonts w:ascii="Arial" w:hAnsi="Arial" w:cs="Arial"/>
          <w:color w:val="000000" w:themeColor="text1"/>
        </w:rPr>
      </w:pPr>
    </w:p>
    <w:p w14:paraId="7F800FC5" w14:textId="77777777" w:rsidR="00E1050E" w:rsidRPr="00D74025" w:rsidRDefault="00E1050E" w:rsidP="00CF0CD5">
      <w:pPr>
        <w:spacing w:line="360" w:lineRule="auto"/>
        <w:ind w:firstLine="1440"/>
        <w:contextualSpacing/>
        <w:jc w:val="both"/>
        <w:rPr>
          <w:rFonts w:ascii="Arial" w:hAnsi="Arial" w:cs="Arial"/>
          <w:color w:val="000000" w:themeColor="text1"/>
        </w:rPr>
      </w:pPr>
    </w:p>
    <w:p w14:paraId="3AF1CCFF" w14:textId="34536793" w:rsidR="00791D13" w:rsidRPr="00D74025" w:rsidRDefault="00791D13" w:rsidP="00CF0CD5">
      <w:pPr>
        <w:spacing w:line="360" w:lineRule="auto"/>
        <w:ind w:firstLine="1440"/>
        <w:jc w:val="both"/>
        <w:rPr>
          <w:rFonts w:ascii="Arial" w:hAnsi="Arial" w:cs="Arial"/>
          <w:color w:val="000000" w:themeColor="text1"/>
        </w:rPr>
      </w:pPr>
      <w:r w:rsidRPr="00D74025">
        <w:rPr>
          <w:rFonts w:ascii="Arial" w:hAnsi="Arial" w:cs="Arial"/>
          <w:color w:val="000000" w:themeColor="text1"/>
        </w:rPr>
        <w:lastRenderedPageBreak/>
        <w:t xml:space="preserve"> </w:t>
      </w:r>
    </w:p>
    <w:p w14:paraId="616DDF15" w14:textId="6F92A8DC" w:rsidR="00E1050E" w:rsidRPr="00D74025" w:rsidRDefault="00791D13" w:rsidP="00E1050E">
      <w:pPr>
        <w:spacing w:line="360" w:lineRule="auto"/>
        <w:outlineLvl w:val="1"/>
        <w:rPr>
          <w:rFonts w:ascii="Arial" w:hAnsi="Arial" w:cs="Arial"/>
          <w:b/>
          <w:bCs/>
          <w:color w:val="000000" w:themeColor="text1"/>
          <w:sz w:val="28"/>
          <w:szCs w:val="28"/>
          <w:u w:val="single"/>
        </w:rPr>
      </w:pPr>
      <w:bookmarkStart w:id="22" w:name="_Toc87466636"/>
      <w:bookmarkStart w:id="23" w:name="_Toc121217227"/>
      <w:r w:rsidRPr="00D74025">
        <w:rPr>
          <w:rFonts w:ascii="Arial" w:hAnsi="Arial" w:cs="Arial"/>
          <w:b/>
          <w:bCs/>
          <w:color w:val="000000" w:themeColor="text1"/>
          <w:sz w:val="28"/>
          <w:szCs w:val="28"/>
          <w:u w:val="single"/>
        </w:rPr>
        <w:t>1.3. Perspectives on Cancer</w:t>
      </w:r>
      <w:bookmarkEnd w:id="22"/>
      <w:bookmarkEnd w:id="23"/>
    </w:p>
    <w:p w14:paraId="35633E0A" w14:textId="79270643" w:rsidR="009A6A45" w:rsidRPr="00D74025" w:rsidRDefault="009A6A45" w:rsidP="000129D2">
      <w:pPr>
        <w:rPr>
          <w:rFonts w:ascii="Arial" w:hAnsi="Arial" w:cs="Arial"/>
          <w:b/>
          <w:bCs/>
          <w:color w:val="000000" w:themeColor="text1"/>
        </w:rPr>
      </w:pPr>
    </w:p>
    <w:p w14:paraId="69284414" w14:textId="48C8AA54" w:rsidR="00F27B61" w:rsidRPr="00D74025" w:rsidRDefault="00F27B61" w:rsidP="000129D2">
      <w:pPr>
        <w:rPr>
          <w:rFonts w:ascii="Arial" w:hAnsi="Arial" w:cs="Arial"/>
          <w:b/>
          <w:bCs/>
          <w:color w:val="000000" w:themeColor="text1"/>
        </w:rPr>
      </w:pPr>
    </w:p>
    <w:p w14:paraId="553B240B" w14:textId="62F1C693" w:rsidR="00F27B61" w:rsidRPr="00D74025" w:rsidRDefault="00F27B61" w:rsidP="00CF0CD5">
      <w:pPr>
        <w:spacing w:line="360" w:lineRule="auto"/>
        <w:ind w:firstLine="1440"/>
        <w:jc w:val="both"/>
        <w:outlineLvl w:val="2"/>
        <w:rPr>
          <w:rFonts w:ascii="Arial" w:hAnsi="Arial" w:cs="Arial"/>
          <w:b/>
          <w:bCs/>
          <w:color w:val="000000" w:themeColor="text1"/>
        </w:rPr>
      </w:pPr>
      <w:bookmarkStart w:id="24" w:name="_Toc121217228"/>
      <w:r w:rsidRPr="00D74025">
        <w:rPr>
          <w:rFonts w:ascii="Arial" w:hAnsi="Arial" w:cs="Arial"/>
          <w:b/>
          <w:bCs/>
          <w:color w:val="000000" w:themeColor="text1"/>
        </w:rPr>
        <w:t>1.3.1 Cancer and its relevance worldwide</w:t>
      </w:r>
      <w:bookmarkEnd w:id="24"/>
    </w:p>
    <w:p w14:paraId="07D84436" w14:textId="77777777" w:rsidR="00F27B61" w:rsidRPr="00D74025" w:rsidRDefault="00F27B61" w:rsidP="000129D2">
      <w:pPr>
        <w:rPr>
          <w:rFonts w:ascii="Arial" w:hAnsi="Arial" w:cs="Arial"/>
          <w:b/>
          <w:bCs/>
          <w:color w:val="000000" w:themeColor="text1"/>
        </w:rPr>
      </w:pPr>
    </w:p>
    <w:p w14:paraId="1459A293" w14:textId="2D1C3254" w:rsidR="003502AA" w:rsidRDefault="003502AA" w:rsidP="003502AA">
      <w:pPr>
        <w:spacing w:line="360" w:lineRule="auto"/>
        <w:ind w:firstLine="1440"/>
        <w:jc w:val="both"/>
        <w:rPr>
          <w:rFonts w:ascii="Arial" w:hAnsi="Arial" w:cs="Arial"/>
          <w:color w:val="000000" w:themeColor="text1"/>
        </w:rPr>
      </w:pPr>
      <w:r w:rsidRPr="00D74025">
        <w:rPr>
          <w:rFonts w:ascii="Arial" w:hAnsi="Arial" w:cs="Arial"/>
          <w:color w:val="000000" w:themeColor="text1"/>
        </w:rPr>
        <w:t>Cancer is ranked as the primary or secondary major death cause before the age of 70 in 91 countries in the world, according to WHO estimates from 2015</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{"citationID":"af331alfrh","properties":{"formattedCitation":"\\super 79\\nosupersub{}","plainCitation":"79","noteIndex":0},"citationItems":[{"id":332,"uris":["http://zotero.org/users/7661987/items/6HNDJDXA"],"itemData":{"id":332,"type":"article-journal","abstract":"This article provides an update on the global cancer burden using the GLOBOCAN 2020 estimates of cancer incidence and mortality produced by the International Agency for Research on Cancer. Worldwide, an estimated 19.3 million new cancer cases (18.1 million excluding nonmelanoma skin cancer) and almost 10.0 million cancer deaths (9.9 million excluding nonmelanoma skin cancer) occurred in 2020. Female breast cancer has surpassed lung cancer as the most commonly diagnosed cancer, with an estimated 2.3 million new cases (11.7%), followed by lung (11.4%), colorectal (10.0 %), prostate (7.3%), and stomach (5.6%) cancers. Lung cancer remained the leading cause of cancer death, with an estimated 1.8 million deaths (18%), followed by colorectal (9.4%), liver (8.3%), stomach (7.7%), and female breast (6.9%) cancers. Overall incidence was from 2-fold to 3-fold higher in transitioned versus transitioning countries for both sexes, whereas mortality varied &lt;2-fold for men and little for women. Death rates for female breast and cervical cancers, however, were considerably higher in transitioning versus transitioned countries (15.0 vs 12.8 per 100,000 and 12.4 vs 5.2 per 100,000, respectively). The global cancer burden is expected to be 28.4 million cases in 2040, a 47% rise from 2020, with a larger increase in transitioning (64% to 95%) versus transitioned (32% to 56%) countries due to demographic changes, although this may be further exacerbated by increasing risk factors associated with globalization and a growing economy. Efforts to build a sustainable infrastructure for the dissemination of cancer prevention measures and provision of cancer care in transitioning countries is critical for global cancer control. CA Cancer J Clin 2021;71:209-249. © 2021 American Cancer Society.","container-title":"CA: A Cancer Journal for Clinicians","DOI":"10.3322/caac.21660","ISSN":"0007-9235, 1542-4863","issue":"3","journalAbbreviation":"CA A Cancer J Clin","language":"en","page":"209-249","source":"DOI.org (Crossref)","title":"Global Cancer Statistics 2020: GLOBOCAN Estimates of Incidence and Mortality Worldwide for 36 Cancers in 185 Countries","title-short":"Global Cancer Statistics 2020","volume":"71","author":[{"family":"Sung","given":"Hyuna"},{"family":"Ferlay","given":"Jacques"},{"family":"Siegel","given":"Rebecca L."},{"family":"Laversanne","given":"Mathieu"},{"family":"Soerjomataram","given":"Isabelle"},{"family":"Jemal","given":"Ahmedin"},{"family":"Bray","given":"Freddie"}],"issued":{"date-parts":[["2021",5]]}}}],"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79</w:t>
      </w:r>
      <w:r w:rsidRPr="00D74025">
        <w:rPr>
          <w:rFonts w:ascii="Arial" w:hAnsi="Arial" w:cs="Arial"/>
          <w:color w:val="000000" w:themeColor="text1"/>
        </w:rPr>
        <w:fldChar w:fldCharType="end"/>
      </w:r>
      <w:r w:rsidRPr="00D74025">
        <w:rPr>
          <w:rFonts w:ascii="Arial" w:hAnsi="Arial" w:cs="Arial"/>
          <w:color w:val="000000" w:themeColor="text1"/>
        </w:rPr>
        <w:t xml:space="preserve"> (see </w:t>
      </w:r>
      <w:r w:rsidR="009F2F83" w:rsidRPr="009F2F83">
        <w:rPr>
          <w:rFonts w:ascii="Arial" w:hAnsi="Arial" w:cs="Arial"/>
          <w:b/>
          <w:bCs/>
          <w:color w:val="000000" w:themeColor="text1"/>
        </w:rPr>
        <w:t>F</w:t>
      </w:r>
      <w:r w:rsidRPr="009F2F83">
        <w:rPr>
          <w:rFonts w:ascii="Arial" w:hAnsi="Arial" w:cs="Arial"/>
          <w:b/>
          <w:bCs/>
          <w:color w:val="000000" w:themeColor="text1"/>
        </w:rPr>
        <w:t>igure 12</w:t>
      </w:r>
      <w:r w:rsidRPr="00D74025">
        <w:rPr>
          <w:rFonts w:ascii="Arial" w:hAnsi="Arial" w:cs="Arial"/>
          <w:color w:val="000000" w:themeColor="text1"/>
        </w:rPr>
        <w:t>). Although cancer is currently the second most important cause of premature deaths worldwide, it might outweigh cardiovascular diseases (CVD) in this century. This prediction is based on two factors: (1) in countries where cancer is the primary cause of death, the rate at which cancer incidence decreases is similar to CVD’s rate of decrease, which would lead to the maintenance of cancer raking above CVD; (2) in countries where CVD is the primary cause of death and cancer is the second, the rate at which CVD declines is more significant than the decline of cancer incidence, which would result in a switch in positions in the rank</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{"citationID":"PmiMJoCQ","properties":{"formattedCitation":"\\super 80\\nosupersub{}","plainCitation":"80","noteIndex":0},"citationItems":[{"id":124,"uris":["http://zotero.org/users/7661987/items/FAEE7Y6L"],"itemData":{"id":124,"type":"article-journal","abstract":"The relative importance of cardiovascular disease (CVD) and cancer as leading causes of premature death are examined in this communication. CVD and cancer are now the leading causes in 127 countries, with CVD leading in 70 countries (including Brazil and India) and cancer leading in 57 countries (including China). Such observations can be seen as part of a late phase of an epidemiologic transition, taking place in the second half of the 20th century and the first half of the present one, in which the dominance of infectious diseases is progressively superseded by noncommunicable diseases. According to present ranks and recent trends, cancer may surpass CVD as the leading cause of premature death in most countries over the course of this century. Clearly, governments must factor in these transitions in developing cancer policies for the local disease profile. Cancer 2021;0:1-2. © 2021 American Cancer Society.","container-title":"Cancer","DOI":"10.1002/cncr.33587","ISSN":"0008-543X, 1097-0142","issue":"16","journalAbbreviation":"Cancer","language":"en","page":"3029-3030","source":"DOI.org (Crossref)","title":"The ever</w:instrText>
      </w:r>
      <w:r w:rsidR="00174D75">
        <w:rPr>
          <w:rFonts w:ascii="Cambria Math" w:hAnsi="Cambria Math" w:cs="Cambria Math"/>
          <w:color w:val="000000" w:themeColor="text1"/>
        </w:rPr>
        <w:instrText>‐</w:instrText>
      </w:r>
      <w:r w:rsidR="00174D75">
        <w:rPr>
          <w:rFonts w:ascii="Arial" w:hAnsi="Arial" w:cs="Arial"/>
          <w:color w:val="000000" w:themeColor="text1"/>
        </w:rPr>
        <w:instrText xml:space="preserve">increasing importance of cancer as a leading cause of premature death worldwide","volume":"127","author":[{"family":"Bray","given":"Freddie"},{"family":"Laversanne","given":"Mathieu"},{"family":"Weiderpass","given":"Elisabete"},{"family":"Soerjomataram","given":"Isabelle"}],"issued":{"date-parts":[["2021",8,15]]}}}],"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80</w:t>
      </w:r>
      <w:r w:rsidRPr="00D74025">
        <w:rPr>
          <w:rFonts w:ascii="Arial" w:hAnsi="Arial" w:cs="Arial"/>
          <w:color w:val="000000" w:themeColor="text1"/>
        </w:rPr>
        <w:fldChar w:fldCharType="end"/>
      </w:r>
      <w:r w:rsidRPr="00D74025">
        <w:rPr>
          <w:rFonts w:ascii="Arial" w:hAnsi="Arial" w:cs="Arial"/>
          <w:color w:val="000000" w:themeColor="text1"/>
        </w:rPr>
        <w:t>.</w:t>
      </w:r>
    </w:p>
    <w:p w14:paraId="2DC37D35" w14:textId="77777777" w:rsidR="009F2F83" w:rsidRPr="00D74025" w:rsidRDefault="009F2F83" w:rsidP="003502AA">
      <w:pPr>
        <w:spacing w:line="360" w:lineRule="auto"/>
        <w:ind w:firstLine="1440"/>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4B2790FC" w14:textId="77777777">
        <w:tc>
          <w:tcPr>
            <w:tcW w:w="9350" w:type="dxa"/>
          </w:tcPr>
          <w:p w14:paraId="76B2F9D6" w14:textId="49EE64EF" w:rsidR="00CF5986" w:rsidRPr="00D74025" w:rsidRDefault="00CF5986" w:rsidP="00CF0CD5">
            <w:pPr>
              <w:spacing w:beforeAutospacing="0" w:line="360" w:lineRule="auto"/>
              <w:ind w:firstLine="0"/>
              <w:rPr>
                <w:rFonts w:ascii="Arial" w:hAnsi="Arial" w:cs="Arial"/>
                <w:b/>
                <w:bCs/>
                <w:color w:val="000000" w:themeColor="text1"/>
              </w:rPr>
            </w:pPr>
            <w:r w:rsidRPr="00D74025">
              <w:rPr>
                <w:rFonts w:ascii="Arial" w:hAnsi="Arial" w:cs="Arial"/>
                <w:b/>
                <w:bCs/>
                <w:noProof/>
                <w:color w:val="000000" w:themeColor="text1"/>
              </w:rPr>
              <w:drawing>
                <wp:inline distT="0" distB="0" distL="0" distR="0" wp14:anchorId="40F9689E" wp14:editId="3B2F517C">
                  <wp:extent cx="5835801" cy="2978591"/>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914" t="3381" b="3067"/>
                          <a:stretch/>
                        </pic:blipFill>
                        <pic:spPr bwMode="auto">
                          <a:xfrm>
                            <a:off x="0" y="0"/>
                            <a:ext cx="5859165" cy="2990516"/>
                          </a:xfrm>
                          <a:prstGeom prst="rect">
                            <a:avLst/>
                          </a:prstGeom>
                          <a:ln>
                            <a:noFill/>
                          </a:ln>
                          <a:extLst>
                            <a:ext uri="{53640926-AAD7-44D8-BBD7-CCE9431645EC}">
                              <a14:shadowObscured xmlns:a14="http://schemas.microsoft.com/office/drawing/2010/main"/>
                            </a:ext>
                          </a:extLst>
                        </pic:spPr>
                      </pic:pic>
                    </a:graphicData>
                  </a:graphic>
                </wp:inline>
              </w:drawing>
            </w:r>
          </w:p>
        </w:tc>
      </w:tr>
      <w:tr w:rsidR="00791D13" w:rsidRPr="00D74025" w14:paraId="27EA781A" w14:textId="77777777">
        <w:tc>
          <w:tcPr>
            <w:tcW w:w="9350" w:type="dxa"/>
          </w:tcPr>
          <w:p w14:paraId="47F1F255" w14:textId="194BE6CD" w:rsidR="00791D13" w:rsidRPr="00D74025" w:rsidRDefault="003A39AC" w:rsidP="00CF5986">
            <w:pPr>
              <w:spacing w:line="360" w:lineRule="auto"/>
              <w:ind w:firstLine="0"/>
              <w:rPr>
                <w:color w:val="000000" w:themeColor="text1"/>
              </w:rPr>
            </w:pPr>
            <w:bookmarkStart w:id="25" w:name="_Toc121217334"/>
            <w:r w:rsidRPr="003A39AC">
              <w:rPr>
                <w:rFonts w:ascii="Arial" w:hAnsi="Arial" w:cs="Arial"/>
                <w:b/>
                <w:bCs/>
                <w:color w:val="000000" w:themeColor="text1"/>
              </w:rPr>
              <w:t xml:space="preserve">Figure </w:t>
            </w:r>
            <w:r w:rsidRPr="003A39AC">
              <w:rPr>
                <w:rFonts w:ascii="Arial" w:hAnsi="Arial" w:cs="Arial"/>
                <w:b/>
                <w:bCs/>
                <w:color w:val="000000" w:themeColor="text1"/>
              </w:rPr>
              <w:fldChar w:fldCharType="begin"/>
            </w:r>
            <w:r w:rsidRPr="003A39AC">
              <w:rPr>
                <w:rFonts w:ascii="Arial" w:hAnsi="Arial" w:cs="Arial"/>
                <w:b/>
                <w:bCs/>
                <w:color w:val="000000" w:themeColor="text1"/>
              </w:rPr>
              <w:instrText xml:space="preserve"> SEQ Figure \* ARABIC </w:instrText>
            </w:r>
            <w:r w:rsidRPr="003A39AC">
              <w:rPr>
                <w:rFonts w:ascii="Arial" w:hAnsi="Arial" w:cs="Arial"/>
                <w:b/>
                <w:bCs/>
                <w:color w:val="000000" w:themeColor="text1"/>
              </w:rPr>
              <w:fldChar w:fldCharType="separate"/>
            </w:r>
            <w:r w:rsidR="002C4B25">
              <w:rPr>
                <w:rFonts w:ascii="Arial" w:hAnsi="Arial" w:cs="Arial"/>
                <w:b/>
                <w:bCs/>
                <w:noProof/>
                <w:color w:val="000000" w:themeColor="text1"/>
              </w:rPr>
              <w:t>12</w:t>
            </w:r>
            <w:r w:rsidRPr="003A39AC">
              <w:rPr>
                <w:rFonts w:ascii="Arial" w:hAnsi="Arial" w:cs="Arial"/>
                <w:b/>
                <w:bCs/>
                <w:color w:val="000000" w:themeColor="text1"/>
              </w:rPr>
              <w:fldChar w:fldCharType="end"/>
            </w:r>
            <w:r w:rsidR="0033434A" w:rsidRPr="00D74025">
              <w:rPr>
                <w:rFonts w:ascii="Arial" w:hAnsi="Arial" w:cs="Arial"/>
                <w:b/>
                <w:bCs/>
                <w:color w:val="000000" w:themeColor="text1"/>
              </w:rPr>
              <w:t xml:space="preserve">: </w:t>
            </w:r>
            <w:r w:rsidR="0033434A" w:rsidRPr="003A39AC">
              <w:rPr>
                <w:rFonts w:ascii="Arial" w:hAnsi="Arial" w:cs="Arial"/>
                <w:b/>
                <w:bCs/>
                <w:color w:val="000000" w:themeColor="text1"/>
              </w:rPr>
              <w:t xml:space="preserve">Global map ranking cancer as a leading cause of death at ages below 70 years in 2019 for each country. </w:t>
            </w:r>
            <w:r w:rsidR="0033434A" w:rsidRPr="00D74025">
              <w:rPr>
                <w:rFonts w:ascii="Arial" w:hAnsi="Arial" w:cs="Arial"/>
                <w:color w:val="000000" w:themeColor="text1"/>
              </w:rPr>
              <w:t xml:space="preserve">The legend includes the number of countries in each ranking group. Source: World Health Organization. Image from Bray </w:t>
            </w:r>
            <w:r w:rsidR="0033434A" w:rsidRPr="00D74025">
              <w:rPr>
                <w:rFonts w:ascii="Arial" w:hAnsi="Arial" w:cs="Arial"/>
                <w:i/>
                <w:iCs/>
                <w:color w:val="000000" w:themeColor="text1"/>
              </w:rPr>
              <w:t>et al</w:t>
            </w:r>
            <w:r w:rsidR="0033434A" w:rsidRPr="00D74025">
              <w:rPr>
                <w:rFonts w:ascii="Arial" w:hAnsi="Arial" w:cs="Arial"/>
                <w:color w:val="000000" w:themeColor="text1"/>
              </w:rPr>
              <w:t>., 2021</w:t>
            </w:r>
            <w:r w:rsidR="0033434A"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{"citationID":"Y1FoQbeD","properties":{"formattedCitation":"\\super 80\\nosupersub{}","plainCitation":"80","noteIndex":0},"citationItems":[{"id":124,"uris":["http://zotero.org/users/7661987/items/FAEE7Y6L"],"itemData":{"id":124,"type":"article-journal","abstract":"The relative importance of cardiovascular disease (CVD) and cancer as leading causes of premature death are examined in this communication. CVD and cancer are now the leading causes in 127 countries, with CVD leading in 70 countries (including Brazil and India) and cancer leading in 57 countries (including China). Such observations can be seen as part of a late phase of an epidemiologic transition, taking place in the second half of the 20th century and the first half of the present one, in which the dominance of infectious diseases is progressively superseded by noncommunicable diseases. According to present ranks and recent trends, cancer may surpass CVD as the leading cause of premature death in most countries over the course of this century. Clearly, governments must factor in these transitions in developing cancer policies for the local disease profile. Cancer 2021;0:1-2. © 2021 American Cancer Society.","container-title":"Cancer","DOI":"10.1002/cncr.33587","ISSN":"0008-543X, 1097-0142","issue":"16","journalAbbreviation":"Cancer","language":"en","page":"3029-3030","source":"DOI.org (Crossref)","title":"The ever</w:instrText>
            </w:r>
            <w:r w:rsidR="00174D75">
              <w:rPr>
                <w:rFonts w:ascii="Cambria Math" w:hAnsi="Cambria Math" w:cs="Cambria Math"/>
                <w:color w:val="000000" w:themeColor="text1"/>
              </w:rPr>
              <w:instrText>‐</w:instrText>
            </w:r>
            <w:r w:rsidR="00174D75">
              <w:rPr>
                <w:rFonts w:ascii="Arial" w:hAnsi="Arial" w:cs="Arial"/>
                <w:color w:val="000000" w:themeColor="text1"/>
              </w:rPr>
              <w:instrText xml:space="preserve">increasing importance of cancer as a leading cause of premature death worldwide","volume":"127","author":[{"family":"Bray","given":"Freddie"},{"family":"Laversanne","given":"Mathieu"},{"family":"Weiderpass","given":"Elisabete"},{"family":"Soerjomataram","given":"Isabelle"}],"issued":{"date-parts":[["2021",8,15]]}}}],"schema":"https://github.com/citation-style-language/schema/raw/master/csl-citation.json"} </w:instrText>
            </w:r>
            <w:r w:rsidR="0033434A" w:rsidRPr="00D74025">
              <w:rPr>
                <w:rFonts w:ascii="Arial" w:hAnsi="Arial" w:cs="Arial"/>
                <w:color w:val="000000" w:themeColor="text1"/>
              </w:rPr>
              <w:fldChar w:fldCharType="separate"/>
            </w:r>
            <w:r w:rsidR="00174D75" w:rsidRPr="00174D75">
              <w:rPr>
                <w:rFonts w:ascii="Arial" w:hAnsi="Arial" w:cs="Arial"/>
                <w:color w:val="000000"/>
                <w:vertAlign w:val="superscript"/>
              </w:rPr>
              <w:t>80</w:t>
            </w:r>
            <w:r w:rsidR="0033434A" w:rsidRPr="00D74025">
              <w:rPr>
                <w:rFonts w:ascii="Arial" w:hAnsi="Arial" w:cs="Arial"/>
                <w:color w:val="000000" w:themeColor="text1"/>
              </w:rPr>
              <w:fldChar w:fldCharType="end"/>
            </w:r>
            <w:r w:rsidR="0033434A" w:rsidRPr="00D74025">
              <w:rPr>
                <w:rFonts w:ascii="Arial" w:hAnsi="Arial" w:cs="Arial"/>
                <w:color w:val="000000" w:themeColor="text1"/>
              </w:rPr>
              <w:t>.</w:t>
            </w:r>
            <w:bookmarkEnd w:id="25"/>
          </w:p>
        </w:tc>
      </w:tr>
    </w:tbl>
    <w:p w14:paraId="63DB1D95" w14:textId="178C88BE" w:rsidR="005374F5" w:rsidRPr="00D74025" w:rsidRDefault="005374F5" w:rsidP="005374F5">
      <w:pPr>
        <w:autoSpaceDE w:val="0"/>
        <w:autoSpaceDN w:val="0"/>
        <w:adjustRightInd w:val="0"/>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lastRenderedPageBreak/>
        <w:t xml:space="preserve">The incidence of cancer has been growing worldwide </w:t>
      </w:r>
      <w:proofErr w:type="gramStart"/>
      <w:r w:rsidRPr="00D74025">
        <w:rPr>
          <w:rFonts w:ascii="Arial" w:hAnsi="Arial" w:cs="Arial"/>
          <w:color w:val="000000" w:themeColor="text1"/>
        </w:rPr>
        <w:t>and also</w:t>
      </w:r>
      <w:proofErr w:type="gramEnd"/>
      <w:r w:rsidRPr="00D74025">
        <w:rPr>
          <w:rFonts w:ascii="Arial" w:hAnsi="Arial" w:cs="Arial"/>
          <w:color w:val="000000" w:themeColor="text1"/>
        </w:rPr>
        <w:t xml:space="preserve"> has its mortality. Although population aging is one of the causes of this increase in cancer rates, the prevalence of the principal risk factors associated with cancer development is likewise critical to that upsurge. Cancer risk factors include but are not limited to tobacco use, physical inactivity, excess body weight, and reproductive patterns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{"citationID":"aqig93ep7k","properties":{"formattedCitation":"\\super 81\\nosupersub{}","plainCitation":"81","noteIndex":0},"citationItems":[{"id":334,"uris":["http://zotero.org/users/7661987/items/G5ZT3BVN"],"itemData":{"id":334,"type":"article-journal","container-title":"Cancer Epidemiology Biomarkers &amp; Prevention","DOI":"10.1158/1055-9965.EPI-15-0578","ISSN":"1055-9965, 1538-7755","issue":"1","journalAbbreviation":"Cancer Epidemiol Biomarkers Prev","language":"en","page":"16-27","source":"DOI.org (Crossref)","title":"Global Cancer Incidence and Mortality Rates and Trends—An Update","volume":"25","author":[{"family":"Torre","given":"Lindsey A."},{"family":"Siegel","given":"Rebecca L."},{"family":"Ward","given":"Elizabeth M."},{"family":"Jemal","given":"Ahmedin"}],"issued":{"date-parts":[["2016",1]]}}}],"schema":"https://github.com/citation-style-language/schema/raw/master/csl-citation.json"}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81</w:t>
      </w:r>
      <w:r w:rsidRPr="00D74025">
        <w:rPr>
          <w:rFonts w:ascii="Arial" w:hAnsi="Arial" w:cs="Arial"/>
          <w:color w:val="000000" w:themeColor="text1"/>
        </w:rPr>
        <w:fldChar w:fldCharType="end"/>
      </w:r>
      <w:r w:rsidRPr="00D74025">
        <w:rPr>
          <w:rFonts w:ascii="Arial" w:hAnsi="Arial" w:cs="Arial"/>
          <w:color w:val="000000" w:themeColor="text1"/>
        </w:rPr>
        <w:t xml:space="preserve">. </w:t>
      </w:r>
      <w:r w:rsidRPr="00342879">
        <w:rPr>
          <w:rFonts w:ascii="Arial" w:hAnsi="Arial" w:cs="Arial"/>
          <w:color w:val="000000" w:themeColor="text1"/>
        </w:rPr>
        <w:t>In developed countries, the higher decrease in the mortality rate from coronary heart diseases and stroke results in a rising in the prominence of cancer as a leading cause of death. In underdeveloped countries, improving living conditions has increased life expectancy, primarily due to the decline in deaths related to infectious diseases.</w:t>
      </w:r>
      <w:r w:rsidRPr="00D74025">
        <w:rPr>
          <w:rFonts w:ascii="Arial" w:hAnsi="Arial" w:cs="Arial"/>
          <w:color w:val="000000" w:themeColor="text1"/>
        </w:rPr>
        <w:t xml:space="preserve"> Those factors, allied to the advancement of cancer reporting, also lead to increased cancer incidence in developing areas. Further, cancer rates tend to shift from infection-related and poverty-related cancers (cervix, stomach, and liver) to cancers common in developed countries (lung, breast, colorectum, and prostate). Those changes are related to the economic transition that occurs with mechanization, leading to changes in eating patterns and cultural shifts in women's roles in society</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{"citationID":"a26k2a7v08o","properties":{"formattedCitation":"\\super 82\\nosupersub{}","plainCitation":"82","noteIndex":0},"citationItems":[{"id":335,"uris":["http://zotero.org/users/7661987/items/3RXEYFJR"],"itemData":{"id":335,"type":"article-journal","abstract":"Why do we observe increasing rates of new cancer cases? Is the increasing burden of cancer mainly the outcome of higher life expectancy and better life conditions brought about by economic development? To what extent do environmental degradation and changes in life-styles play a relevant role? To answer these questions, we empirically assessed the relationship between per capita income and new cancer cases (incidence) by using crosssectional data from 122 countries.","container-title":"Ecological Economics","DOI":"10.1016/j.ecolecon.2017.11.031","ISSN":"09218009","journalAbbreviation":"Ecological Economics","language":"en","page":"381-396","source":"DOI.org (Crossref)","title":"Economic Growth and Cancer Incidence","volume":"146","author":[{"family":"Luzzati","given":"T."},{"family":"Parenti","given":"A."},{"family":"Rughi","given":"T."}],"issued":{"date-parts":[["2018",4]]}}}],"schema":"https://github.com/citation-style-language/schema/raw/master/csl-citation.json"}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82</w:t>
      </w:r>
      <w:r w:rsidRPr="00D74025">
        <w:rPr>
          <w:rFonts w:ascii="Arial" w:hAnsi="Arial" w:cs="Arial"/>
          <w:color w:val="000000" w:themeColor="text1"/>
        </w:rPr>
        <w:fldChar w:fldCharType="end"/>
      </w:r>
      <w:r w:rsidRPr="00D74025">
        <w:rPr>
          <w:rFonts w:ascii="Arial" w:hAnsi="Arial" w:cs="Arial"/>
          <w:color w:val="000000" w:themeColor="text1"/>
        </w:rPr>
        <w:t>. Even when isolating higher life expectancy, better cancer rate reports, and regional patterns, lifestyle and environmental degradation are still important factors responsible for the escalation in cancer rates worldwide</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{"citationID":"hsO4jkwO","properties":{"formattedCitation":"\\super 82\\nosupersub{}","plainCitation":"82","noteIndex":0},"citationItems":[{"id":335,"uris":["http://zotero.org/users/7661987/items/3RXEYFJR"],"itemData":{"id":335,"type":"article-journal","abstract":"Why do we observe increasing rates of new cancer cases? Is the increasing burden of cancer mainly the outcome of higher life expectancy and better life conditions brought about by economic development? To what extent do environmental degradation and changes in life-styles play a relevant role? To answer these questions, we empirically assessed the relationship between per capita income and new cancer cases (incidence) by using crosssectional data from 122 countries.","container-title":"Ecological Economics","DOI":"10.1016/j.ecolecon.2017.11.031","ISSN":"09218009","journalAbbreviation":"Ecological Economics","language":"en","page":"381-396","source":"DOI.org (Crossref)","title":"Economic Growth and Cancer Incidence","volume":"146","author":[{"family":"Luzzati","given":"T."},{"family":"Parenti","given":"A."},{"family":"Rughi","given":"T."}],"issued":{"date-parts":[["2018",4]]}}}],"schema":"https://github.com/citation-style-language/schema/raw/master/csl-citation.json"}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82</w:t>
      </w:r>
      <w:r w:rsidRPr="00D74025">
        <w:rPr>
          <w:rFonts w:ascii="Arial" w:hAnsi="Arial" w:cs="Arial"/>
          <w:color w:val="000000" w:themeColor="text1"/>
        </w:rPr>
        <w:fldChar w:fldCharType="end"/>
      </w:r>
      <w:r w:rsidRPr="00D74025">
        <w:rPr>
          <w:rFonts w:ascii="Arial" w:hAnsi="Arial" w:cs="Arial"/>
          <w:color w:val="000000" w:themeColor="text1"/>
        </w:rPr>
        <w:t>.</w:t>
      </w:r>
    </w:p>
    <w:p w14:paraId="52585475" w14:textId="707589B0" w:rsidR="00920BD9" w:rsidRPr="00D74025" w:rsidRDefault="00920BD9" w:rsidP="00920BD9">
      <w:pPr>
        <w:spacing w:line="360" w:lineRule="auto"/>
        <w:ind w:firstLine="1440"/>
        <w:jc w:val="both"/>
        <w:rPr>
          <w:rFonts w:ascii="Arial" w:hAnsi="Arial" w:cs="Arial"/>
          <w:b/>
          <w:bCs/>
          <w:color w:val="000000" w:themeColor="text1"/>
        </w:rPr>
      </w:pPr>
      <w:r w:rsidRPr="00D74025">
        <w:rPr>
          <w:rFonts w:ascii="Arial" w:hAnsi="Arial" w:cs="Arial"/>
          <w:color w:val="000000" w:themeColor="text1"/>
        </w:rPr>
        <w:t>Accordingly, cancer is predicted to be the primary cause of mortality and thus the single most critical barrier to improving life expectancy in every country on the planet, according to the World Health Organization (WHO) in the twenty-first century</w:t>
      </w:r>
      <w:r w:rsidRPr="00D74025">
        <w:rPr>
          <w:rFonts w:ascii="Arial" w:hAnsi="Arial" w:cs="Arial"/>
          <w:color w:val="000000" w:themeColor="text1"/>
          <w:highlight w:val="yellow"/>
        </w:rPr>
        <w:fldChar w:fldCharType="begin"/>
      </w:r>
      <w:r w:rsidR="00174D75">
        <w:rPr>
          <w:rFonts w:ascii="Arial" w:hAnsi="Arial" w:cs="Arial"/>
          <w:color w:val="000000" w:themeColor="text1"/>
          <w:highlight w:val="yellow"/>
        </w:rPr>
        <w:instrText xml:space="preserve"> ADDIN ZOTERO_ITEM CSL_CITATION {"citationID":"a1pmbk9lveu","properties":{"formattedCitation":"\\super 83\\nosupersub{}","plainCitation":"83","noteIndex":0},"citationItems":[{"id":133,"uris":["http://zotero.org/users/7661987/items/U6PFQKYZ"],"itemData":{"id":133,"type":"article-journal","container-title":"CA: A Cancer Journal for Clinicians","DOI":"10.3322/caac.21492","ISSN":"00079235","issue":"6","journalAbbreviation":"CA: A Cancer Journal for Clinicians","language":"en","page":"394-424","source":"DOI.org (Crossref)","title":"Global cancer statistics 2018: GLOBOCAN estimates of incidence and mortality worldwide for 36 cancers in 185 countries","title-short":"Global cancer statistics 2018","volume":"68","author":[{"family":"Bray","given":"Freddie"},{"family":"Ferlay","given":"Jacques"},{"family":"Soerjomataram","given":"Isabelle"},{"family":"Siegel","given":"Rebecca L."},{"family":"Torre","given":"Lindsey A."},{"family":"Jemal","given":"Ahmedin"}],"issued":{"date-parts":[["2018",11]]}}}],"schema":"https://github.com/citation-style-language/schema/raw/master/csl-citation.json"} </w:instrText>
      </w:r>
      <w:r w:rsidRPr="00D74025">
        <w:rPr>
          <w:rFonts w:ascii="Arial" w:hAnsi="Arial" w:cs="Arial"/>
          <w:color w:val="000000" w:themeColor="text1"/>
          <w:highlight w:val="yellow"/>
        </w:rPr>
        <w:fldChar w:fldCharType="separate"/>
      </w:r>
      <w:r w:rsidR="00174D75" w:rsidRPr="00174D75">
        <w:rPr>
          <w:rFonts w:ascii="Arial" w:hAnsi="Arial" w:cs="Arial"/>
          <w:color w:val="000000"/>
          <w:vertAlign w:val="superscript"/>
        </w:rPr>
        <w:t>83</w:t>
      </w:r>
      <w:r w:rsidRPr="00D74025">
        <w:rPr>
          <w:rFonts w:ascii="Arial" w:hAnsi="Arial" w:cs="Arial"/>
          <w:color w:val="000000" w:themeColor="text1"/>
          <w:highlight w:val="yellow"/>
        </w:rPr>
        <w:fldChar w:fldCharType="end"/>
      </w:r>
      <w:r w:rsidRPr="00D74025">
        <w:rPr>
          <w:rFonts w:ascii="Arial" w:hAnsi="Arial" w:cs="Arial"/>
          <w:color w:val="000000" w:themeColor="text1"/>
        </w:rPr>
        <w:t>. Although extensive research has improved cancer detection and treatment over the years, there is still a need to enhance current therapies and develop novel therapeutic strategies.</w:t>
      </w:r>
    </w:p>
    <w:p w14:paraId="4950AD7B" w14:textId="77777777" w:rsidR="00791D13" w:rsidRPr="00D74025" w:rsidRDefault="00791D13" w:rsidP="00CF0CD5">
      <w:pPr>
        <w:spacing w:line="360" w:lineRule="auto"/>
        <w:ind w:firstLine="1440"/>
        <w:jc w:val="both"/>
        <w:rPr>
          <w:rFonts w:ascii="Arial" w:hAnsi="Arial" w:cs="Arial"/>
          <w:color w:val="000000" w:themeColor="text1"/>
        </w:rPr>
      </w:pPr>
    </w:p>
    <w:p w14:paraId="371C311C" w14:textId="1DFC8E1C" w:rsidR="00791D13" w:rsidRPr="00D74025" w:rsidRDefault="00791D13" w:rsidP="00CF0CD5">
      <w:pPr>
        <w:spacing w:line="360" w:lineRule="auto"/>
        <w:ind w:firstLine="1440"/>
        <w:jc w:val="both"/>
        <w:outlineLvl w:val="2"/>
        <w:rPr>
          <w:rFonts w:ascii="Arial" w:hAnsi="Arial" w:cs="Arial"/>
          <w:b/>
          <w:bCs/>
          <w:color w:val="000000" w:themeColor="text1"/>
        </w:rPr>
      </w:pPr>
      <w:bookmarkStart w:id="26" w:name="_Toc87466638"/>
      <w:bookmarkStart w:id="27" w:name="_Toc121217229"/>
      <w:r w:rsidRPr="00D74025">
        <w:rPr>
          <w:rFonts w:ascii="Arial" w:hAnsi="Arial" w:cs="Arial"/>
          <w:b/>
          <w:bCs/>
          <w:color w:val="000000" w:themeColor="text1"/>
        </w:rPr>
        <w:t>1.3.2 What’s cancer? The hallmarks</w:t>
      </w:r>
      <w:bookmarkEnd w:id="26"/>
      <w:bookmarkEnd w:id="27"/>
    </w:p>
    <w:p w14:paraId="7CE48F8A" w14:textId="77777777" w:rsidR="00DC50B3" w:rsidRPr="00D74025" w:rsidRDefault="00DC50B3" w:rsidP="000129D2">
      <w:pPr>
        <w:rPr>
          <w:rFonts w:ascii="Arial" w:hAnsi="Arial" w:cs="Arial"/>
          <w:b/>
          <w:bCs/>
          <w:color w:val="000000" w:themeColor="text1"/>
        </w:rPr>
      </w:pPr>
    </w:p>
    <w:p w14:paraId="54ECAEF9" w14:textId="474262A2" w:rsidR="009E5F45" w:rsidRPr="00D74025" w:rsidRDefault="009E5F45" w:rsidP="009E5F45">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Cancer emerges from normal cells that progressively acquire capabilities that give them tumorigenic and eventually malignant phenotypes. </w:t>
      </w:r>
      <w:r w:rsidR="00F757F4" w:rsidRPr="00D74025">
        <w:rPr>
          <w:rFonts w:ascii="Arial" w:hAnsi="Arial" w:cs="Arial"/>
          <w:color w:val="000000" w:themeColor="text1"/>
        </w:rPr>
        <w:t>Cancer is a genomic disease in which point mutations gradually accumulate, inducing structural and functional changes</w:t>
      </w:r>
      <w:r w:rsidR="00B328F6">
        <w:rPr>
          <w:rFonts w:ascii="Arial" w:hAnsi="Arial" w:cs="Arial"/>
          <w:color w:val="000000" w:themeColor="text1"/>
        </w:rPr>
        <w:t xml:space="preserve"> </w:t>
      </w:r>
      <w:r w:rsidR="00CD4233">
        <w:rPr>
          <w:rFonts w:ascii="Arial" w:hAnsi="Arial" w:cs="Arial"/>
          <w:color w:val="000000" w:themeColor="text1"/>
        </w:rPr>
        <w:t>to</w:t>
      </w:r>
      <w:r w:rsidR="00B328F6">
        <w:rPr>
          <w:rFonts w:ascii="Arial" w:hAnsi="Arial" w:cs="Arial"/>
          <w:color w:val="000000" w:themeColor="text1"/>
        </w:rPr>
        <w:t xml:space="preserve"> cells</w:t>
      </w:r>
      <w:r w:rsidR="0068431E"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{"citationID":"a2fanrksn54","properties":{"formattedCitation":"\\super 84\\nosupersub{}","plainCitation":"84","noteIndex":0},"citationItems":[{"id":2,"uris":["http://zotero.org/users/7661987/items/SWUIP635"],"itemData":{"id":2,"type":"article-journal","container-title":"Trends in Genetics","DOI":"10.1016/j.tig.2012.01.003","ISSN":"01689525","issue":"4","journalAbbreviation":"Trends in Genetics","language":"en","page":"155-163","source":"DOI.org (Crossref)","title":"Evolution of the cancer genome","volume":"28","author":[{"family":"Podlaha","given":"Ondrej"},{"family":"Riester","given":"Markus"},{"family":"De","given":"Subhajyoti"},{"family":"Michor","given":"Franziska"}],"issued":{"date-parts":[["2012",4]]}}}],"schema":"https://github.com/citation-style-language/schema/raw/master/csl-citation.json"} </w:instrText>
      </w:r>
      <w:r w:rsidR="0068431E" w:rsidRPr="00D74025">
        <w:rPr>
          <w:rFonts w:ascii="Arial" w:hAnsi="Arial" w:cs="Arial"/>
          <w:color w:val="000000" w:themeColor="text1"/>
        </w:rPr>
        <w:fldChar w:fldCharType="separate"/>
      </w:r>
      <w:r w:rsidR="00174D75" w:rsidRPr="00174D75">
        <w:rPr>
          <w:rFonts w:ascii="Arial" w:hAnsi="Arial" w:cs="Arial"/>
          <w:color w:val="000000"/>
          <w:vertAlign w:val="superscript"/>
        </w:rPr>
        <w:t>84</w:t>
      </w:r>
      <w:r w:rsidR="0068431E" w:rsidRPr="00D74025">
        <w:rPr>
          <w:rFonts w:ascii="Arial" w:hAnsi="Arial" w:cs="Arial"/>
          <w:color w:val="000000" w:themeColor="text1"/>
        </w:rPr>
        <w:fldChar w:fldCharType="end"/>
      </w:r>
      <w:r w:rsidR="00F757F4" w:rsidRPr="00D74025">
        <w:rPr>
          <w:rFonts w:ascii="Arial" w:hAnsi="Arial" w:cs="Arial"/>
          <w:color w:val="000000" w:themeColor="text1"/>
        </w:rPr>
        <w:t xml:space="preserve">. </w:t>
      </w:r>
      <w:r w:rsidRPr="00D74025">
        <w:rPr>
          <w:rFonts w:ascii="Arial" w:hAnsi="Arial" w:cs="Arial"/>
          <w:color w:val="000000" w:themeColor="text1"/>
        </w:rPr>
        <w:t xml:space="preserve">Although a wide variety of cancer types has been classified, which is </w:t>
      </w:r>
      <w:r w:rsidRPr="00D74025">
        <w:rPr>
          <w:rFonts w:ascii="Arial" w:hAnsi="Arial" w:cs="Arial"/>
          <w:color w:val="000000" w:themeColor="text1"/>
        </w:rPr>
        <w:lastRenderedPageBreak/>
        <w:t>ultimately the result of the diversity of this cohort of diseases, hallmarks have been proposed to explain the shared traits between distinct tumor tissues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{"citationID":"a29fc4u719l","properties":{"formattedCitation":"\\super 85\\nosupersub{}","plainCitation":"85","noteIndex":0},"citationItems":[{"id":134,"uris":["http://zotero.org/users/7661987/items/WFS45MZR"],"itemData":{"id":134,"type":"article-journal","container-title":"Cell","DOI":"10.1016/j.cell.2011.02.013","ISSN":"00928674","issue":"5","journalAbbreviation":"Cell","language":"en","page":"646-674","source":"DOI.org (Crossref)","title":"Hallmarks of Cancer: The Next Generation","title-short":"Hallmarks of Cancer","volume":"144","author":[{"family":"Hanahan","given":"Douglas"},{"family":"Weinberg","given":"Robert A."}],"issued":{"date-parts":[["2011",3]]}}}],"schema":"https://github.com/citation-style-language/schema/raw/master/csl-citation.json"}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85</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33772042" w14:textId="345EE163" w:rsidR="00744386" w:rsidRPr="00D74025" w:rsidRDefault="00744386" w:rsidP="00744386">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The hallmarks of cancer are a set of cellular phenotypes progressively acquired during a cell progression from healthy to neoplastic, which are essential to generate malignant tumors. Enabling characteristics are traits that allow tumorigenic cells to obtain the hallmark capabilities. </w:t>
      </w:r>
      <w:r w:rsidRPr="009F2F83">
        <w:rPr>
          <w:rFonts w:ascii="Arial" w:hAnsi="Arial" w:cs="Arial"/>
          <w:b/>
          <w:bCs/>
          <w:color w:val="000000" w:themeColor="text1"/>
        </w:rPr>
        <w:t>Figure 1</w:t>
      </w:r>
      <w:r w:rsidR="009F2F83">
        <w:rPr>
          <w:rFonts w:ascii="Arial" w:hAnsi="Arial" w:cs="Arial"/>
          <w:b/>
          <w:bCs/>
          <w:color w:val="000000" w:themeColor="text1"/>
        </w:rPr>
        <w:t>3</w:t>
      </w:r>
      <w:r w:rsidRPr="00D74025">
        <w:rPr>
          <w:rFonts w:ascii="Arial" w:hAnsi="Arial" w:cs="Arial"/>
          <w:color w:val="000000" w:themeColor="text1"/>
        </w:rPr>
        <w:t xml:space="preserve"> shows the most recent list of hallmarks </w:t>
      </w:r>
      <w:r w:rsidR="00B55DA5">
        <w:rPr>
          <w:rFonts w:ascii="Arial" w:hAnsi="Arial" w:cs="Arial"/>
          <w:color w:val="000000" w:themeColor="text1"/>
        </w:rPr>
        <w:t>(</w:t>
      </w:r>
      <w:r w:rsidRPr="00D74025">
        <w:rPr>
          <w:rFonts w:ascii="Arial" w:hAnsi="Arial" w:cs="Arial"/>
          <w:color w:val="000000" w:themeColor="text1"/>
        </w:rPr>
        <w:t>and two enabling characteristics</w:t>
      </w:r>
      <w:r w:rsidR="00B55DA5">
        <w:rPr>
          <w:rFonts w:ascii="Arial" w:hAnsi="Arial" w:cs="Arial"/>
          <w:color w:val="000000" w:themeColor="text1"/>
        </w:rPr>
        <w:t>)</w:t>
      </w:r>
      <w:r w:rsidRPr="00D74025">
        <w:rPr>
          <w:rFonts w:ascii="Arial" w:hAnsi="Arial" w:cs="Arial"/>
          <w:color w:val="000000" w:themeColor="text1"/>
        </w:rPr>
        <w:t xml:space="preserve">. As the cellular and molecular mechanisms involved in tumorigenesis are unraveled, the proposed list of hallmarks changes over time. </w:t>
      </w:r>
    </w:p>
    <w:p w14:paraId="18B62E7E" w14:textId="77777777" w:rsidR="00D716E7" w:rsidRPr="00D74025" w:rsidRDefault="00D716E7" w:rsidP="00CF0CD5">
      <w:pPr>
        <w:spacing w:line="360" w:lineRule="auto"/>
        <w:ind w:firstLine="1440"/>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7B5DBD64" w14:textId="77777777" w:rsidTr="00D43F17">
        <w:tc>
          <w:tcPr>
            <w:tcW w:w="9350" w:type="dxa"/>
          </w:tcPr>
          <w:p w14:paraId="19DAD658" w14:textId="45CA3EC6" w:rsidR="000D43E4" w:rsidRPr="00D74025" w:rsidRDefault="00CF5986" w:rsidP="00CF5986">
            <w:pPr>
              <w:pStyle w:val="NormalWeb"/>
              <w:spacing w:before="240" w:beforeAutospacing="0" w:line="360" w:lineRule="auto"/>
              <w:ind w:firstLine="0"/>
              <w:jc w:val="center"/>
              <w:rPr>
                <w:rFonts w:ascii="Arial" w:hAnsi="Arial" w:cs="Arial"/>
                <w:color w:val="000000" w:themeColor="text1"/>
              </w:rPr>
            </w:pPr>
            <w:r w:rsidRPr="00D74025">
              <w:rPr>
                <w:rFonts w:ascii="Arial" w:hAnsi="Arial" w:cs="Arial"/>
                <w:noProof/>
                <w:color w:val="000000" w:themeColor="text1"/>
              </w:rPr>
              <w:drawing>
                <wp:inline distT="0" distB="0" distL="0" distR="0" wp14:anchorId="7AD7101C" wp14:editId="27920EBD">
                  <wp:extent cx="3149600" cy="274002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r="2737"/>
                          <a:stretch/>
                        </pic:blipFill>
                        <pic:spPr bwMode="auto">
                          <a:xfrm>
                            <a:off x="0" y="0"/>
                            <a:ext cx="3172872" cy="2760271"/>
                          </a:xfrm>
                          <a:prstGeom prst="rect">
                            <a:avLst/>
                          </a:prstGeom>
                          <a:ln>
                            <a:noFill/>
                          </a:ln>
                          <a:extLst>
                            <a:ext uri="{53640926-AAD7-44D8-BBD7-CCE9431645EC}">
                              <a14:shadowObscured xmlns:a14="http://schemas.microsoft.com/office/drawing/2010/main"/>
                            </a:ext>
                          </a:extLst>
                        </pic:spPr>
                      </pic:pic>
                    </a:graphicData>
                  </a:graphic>
                </wp:inline>
              </w:drawing>
            </w:r>
          </w:p>
        </w:tc>
      </w:tr>
      <w:tr w:rsidR="00791D13" w:rsidRPr="00D74025" w14:paraId="2D2FC2AD" w14:textId="77777777" w:rsidTr="00D43F17">
        <w:tc>
          <w:tcPr>
            <w:tcW w:w="9350" w:type="dxa"/>
          </w:tcPr>
          <w:p w14:paraId="563793D9" w14:textId="6B056E2C" w:rsidR="00791D13" w:rsidRPr="00D74025" w:rsidRDefault="00DD4B6C" w:rsidP="00DC50B3">
            <w:pPr>
              <w:spacing w:before="120" w:beforeAutospacing="0" w:line="360" w:lineRule="auto"/>
              <w:ind w:firstLine="0"/>
              <w:rPr>
                <w:rFonts w:ascii="Arial" w:hAnsi="Arial" w:cs="Arial"/>
                <w:color w:val="000000" w:themeColor="text1"/>
              </w:rPr>
            </w:pPr>
            <w:bookmarkStart w:id="28" w:name="_Toc121217335"/>
            <w:r w:rsidRPr="00DD4B6C">
              <w:rPr>
                <w:rFonts w:ascii="Arial" w:hAnsi="Arial" w:cs="Arial"/>
                <w:b/>
                <w:bCs/>
                <w:color w:val="000000" w:themeColor="text1"/>
              </w:rPr>
              <w:t xml:space="preserve">Figure </w:t>
            </w:r>
            <w:r w:rsidRPr="00DD4B6C">
              <w:rPr>
                <w:rFonts w:ascii="Arial" w:hAnsi="Arial" w:cs="Arial"/>
                <w:b/>
                <w:bCs/>
                <w:color w:val="000000" w:themeColor="text1"/>
              </w:rPr>
              <w:fldChar w:fldCharType="begin"/>
            </w:r>
            <w:r w:rsidRPr="00DD4B6C">
              <w:rPr>
                <w:rFonts w:ascii="Arial" w:hAnsi="Arial" w:cs="Arial"/>
                <w:b/>
                <w:bCs/>
                <w:color w:val="000000" w:themeColor="text1"/>
              </w:rPr>
              <w:instrText xml:space="preserve"> SEQ Figure \* ARABIC </w:instrText>
            </w:r>
            <w:r w:rsidRPr="00DD4B6C">
              <w:rPr>
                <w:rFonts w:ascii="Arial" w:hAnsi="Arial" w:cs="Arial"/>
                <w:b/>
                <w:bCs/>
                <w:color w:val="000000" w:themeColor="text1"/>
              </w:rPr>
              <w:fldChar w:fldCharType="separate"/>
            </w:r>
            <w:r w:rsidR="002C4B25">
              <w:rPr>
                <w:rFonts w:ascii="Arial" w:hAnsi="Arial" w:cs="Arial"/>
                <w:b/>
                <w:bCs/>
                <w:noProof/>
                <w:color w:val="000000" w:themeColor="text1"/>
              </w:rPr>
              <w:t>13</w:t>
            </w:r>
            <w:r w:rsidRPr="00DD4B6C">
              <w:rPr>
                <w:rFonts w:ascii="Arial" w:hAnsi="Arial" w:cs="Arial"/>
                <w:b/>
                <w:bCs/>
                <w:color w:val="000000" w:themeColor="text1"/>
              </w:rPr>
              <w:fldChar w:fldCharType="end"/>
            </w:r>
            <w:r w:rsidR="00791D13" w:rsidRPr="00D74025">
              <w:rPr>
                <w:rFonts w:ascii="Arial" w:hAnsi="Arial" w:cs="Arial"/>
                <w:b/>
                <w:bCs/>
                <w:color w:val="000000" w:themeColor="text1"/>
              </w:rPr>
              <w:t xml:space="preserve">: </w:t>
            </w:r>
            <w:r w:rsidR="00791D13" w:rsidRPr="00DD4B6C">
              <w:rPr>
                <w:rFonts w:ascii="Arial" w:hAnsi="Arial" w:cs="Arial"/>
                <w:b/>
                <w:bCs/>
                <w:color w:val="000000" w:themeColor="text1"/>
              </w:rPr>
              <w:t>The hallmarks of cancer</w:t>
            </w:r>
            <w:r w:rsidR="006F6798" w:rsidRPr="00DD4B6C">
              <w:rPr>
                <w:rFonts w:ascii="Arial" w:hAnsi="Arial" w:cs="Arial"/>
                <w:b/>
                <w:bCs/>
                <w:color w:val="000000" w:themeColor="text1"/>
              </w:rPr>
              <w:t xml:space="preserve"> as of 2022</w:t>
            </w:r>
            <w:r w:rsidR="00471DE0" w:rsidRPr="00D74025">
              <w:rPr>
                <w:rFonts w:ascii="Arial" w:hAnsi="Arial" w:cs="Arial"/>
                <w:color w:val="000000" w:themeColor="text1"/>
              </w:rPr>
              <w:t>. Figure from Hanahan</w:t>
            </w:r>
            <w:r w:rsidR="0041657E" w:rsidRPr="00D74025">
              <w:rPr>
                <w:rFonts w:ascii="Arial" w:hAnsi="Arial" w:cs="Arial"/>
                <w:color w:val="000000" w:themeColor="text1"/>
              </w:rPr>
              <w:t>, 2022</w:t>
            </w:r>
            <w:r w:rsidR="0041657E" w:rsidRPr="00D74025">
              <w:rPr>
                <w:rFonts w:ascii="Arial" w:hAnsi="Arial" w:cs="Arial"/>
                <w:b/>
                <w:bCs/>
                <w:color w:val="000000" w:themeColor="text1"/>
              </w:rPr>
              <w:t xml:space="preserve"> </w:t>
            </w:r>
            <w:r w:rsidR="00791D13"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{"citationID":"8iNJiALv","properties":{"formattedCitation":"\\super 86\\nosupersub{}","plainCitation":"86","noteIndex":0},"citationItems":[{"id":424,"uris":["http://zotero.org/users/7661987/items/ANS4WGQ8"],"itemData":{"id":424,"type":"article-journal","abstract":"The hallmarks of cancer conceptualization is a heuristic tool for distilling the vast complexity of cancer phenotypes and genotypes into a provisional set of underlying principles. As knowledge of cancer mechanisms has progressed, other facets of the disease have emerged as potential refinements. Herein, the prospect is raised that phenotypic plasticity and disrupted differentiation is a discrete hallmark capability, and that nonmutational epigenetic reprogramming and polymorphic microbiomes both constitute distinctive enabling characteristics that facilitate the acquisition of hallmark capabilities. Additionally, senescent cells, of varying origins, may be added to the roster of functionally important cell types in the tumor microenvironment.","container-title":"Cancer Discovery","DOI":"10.1158/2159-8290.CD-21-1059","ISSN":"2159-8274, 2159-8290","issue":"1","language":"en","page":"31-46","source":"DOI.org (Crossref)","title":"Hallmarks of Cancer: New Dimensions","title-short":"Hallmarks of Cancer","volume":"12","author":[{"family":"Hanahan","given":"Douglas"}],"issued":{"date-parts":[["2022",1,1]]}}}],"schema":"https://github.com/citation-style-language/schema/raw/master/csl-citation.json"} </w:instrText>
            </w:r>
            <w:r w:rsidR="00791D13" w:rsidRPr="00D74025">
              <w:rPr>
                <w:rFonts w:ascii="Arial" w:hAnsi="Arial" w:cs="Arial"/>
                <w:color w:val="000000" w:themeColor="text1"/>
              </w:rPr>
              <w:fldChar w:fldCharType="separate"/>
            </w:r>
            <w:r w:rsidR="00174D75" w:rsidRPr="00174D75">
              <w:rPr>
                <w:rFonts w:ascii="Arial" w:hAnsi="Arial" w:cs="Arial"/>
                <w:color w:val="000000"/>
                <w:vertAlign w:val="superscript"/>
              </w:rPr>
              <w:t>86</w:t>
            </w:r>
            <w:bookmarkEnd w:id="28"/>
            <w:r w:rsidR="00791D13" w:rsidRPr="00D74025">
              <w:rPr>
                <w:rFonts w:ascii="Arial" w:hAnsi="Arial" w:cs="Arial"/>
                <w:color w:val="000000" w:themeColor="text1"/>
              </w:rPr>
              <w:fldChar w:fldCharType="end"/>
            </w:r>
          </w:p>
        </w:tc>
      </w:tr>
    </w:tbl>
    <w:p w14:paraId="1BB16295" w14:textId="77777777" w:rsidR="003A39AC" w:rsidRPr="00D74025" w:rsidRDefault="003A39AC" w:rsidP="003A39AC">
      <w:pPr>
        <w:tabs>
          <w:tab w:val="left" w:pos="1881"/>
        </w:tabs>
        <w:spacing w:line="360" w:lineRule="auto"/>
        <w:jc w:val="both"/>
        <w:rPr>
          <w:rFonts w:ascii="Arial" w:hAnsi="Arial" w:cs="Arial"/>
          <w:color w:val="000000" w:themeColor="text1"/>
        </w:rPr>
      </w:pPr>
    </w:p>
    <w:p w14:paraId="61CFBE35" w14:textId="2B96B12E" w:rsidR="007954C0" w:rsidRPr="00D74025" w:rsidRDefault="005A5D73" w:rsidP="00342879">
      <w:pPr>
        <w:tabs>
          <w:tab w:val="left" w:pos="1881"/>
        </w:tabs>
        <w:spacing w:line="360" w:lineRule="auto"/>
        <w:ind w:firstLine="1440"/>
        <w:jc w:val="both"/>
        <w:rPr>
          <w:rFonts w:ascii="Arial" w:hAnsi="Arial" w:cs="Arial"/>
          <w:color w:val="000000" w:themeColor="text1"/>
        </w:rPr>
      </w:pPr>
      <w:r w:rsidRPr="00D74025">
        <w:rPr>
          <w:rFonts w:ascii="Arial" w:hAnsi="Arial" w:cs="Arial"/>
          <w:color w:val="000000" w:themeColor="text1"/>
        </w:rPr>
        <w:t>The hallmarks establish a framework of rationalization for the complexity of these group of diseases and help direct the development of strategies to treat cancer by targeting each trait. Therefore, in this work, it will be presented the hallmarks of cancer</w:t>
      </w:r>
      <w:r w:rsidR="00342879">
        <w:rPr>
          <w:rFonts w:ascii="Arial" w:hAnsi="Arial" w:cs="Arial"/>
          <w:color w:val="000000" w:themeColor="text1"/>
        </w:rPr>
        <w:t>.</w:t>
      </w:r>
    </w:p>
    <w:p w14:paraId="7B86ADE3" w14:textId="77777777" w:rsidR="00EB70F3" w:rsidRPr="00D74025" w:rsidRDefault="00EB70F3" w:rsidP="00EB70F3">
      <w:pPr>
        <w:tabs>
          <w:tab w:val="left" w:pos="1881"/>
        </w:tabs>
        <w:spacing w:line="360" w:lineRule="auto"/>
        <w:jc w:val="both"/>
        <w:rPr>
          <w:rFonts w:ascii="Arial" w:hAnsi="Arial" w:cs="Arial"/>
          <w:color w:val="000000" w:themeColor="text1"/>
        </w:rPr>
      </w:pPr>
    </w:p>
    <w:p w14:paraId="2AB241E9" w14:textId="42794F8C" w:rsidR="00B67ECE" w:rsidRPr="00D74025" w:rsidRDefault="00B67ECE" w:rsidP="00B67ECE">
      <w:pPr>
        <w:tabs>
          <w:tab w:val="left" w:pos="1881"/>
        </w:tabs>
        <w:spacing w:line="360" w:lineRule="auto"/>
        <w:ind w:firstLine="1440"/>
        <w:jc w:val="both"/>
        <w:rPr>
          <w:rFonts w:ascii="Arial" w:hAnsi="Arial" w:cs="Arial"/>
          <w:color w:val="000000" w:themeColor="text1"/>
        </w:rPr>
      </w:pPr>
      <w:r w:rsidRPr="00D74025">
        <w:rPr>
          <w:rFonts w:ascii="Arial" w:hAnsi="Arial" w:cs="Arial"/>
          <w:i/>
          <w:iCs/>
          <w:color w:val="000000" w:themeColor="text1"/>
          <w:u w:val="single"/>
        </w:rPr>
        <w:t>Sustaining proliferative signaling</w:t>
      </w:r>
      <w:r w:rsidRPr="00D74025">
        <w:rPr>
          <w:rFonts w:ascii="Arial" w:hAnsi="Arial" w:cs="Arial"/>
          <w:color w:val="000000" w:themeColor="text1"/>
        </w:rPr>
        <w:t xml:space="preserve">: Normal tissues perform specific management of the levels of production and liberation of growth-promoting signals. Those signals guide cells to growth (increasing cell size) and divide (mitosis). The control of the number of cells in a tissue guarantees the maintenance of ordinary structure and function. </w:t>
      </w:r>
      <w:r w:rsidRPr="00D74025">
        <w:rPr>
          <w:rFonts w:ascii="Arial" w:hAnsi="Arial" w:cs="Arial"/>
          <w:color w:val="000000" w:themeColor="text1"/>
        </w:rPr>
        <w:lastRenderedPageBreak/>
        <w:t>It is also essential for homeostasis – a state of active preservation of reasonably stable conditions necessary for survival. The most common molecules that induce proliferative signals are growth factors. In normal cells, they are believed to be released in a spatially and timely specific manner</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{"citationID":"y9ljGRSn","properties":{"formattedCitation":"\\super 85\\nosupersub{}","plainCitation":"85","noteIndex":0},"citationItems":[{"id":134,"uris":["http://zotero.org/users/7661987/items/WFS45MZR"],"itemData":{"id":134,"type":"article-journal","container-title":"Cell","DOI":"10.1016/j.cell.2011.02.013","ISSN":"00928674","issue":"5","journalAbbreviation":"Cell","language":"en","page":"646-674","source":"DOI.org (Crossref)","title":"Hallmarks of Cancer: The Next Generation","title-short":"Hallmarks of Cancer","volume":"144","author":[{"family":"Hanahan","given":"Douglas"},{"family":"Weinberg","given":"Robert A."}],"issued":{"date-parts":[["2011",3]]}}}],"schema":"https://github.com/citation-style-language/schema/raw/master/csl-citation.json"}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85</w:t>
      </w:r>
      <w:r w:rsidRPr="00D74025">
        <w:rPr>
          <w:rFonts w:ascii="Arial" w:hAnsi="Arial" w:cs="Arial"/>
          <w:color w:val="000000" w:themeColor="text1"/>
        </w:rPr>
        <w:fldChar w:fldCharType="end"/>
      </w:r>
      <w:r w:rsidRPr="00D74025">
        <w:rPr>
          <w:rFonts w:ascii="Arial" w:hAnsi="Arial" w:cs="Arial"/>
          <w:color w:val="000000" w:themeColor="text1"/>
        </w:rPr>
        <w:t>. Cancer cells deregulate those signals by different means: 1) production of growth factor ligands (autocrine stimulation); 2) stimulating the stromal cells to produce growth factors; 3) increase the number of receptor proteins on the surface of the cell, which leads to hyperresponsive to average amounts of growth factors; 4) structural alteration in the receptors allowing ligand-independent firing; 5) constitutive activation of molecules downstream the of the pathways, which leads to growth factor response independent of growth factor ligand firing</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{"citationID":"ucXS36AO","properties":{"formattedCitation":"\\super 87,88\\nosupersub{}","plainCitation":"87,88","noteIndex":0},"citationItems":[{"id":465,"uris":["http://zotero.org/users/7661987/items/V4MRNMBP"],"itemData":{"id":465,"type":"article-journal","abstract":"Under physiological conditions, cells receive fate-determining signals from their tissue surroundings, primarily in the form of polypeptide growth factors. Integration of these extracellular signals underlies tissue homeostasis. Although departure from homeostasis and tumor initiation are instigated by oncogenic mutations rather than by growth factors, the latter are the major regulators of all subsequent steps of tumor progression, namely clonal expansion, invasion across tissue barriers, angiogenesis, and colonization of distant niches. Here, we discuss the relevant growth factor families, their roles in tumor biology, as well as the respective downstream signaling pathways. Importantly, cancer-associated activating mutations that impinge on these pathways often relieve, in part, the reliance of tumors on growth factors. On the other hand, growth factors are frequently involved in evolvement of resistance to therapeutic regimens, which extends the roles for polypeptide factors to very late phases of tumor progression and offers opportunities for cancer therapy.","container-title":"Physiology","DOI":"10.1152/physiol.00045.2009","ISSN":"1548-9213, 1548-9221","issue":"2","journalAbbreviation":"Physiology","language":"en","page":"85-101","source":"DOI.org (Crossref)","title":"Roles for Growth Factors in Cancer Progression","volume":"25","author":[{"family":"Witsch","given":"Esther"},{"family":"Sela","given":"Michael"},{"family":"Yarden","given":"Yosef"}],"issued":{"date-parts":[["2010",4]]}}},{"id":464,"uris":["http://zotero.org/users/7661987/items/6W9KNJFP"],"itemData":{"id":464,"type":"article-journal","container-title":"Nature","DOI":"10.1038/nature03096","ISSN":"0028-0836, 1476-4687","issue":"7015","journalAbbreviation":"Nature","language":"en","page":"332-337","source":"DOI.org (Crossref)","title":"Stromal fibroblasts in cancer initiation and progression","volume":"432","author":[{"family":"Bhowmick","given":"Neil A."},{"family":"Neilson","given":"Eric G."},{"family":"Moses","given":"Harold L."}],"issued":{"date-parts":[["2004",11]]}}}],"schema":"https://github.com/citation-style-language/schema/raw/master/csl-citation.json"}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87,88</w:t>
      </w:r>
      <w:r w:rsidRPr="00D74025">
        <w:rPr>
          <w:rFonts w:ascii="Arial" w:hAnsi="Arial" w:cs="Arial"/>
          <w:color w:val="000000" w:themeColor="text1"/>
        </w:rPr>
        <w:fldChar w:fldCharType="end"/>
      </w:r>
      <w:r w:rsidRPr="00D74025">
        <w:rPr>
          <w:rFonts w:ascii="Arial" w:hAnsi="Arial" w:cs="Arial"/>
          <w:color w:val="000000" w:themeColor="text1"/>
        </w:rPr>
        <w:t>.</w:t>
      </w:r>
    </w:p>
    <w:p w14:paraId="05F0A140" w14:textId="744A725D" w:rsidR="000E7FBB" w:rsidRPr="00D74025" w:rsidRDefault="000E7FBB" w:rsidP="000E7FBB">
      <w:pPr>
        <w:pStyle w:val="NormalWeb"/>
        <w:spacing w:line="360" w:lineRule="auto"/>
        <w:ind w:firstLine="1440"/>
        <w:contextualSpacing/>
        <w:rPr>
          <w:rFonts w:ascii="Arial" w:hAnsi="Arial" w:cs="Arial"/>
          <w:color w:val="000000" w:themeColor="text1"/>
        </w:rPr>
      </w:pPr>
      <w:r w:rsidRPr="00D74025">
        <w:rPr>
          <w:rFonts w:ascii="Arial" w:hAnsi="Arial" w:cs="Arial"/>
          <w:i/>
          <w:iCs/>
          <w:color w:val="000000" w:themeColor="text1"/>
          <w:u w:val="single"/>
        </w:rPr>
        <w:t>Evading growth suppressors</w:t>
      </w:r>
      <w:r w:rsidRPr="00D74025">
        <w:rPr>
          <w:rFonts w:ascii="Arial" w:hAnsi="Arial" w:cs="Arial"/>
          <w:i/>
          <w:iCs/>
          <w:color w:val="000000" w:themeColor="text1"/>
        </w:rPr>
        <w:t xml:space="preserve">: </w:t>
      </w:r>
      <w:r w:rsidRPr="00D74025">
        <w:rPr>
          <w:rFonts w:ascii="Arial" w:hAnsi="Arial" w:cs="Arial"/>
          <w:color w:val="000000" w:themeColor="text1"/>
        </w:rPr>
        <w:t>Until now, dozens of genes responsible for limiting proliferation in normal cells have been discovered. The most canonical are the ones that encode RB (retinoblastoma-associated) and TP53 proteins, which are part of an extensive and redundant control network that suppresses proliferation. The RB protein is responsible for integrating signals from both the extra and the intracellular milieu and determining whether to enter or not into the cell division cycle, as a sentinel of the cell cycle</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{"citationID":"KntIgiL4","properties":{"formattedCitation":"\\super 89\\nosupersub{}","plainCitation":"89","noteIndex":0},"citationItems":[{"id":462,"uris":["http://zotero.org/users/7661987/items/Z5YTUDJH"],"itemData":{"id":462,"type":"article-journal","abstract":"The retinoblastoma (RB) tumor suppressor is known as a master regulator of the cell cycle. RB is mutated or functionally inactivated in the majority of human cancers. This transcriptional regulator exerts its function in cell cycle control through its interaction with the E2F family of transcription factors and with chromatin remodelers and modiﬁers that contribute to the repression of genes important for cell cycle progression. Over the years, studies have shown that RB participates in multiple processes in addition to cell cycle control. Indeed, RB is known to interact with over 200 different proteins and likely exists in multiple complexes. RB, in some cases, acts through its interaction with E2F1, other members of the pocket protein family (p107 and p130), and/or chromatin remodelers and modiﬁers. RB is a tumor suppressor with important chromatin regulatory functions that affect genomic stability. These functions include the role of RB in DNA repair, telomere maintenance, chromosome condensation and cohesion, and silencing of repetitive regions. In this review we will discuss recent advances in RB biology related to RB, partner proteins, and their non-transcriptional functions ﬁghting back against genomic instability.","container-title":"International Journal of Molecular Sciences","DOI":"10.3390/ijms18081776","ISSN":"1422-0067","issue":"8","journalAbbreviation":"IJMS","language":"en","page":"1776","source":"DOI.org (Crossref)","title":"The Retinoblastoma (RB) Tumor Suppressor: Pushing Back against Genome Instability on Multiple Fronts","title-short":"The Retinoblastoma (RB) Tumor Suppressor","volume":"18","author":[{"family":"Vélez-Cruz","given":"Renier"},{"family":"Johnson","given":"David"}],"issued":{"date-parts":[["2017",8,16]]}}}],"schema":"https://github.com/citation-style-language/schema/raw/master/csl-citation.json"}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89</w:t>
      </w:r>
      <w:r w:rsidRPr="00D74025">
        <w:rPr>
          <w:rFonts w:ascii="Arial" w:hAnsi="Arial" w:cs="Arial"/>
          <w:color w:val="000000" w:themeColor="text1"/>
        </w:rPr>
        <w:fldChar w:fldCharType="end"/>
      </w:r>
      <w:r w:rsidRPr="00D74025">
        <w:rPr>
          <w:rFonts w:ascii="Arial" w:hAnsi="Arial" w:cs="Arial"/>
          <w:color w:val="000000" w:themeColor="text1"/>
        </w:rPr>
        <w:t>. TP53 is responsible for interpreting the intracellular stress signals, especially the degree of genome damage, ultimately triggering apoptosis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{"citationID":"KyXaQlu0","properties":{"formattedCitation":"\\super 90\\nosupersub{}","plainCitation":"90","noteIndex":0},"citationItems":[{"id":452,"uris":["http://zotero.org/users/7661987/items/FAEJ65JF"],"itemData":{"id":452,"type":"article-journal","container-title":"Trends in Genetics","DOI":"10.1016/j.tig.2018.08.003","ISSN":"01689525","issue":"11","journalAbbreviation":"Trends in Genetics","language":"en","page":"846-855","source":"DOI.org (Crossref)","title":"Transposons, p53 and Genome Security","volume":"34","author":[{"family":"Tiwari","given":"Bhavana"},{"family":"Jones","given":"Amanda E."},{"family":"Abrams","given":"John M."}],"issued":{"date-parts":[["2018",11]]}}}],"schema":"https://github.com/citation-style-language/schema/raw/master/csl-citation.json"}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90</w:t>
      </w:r>
      <w:r w:rsidRPr="00D74025">
        <w:rPr>
          <w:rFonts w:ascii="Arial" w:hAnsi="Arial" w:cs="Arial"/>
          <w:color w:val="000000" w:themeColor="text1"/>
        </w:rPr>
        <w:fldChar w:fldCharType="end"/>
      </w:r>
      <w:r w:rsidRPr="00D74025">
        <w:rPr>
          <w:rFonts w:ascii="Arial" w:hAnsi="Arial" w:cs="Arial"/>
          <w:color w:val="000000" w:themeColor="text1"/>
        </w:rPr>
        <w:t>. In cancer cells, malfunction of the RB pathway leads to persistent cell proliferation. TP53 malfunction leads to replication of cells that ha</w:t>
      </w:r>
      <w:r w:rsidR="00B55DA5">
        <w:rPr>
          <w:rFonts w:ascii="Arial" w:hAnsi="Arial" w:cs="Arial"/>
          <w:color w:val="000000" w:themeColor="text1"/>
        </w:rPr>
        <w:t>ve</w:t>
      </w:r>
      <w:r w:rsidRPr="00D74025">
        <w:rPr>
          <w:rFonts w:ascii="Arial" w:hAnsi="Arial" w:cs="Arial"/>
          <w:color w:val="000000" w:themeColor="text1"/>
        </w:rPr>
        <w:t xml:space="preserve"> genome damage</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{"citationID":"c6kC89gr","properties":{"formattedCitation":"\\super 91\\nosupersub{}","plainCitation":"91","noteIndex":0},"citationItems":[{"id":463,"uris":["http://zotero.org/users/7661987/items/9VY9QWVK"],"itemData":{"id":463,"type":"article-journal","abstract":"TP53 is the most commonly mutated gene in human cancer with over 100,000 literature citations in PubMed. This is a heavily studied pathway in cancer biology and oncology with a history that dates back to 1979 when p53 was discovered. The p53 pathway is a complex cellular stress response network with multiple diverse inputs and downstream outputs relevant to its role as a tumor suppressor pathway. While inroads have been made in understanding the biology and signaling in the p53 pathway, the p53 family, transcriptional readouts, and effects of an array of mutants, the pathway remains challenging in the realm of clinical translation. While the role of mutant p53 as a prognostic factor is recognized, the therapeutic modulation of its wild-type or mutant activities remain a work-in-progress. This review covers current knowledge about the biology, signaling mechanisms in the p53 pathway and summarizes advances in therapeutic development.","container-title":"Biochimica et Biophysica Acta (BBA) - Reviews on Cancer","DOI":"10.1016/j.bbcan.2021.188556","ISSN":"0304419X","issue":"1","journalAbbreviation":"Biochimica et Biophysica Acta (BBA) - Reviews on Cancer","language":"en","page":"188556","source":"DOI.org (Crossref)","title":"Tumor suppressor p53: Biology, signaling pathways, and therapeutic targeting","title-short":"Tumor suppressor p53","volume":"1876","author":[{"family":"Hernández Borrero","given":"Liz J."},{"family":"El-Deiry","given":"Wafik S."}],"issued":{"date-parts":[["2021",8]]}}}],"schema":"https://github.com/citation-style-language/schema/raw/master/csl-citation.json"}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91</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1AE0BEC5" w14:textId="77777777" w:rsidR="00955F6E" w:rsidRPr="00D74025" w:rsidRDefault="00955F6E" w:rsidP="00D15F39">
      <w:pPr>
        <w:pStyle w:val="NormalWeb"/>
        <w:spacing w:before="0" w:beforeAutospacing="0" w:after="0" w:afterAutospacing="0" w:line="360" w:lineRule="auto"/>
        <w:ind w:firstLine="1440"/>
        <w:rPr>
          <w:rFonts w:ascii="Arial" w:hAnsi="Arial" w:cs="Arial"/>
          <w:color w:val="000000" w:themeColor="text1"/>
        </w:rPr>
      </w:pPr>
      <w:r w:rsidRPr="00D74025">
        <w:rPr>
          <w:rFonts w:ascii="Arial" w:hAnsi="Arial" w:cs="Arial"/>
          <w:color w:val="000000" w:themeColor="text1"/>
        </w:rPr>
        <w:t xml:space="preserve">Another way that cancer cells overcome proliferation suppressive signals is through disregarding “contact inhibition.” Even when cultured in 2D (tissue flasks), healthy cells only grow to confluent monolayers. That exact inhibition mechanism was proved to happen in the 3D geometry </w:t>
      </w:r>
      <w:r w:rsidRPr="00D74025">
        <w:rPr>
          <w:rFonts w:ascii="Arial" w:hAnsi="Arial" w:cs="Arial"/>
          <w:i/>
          <w:iCs/>
          <w:color w:val="000000" w:themeColor="text1"/>
        </w:rPr>
        <w:t>in vivo</w:t>
      </w:r>
      <w:r w:rsidRPr="00D74025">
        <w:rPr>
          <w:rFonts w:ascii="Arial" w:hAnsi="Arial" w:cs="Arial"/>
          <w:color w:val="000000" w:themeColor="text1"/>
        </w:rPr>
        <w:t xml:space="preserve">. Two mechanisms have been identified for contact inhibition: the Merlin protein and LKB1 epithelial polarity protein. </w:t>
      </w:r>
    </w:p>
    <w:p w14:paraId="4316B266" w14:textId="3F47E24F" w:rsidR="00B97BDA" w:rsidRPr="00D74025" w:rsidRDefault="00B97BDA" w:rsidP="00D15F39">
      <w:pPr>
        <w:pStyle w:val="NormalWeb"/>
        <w:spacing w:before="0" w:beforeAutospacing="0" w:line="360" w:lineRule="auto"/>
        <w:ind w:firstLine="1440"/>
        <w:rPr>
          <w:rFonts w:ascii="Arial" w:hAnsi="Arial" w:cs="Arial"/>
          <w:color w:val="000000" w:themeColor="text1"/>
        </w:rPr>
      </w:pPr>
      <w:r w:rsidRPr="00D74025">
        <w:rPr>
          <w:rFonts w:ascii="Arial" w:hAnsi="Arial" w:cs="Arial"/>
          <w:color w:val="000000" w:themeColor="text1"/>
        </w:rPr>
        <w:t>The Merlin protein is a product of the well-recognized tumor suppressor gene NF2. Merlin couples surface adhesion molecules to transmembrane receptor tyrosine kinases receptors</w:t>
      </w:r>
      <w:r w:rsidR="00B91D00">
        <w:rPr>
          <w:rFonts w:ascii="Arial" w:hAnsi="Arial" w:cs="Arial"/>
          <w:color w:val="000000" w:themeColor="text1"/>
        </w:rPr>
        <w:t>—</w:t>
      </w:r>
      <w:r w:rsidRPr="00D74025">
        <w:rPr>
          <w:rFonts w:ascii="Arial" w:hAnsi="Arial" w:cs="Arial"/>
          <w:color w:val="000000" w:themeColor="text1"/>
        </w:rPr>
        <w:t>cell</w:t>
      </w:r>
      <w:r w:rsidR="00B91D00">
        <w:rPr>
          <w:rFonts w:ascii="Arial" w:hAnsi="Arial" w:cs="Arial"/>
          <w:color w:val="000000" w:themeColor="text1"/>
        </w:rPr>
        <w:t xml:space="preserve"> </w:t>
      </w:r>
      <w:r w:rsidRPr="00D74025">
        <w:rPr>
          <w:rFonts w:ascii="Arial" w:hAnsi="Arial" w:cs="Arial"/>
          <w:color w:val="000000" w:themeColor="text1"/>
        </w:rPr>
        <w:t xml:space="preserve">surface receptors </w:t>
      </w:r>
      <w:r w:rsidR="00B91D00">
        <w:rPr>
          <w:rFonts w:ascii="Arial" w:hAnsi="Arial" w:cs="Arial"/>
          <w:color w:val="000000" w:themeColor="text1"/>
        </w:rPr>
        <w:t xml:space="preserve">that </w:t>
      </w:r>
      <w:r w:rsidRPr="00D74025">
        <w:rPr>
          <w:rFonts w:ascii="Arial" w:hAnsi="Arial" w:cs="Arial"/>
          <w:color w:val="000000" w:themeColor="text1"/>
        </w:rPr>
        <w:t>are responsible for transducing extracellular signals into the cells and are critical regulators of normal cellular processes. (</w:t>
      </w:r>
      <w:proofErr w:type="spellStart"/>
      <w:proofErr w:type="gramStart"/>
      <w:r w:rsidRPr="00D74025">
        <w:rPr>
          <w:rFonts w:ascii="Arial" w:hAnsi="Arial" w:cs="Arial"/>
          <w:color w:val="000000" w:themeColor="text1"/>
        </w:rPr>
        <w:t>eg</w:t>
      </w:r>
      <w:proofErr w:type="gramEnd"/>
      <w:r w:rsidRPr="00D74025">
        <w:rPr>
          <w:rFonts w:ascii="Arial" w:hAnsi="Arial" w:cs="Arial"/>
          <w:color w:val="000000" w:themeColor="text1"/>
        </w:rPr>
        <w:t>.</w:t>
      </w:r>
      <w:proofErr w:type="spellEnd"/>
      <w:r w:rsidRPr="00D74025">
        <w:rPr>
          <w:rFonts w:ascii="Arial" w:hAnsi="Arial" w:cs="Arial"/>
          <w:color w:val="000000" w:themeColor="text1"/>
        </w:rPr>
        <w:t xml:space="preserve"> E-cadherin to the endothelial growth factor receptor, EGFR). Thus, Merlin is </w:t>
      </w:r>
      <w:r w:rsidRPr="00D74025">
        <w:rPr>
          <w:rFonts w:ascii="Arial" w:hAnsi="Arial" w:cs="Arial"/>
          <w:color w:val="000000" w:themeColor="text1"/>
        </w:rPr>
        <w:lastRenderedPageBreak/>
        <w:t xml:space="preserve">responsible for coordinating contact inhibition by strengthening this attachment that increases cell-to-cell adhesivity and by sequestering growth factor receptors from the surface of the cells </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{"citationID":"NnYEjiHq","properties":{"formattedCitation":"\\super 92\\nosupersub{}","plainCitation":"92","noteIndex":0},"citationItems":[{"id":460,"uris":["http://zotero.org/users/7661987/items/NVTLZVU7"],"itemData":{"id":460,"type":"article-journal","abstract":"Background: In this review, we describe how the cytoskeletal protein Merlin, encoded by the Neurofibromin 2 (NF2) gene, orchestrates developmental signaling to ensure normal ontogeny, and we discuss how Merlin deficiency leads to aberrant activation of developmental pathways that enable tumor development and malignant progression. Main body: Parallels between embryonic development and cancer have underscored the activation of developmental signaling pathways. Hippo, WNT/β-catenin, TGF-β, receptor tyrosine kinase (RTK), Notch, and Hedgehog pathways are key players in normal developmental biology. Unrestrained activity or loss of activity of these pathways causes adverse effects in developing tissues manifesting as developmental syndromes. Interestingly, these detrimental events also impact differentiated and functional tissues. By promoting cell proliferation, migration, and stem-cell like phenotypes, deregulated activity of these pathways promotes carcinogenesis and cancer progression. The NF2 gene product, Merlin, is a tumor suppressor classically known for its ability to induce contactdependent growth inhibition. Merlin plays a role in different stages of an organism development, ranging from embryonic to mature states. While homozygous deletion of Nf2 in murine embryos causes embryonic lethality, Merlin loss in adult tissue is implicated in Neurofibromatosis type 2 disorder and cancer. These manifestations, cumulatively, are reminiscent of dysregulated developmental signaling. Conclusion: Understanding the molecular and cellular repercussions of Merlin loss provides fundamental insights into the etiology of developmental disorders and cancer and has the potential, in the long term, to identify new therapeutic strategies.","container-title":"Cell Communication and Signaling","DOI":"10.1186/s12964-020-00544-7","ISSN":"1478-811X","issue":"1","journalAbbreviation":"Cell Commun Signal","language":"en","page":"63","source":"DOI.org (Crossref)","title":"Merlin regulates signaling events at the nexus of development and cancer","volume":"18","author":[{"family":"Mota","given":"Mateus"},{"family":"Shevde","given":"Lalita A."}],"issued":{"date-parts":[["2020",12]]}}}],"schema":"https://github.com/citation-style-language/schema/raw/master/csl-citation.json"}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92</w:t>
      </w:r>
      <w:r w:rsidRPr="00D74025">
        <w:rPr>
          <w:rFonts w:ascii="Arial" w:hAnsi="Arial" w:cs="Arial"/>
          <w:color w:val="000000" w:themeColor="text1"/>
        </w:rPr>
        <w:fldChar w:fldCharType="end"/>
      </w:r>
      <w:r w:rsidRPr="00D74025">
        <w:rPr>
          <w:rFonts w:ascii="Arial" w:hAnsi="Arial" w:cs="Arial"/>
          <w:color w:val="000000" w:themeColor="text1"/>
        </w:rPr>
        <w:t>. LKB1 organizes epithelial structure and helps maintain tissue integrity</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{"citationID":"yI6IArkq","properties":{"formattedCitation":"\\super 93\\nosupersub{}","plainCitation":"93","noteIndex":0},"citationItems":[{"id":461,"uris":["http://zotero.org/users/7661987/items/I5FET4W4"],"itemData":{"id":461,"type":"article-journal","container-title":"Oncogene","DOI":"10.1038/onc.2008.342","ISSN":"0950-9232, 1476-5594","issue":"55","journalAbbreviation":"Oncogene","language":"en","page":"6908-6919","source":"DOI.org (Crossref)","title":"LKB1; linking cell structure and tumor suppression","volume":"27","author":[{"family":"Hezel","given":"A F"},{"family":"Bardeesy","given":"N"}],"issued":{"date-parts":[["2008",11,24]]}}}],"schema":"https://github.com/citation-style-language/schema/raw/master/csl-citation.json"}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93</w:t>
      </w:r>
      <w:r w:rsidRPr="00D74025">
        <w:rPr>
          <w:rFonts w:ascii="Arial" w:hAnsi="Arial" w:cs="Arial"/>
          <w:color w:val="000000" w:themeColor="text1"/>
        </w:rPr>
        <w:fldChar w:fldCharType="end"/>
      </w:r>
      <w:r w:rsidRPr="00D74025">
        <w:rPr>
          <w:rFonts w:ascii="Arial" w:hAnsi="Arial" w:cs="Arial"/>
          <w:color w:val="000000" w:themeColor="text1"/>
        </w:rPr>
        <w:t>. The suppression of LKB1 turns epithelial cells susceptible to oncogenes, characterizing it as a tumor suppressor gene, and its loss is found in human cancers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{"citationID":"wbcx5k6S","properties":{"formattedCitation":"\\super 94\\nosupersub{}","plainCitation":"94","noteIndex":0},"citationItems":[{"id":459,"uris":["http://zotero.org/users/7661987/items/59ZC89PX"],"itemData":{"id":459,"type":"article-journal","abstract":"Salt-inducible kinase 1 is activated by LKB1 to promote anoikis, thereby blocking metastasis.\n          , \n            \n              The LKB1 serine-threonine kinase is a tumor suppressor that is inactivated in a large number of sporadic human lung non–small cell carcinomas (NSCLCs) and cervical cancers. Genetic deletion of\n              LKB1\n              in various mouse tissues results in tumorigenesis, and loss of LKB1 increases metastasis in a mouse model of NSCLC. LKB1 directly activates a family of 14 kinases related to AMPK [adenosine monophosphate (AMP)–activated protein kinase] to control cell metabolism, growth, and polarity, though which of these are critical to its tumor suppressor functions remain undefined. The LKB1-dependent kinase SIK1 (salt-inducible kinase 1) has now been identified as a key modulator of anoikis (apoptosis induced by cell detachment) and transformation in culture, and its modulation of the tumor suppressor p53 controls metastasis in transplanted tumor cells. Reduced\n              SIK1\n              expression is correlated with poor prognosis in two large human breast cancer data sets. These findings suggest that SIK1 is a key upstream regulator of p53-dependent anoikis that may be targeted in tumorigenesis.","container-title":"Science Signaling","DOI":"10.1126/scisignal.286pe55","ISSN":"1945-0877, 1937-9145","issue":"86","journalAbbreviation":"Sci. Signal.","language":"en","source":"DOI.org (Crossref)","title":"Tumor Suppression by LKB1: SIK-ness Prevents Metastasis","title-short":"Tumor Suppression by LKB1","URL":"https://www.science.org/doi/10.1126/scisignal.286pe55","volume":"2","author":[{"family":"Shaw","given":"Reuben J."}],"accessed":{"date-parts":[["2022",4,22]]},"issued":{"date-parts":[["2009",9]]}}}],"schema":"https://github.com/citation-style-language/schema/raw/master/csl-citation.json"}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94</w:t>
      </w:r>
      <w:r w:rsidRPr="00D74025">
        <w:rPr>
          <w:rFonts w:ascii="Arial" w:hAnsi="Arial" w:cs="Arial"/>
          <w:color w:val="000000" w:themeColor="text1"/>
        </w:rPr>
        <w:fldChar w:fldCharType="end"/>
      </w:r>
      <w:r w:rsidRPr="00D74025">
        <w:rPr>
          <w:rFonts w:ascii="Arial" w:hAnsi="Arial" w:cs="Arial"/>
          <w:color w:val="000000" w:themeColor="text1"/>
        </w:rPr>
        <w:t>. Therefore, the loss of those genes is correlated to the inability of cells to control the construction and maintenance of complex tissues.</w:t>
      </w:r>
    </w:p>
    <w:p w14:paraId="0439E7E2" w14:textId="5C066283" w:rsidR="008E6342" w:rsidRPr="00D74025" w:rsidRDefault="008E6342" w:rsidP="008E6342">
      <w:pPr>
        <w:pStyle w:val="NormalWeb"/>
        <w:spacing w:line="360" w:lineRule="auto"/>
        <w:ind w:firstLine="1440"/>
        <w:contextualSpacing/>
        <w:rPr>
          <w:rFonts w:ascii="Arial" w:hAnsi="Arial" w:cs="Arial"/>
          <w:color w:val="000000" w:themeColor="text1"/>
        </w:rPr>
      </w:pPr>
      <w:r w:rsidRPr="00D74025">
        <w:rPr>
          <w:rFonts w:ascii="Arial" w:hAnsi="Arial" w:cs="Arial"/>
          <w:i/>
          <w:iCs/>
          <w:color w:val="000000" w:themeColor="text1"/>
          <w:u w:val="single"/>
        </w:rPr>
        <w:t>Resisting cell death:</w:t>
      </w:r>
      <w:r w:rsidRPr="00D74025">
        <w:rPr>
          <w:rFonts w:ascii="Arial" w:hAnsi="Arial" w:cs="Arial"/>
          <w:i/>
          <w:iCs/>
          <w:color w:val="000000" w:themeColor="text1"/>
        </w:rPr>
        <w:t xml:space="preserve"> </w:t>
      </w:r>
      <w:r w:rsidRPr="00D74025">
        <w:rPr>
          <w:rFonts w:ascii="Arial" w:hAnsi="Arial" w:cs="Arial"/>
          <w:color w:val="000000" w:themeColor="text1"/>
        </w:rPr>
        <w:t>Apoptosis is complex machinery that, once triggered, gradually disassembles the cells and signals neighboring ones for consumption. During this process, the plasma membrane is preserved, so intracellular contents are not sp</w:t>
      </w:r>
      <w:r w:rsidR="007028AF">
        <w:rPr>
          <w:rFonts w:ascii="Arial" w:hAnsi="Arial" w:cs="Arial"/>
          <w:color w:val="000000" w:themeColor="text1"/>
        </w:rPr>
        <w:t>i</w:t>
      </w:r>
      <w:r w:rsidRPr="00D74025">
        <w:rPr>
          <w:rFonts w:ascii="Arial" w:hAnsi="Arial" w:cs="Arial"/>
          <w:color w:val="000000" w:themeColor="text1"/>
        </w:rPr>
        <w:t>lled in</w:t>
      </w:r>
      <w:r w:rsidR="007028AF">
        <w:rPr>
          <w:rFonts w:ascii="Arial" w:hAnsi="Arial" w:cs="Arial"/>
          <w:color w:val="000000" w:themeColor="text1"/>
        </w:rPr>
        <w:t>to</w:t>
      </w:r>
      <w:r w:rsidRPr="00D74025">
        <w:rPr>
          <w:rFonts w:ascii="Arial" w:hAnsi="Arial" w:cs="Arial"/>
          <w:color w:val="000000" w:themeColor="text1"/>
        </w:rPr>
        <w:t xml:space="preserve"> the extracellular environment, avoiding the development of inflammatory reactions. Hence, apoptosis is responsible for maintaining a controlled number of cells in the tissue, keeping the balance between cell reproduction and cell death</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{"citationID":"a1non9oputq","properties":{"formattedCitation":"\\super 43\\nosupersub{}","plainCitation":"43","noteIndex":0},"citationItems":[{"id":75,"uris":["http://zotero.org/users/7661987/items/G43N269V"],"itemData":{"id":75,"type":"article-journal","abstract":"Nearly 15 types of programmed cell death (PCD) have been identified to date. Among them, apoptosis is the most common and well studied type of PCD. In this review, we discuss different apoptotic pathways in which plasma membrane and membrane organelles, such as mitochondria, endoplasmic reticulum, Golgi apparatus, lysosomes, and nucleus play the pivotal role. Data concerning caspase cascades involved in these mechanisms are described. Various apoptosis induction mechanisms are analyzed and compared. The close relations between them and the possibility of switching from one path way to another are demonstrated. In most cases, the result of these pathways is mitochondrial membrane permeabilization and/or caspase activation. These two events are closely linked and serve as the central point of integration of the apoptotic cell death pathways.","container-title":"Biochemistry (Moscow)","DOI":"10.1134/S0006297915110012","ISSN":"0006-2979, 1608-3040","issue":"11","journalAbbreviation":"Biochemistry Moscow","language":"en","page":"1393-1405","source":"DOI.org (Crossref)","title":"Mechanisms of apoptosis","volume":"80","author":[{"family":"Savitskaya","given":"M. A."},{"family":"Onishchenko","given":"G. E."}],"issued":{"date-parts":[["2015",11]]}}}],"schema":"https://github.com/citation-style-language/schema/raw/master/csl-citation.json"}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43</w:t>
      </w:r>
      <w:r w:rsidRPr="00D74025">
        <w:rPr>
          <w:rFonts w:ascii="Arial" w:hAnsi="Arial" w:cs="Arial"/>
          <w:color w:val="000000" w:themeColor="text1"/>
        </w:rPr>
        <w:fldChar w:fldCharType="end"/>
      </w:r>
      <w:r w:rsidRPr="00D74025">
        <w:rPr>
          <w:rFonts w:ascii="Arial" w:hAnsi="Arial" w:cs="Arial"/>
          <w:color w:val="000000" w:themeColor="text1"/>
        </w:rPr>
        <w:t>. Moreover, the apoptotic machinery is triggered as a response to stresses that might happen during the tumorigenic process, preventing the onset of cancers. This mechanism is considered one of the main barriers to cancer development</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{"citationID":"nRigb41f","properties":{"formattedCitation":"\\super 95\\uc0\\u8211{}97\\nosupersub{}","plainCitation":"95–97","noteIndex":0},"citationItems":[{"id":453,"uris":["http://zotero.org/users/7661987/items/29D546LZ"],"itemData":{"id":453,"type":"article-journal","container-title":"Oncogene","DOI":"10.1038/sj.onc.1210220","ISSN":"0950-9232, 1476-5594","issue":"9","journalAbbreviation":"Oncogene","language":"en","page":"1324-1337","source":"DOI.org (Crossref)","title":"The Bcl-2 apoptotic switch in cancer development and therapy","volume":"26","author":[{"family":"Adams","given":"J M"},{"family":"Cory","given":"S"}],"issued":{"date-parts":[["2007",2,26]]}}},{"id":455,"uris":["http://zotero.org/users/7661987/items/I39HNZAT"],"itemData":{"id":455,"type":"article-journal","container-title":"Nature","DOI":"10.1038/nature03098","ISSN":"0028-0836, 1476-4687","issue":"7015","journalAbbreviation":"Nature","language":"en","page":"307-315","source":"DOI.org (Crossref)","title":"Intrinsic tumour suppression","volume":"432","author":[{"family":"Lowe","given":"Scott W."},{"family":"Cepero","given":"Enrique"},{"family":"Evan","given":"Gerard"}],"issued":{"date-parts":[["2004",11]]}}},{"id":454,"uris":["http://zotero.org/users/7661987/items/Q35DC2T6"],"itemData":{"id":454,"type":"article-journal","abstract":"In multicellular organisms, mutations in somatic cells affecting critical genes that regulate cell proliferation and survival cause fatal cancers. Repair of the damage is one obvious option, although the relative inconsequence of individual cells in metazoans means that it is often a “safer” strategy to ablate the offending cell. Not surprisingly, corruption of the machinery that senses or implements DNA damage greatly predisposes to cancer. Nonetheless, even when oncogenic mutations do occur, there exist potent mechanisms that limit the expansion of affected cells by suppressing their proliferation or triggering their suicide. Growing understanding of these innate mechanisms is suggesting novel therapeutic strategies for cancer.","container-title":"Science","DOI":"10.1126/science.281.5381.1317","ISSN":"0036-8075, 1095-9203","issue":"5381","journalAbbreviation":"Science","language":"en","page":"1317-1322","source":"DOI.org (Crossref)","title":"A Matter of Life and Cell Death","volume":"281","author":[{"family":"Evan","given":"Gerard"},{"family":"Littlewood","given":"Trevor"}],"issued":{"date-parts":[["1998",8,28]]}}}],"schema":"https://github.com/citation-style-language/schema/raw/master/csl-citation.json"}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95–97</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3C817888" w14:textId="26EED6D2" w:rsidR="008E6342" w:rsidRPr="00D74025" w:rsidRDefault="008E6342" w:rsidP="008E6342">
      <w:pPr>
        <w:pStyle w:val="NormalWeb"/>
        <w:spacing w:line="360" w:lineRule="auto"/>
        <w:ind w:firstLine="1440"/>
        <w:contextualSpacing/>
        <w:rPr>
          <w:rFonts w:ascii="Arial" w:hAnsi="Arial" w:cs="Arial"/>
          <w:color w:val="000000" w:themeColor="text1"/>
        </w:rPr>
      </w:pPr>
      <w:r w:rsidRPr="00D74025">
        <w:rPr>
          <w:rFonts w:ascii="Arial" w:hAnsi="Arial" w:cs="Arial"/>
          <w:color w:val="000000" w:themeColor="text1"/>
        </w:rPr>
        <w:t>Nonetheless, tumor cells have developed many strategies to evade apoptosis. The most canonic way is due to the loss of TP53 tumor suppression function (as mentioned before, that</w:t>
      </w:r>
      <w:r w:rsidR="007028AF">
        <w:rPr>
          <w:rFonts w:ascii="Arial" w:hAnsi="Arial" w:cs="Arial"/>
          <w:color w:val="000000" w:themeColor="text1"/>
        </w:rPr>
        <w:t xml:space="preserve"> is</w:t>
      </w:r>
      <w:r w:rsidRPr="00D74025">
        <w:rPr>
          <w:rFonts w:ascii="Arial" w:hAnsi="Arial" w:cs="Arial"/>
          <w:color w:val="000000" w:themeColor="text1"/>
        </w:rPr>
        <w:t xml:space="preserve"> one of the major components in sensing genome damage and the consequent triggering of apoptosis)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{"citationID":"wviZI9Fm","properties":{"formattedCitation":"\\super 98\\nosupersub{}","plainCitation":"98","noteIndex":0},"citationItems":[{"id":451,"uris":["http://zotero.org/users/7661987/items/E8M9B9E5"],"itemData":{"id":451,"type":"article-journal","abstract":"Cancers are rare because their evolution is actively restrained by a range of tumour suppressors. Of these p53 seems unusually crucial as either it or its attendant upstream or downstream pathways are inactivated in virtually all cancers. p53 is an evolutionarily ancient coordinator of metazoan stress responses. Its role in tumour suppression is likely to be a relatively recent adaptation, which is only necessary when large, long-lived organisms acquired the sufficient size and somatic regenerative capacity to necessitate specific mechanisms to reign in rogue proliferating cells. However, such evolutionary reappropriation of this venerable transcription factor entails compromises that restrict its efficacy as a tumour suppressor.","container-title":"Nature Reviews Cancer","DOI":"10.1038/nrc2728","ISSN":"1474-175X, 1474-1768","issue":"11","journalAbbreviation":"Nat Rev Cancer","language":"en","page":"821-829","source":"DOI.org (Crossref)","title":"p53 — a Jack of all trades but master of none","volume":"9","author":[{"family":"Junttila","given":"Melissa R."},{"family":"Evan","given":"Gerard I."}],"issued":{"date-parts":[["2009",11]]}}}],"schema":"https://github.com/citation-style-language/schema/raw/master/csl-citation.json"}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98</w:t>
      </w:r>
      <w:r w:rsidRPr="00D74025">
        <w:rPr>
          <w:rFonts w:ascii="Arial" w:hAnsi="Arial" w:cs="Arial"/>
          <w:color w:val="000000" w:themeColor="text1"/>
        </w:rPr>
        <w:fldChar w:fldCharType="end"/>
      </w:r>
      <w:r w:rsidRPr="00D74025">
        <w:rPr>
          <w:rFonts w:ascii="Arial" w:hAnsi="Arial" w:cs="Arial"/>
          <w:color w:val="000000" w:themeColor="text1"/>
        </w:rPr>
        <w:t>. Other ways of circumventing this machinery include increasing the expression of antiapoptotic regulators or survival signals and downregulating proapoptotic factors</w:t>
      </w:r>
      <w:r w:rsidRPr="00D74025">
        <w:rPr>
          <w:rFonts w:ascii="Arial" w:hAnsi="Arial" w:cs="Arial"/>
          <w:color w:val="000000" w:themeColor="text1"/>
        </w:rPr>
        <w:fldChar w:fldCharType="begin"/>
      </w:r>
      <w:r w:rsidRPr="00D74025">
        <w:rPr>
          <w:rFonts w:ascii="Arial" w:hAnsi="Arial" w:cs="Arial"/>
          <w:color w:val="000000" w:themeColor="text1"/>
        </w:rPr>
        <w:instrText xml:space="preserve"> ADDIN ZOTERO_TEMP </w:instrText>
      </w:r>
      <w:r w:rsidRPr="00D74025">
        <w:rPr>
          <w:rFonts w:ascii="Arial" w:hAnsi="Arial" w:cs="Arial"/>
          <w:color w:val="000000" w:themeColor="text1"/>
        </w:rPr>
        <w:fldChar w:fldCharType="separate"/>
      </w:r>
      <w:r w:rsidRPr="00D74025">
        <w:rPr>
          <w:rFonts w:ascii="Arial" w:hAnsi="Arial" w:cs="Arial"/>
          <w:color w:val="000000" w:themeColor="text1"/>
          <w:vertAlign w:val="superscript"/>
        </w:rPr>
        <w:t>69</w:t>
      </w:r>
      <w:r w:rsidRPr="00D74025">
        <w:rPr>
          <w:rFonts w:ascii="Arial" w:hAnsi="Arial" w:cs="Arial"/>
          <w:color w:val="000000" w:themeColor="text1"/>
        </w:rPr>
        <w:fldChar w:fldCharType="end"/>
      </w:r>
      <w:r w:rsidRPr="00D74025">
        <w:rPr>
          <w:rFonts w:ascii="Arial" w:hAnsi="Arial" w:cs="Arial"/>
          <w:color w:val="000000" w:themeColor="text1"/>
        </w:rPr>
        <w:t>.</w:t>
      </w:r>
    </w:p>
    <w:p w14:paraId="57D2F67B" w14:textId="05785E9C" w:rsidR="00CC1847" w:rsidRPr="00D74025" w:rsidRDefault="00CC1847" w:rsidP="00CC1847">
      <w:pPr>
        <w:pStyle w:val="NormalWeb"/>
        <w:spacing w:line="360" w:lineRule="auto"/>
        <w:ind w:firstLine="1440"/>
        <w:rPr>
          <w:rFonts w:ascii="Arial" w:hAnsi="Arial" w:cs="Arial"/>
          <w:color w:val="000000" w:themeColor="text1"/>
        </w:rPr>
      </w:pPr>
      <w:r w:rsidRPr="00D74025">
        <w:rPr>
          <w:rFonts w:ascii="Arial" w:hAnsi="Arial" w:cs="Arial"/>
          <w:color w:val="000000" w:themeColor="text1"/>
        </w:rPr>
        <w:t xml:space="preserve">Unlike apoptosis, necrosis is a type of cell death where </w:t>
      </w:r>
      <w:r w:rsidR="004D65DC">
        <w:rPr>
          <w:rFonts w:ascii="Arial" w:hAnsi="Arial" w:cs="Arial"/>
          <w:color w:val="000000" w:themeColor="text1"/>
        </w:rPr>
        <w:t>cells</w:t>
      </w:r>
      <w:r w:rsidRPr="00D74025">
        <w:rPr>
          <w:rFonts w:ascii="Arial" w:hAnsi="Arial" w:cs="Arial"/>
          <w:color w:val="000000" w:themeColor="text1"/>
        </w:rPr>
        <w:t xml:space="preserve"> increase in size and explode, releasing the intracellular contents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{"citationID":"2J15Iq9C","properties":{"formattedCitation":"\\super 99\\nosupersub{}","plainCitation":"99","noteIndex":0},"citationItems":[{"id":450,"uris":["http://zotero.org/users/7661987/items/4BAXQH8W"],"itemData":{"id":450,"type":"article-journal","container-title":"Cell","DOI":"10.1016/j.cell.2008.12.004","ISSN":"00928674","issue":"7","journalAbbreviation":"Cell","language":"en","page":"1161-1163","source":"DOI.org (Crossref)","title":"Necroptosis: A Specialized Pathway of Programmed Necrosis","title-short":"Necroptosis","volume":"135","author":[{"family":"Galluzzi","given":"Lorenzo"},{"family":"Kroemer","given":"Guido"}],"issued":{"date-parts":[["2008",12]]}}}],"schema":"https://github.com/citation-style-language/schema/raw/master/csl-citation.json"}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99</w:t>
      </w:r>
      <w:r w:rsidRPr="00D74025">
        <w:rPr>
          <w:rFonts w:ascii="Arial" w:hAnsi="Arial" w:cs="Arial"/>
          <w:color w:val="000000" w:themeColor="text1"/>
        </w:rPr>
        <w:fldChar w:fldCharType="end"/>
      </w:r>
      <w:r w:rsidRPr="00D74025">
        <w:rPr>
          <w:rFonts w:ascii="Arial" w:hAnsi="Arial" w:cs="Arial"/>
          <w:color w:val="000000" w:themeColor="text1"/>
        </w:rPr>
        <w:t>. This release is believed to be proinflammatory, and its effects are advantageous for tumors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{"citationID":"aEAwshpk","properties":{"formattedCitation":"\\super 100\\nosupersub{}","plainCitation":"100","noteIndex":0},"citationItems":[{"id":449,"uris":["http://zotero.org/users/7661987/items/6H3ZJD8K"],"itemData":{"id":449,"type":"article-journal","abstract":"Apoptosis resistance is to a large extent a major obstacle leading to chemotherapy failure during cancer treatment. Bypassing the apoptotic pathway to induce cancer cell death is considered to be a promising approach to overcoming this problem. Necroptosis is a regulated necrotic cell death modality in a caspase-independent fashion and is mainly mediated by Receptor-Interacting Protein 1 (RIP1), RIP3, and Mixed Lineage Kinase Domain-Like (MLKL). Necroptosis serves as an alternative mode of programmed cell death overcoming apoptosis resistance and may trigger and amplify antitumor immunity in cancer therapy. The role of necroptosis in cancer is complicated. The expression of key regulators of the necroptotic pathway is generally downregulated in cancer cells, suggesting that cancer cells may also evade necroptosis to survive; however, in certain types of cancer, the expression level of key mediators is elevated. Necroptosis can elicit strong adaptive immune responses that may defend against tumor progression; however, the recruited inflammatory response may also promote tumorigenesis and cancer metastasis, and necroptosis may generate an immunosuppressive tumor microenvironment. Necroptosis also reportedly promotes oncogenesis and cancer metastasis despite evidence demonstrating its antimetastatic role in cancer. In addition, necroptotic microenvironments can direct lineage commitment to determine cancer subtype development in liver cancer. A plethora of compounds and drugs targeting necroptosis exhibit potential antitumor efficacy, but their clinical feasibility must be validated. Better knowledge of the necroptotic pathway mechanism and its physiological and pathological functions is urgently required to solve the remaining mysteries surrounding the role of necroptosis in cancer. In this review, we briefly introduce the molecular mechanism and characteristics of necroptosis, the interplay between necroptosis and other cell death mechanisms, crosstalk of necroptosis and metabolic signaling and detection methods. We also summarize the intricate role of necroptosis in tumor progression, cancer metastasis, prognosis of cancer patients, cancer immunity regulation, cancer subtype determination and cancer therapeutics.","container-title":"Molecular Cancer","DOI":"10.1186/s12943-019-1029-8","ISSN":"1476-4598","issue":"1","journalAbbreviation":"Mol Cancer","language":"en","page":"100","source":"DOI.org (Crossref)","title":"The role of necroptosis in cancer biology and therapy","volume":"18","author":[{"family":"Gong","given":"Yitao"},{"family":"Fan","given":"Zhiyao"},{"family":"Luo","given":"Guopei"},{"family":"Yang","given":"Chao"},{"family":"Huang","given":"Qiuyi"},{"family":"Fan","given":"Kun"},{"family":"Cheng","given":"He"},{"family":"Jin","given":"Kaizhou"},{"family":"Ni","given":"Quanxing"},{"family":"Yu","given":"Xianjun"},{"family":"Liu","given":"Chen"}],"issued":{"date-parts":[["2019",12]]}}}],"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100</w:t>
      </w:r>
      <w:r w:rsidRPr="00D74025">
        <w:rPr>
          <w:rFonts w:ascii="Arial" w:hAnsi="Arial" w:cs="Arial"/>
          <w:color w:val="000000" w:themeColor="text1"/>
        </w:rPr>
        <w:fldChar w:fldCharType="end"/>
      </w:r>
      <w:r w:rsidRPr="00D74025">
        <w:rPr>
          <w:rFonts w:ascii="Arial" w:hAnsi="Arial" w:cs="Arial"/>
          <w:color w:val="000000" w:themeColor="text1"/>
        </w:rPr>
        <w:t xml:space="preserve">. The proinflammatory signals can recruit inflammatory immune cells with tumor-promoting roles, such as stimulating angiogenesis, cancer cell proliferation, and invasiveness. Therefore, even though necrosis seems suitable for tissue homeostasis because it is a form of cell death that can contribute to the diminishing of hyperproliferation, most tumors tolerate a certain </w:t>
      </w:r>
      <w:r w:rsidRPr="00D74025">
        <w:rPr>
          <w:rFonts w:ascii="Arial" w:hAnsi="Arial" w:cs="Arial"/>
          <w:color w:val="000000" w:themeColor="text1"/>
        </w:rPr>
        <w:lastRenderedPageBreak/>
        <w:t>amount of necrotic cell death as a mechanism to maintain inflammatory tumor-promoting cells in the tumor environment</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{"citationID":"0YzLJ8cD","properties":{"formattedCitation":"\\super 101\\nosupersub{}","plainCitation":"101","noteIndex":0},"citationItems":[{"id":456,"uris":["http://zotero.org/users/7661987/items/KFJVX5N7"],"itemData":{"id":456,"type":"article-journal","container-title":"Cell","DOI":"10.1016/j.cell.2010.01.025","ISSN":"00928674","issue":"6","journalAbbreviation":"Cell","language":"en","page":"883-899","source":"DOI.org (Crossref)","title":"Immunity, Inflammation, and Cancer","volume":"140","author":[{"family":"Grivennikov","given":"Sergei I."},{"family":"Greten","given":"Florian R."},{"family":"Karin","given":"Michael"}],"issued":{"date-parts":[["2010",3]]}}}],"schema":"https://github.com/citation-style-language/schema/raw/master/csl-citation.json"}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101</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029C952E" w14:textId="0DA49107" w:rsidR="00475396" w:rsidRPr="00D74025" w:rsidRDefault="00475396" w:rsidP="00475396">
      <w:pPr>
        <w:pStyle w:val="NormalWeb"/>
        <w:spacing w:line="360" w:lineRule="auto"/>
        <w:ind w:firstLine="1440"/>
        <w:contextualSpacing/>
        <w:rPr>
          <w:rFonts w:ascii="Arial" w:hAnsi="Arial" w:cs="Arial"/>
          <w:color w:val="000000" w:themeColor="text1"/>
        </w:rPr>
      </w:pPr>
      <w:r w:rsidRPr="00D74025">
        <w:rPr>
          <w:rFonts w:ascii="Arial" w:hAnsi="Arial" w:cs="Arial"/>
          <w:i/>
          <w:iCs/>
          <w:color w:val="000000" w:themeColor="text1"/>
          <w:u w:val="single"/>
        </w:rPr>
        <w:t xml:space="preserve">Enabling </w:t>
      </w:r>
      <w:r w:rsidR="003156BB">
        <w:rPr>
          <w:rFonts w:ascii="Arial" w:hAnsi="Arial" w:cs="Arial"/>
          <w:i/>
          <w:iCs/>
          <w:color w:val="000000" w:themeColor="text1"/>
          <w:u w:val="single"/>
        </w:rPr>
        <w:t>r</w:t>
      </w:r>
      <w:r w:rsidRPr="00D74025">
        <w:rPr>
          <w:rFonts w:ascii="Arial" w:hAnsi="Arial" w:cs="Arial"/>
          <w:i/>
          <w:iCs/>
          <w:color w:val="000000" w:themeColor="text1"/>
          <w:u w:val="single"/>
        </w:rPr>
        <w:t xml:space="preserve">eplicative </w:t>
      </w:r>
      <w:r w:rsidR="003156BB">
        <w:rPr>
          <w:rFonts w:ascii="Arial" w:hAnsi="Arial" w:cs="Arial"/>
          <w:i/>
          <w:iCs/>
          <w:color w:val="000000" w:themeColor="text1"/>
          <w:u w:val="single"/>
        </w:rPr>
        <w:t>i</w:t>
      </w:r>
      <w:r w:rsidRPr="00D74025">
        <w:rPr>
          <w:rFonts w:ascii="Arial" w:hAnsi="Arial" w:cs="Arial"/>
          <w:i/>
          <w:iCs/>
          <w:color w:val="000000" w:themeColor="text1"/>
          <w:u w:val="single"/>
        </w:rPr>
        <w:t>mmortality:</w:t>
      </w:r>
      <w:r w:rsidRPr="00D74025">
        <w:rPr>
          <w:rFonts w:ascii="Arial" w:hAnsi="Arial" w:cs="Arial"/>
          <w:i/>
          <w:iCs/>
          <w:color w:val="000000" w:themeColor="text1"/>
        </w:rPr>
        <w:t xml:space="preserve"> </w:t>
      </w:r>
      <w:r w:rsidRPr="00D74025">
        <w:rPr>
          <w:rFonts w:ascii="Arial" w:hAnsi="Arial" w:cs="Arial"/>
          <w:color w:val="000000" w:themeColor="text1"/>
        </w:rPr>
        <w:t xml:space="preserve">Normal cells can only go through a limited number of cell division cycles. Once they reach that threshold, they enter either stage of </w:t>
      </w:r>
      <w:r w:rsidRPr="00D74025">
        <w:rPr>
          <w:rFonts w:ascii="Arial" w:hAnsi="Arial" w:cs="Arial"/>
          <w:i/>
          <w:iCs/>
          <w:color w:val="000000" w:themeColor="text1"/>
        </w:rPr>
        <w:t>senescenc</w:t>
      </w:r>
      <w:r w:rsidR="003156BB">
        <w:rPr>
          <w:rFonts w:ascii="Arial" w:hAnsi="Arial" w:cs="Arial"/>
          <w:i/>
          <w:iCs/>
          <w:color w:val="000000" w:themeColor="text1"/>
        </w:rPr>
        <w:t>e—</w:t>
      </w:r>
      <w:r w:rsidRPr="00D74025">
        <w:rPr>
          <w:rFonts w:ascii="Arial" w:hAnsi="Arial" w:cs="Arial"/>
          <w:color w:val="000000" w:themeColor="text1"/>
        </w:rPr>
        <w:t>an</w:t>
      </w:r>
      <w:r w:rsidR="003156BB">
        <w:rPr>
          <w:rFonts w:ascii="Arial" w:hAnsi="Arial" w:cs="Arial"/>
          <w:color w:val="000000" w:themeColor="text1"/>
        </w:rPr>
        <w:t xml:space="preserve"> </w:t>
      </w:r>
      <w:r w:rsidRPr="00D74025">
        <w:rPr>
          <w:rFonts w:ascii="Arial" w:hAnsi="Arial" w:cs="Arial"/>
          <w:color w:val="000000" w:themeColor="text1"/>
        </w:rPr>
        <w:t xml:space="preserve"> irreversible stage of non-proliferative but viable cells, which is considered another barrier to proliferation</w:t>
      </w:r>
      <w:r w:rsidR="003156BB">
        <w:rPr>
          <w:rFonts w:ascii="Arial" w:hAnsi="Arial" w:cs="Arial"/>
          <w:color w:val="000000" w:themeColor="text1"/>
        </w:rPr>
        <w:t>—</w:t>
      </w:r>
      <w:r w:rsidRPr="00D74025">
        <w:rPr>
          <w:rFonts w:ascii="Arial" w:hAnsi="Arial" w:cs="Arial"/>
          <w:color w:val="000000" w:themeColor="text1"/>
        </w:rPr>
        <w:t>or</w:t>
      </w:r>
      <w:r w:rsidR="003156BB">
        <w:rPr>
          <w:rFonts w:ascii="Arial" w:hAnsi="Arial" w:cs="Arial"/>
          <w:color w:val="000000" w:themeColor="text1"/>
        </w:rPr>
        <w:t xml:space="preserve"> </w:t>
      </w:r>
      <w:r w:rsidRPr="00D74025">
        <w:rPr>
          <w:rFonts w:ascii="Arial" w:hAnsi="Arial" w:cs="Arial"/>
          <w:color w:val="000000" w:themeColor="text1"/>
        </w:rPr>
        <w:t xml:space="preserve"> the </w:t>
      </w:r>
      <w:r w:rsidRPr="00D74025">
        <w:rPr>
          <w:rFonts w:ascii="Arial" w:hAnsi="Arial" w:cs="Arial"/>
          <w:i/>
          <w:iCs/>
          <w:color w:val="000000" w:themeColor="text1"/>
        </w:rPr>
        <w:t>crisis phase</w:t>
      </w:r>
      <w:r w:rsidRPr="00D74025">
        <w:rPr>
          <w:rFonts w:ascii="Arial" w:hAnsi="Arial" w:cs="Arial"/>
          <w:color w:val="000000" w:themeColor="text1"/>
        </w:rPr>
        <w:t>, where the cell dies by apoptotic means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{"citationID":"wypdZbXy","properties":{"formattedCitation":"\\super 102,103\\nosupersub{}","plainCitation":"102,103","noteIndex":0},"citationItems":[{"id":448,"uris":["http://zotero.org/users/7661987/items/M3S4FEW6"],"itemData":{"id":448,"type":"article-journal","container-title":"Current Opinion in Genetics &amp; Development","DOI":"10.1016/j.gde.2020.02.009","ISSN":"0959437X","journalAbbreviation":"Current Opinion in Genetics &amp; Development","language":"en","page":"41-47","source":"DOI.org (Crossref)","title":"Chromothripsis and telomere crisis: engines of genome instability","title-short":"Chromothripsis and telomere crisis","volume":"60","author":[{"family":"Dewhurst","given":"Sally M"}],"issued":{"date-parts":[["2020",2]]}}},{"id":447,"uris":["http://zotero.org/users/7661987/items/Y7NP4FMI"],"itemData":{"id":447,"type":"article-journal","abstract":"Cellular senescence is a permanent state of cell cycle arrest that occurs in proliferating cells subjected to different stresses. Senescence is, therefore, a cellular defense mechanism that prevents the cells to acquire an unnecessary damage. The senescent state is accompanied by a failure to re-enter the cell cycle in response to mitogenic stimuli, an enhanced secretory phenotype and resistance to cell death. Senescence takes place in several tissues during different physiological and pathological processes such as tissue remodeling, injury, cancer, and aging. Although senescence is one of the causative processes of aging and it is responsible of aging-related disorders, senescent cells can also play a positive role. In embryogenesis and tissue remodeling, senescent cells are required for the proper development of the embryo and tissue repair. In cancer, senescence works as a potent barrier to prevent tumorigenesis. Therefore, the identification and characterization of key features of senescence, the induction of senescence in cancer cells, or the elimination of senescent cells by pharmacological interventions in aging tissues is gaining consideration in several fields of research. Here, we describe the known key features of senescence, the cell-autonomous, and noncell-autonomous regulators of senescence, and we attempt to discuss the functional role of this fundamental process in different contexts in light of the development of novel therapeutic targets.","container-title":"Physiological Reviews","DOI":"10.1152/physrev.00020.2018","ISSN":"0031-9333, 1522-1210","issue":"2","journalAbbreviation":"Physiological Reviews","language":"en","page":"1047-1078","source":"DOI.org (Crossref)","title":"Cellular Senescence: Aging, Cancer, and Injury","title-short":"Cellular Senescence","volume":"99","author":[{"family":"Calcinotto","given":"Arianna"},{"family":"Kohli","given":"Jaskaren"},{"family":"Zagato","given":"Elena"},{"family":"Pellegrini","given":"Laura"},{"family":"Demaria","given":"Marco"},{"family":"Alimonti","given":"Andrea"}],"issued":{"date-parts":[["2019",4,1]]}}}],"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102,103</w:t>
      </w:r>
      <w:r w:rsidRPr="00D74025">
        <w:rPr>
          <w:rFonts w:ascii="Arial" w:hAnsi="Arial" w:cs="Arial"/>
          <w:color w:val="000000" w:themeColor="text1"/>
        </w:rPr>
        <w:fldChar w:fldCharType="end"/>
      </w:r>
      <w:r w:rsidRPr="00D74025">
        <w:rPr>
          <w:rFonts w:ascii="Arial" w:hAnsi="Arial" w:cs="Arial"/>
          <w:color w:val="000000" w:themeColor="text1"/>
        </w:rPr>
        <w:t xml:space="preserve">. In rare cases, cells cultured </w:t>
      </w:r>
      <w:r w:rsidRPr="00D74025">
        <w:rPr>
          <w:rFonts w:ascii="Arial" w:hAnsi="Arial" w:cs="Arial"/>
          <w:i/>
          <w:iCs/>
          <w:color w:val="000000" w:themeColor="text1"/>
        </w:rPr>
        <w:t xml:space="preserve">in vitro </w:t>
      </w:r>
      <w:r w:rsidRPr="00D74025">
        <w:rPr>
          <w:rFonts w:ascii="Arial" w:hAnsi="Arial" w:cs="Arial"/>
          <w:color w:val="000000" w:themeColor="text1"/>
        </w:rPr>
        <w:t xml:space="preserve">develop unlimited replication characteristics, called immortalization. </w:t>
      </w:r>
      <w:r w:rsidR="0045754F">
        <w:rPr>
          <w:rFonts w:ascii="Arial" w:hAnsi="Arial" w:cs="Arial"/>
          <w:color w:val="000000" w:themeColor="text1"/>
        </w:rPr>
        <w:t>For those cells, s</w:t>
      </w:r>
      <w:r w:rsidRPr="00D74025">
        <w:rPr>
          <w:rFonts w:ascii="Arial" w:hAnsi="Arial" w:cs="Arial"/>
          <w:color w:val="000000" w:themeColor="text1"/>
        </w:rPr>
        <w:t xml:space="preserve">enescence or crisis does not happen after some cell cycles. This anomaly is associated with telomeres: the multiple tandem hexanucleotide repeats that protect the ends of chromosomes from end-to-end fusions. It is believed that the length of the telomeres predicts how many </w:t>
      </w:r>
      <w:proofErr w:type="gramStart"/>
      <w:r w:rsidRPr="00D74025">
        <w:rPr>
          <w:rFonts w:ascii="Arial" w:hAnsi="Arial" w:cs="Arial"/>
          <w:color w:val="000000" w:themeColor="text1"/>
        </w:rPr>
        <w:t>division</w:t>
      </w:r>
      <w:proofErr w:type="gramEnd"/>
      <w:r w:rsidRPr="00D74025">
        <w:rPr>
          <w:rFonts w:ascii="Arial" w:hAnsi="Arial" w:cs="Arial"/>
          <w:color w:val="000000" w:themeColor="text1"/>
        </w:rPr>
        <w:t xml:space="preserve"> cycles a cell can pass through before entering a crisis state, thus considered a cellular clocking device. In that way, it is also believed that the telomere is a defense against the development of neoplasia</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{"citationID":"h2DXj3aX","properties":{"formattedCitation":"\\super 104,105\\nosupersub{}","plainCitation":"104,105","noteIndex":0},"citationItems":[{"id":445,"uris":["http://zotero.org/users/7661987/items/AENBCWNG"],"itemData":{"id":445,"type":"article-journal","abstract":"Telomere length and telomerase activity are important factors in the pathobiology of human disease. Age-related diseases and premature ageing syndromes are characterized by short telomeres, which can compromise cell viability, whereas tumour cells can prevent telomere loss by aberrantly upregulating telomerase. Altered functioning of both telomerase and telomere-interacting proteins is present in some human premature ageing syndromes and in cancer, and recent findings indicate that alterations that affect telomeres at the level of chromatin structure might also have a role in human disease. These findings have inspired a number of potential therapeutic strategies that are based on telomerase and telomeres.","container-title":"Nature Reviews Genetics","DOI":"10.1038/nrg1656","ISSN":"1471-0056, 1471-0064","issue":"8","journalAbbreviation":"Nat Rev Genet","language":"en","page":"611-622","source":"DOI.org (Crossref)","title":"Telomeres and human disease: ageing, cancer and beyond","title-short":"Telomeres and human disease","volume":"6","author":[{"family":"Blasco","given":"Maria A."}],"issued":{"date-parts":[["2005",8]]}}},{"id":446,"uris":["http://zotero.org/users/7661987/items/RVY9QHZR"],"itemData":{"id":446,"type":"article-journal","abstract":"Senescence is a process related to the stopping of divisions and changes leading the cell to the SASP phenotype. Permanent senescence of many SASP cells contributes to faster aging of the body and development of age-related diseases due to the release of pro-inflammatory factors. Both mitotically active and non-dividing cells can un­ dergo senescence as a result of activation of different molecular pathways. Telomeres, referred to as the mo­ lecular clock, direct the dividing cell into the aging pathway when reaching a critical length. In turn, the senescence of postmitotic cells depends not on the length of telomeres, but their functionality. Dysfunctional telomeres are responsible for triggering the signaling of DNA damage response (DDR). Telomerase subunits in post-mitotic cells translocate between the nucleus, cytoplasm and mitochondria, participating in the regulation of their activity. Among other things, they contribute to the reduction of reactive oxygen species generation, which leads to telomere dysfunction and, consequently, senescence. Some proteins of the shelterin complex also play a protective role by inhibiting senescence-initiating kinases and limiting ROS production by mitochondria.","container-title":"DNA Repair","DOI":"10.1016/j.dnarep.2020.102956","ISSN":"15687864","journalAbbreviation":"DNA Repair","language":"en","page":"102956","source":"DOI.org (Crossref)","title":"The role of telomeres and telomerase in the senescence of postmitotic cells","volume":"95","author":[{"family":"Pańczyszyn","given":"Anna"},{"family":"Boniewska-Bernacka","given":"Ewa"},{"family":"Goc","given":"Anna"}],"issued":{"date-parts":[["2020",11]]}}}],"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104,105</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72A0B88E" w14:textId="32887DF6" w:rsidR="00B161CB" w:rsidRPr="00D74025" w:rsidRDefault="00B161CB" w:rsidP="00B161CB">
      <w:pPr>
        <w:pStyle w:val="NormalWeb"/>
        <w:spacing w:line="360" w:lineRule="auto"/>
        <w:ind w:firstLine="1440"/>
        <w:rPr>
          <w:rFonts w:ascii="Arial" w:hAnsi="Arial" w:cs="Arial"/>
          <w:color w:val="000000" w:themeColor="text1"/>
        </w:rPr>
      </w:pPr>
      <w:r w:rsidRPr="00D74025">
        <w:rPr>
          <w:rFonts w:ascii="Arial" w:hAnsi="Arial" w:cs="Arial"/>
          <w:color w:val="000000" w:themeColor="text1"/>
        </w:rPr>
        <w:t>Nonetheless, it is seen that telomerase, an enzyme specialized in elongating the telomere, is highly expressed in most cancers, counteracting the natural telomere erosion. This effect maintains the telomeric DNA at a length that avoids entering into senescence and apoptosis, caus</w:t>
      </w:r>
      <w:r w:rsidR="00D17E13">
        <w:rPr>
          <w:rFonts w:ascii="Arial" w:hAnsi="Arial" w:cs="Arial"/>
          <w:color w:val="000000" w:themeColor="text1"/>
        </w:rPr>
        <w:t>ing</w:t>
      </w:r>
      <w:r w:rsidRPr="00D74025">
        <w:rPr>
          <w:rFonts w:ascii="Arial" w:hAnsi="Arial" w:cs="Arial"/>
          <w:color w:val="000000" w:themeColor="text1"/>
        </w:rPr>
        <w:t xml:space="preserve"> immortalization</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{"citationID":"w5TpJCrL","properties":{"formattedCitation":"\\super 106\\nosupersub{}","plainCitation":"106","noteIndex":0},"citationItems":[{"id":444,"uris":["http://zotero.org/users/7661987/items/QT89FCS8"],"itemData":{"id":444,"type":"article-journal","abstract":"Eukaryotic cells undergo continuous telomere shortening as a consequence of multiple rounds of replications. During tumorigenesis, cells have to acquire telomere DNA maintenance mechanisms (TMMs) in order to counteract telomere shortening, to preserve telomeres from DNA damage repair systems and to avoid telomere-mediated senescence and/or apoptosis. For this reason, telomere maintenance is an essential step in cancer progression. Most human tumors maintain their telomeres expressing telomerase, whereas a lower but signiﬁcant proportion activates the alternative lengthening of telomeres (ALT) pathway. However, evidence about the coexistence of ALT and telomerase has been found both in vivo in the same cancer populations and in vitro in engineered cellular models, making the distinction between telomerase- and ALT-positive tumors elusive. Indeed, after the development of drugs able to target telomerase, the capability for some cancer cells to escape death, switching from telomerase to ALT, was highlighted. Unfortunately, to date, the mechanism underlying the possible switching or the coexistence of telomerase and ALT within the same cell or populations is not completely understood and different factors could be involved. In recent years, different studies have tried to shed light on the complex regulation network that controls the transition between the two TMMs, suggesting a role for embryonic cancer origin, epigenetic modiﬁcations, and speciﬁc genes activation—both in vivo and in vitro. In this review, we examine recent ﬁndings about the cancer-associated differential activation of the two known TMMs and the possible factors implicated in this process. Furthermore, some studies on cancers are also described that did not display any TMM.","container-title":"International Journal of Molecular Sciences","DOI":"10.3390/ijms19020606","ISSN":"1422-0067","issue":"2","journalAbbreviation":"IJMS","language":"en","page":"606","source":"DOI.org (Crossref)","title":"Telomere Length Maintenance in Cancer: At the Crossroad between Telomerase and Alternative Lengthening of Telomeres (ALT)","title-short":"Telomere Length Maintenance in Cancer","volume":"19","author":[{"family":"De Vitis","given":"Marco"},{"family":"Berardinelli","given":"Francesco"},{"family":"Sgura","given":"Antonella"}],"issued":{"date-parts":[["2018",2,18]]}}}],"schema":"https://github.com/citation-style-language/schema/raw/master/csl-citation.json"}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106</w:t>
      </w:r>
      <w:r w:rsidRPr="00D74025">
        <w:rPr>
          <w:rFonts w:ascii="Arial" w:hAnsi="Arial" w:cs="Arial"/>
          <w:color w:val="000000" w:themeColor="text1"/>
        </w:rPr>
        <w:fldChar w:fldCharType="end"/>
      </w:r>
      <w:r w:rsidRPr="00D74025">
        <w:rPr>
          <w:rFonts w:ascii="Arial" w:hAnsi="Arial" w:cs="Arial"/>
          <w:color w:val="000000" w:themeColor="text1"/>
        </w:rPr>
        <w:t>. Because telomeres protect the genome from chromosomal breakage and fusion, it</w:t>
      </w:r>
      <w:r w:rsidR="003E4D92">
        <w:rPr>
          <w:rFonts w:ascii="Arial" w:hAnsi="Arial" w:cs="Arial"/>
          <w:color w:val="000000" w:themeColor="text1"/>
        </w:rPr>
        <w:t xml:space="preserve"> is</w:t>
      </w:r>
      <w:r w:rsidRPr="00D74025">
        <w:rPr>
          <w:rFonts w:ascii="Arial" w:hAnsi="Arial" w:cs="Arial"/>
          <w:color w:val="000000" w:themeColor="text1"/>
        </w:rPr>
        <w:t xml:space="preserve"> believed that early stages of neoplasia benefit from the telomere erosion and absence of telomerase activity, speeding genomic alterations that lead to gaining of oncogenes and loss of tumor suppressor genes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{"citationID":"NNqqbxAB","properties":{"formattedCitation":"\\super 107\\nosupersub{}","plainCitation":"107","noteIndex":0},"citationItems":[{"id":443,"uris":["http://zotero.org/users/7661987/items/4V82IX62"],"itemData":{"id":443,"type":"article-journal","container-title":"Nature Medicine","DOI":"10.1038/78595","ISSN":"1078-8956, 1546-170X","issue":"8","journalAbbreviation":"Nat Med","language":"en","page":"852-855","source":"DOI.org (Crossref)","title":"Mice without telomerase: what can they teach us about human cancer?","title-short":"Mice without telomerase","volume":"6","author":[{"family":"Artandi","given":"Steven E."},{"family":"DePinho","given":"Ronald A."}],"issued":{"date-parts":[["2000",8]]}}}],"schema":"https://github.com/citation-style-language/schema/raw/master/csl-citation.json"}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107</w:t>
      </w:r>
      <w:r w:rsidRPr="00D74025">
        <w:rPr>
          <w:rFonts w:ascii="Arial" w:hAnsi="Arial" w:cs="Arial"/>
          <w:color w:val="000000" w:themeColor="text1"/>
        </w:rPr>
        <w:fldChar w:fldCharType="end"/>
      </w:r>
      <w:r w:rsidRPr="00D74025">
        <w:rPr>
          <w:rFonts w:ascii="Arial" w:hAnsi="Arial" w:cs="Arial"/>
          <w:color w:val="000000" w:themeColor="text1"/>
        </w:rPr>
        <w:t>. Therefore, the delay in acquiring telomerase activity generates tumor-promoting mutations, especially in the absence of TP53 surveillance of genomic integrity. Eventually, telomerase activation stabilize</w:t>
      </w:r>
      <w:r w:rsidR="003E4D92">
        <w:rPr>
          <w:rFonts w:ascii="Arial" w:hAnsi="Arial" w:cs="Arial"/>
          <w:color w:val="000000" w:themeColor="text1"/>
        </w:rPr>
        <w:t>s</w:t>
      </w:r>
      <w:r w:rsidRPr="00D74025">
        <w:rPr>
          <w:rFonts w:ascii="Arial" w:hAnsi="Arial" w:cs="Arial"/>
          <w:color w:val="000000" w:themeColor="text1"/>
        </w:rPr>
        <w:t xml:space="preserve"> the mutant genome and conferred unlimited replication capacity</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{"citationID":"SVqycNX2","properties":{"formattedCitation":"\\super 108,109\\nosupersub{}","plainCitation":"108,109","noteIndex":0},"citationItems":[{"id":441,"uris":["http://zotero.org/users/7661987/items/SF44HGLF"],"itemData":{"id":441,"type":"article-journal","abstract":"Objectives: Carcinogenesis is a multistep process involving the accumulation of genetic and molecular abnormalities. It has been suggested that there is a relationship between telomere attrition in the early stages of carcinogenesis and activation of the DNA damage response machinery. We explored telomere length modiﬁcation and damage response pathway activation at 3 steps of breast carcinogenesis.\nMethods: We carried out a retrospective immunohistochemical analysis of pathway ataxia telangiectasia mutated (p-ATM) (series 1981) and </w:instrText>
      </w:r>
      <w:r w:rsidR="00174D75">
        <w:rPr>
          <w:rFonts w:ascii="Segoe UI Symbol" w:hAnsi="Segoe UI Symbol" w:cs="Segoe UI Symbol"/>
          <w:color w:val="000000" w:themeColor="text1"/>
        </w:rPr>
        <w:instrText>␥</w:instrText>
      </w:r>
      <w:r w:rsidR="00174D75">
        <w:rPr>
          <w:rFonts w:ascii="Arial" w:hAnsi="Arial" w:cs="Arial"/>
          <w:color w:val="000000" w:themeColor="text1"/>
        </w:rPr>
        <w:instrText xml:space="preserve">-H2AX (series 139) levels in normal breast, preneoplastic lesions, and invasive carcinoma. Fluorescent in situ hybridization was used to analyze telomere length at each stage.\nResults: ATM was activated in 45% of normal tissue samples, 70% of preneoplastic lesions, and 14% of breast carcinomas. The increase in ATM activation, between normal tissues and preneoplasia, was not signiﬁcant (P ϭ 0.095), whereas, ATM repression between preneoplasia and cancer was signiﬁcant (P ϭ 0.0023). Telomeres in preneoplastic lesions were more frequently shorter than those in normal tissues (P ϭ 0.0116). Finally, telomere lengths were long in 38.9% and very short in 38.9% of breast carcinomas (P ϭ 0.0087 for comparisons with preneoplastic lesions).\nConclusions: This study suggests that a major defect in DNA repair occurs between preneoplasia and breast cancer. This defect is associated with changes in telomere length between the preneoplastic and the cancer stage.","container-title":"American Journal of Clinical Oncology","DOI":"10.1097/COC.0b013e3181b0c4c2","ISSN":"0277-3732","issue":"4","language":"en","page":"341-345","source":"DOI.org (Crossref)","title":"DNA Damage Repair and Telomere Length in Normal Breast, Preneoplastic Lesions, and Invasive Cancer","volume":"33","author":[{"family":"Raynaud","given":"Christophe M."},{"family":"Hernandez","given":"Juana"},{"family":"Llorca","given":"Frédérique P."},{"family":"Nuciforo","given":"Paolo"},{"family":"Mathieu","given":"Marie-Christine"},{"family":"Commo","given":"Frederic"},{"family":"Delaloge","given":"Suzette"},{"family":"Sabatier","given":"Laure"},{"family":"André","given":"Fabrice"},{"family":"Soria","given":"Jean-Charles"}],"issued":{"date-parts":[["2010",8]]}}},{"id":442,"uris":["http://zotero.org/users/7661987/items/8BYEMRGG"],"itemData":{"id":442,"type":"article-journal","container-title":"Nature Genetics","DOI":"10.1038/ng1409","ISSN":"1061-4036, 1546-1718","issue":"9","journalAbbreviation":"Nat Genet","language":"en","page":"984-988","source":"DOI.org (Crossref)","title":"In situ analyses of genome instability in breast cancer","volume":"36","author":[{"family":"Chin","given":"Koei"},{"family":"Solorzano","given":"Carlos Ortiz","non-dropping-particle":"de"},{"family":"Knowles","given":"David"},{"family":"Jones","given":"Arthur"},{"family":"Chou","given":"William"},{"family":"Rodriguez","given":"Enrique Garcia"},{"family":"Kuo","given":"Wen-Lin"},{"family":"Ljung","given":"Britt-Marie"},{"family":"Chew","given":"Karen"},{"family":"Myambo","given":"Kenneth"},{"family":"Miranda","given":"Monica"},{"family":"Krig","given":"Sheryl"},{"family":"Garbe","given":"James"},{"family":"Stampfer","given":"Martha"},{"family":"Yaswen","given":"Paul"},{"family":"Gray","given":"Joe W"},{"family":"Lockett","given":"Stephen J"}],"issued":{"date-parts":[["2004",9]]}}}],"schema":"https://github.com/citation-style-language/schema/raw/master/csl-citation.json"}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108,109</w:t>
      </w:r>
      <w:r w:rsidRPr="00D74025">
        <w:rPr>
          <w:rFonts w:ascii="Arial" w:hAnsi="Arial" w:cs="Arial"/>
          <w:color w:val="000000" w:themeColor="text1"/>
        </w:rPr>
        <w:fldChar w:fldCharType="end"/>
      </w:r>
      <w:r w:rsidRPr="00D74025">
        <w:rPr>
          <w:rFonts w:ascii="Arial" w:hAnsi="Arial" w:cs="Arial"/>
          <w:color w:val="000000" w:themeColor="text1"/>
        </w:rPr>
        <w:t>.</w:t>
      </w:r>
    </w:p>
    <w:p w14:paraId="34349955" w14:textId="3C8731D5" w:rsidR="00510C1E" w:rsidRPr="00D74025" w:rsidRDefault="00510C1E" w:rsidP="00510C1E">
      <w:pPr>
        <w:pStyle w:val="NormalWeb"/>
        <w:spacing w:line="360" w:lineRule="auto"/>
        <w:ind w:firstLine="1440"/>
        <w:rPr>
          <w:rFonts w:ascii="Arial" w:hAnsi="Arial" w:cs="Arial"/>
          <w:color w:val="000000" w:themeColor="text1"/>
        </w:rPr>
      </w:pPr>
      <w:r w:rsidRPr="00D74025">
        <w:rPr>
          <w:rFonts w:ascii="Arial" w:hAnsi="Arial" w:cs="Arial"/>
          <w:i/>
          <w:iCs/>
          <w:color w:val="000000" w:themeColor="text1"/>
          <w:u w:val="single"/>
        </w:rPr>
        <w:t>Inducing angiogenesis:</w:t>
      </w:r>
      <w:r w:rsidRPr="00D74025">
        <w:rPr>
          <w:rFonts w:ascii="Arial" w:hAnsi="Arial" w:cs="Arial"/>
          <w:i/>
          <w:iCs/>
          <w:color w:val="000000" w:themeColor="text1"/>
        </w:rPr>
        <w:t xml:space="preserve"> </w:t>
      </w:r>
      <w:r w:rsidRPr="00D74025">
        <w:rPr>
          <w:rFonts w:ascii="Arial" w:hAnsi="Arial" w:cs="Arial"/>
          <w:color w:val="000000" w:themeColor="text1"/>
        </w:rPr>
        <w:t>Angiogenesis is the formation of the vasculature, which includes the sprouting of new vessels</w:t>
      </w:r>
      <w:r w:rsidR="009048AD">
        <w:rPr>
          <w:rFonts w:ascii="Arial" w:hAnsi="Arial" w:cs="Arial"/>
          <w:color w:val="000000" w:themeColor="text1"/>
        </w:rPr>
        <w:t xml:space="preserve"> and their assembly</w:t>
      </w:r>
      <w:r w:rsidRPr="00D74025">
        <w:rPr>
          <w:rFonts w:ascii="Arial" w:hAnsi="Arial" w:cs="Arial"/>
          <w:color w:val="000000" w:themeColor="text1"/>
        </w:rPr>
        <w:t>. It occurs only during embryogenesis in fetuses</w:t>
      </w:r>
      <w:r w:rsidR="00E76030">
        <w:rPr>
          <w:rFonts w:ascii="Arial" w:hAnsi="Arial" w:cs="Arial"/>
          <w:color w:val="000000" w:themeColor="text1"/>
        </w:rPr>
        <w:t>,</w:t>
      </w:r>
      <w:r w:rsidRPr="00D74025">
        <w:rPr>
          <w:rFonts w:ascii="Arial" w:hAnsi="Arial" w:cs="Arial"/>
          <w:color w:val="000000" w:themeColor="text1"/>
        </w:rPr>
        <w:t xml:space="preserve"> during wound healing</w:t>
      </w:r>
      <w:r w:rsidR="00E76030">
        <w:rPr>
          <w:rFonts w:ascii="Arial" w:hAnsi="Arial" w:cs="Arial"/>
          <w:color w:val="000000" w:themeColor="text1"/>
        </w:rPr>
        <w:t>,</w:t>
      </w:r>
      <w:r w:rsidRPr="00D74025">
        <w:rPr>
          <w:rFonts w:ascii="Arial" w:hAnsi="Arial" w:cs="Arial"/>
          <w:color w:val="000000" w:themeColor="text1"/>
        </w:rPr>
        <w:t xml:space="preserve"> and </w:t>
      </w:r>
      <w:r w:rsidR="00E76030">
        <w:rPr>
          <w:rFonts w:ascii="Arial" w:hAnsi="Arial" w:cs="Arial"/>
          <w:color w:val="000000" w:themeColor="text1"/>
        </w:rPr>
        <w:t xml:space="preserve">in </w:t>
      </w:r>
      <w:r w:rsidRPr="00D74025">
        <w:rPr>
          <w:rFonts w:ascii="Arial" w:hAnsi="Arial" w:cs="Arial"/>
          <w:color w:val="000000" w:themeColor="text1"/>
        </w:rPr>
        <w:t xml:space="preserve">the female reproductive cycle in adults. Contrastingly, tumor progression is customarily accompanied by an “angiogenic switch,” where normal vasculature is incentivized to sprout new vessels to maintain </w:t>
      </w:r>
      <w:r w:rsidRPr="00D74025">
        <w:rPr>
          <w:rFonts w:ascii="Arial" w:hAnsi="Arial" w:cs="Arial"/>
          <w:color w:val="000000" w:themeColor="text1"/>
        </w:rPr>
        <w:lastRenderedPageBreak/>
        <w:t>nutrient supply and evacuation of metabolic wastes of growing tumors. Due to rapid sprouting, tumor vasculature is convoluted, leaky, excessively branched, and presents enlarged and distorted vessels with excessive endothelial cell proliferation and apoptosis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{"citationID":"1yQSCpqa","properties":{"formattedCitation":"\\super 110\\nosupersub{}","plainCitation":"110","noteIndex":0},"citationItems":[{"id":440,"uris":["http://zotero.org/users/7661987/items/5ZV4XQY2"],"itemData":{"id":440,"type":"article-journal","abstract":"Angiogenesis is a hallmark of cancer and a requisite that tumors must achieve to fulﬁll their metabolic needs of nutrients and oxygen. As a critical step in cancer progression, the ‘angiogenic switch’ allows tumor cells to survive and grow, and provides them access to vasculature resulting in metastatic progression and dissemination. Tumor-dependent triggering of the angiogenic switch has critical consequences on tumor progression which extends from an increased nutrient supply and relies instead on the ability of the tumor to hijack the host immune response for the generation of a local immunoprivileged microenvironment. Tumor angiogenic-mediated establishment of endothelial anergy is responsible for this process. However, tumor endothelium can also promote immune tolerance by unbalanced expression of co-stimulatory and co-inhibitory molecules and by releasing soluble factors that restrain T cell function and induce apoptosis. In this review, we discuss the molecular properties of the tumor endothelial barrier and endothelial anergy and discuss the main immunosuppressive mechanisms triggered by the tumor endothelium. Lastly, we describe the current anti-angiogenic therapeutic landscape and how targeting tumor angiogenesis can contribute to improve clinical beneﬁts for patients.","container-title":"Seminars in Immunology","DOI":"10.1016/j.smim.2018.02.002","ISSN":"10445323","journalAbbreviation":"Seminars in Immunology","language":"en","page":"35-47","source":"DOI.org (Crossref)","title":"The dark side of tumor-associated endothelial cells","volume":"35","author":[{"family":"De Sanctis","given":"Francesco"},{"family":"Ugel","given":"Stefano"},{"family":"Facciponte","given":"John"},{"family":"Facciabene","given":"Andrea"}],"issued":{"date-parts":[["2018",2]]}}}],"schema":"https://github.com/citation-style-language/schema/raw/master/csl-citation.json"}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110</w:t>
      </w:r>
      <w:r w:rsidRPr="00D74025">
        <w:rPr>
          <w:rFonts w:ascii="Arial" w:hAnsi="Arial" w:cs="Arial"/>
          <w:color w:val="000000" w:themeColor="text1"/>
        </w:rPr>
        <w:fldChar w:fldCharType="end"/>
      </w:r>
      <w:r w:rsidRPr="00D74025">
        <w:rPr>
          <w:rFonts w:ascii="Arial" w:hAnsi="Arial" w:cs="Arial"/>
          <w:color w:val="000000" w:themeColor="text1"/>
        </w:rPr>
        <w:t>.</w:t>
      </w:r>
      <w:r w:rsidR="00274426">
        <w:rPr>
          <w:rFonts w:ascii="Arial" w:hAnsi="Arial" w:cs="Arial"/>
          <w:color w:val="000000" w:themeColor="text1"/>
        </w:rPr>
        <w:t xml:space="preserve"> As previously mentioned, this leaky vasculature is also accompanied by the externalization of phosphatidylserine (PS) on the </w:t>
      </w:r>
      <w:r w:rsidR="007538A5">
        <w:rPr>
          <w:rFonts w:ascii="Arial" w:hAnsi="Arial" w:cs="Arial"/>
          <w:color w:val="000000" w:themeColor="text1"/>
        </w:rPr>
        <w:t>tumor vasculature, which is used in this work as a target</w:t>
      </w:r>
      <w:r w:rsidR="00642B5E">
        <w:rPr>
          <w:rFonts w:ascii="Arial" w:hAnsi="Arial" w:cs="Arial"/>
          <w:color w:val="000000" w:themeColor="text1"/>
        </w:rPr>
        <w:t>ing</w:t>
      </w:r>
      <w:r w:rsidR="007538A5">
        <w:rPr>
          <w:rFonts w:ascii="Arial" w:hAnsi="Arial" w:cs="Arial"/>
          <w:color w:val="000000" w:themeColor="text1"/>
        </w:rPr>
        <w:t xml:space="preserve"> biomarker for cancer therapies.</w:t>
      </w:r>
    </w:p>
    <w:p w14:paraId="65FD2A22" w14:textId="105183C2" w:rsidR="00C82910" w:rsidRPr="00D74025" w:rsidRDefault="00C82910" w:rsidP="00C82910">
      <w:pPr>
        <w:pStyle w:val="NormalWeb"/>
        <w:spacing w:line="360" w:lineRule="auto"/>
        <w:ind w:firstLine="1440"/>
        <w:contextualSpacing/>
        <w:rPr>
          <w:rFonts w:ascii="Arial" w:hAnsi="Arial" w:cs="Arial"/>
          <w:color w:val="000000" w:themeColor="text1"/>
        </w:rPr>
      </w:pPr>
      <w:r w:rsidRPr="00D74025">
        <w:rPr>
          <w:rFonts w:ascii="Arial" w:hAnsi="Arial" w:cs="Arial"/>
          <w:i/>
          <w:iCs/>
          <w:color w:val="000000" w:themeColor="text1"/>
          <w:u w:val="single"/>
        </w:rPr>
        <w:t>Activating invasion and metastasis:</w:t>
      </w:r>
      <w:r w:rsidRPr="00D74025">
        <w:rPr>
          <w:rFonts w:ascii="Arial" w:hAnsi="Arial" w:cs="Arial"/>
          <w:i/>
          <w:iCs/>
          <w:color w:val="000000" w:themeColor="text1"/>
        </w:rPr>
        <w:t xml:space="preserve"> </w:t>
      </w:r>
      <w:r w:rsidRPr="00D74025">
        <w:rPr>
          <w:rFonts w:ascii="Arial" w:hAnsi="Arial" w:cs="Arial"/>
          <w:color w:val="000000" w:themeColor="text1"/>
        </w:rPr>
        <w:t>Normal solid tissue cells are trapped within the tissue structure due to the expression of E-cadherin, a cell-to-cell adhesion molecule. This molecule assembles the extracellular matrix, forming an adherent junction between neighboring epithelial cells. Hence, the expression of E-cadherin is believed to suppress invasiveness and metastatic phenotypes in carcinomas. Alternatively, carcinomas frequently undergo diminished expression or inactivation of E-cadherin caused by mutations. Further, the expression of adhesion molecules involved in cell migration is usually increased in tumor cells. For example, N-cadherin, which is characteristically expressed in migrating mesenchymal cells and neurons during the formation of organs in fetuses, is usually upregulated in carcinomas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{"citationID":"f5Kzn2r5","properties":{"formattedCitation":"\\super 111\\nosupersub{}","plainCitation":"111","noteIndex":0},"citationItems":[{"id":439,"uris":["http://zotero.org/users/7661987/items/TRKD6NSS"],"itemData":{"id":439,"type":"article-journal","abstract":"Epithelial-to-Mesenchymal Transition (EMT) has been shown to be crucial in tumorigenesis where the EMT program enhances metastasis, chemoresistance and tumor stemness. Due to its emerging role as a pivotal driver of tumorigenesis, targeting EMT is of great therapeutic interest in counteracting metastasis and chemoresistance in cancer patients. The hallmark of EMT is the upregulation of N-cadherin followed by the downregulation of E-cadherin, and this process is regulated by a complex network of signaling pathways and transcription factors. In this review, we summarized the recent understanding of the roles of E- and N-cadherins in cancer invasion and metastasis as well as the crosstalk with other signaling pathways involved in EMT. We also highlighted a few natural compounds with potential anti-EMT property and outlined the future directions in the development of novel intervention in human cancer treatments. We have reviewed 287 published papers related to this topic and identiﬁed some of the challenges faced in translating the discovery work from bench to bedside.","container-title":"Cells","DOI":"10.3390/cells8101118","ISSN":"2073-4409","issue":"10","journalAbbreviation":"Cells","language":"en","page":"1118","source":"DOI.org (Crossref)","title":"The E-Cadherin and N-Cadherin Switch in Epithelial-to-Mesenchymal Transition: Signaling, Therapeutic Implications, and Challenges","title-short":"The E-Cadherin and N-Cadherin Switch in Epithelial-to-Mesenchymal Transition","volume":"8","author":[{"family":"Loh","given":"Chin-Yap"},{"family":"Chai","given":"Jian"},{"family":"Tang","given":"Ting"},{"family":"Wong","given":"Won"},{"family":"Sethi","given":"Gautam"},{"family":"Shanmugam","given":"Muthu"},{"family":"Chong","given":"Pei"},{"family":"Looi","given":"Chung"}],"issued":{"date-parts":[["2019",9,20]]}}}],"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111</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5983F1EF" w14:textId="7C27D67E" w:rsidR="00F8764C" w:rsidRPr="00D74025" w:rsidRDefault="00F8764C" w:rsidP="00F8764C">
      <w:pPr>
        <w:pStyle w:val="NormalWeb"/>
        <w:spacing w:line="360" w:lineRule="auto"/>
        <w:ind w:firstLine="1440"/>
        <w:rPr>
          <w:rFonts w:ascii="Arial" w:hAnsi="Arial" w:cs="Arial"/>
          <w:color w:val="000000" w:themeColor="text1"/>
        </w:rPr>
      </w:pPr>
      <w:r w:rsidRPr="00D74025">
        <w:rPr>
          <w:rFonts w:ascii="Arial" w:hAnsi="Arial" w:cs="Arial"/>
          <w:color w:val="000000" w:themeColor="text1"/>
        </w:rPr>
        <w:t xml:space="preserve">In tumor cells, the acquired capability of migration is one of the first steps in the process of metastasis. One can schematize this process as discrete steps, as follows: 1) local invasion; 2) intravasation: tumor cells move from the primary tumor into the blood and lymphatic vessels in the surroundings; 3) transit: tumor cells move through the blood and lymphatic vessels to other parts of the system; 4) extravasation: tumor cells escape from the lumina of those vessels into the parenchyma of tissues; 5) </w:t>
      </w:r>
      <w:proofErr w:type="spellStart"/>
      <w:r w:rsidRPr="00D74025">
        <w:rPr>
          <w:rFonts w:ascii="Arial" w:hAnsi="Arial" w:cs="Arial"/>
          <w:color w:val="000000" w:themeColor="text1"/>
        </w:rPr>
        <w:t>micrometastasis</w:t>
      </w:r>
      <w:proofErr w:type="spellEnd"/>
      <w:r w:rsidRPr="00D74025">
        <w:rPr>
          <w:rFonts w:ascii="Arial" w:hAnsi="Arial" w:cs="Arial"/>
          <w:color w:val="000000" w:themeColor="text1"/>
        </w:rPr>
        <w:t xml:space="preserve">: formation of small tumors in the new location; 6) colonization: growth of the </w:t>
      </w:r>
      <w:proofErr w:type="spellStart"/>
      <w:r w:rsidRPr="00D74025">
        <w:rPr>
          <w:rFonts w:ascii="Arial" w:hAnsi="Arial" w:cs="Arial"/>
          <w:color w:val="000000" w:themeColor="text1"/>
        </w:rPr>
        <w:t>micrometastasis</w:t>
      </w:r>
      <w:proofErr w:type="spellEnd"/>
      <w:r w:rsidRPr="00D74025">
        <w:rPr>
          <w:rFonts w:ascii="Arial" w:hAnsi="Arial" w:cs="Arial"/>
          <w:color w:val="000000" w:themeColor="text1"/>
        </w:rPr>
        <w:t xml:space="preserve"> into macroscopic tumors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{"citationID":"XuvyCjP6","properties":{"formattedCitation":"\\super 112\\nosupersub{}","plainCitation":"112","noteIndex":0},"citationItems":[{"id":131,"uris":["http://zotero.org/users/7661987/items/E975ZH39"],"itemData":{"id":131,"type":"article-journal","abstract":"Melatonin is a naturally occurring molecule secreted by the pineal gland and known as a gatekeeper of circadian clocks. Mounting evidence indicates that melatonin, employing multiple and interrelated mechanisms, exhibits a variety of oncostatic properties in a myriad of tumors during different stages of their progression. Tumor metastasis, which commonly occurs at the late stage, is responsible for the majority of cancer deaths; metastases lead to the development of secondary tumors distant from a primary site. In reference to melatonin, the vast majority of investigations have focused on tumor development and progression at the primary site. Recently, however, interest has shifted toward the role of melatonin on tumor metastases. In this review, we highlight current advances in understanding the molecular mechanisms by which melatonin counteracts tumor metastases, including experimental and clinical observations; emphasis is placed on the impact of both cancer and non-­ neoplastic cells within the tumor microenvironment. Due to the broad range of melatonin’s actions, the mechanisms underlying its ability to interfere with metastases are numerous. These include modulation of cell–cell and cell–matrix interaction, extracellular matrix remodeling by matrix metalloproteinases, cytoskeleton reorganization, epithelial–mesenchymal transition, and angiogenesis. The evidence discussed herein will serve as a solid foundation for urging basic and clinical studies on the use of melatonin to understand and control metastatic diseases.","container-title":"Journal of Pineal Research","DOI":"10.1111/jpi.12370","ISSN":"07423098","issue":"1","journalAbbreviation":"J. Pineal Res.","language":"en","page":"e12370","source":"DOI.org (Crossref)","title":"Cancer metastasis: Mechanisms of inhibition by melatonin","title-short":"Cancer metastasis","volume":"62","author":[{"family":"Su","given":"Shih-Chi"},{"family":"Hsieh","given":"Ming-Ju"},{"family":"Yang","given":"Wei-En"},{"family":"Chung","given":"Wen-Hung"},{"family":"Reiter","given":"Russel J."},{"family":"Yang","given":"Shun-Fa"}],"issued":{"date-parts":[["2017",1]]}}}],"schema":"https://github.com/citation-style-language/schema/raw/master/csl-citation.json"}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112</w:t>
      </w:r>
      <w:r w:rsidRPr="00D74025">
        <w:rPr>
          <w:rFonts w:ascii="Arial" w:hAnsi="Arial" w:cs="Arial"/>
          <w:color w:val="000000" w:themeColor="text1"/>
        </w:rPr>
        <w:fldChar w:fldCharType="end"/>
      </w:r>
      <w:r w:rsidRPr="00D74025">
        <w:rPr>
          <w:rFonts w:ascii="Arial" w:hAnsi="Arial" w:cs="Arial"/>
          <w:color w:val="000000" w:themeColor="text1"/>
        </w:rPr>
        <w:t xml:space="preserve">. </w:t>
      </w:r>
      <w:r w:rsidRPr="009F2F83">
        <w:rPr>
          <w:rFonts w:ascii="Arial" w:hAnsi="Arial" w:cs="Arial"/>
          <w:b/>
          <w:bCs/>
          <w:color w:val="000000" w:themeColor="text1"/>
        </w:rPr>
        <w:t>Figure 14</w:t>
      </w:r>
      <w:r w:rsidRPr="00D74025">
        <w:rPr>
          <w:rFonts w:ascii="Arial" w:hAnsi="Arial" w:cs="Arial"/>
          <w:color w:val="000000" w:themeColor="text1"/>
        </w:rPr>
        <w:t xml:space="preserve"> summarizes those steps.</w:t>
      </w:r>
    </w:p>
    <w:tbl>
      <w:tblPr>
        <w:tblStyle w:val="TableGrid"/>
        <w:tblW w:w="0" w:type="auto"/>
        <w:tblLook w:val="04A0" w:firstRow="1" w:lastRow="0" w:firstColumn="1" w:lastColumn="0" w:noHBand="0" w:noVBand="1"/>
      </w:tblPr>
      <w:tblGrid>
        <w:gridCol w:w="9350"/>
      </w:tblGrid>
      <w:tr w:rsidR="00D74025" w:rsidRPr="00D74025" w14:paraId="728206B3" w14:textId="77777777" w:rsidTr="00D43F17">
        <w:tc>
          <w:tcPr>
            <w:tcW w:w="9350" w:type="dxa"/>
          </w:tcPr>
          <w:p w14:paraId="11BBF3BB" w14:textId="60AB6386" w:rsidR="00D43F17" w:rsidRPr="00D74025" w:rsidRDefault="00CF5986" w:rsidP="00CF5986">
            <w:pPr>
              <w:pStyle w:val="NormalWeb"/>
              <w:spacing w:before="240" w:beforeAutospacing="0" w:line="360" w:lineRule="auto"/>
              <w:ind w:firstLine="0"/>
              <w:rPr>
                <w:rFonts w:ascii="Arial" w:hAnsi="Arial" w:cs="Arial"/>
                <w:color w:val="000000" w:themeColor="text1"/>
              </w:rPr>
            </w:pPr>
            <w:r w:rsidRPr="00D74025">
              <w:rPr>
                <w:rFonts w:ascii="Arial" w:hAnsi="Arial" w:cs="Arial"/>
                <w:noProof/>
                <w:color w:val="000000" w:themeColor="text1"/>
              </w:rPr>
              <w:lastRenderedPageBreak/>
              <w:drawing>
                <wp:inline distT="0" distB="0" distL="0" distR="0" wp14:anchorId="2A1604FE" wp14:editId="29CA3AAC">
                  <wp:extent cx="5736126" cy="3974841"/>
                  <wp:effectExtent l="0" t="0" r="4445" b="635"/>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29"/>
                          <a:stretch>
                            <a:fillRect/>
                          </a:stretch>
                        </pic:blipFill>
                        <pic:spPr>
                          <a:xfrm>
                            <a:off x="0" y="0"/>
                            <a:ext cx="5739331" cy="3977062"/>
                          </a:xfrm>
                          <a:prstGeom prst="rect">
                            <a:avLst/>
                          </a:prstGeom>
                        </pic:spPr>
                      </pic:pic>
                    </a:graphicData>
                  </a:graphic>
                </wp:inline>
              </w:drawing>
            </w:r>
          </w:p>
        </w:tc>
      </w:tr>
      <w:tr w:rsidR="00D43F17" w:rsidRPr="00D74025" w14:paraId="42A62348" w14:textId="77777777" w:rsidTr="00D43F17">
        <w:tc>
          <w:tcPr>
            <w:tcW w:w="9350" w:type="dxa"/>
          </w:tcPr>
          <w:p w14:paraId="014802F5" w14:textId="23AC4DC2" w:rsidR="00D43F17" w:rsidRPr="00D74025" w:rsidRDefault="00DD4B6C" w:rsidP="00BF4C92">
            <w:pPr>
              <w:pStyle w:val="NormalWeb"/>
              <w:spacing w:before="120" w:beforeAutospacing="0" w:line="360" w:lineRule="auto"/>
              <w:ind w:firstLine="0"/>
              <w:rPr>
                <w:rFonts w:ascii="Arial" w:hAnsi="Arial" w:cs="Arial"/>
                <w:color w:val="000000" w:themeColor="text1"/>
              </w:rPr>
            </w:pPr>
            <w:bookmarkStart w:id="29" w:name="_Toc121217336"/>
            <w:r w:rsidRPr="00DD4B6C">
              <w:rPr>
                <w:rFonts w:ascii="Arial" w:hAnsi="Arial" w:cs="Arial"/>
                <w:b/>
                <w:bCs/>
                <w:color w:val="000000" w:themeColor="text1"/>
              </w:rPr>
              <w:t xml:space="preserve">Figure </w:t>
            </w:r>
            <w:r w:rsidRPr="00DD4B6C">
              <w:rPr>
                <w:rFonts w:ascii="Arial" w:hAnsi="Arial" w:cs="Arial"/>
                <w:b/>
                <w:bCs/>
                <w:color w:val="000000" w:themeColor="text1"/>
              </w:rPr>
              <w:fldChar w:fldCharType="begin"/>
            </w:r>
            <w:r w:rsidRPr="00DD4B6C">
              <w:rPr>
                <w:rFonts w:ascii="Arial" w:hAnsi="Arial" w:cs="Arial"/>
                <w:b/>
                <w:bCs/>
                <w:color w:val="000000" w:themeColor="text1"/>
              </w:rPr>
              <w:instrText xml:space="preserve"> SEQ Figure \* ARABIC </w:instrText>
            </w:r>
            <w:r w:rsidRPr="00DD4B6C">
              <w:rPr>
                <w:rFonts w:ascii="Arial" w:hAnsi="Arial" w:cs="Arial"/>
                <w:b/>
                <w:bCs/>
                <w:color w:val="000000" w:themeColor="text1"/>
              </w:rPr>
              <w:fldChar w:fldCharType="separate"/>
            </w:r>
            <w:r w:rsidR="002C4B25">
              <w:rPr>
                <w:rFonts w:ascii="Arial" w:hAnsi="Arial" w:cs="Arial"/>
                <w:b/>
                <w:bCs/>
                <w:noProof/>
                <w:color w:val="000000" w:themeColor="text1"/>
              </w:rPr>
              <w:t>14</w:t>
            </w:r>
            <w:r w:rsidRPr="00DD4B6C">
              <w:rPr>
                <w:rFonts w:ascii="Arial" w:hAnsi="Arial" w:cs="Arial"/>
                <w:b/>
                <w:bCs/>
                <w:color w:val="000000" w:themeColor="text1"/>
              </w:rPr>
              <w:fldChar w:fldCharType="end"/>
            </w:r>
            <w:r w:rsidR="00D43F17" w:rsidRPr="00D74025">
              <w:rPr>
                <w:rFonts w:ascii="Arial" w:hAnsi="Arial" w:cs="Arial"/>
                <w:b/>
                <w:bCs/>
                <w:color w:val="000000" w:themeColor="text1"/>
              </w:rPr>
              <w:t>: Model for the multistep metastatic process</w:t>
            </w:r>
            <w:r w:rsidR="00D43F17" w:rsidRPr="00D74025">
              <w:rPr>
                <w:rFonts w:ascii="Arial" w:hAnsi="Arial" w:cs="Arial"/>
                <w:color w:val="000000" w:themeColor="text1"/>
              </w:rPr>
              <w:t>. Figure from</w:t>
            </w:r>
            <w:r w:rsidR="0066456E" w:rsidRPr="00D74025">
              <w:rPr>
                <w:rFonts w:ascii="Arial" w:hAnsi="Arial" w:cs="Arial"/>
                <w:color w:val="000000" w:themeColor="text1"/>
              </w:rPr>
              <w:t xml:space="preserve"> </w:t>
            </w:r>
            <w:proofErr w:type="spellStart"/>
            <w:r w:rsidR="0066456E" w:rsidRPr="00D74025">
              <w:rPr>
                <w:rFonts w:ascii="Arial" w:hAnsi="Arial" w:cs="Arial"/>
                <w:color w:val="000000" w:themeColor="text1"/>
              </w:rPr>
              <w:t>Su</w:t>
            </w:r>
            <w:proofErr w:type="spellEnd"/>
            <w:r w:rsidR="0066456E" w:rsidRPr="00D74025">
              <w:rPr>
                <w:rFonts w:ascii="Arial" w:hAnsi="Arial" w:cs="Arial"/>
                <w:color w:val="000000" w:themeColor="text1"/>
              </w:rPr>
              <w:t xml:space="preserve"> </w:t>
            </w:r>
            <w:r w:rsidR="0066456E" w:rsidRPr="00D74025">
              <w:rPr>
                <w:rFonts w:ascii="Arial" w:hAnsi="Arial" w:cs="Arial"/>
                <w:i/>
                <w:iCs/>
                <w:color w:val="000000" w:themeColor="text1"/>
              </w:rPr>
              <w:t>et al.</w:t>
            </w:r>
            <w:r w:rsidR="0066456E" w:rsidRPr="00D74025">
              <w:rPr>
                <w:rFonts w:ascii="Arial" w:hAnsi="Arial" w:cs="Arial"/>
                <w:color w:val="000000" w:themeColor="text1"/>
              </w:rPr>
              <w:t>, 2017</w:t>
            </w:r>
            <w:r w:rsidR="00D43F17"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{"citationID":"HdARb1ew","properties":{"formattedCitation":"\\super 112\\nosupersub{}","plainCitation":"112","noteIndex":0},"citationItems":[{"id":131,"uris":["http://zotero.org/users/7661987/items/E975ZH39"],"itemData":{"id":131,"type":"article-journal","abstract":"Melatonin is a naturally occurring molecule secreted by the pineal gland and known as a gatekeeper of circadian clocks. Mounting evidence indicates that melatonin, employing multiple and interrelated mechanisms, exhibits a variety of oncostatic properties in a myriad of tumors during different stages of their progression. Tumor metastasis, which commonly occurs at the late stage, is responsible for the majority of cancer deaths; metastases lead to the development of secondary tumors distant from a primary site. In reference to melatonin, the vast majority of investigations have focused on tumor development and progression at the primary site. Recently, however, interest has shifted toward the role of melatonin on tumor metastases. In this review, we highlight current advances in understanding the molecular mechanisms by which melatonin counteracts tumor metastases, including experimental and clinical observations; emphasis is placed on the impact of both cancer and non-­ neoplastic cells within the tumor microenvironment. Due to the broad range of melatonin’s actions, the mechanisms underlying its ability to interfere with metastases are numerous. These include modulation of cell–cell and cell–matrix interaction, extracellular matrix remodeling by matrix metalloproteinases, cytoskeleton reorganization, epithelial–mesenchymal transition, and angiogenesis. The evidence discussed herein will serve as a solid foundation for urging basic and clinical studies on the use of melatonin to understand and control metastatic diseases.","container-title":"Journal of Pineal Research","DOI":"10.1111/jpi.12370","ISSN":"07423098","issue":"1","journalAbbreviation":"J. Pineal Res.","language":"en","page":"e12370","source":"DOI.org (Crossref)","title":"Cancer metastasis: Mechanisms of inhibition by melatonin","title-short":"Cancer metastasis","volume":"62","author":[{"family":"Su","given":"Shih-Chi"},{"family":"Hsieh","given":"Ming-Ju"},{"family":"Yang","given":"Wei-En"},{"family":"Chung","given":"Wen-Hung"},{"family":"Reiter","given":"Russel J."},{"family":"Yang","given":"Shun-Fa"}],"issued":{"date-parts":[["2017",1]]}}}],"schema":"https://github.com/citation-style-language/schema/raw/master/csl-citation.json"} </w:instrText>
            </w:r>
            <w:r w:rsidR="00D43F17" w:rsidRPr="00D74025">
              <w:rPr>
                <w:rFonts w:ascii="Arial" w:hAnsi="Arial" w:cs="Arial"/>
                <w:color w:val="000000" w:themeColor="text1"/>
              </w:rPr>
              <w:fldChar w:fldCharType="separate"/>
            </w:r>
            <w:r w:rsidR="00174D75" w:rsidRPr="00174D75">
              <w:rPr>
                <w:rFonts w:ascii="Arial" w:hAnsi="Arial" w:cs="Arial"/>
                <w:color w:val="000000"/>
                <w:vertAlign w:val="superscript"/>
              </w:rPr>
              <w:t>112</w:t>
            </w:r>
            <w:bookmarkEnd w:id="29"/>
            <w:r w:rsidR="00D43F17" w:rsidRPr="00D74025">
              <w:rPr>
                <w:rFonts w:ascii="Arial" w:hAnsi="Arial" w:cs="Arial"/>
                <w:color w:val="000000" w:themeColor="text1"/>
              </w:rPr>
              <w:fldChar w:fldCharType="end"/>
            </w:r>
          </w:p>
        </w:tc>
      </w:tr>
    </w:tbl>
    <w:p w14:paraId="74E20F4B" w14:textId="5B9BCD8F" w:rsidR="00F741B0" w:rsidRPr="00475F28" w:rsidRDefault="00F741B0" w:rsidP="00F741B0">
      <w:pPr>
        <w:pStyle w:val="NormalWeb"/>
        <w:spacing w:line="360" w:lineRule="auto"/>
        <w:ind w:firstLine="1440"/>
        <w:rPr>
          <w:rFonts w:ascii="Arial" w:hAnsi="Arial" w:cs="Arial"/>
          <w:color w:val="000000" w:themeColor="text1"/>
        </w:rPr>
      </w:pPr>
      <w:r>
        <w:rPr>
          <w:rFonts w:ascii="Arial" w:hAnsi="Arial" w:cs="Arial"/>
          <w:color w:val="000000" w:themeColor="text1"/>
        </w:rPr>
        <w:t>Metastasis is estimated to cause the death of 90% of cancer patients</w:t>
      </w:r>
      <w:r>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{"citationID":"a12tsbpba2e","properties":{"formattedCitation":"\\super 113\\nosupersub{}","plainCitation":"113","noteIndex":0},"citationItems":[{"id":1261,"uris":["http://zotero.org/users/7661987/items/ZBR9MRIV"],"itemData":{"id":1261,"type":"article-journal","abstract":"Metastasis involves the spread of cancer cells from the primary tumor to surrounding tissues and to distant organs and is the primary cause of cancer morbidity and mortality. In order to complete the metastatic cascade, cancer cells must detach from the primary tumor, intravasate into the circulatory and lymphatic systems, evade immune attack, extravasate at distant capillary beds, and invade and proliferate in distant organs. Currently, several hypotheses have been advanced to explain the origin of cancer metastasis. These involve an epithelial mesenchymal transition, an accumulation of mutations in stem cells, a macrophage facilitation process, and a macrophage origin involving either transformation or fusion hybridization with neoplastic cells. Many of the properties of metastatic cancer cells are also seen in normal macrophages. A macrophage origin of metastasis can also explain the long-standing “seed and soil” hypothesis and the absence of metastasis in plant cancers. The view of metastasis as a macrophage metabolic disease can provide novel insight for therapeutic management.","language":"en","page":"37","source":"Zotero","title":"On the Origin of Cancer Metastasis","author":[{"family":"Seyfried","given":"Thomas N"},{"family":"Huysentruyt","given":"Leanne C"}],"issued":{"date-parts":[["2014"]]}}}],"schema":"https://github.com/citation-style-language/schema/raw/master/csl-citation.json"} </w:instrText>
      </w:r>
      <w:r>
        <w:rPr>
          <w:rFonts w:ascii="Arial" w:hAnsi="Arial" w:cs="Arial"/>
          <w:color w:val="000000" w:themeColor="text1"/>
        </w:rPr>
        <w:fldChar w:fldCharType="separate"/>
      </w:r>
      <w:r w:rsidR="000F4F53" w:rsidRPr="000F4F53">
        <w:rPr>
          <w:rFonts w:ascii="Arial" w:hAnsi="Arial" w:cs="Arial"/>
          <w:color w:val="000000"/>
          <w:vertAlign w:val="superscript"/>
        </w:rPr>
        <w:t>113</w:t>
      </w:r>
      <w:r>
        <w:rPr>
          <w:rFonts w:ascii="Arial" w:hAnsi="Arial" w:cs="Arial"/>
          <w:color w:val="000000" w:themeColor="text1"/>
        </w:rPr>
        <w:fldChar w:fldCharType="end"/>
      </w:r>
      <w:r>
        <w:rPr>
          <w:rFonts w:ascii="Arial" w:hAnsi="Arial" w:cs="Arial"/>
          <w:color w:val="000000" w:themeColor="text1"/>
        </w:rPr>
        <w:t>. This work will present the strategy of combining photothermal therapy with checkpoint inhibition to treat metastatic cancers.</w:t>
      </w:r>
    </w:p>
    <w:p w14:paraId="4CE2E1FB" w14:textId="21908AD1" w:rsidR="001B00C3" w:rsidRPr="00D74025" w:rsidRDefault="001B00C3" w:rsidP="001B00C3">
      <w:pPr>
        <w:pStyle w:val="NormalWeb"/>
        <w:spacing w:line="360" w:lineRule="auto"/>
        <w:ind w:firstLine="1440"/>
        <w:rPr>
          <w:rFonts w:ascii="Arial" w:hAnsi="Arial" w:cs="Arial"/>
          <w:color w:val="000000" w:themeColor="text1"/>
        </w:rPr>
      </w:pPr>
      <w:r w:rsidRPr="00D74025">
        <w:rPr>
          <w:rFonts w:ascii="Arial" w:hAnsi="Arial" w:cs="Arial"/>
          <w:i/>
          <w:iCs/>
          <w:color w:val="000000" w:themeColor="text1"/>
          <w:u w:val="single"/>
        </w:rPr>
        <w:t>Reprograming cell metabolism</w:t>
      </w:r>
      <w:r w:rsidRPr="00D74025">
        <w:rPr>
          <w:rFonts w:ascii="Arial" w:hAnsi="Arial" w:cs="Arial"/>
          <w:color w:val="000000" w:themeColor="text1"/>
        </w:rPr>
        <w:t>: Under aerobic conditions, healthy cells process glucose through glycolysis and oxidative phosphorylation. The latter result in a complete break</w:t>
      </w:r>
      <w:r w:rsidR="00B025EC">
        <w:rPr>
          <w:rFonts w:ascii="Arial" w:hAnsi="Arial" w:cs="Arial"/>
          <w:color w:val="000000" w:themeColor="text1"/>
        </w:rPr>
        <w:t>down</w:t>
      </w:r>
      <w:r w:rsidRPr="00D74025">
        <w:rPr>
          <w:rFonts w:ascii="Arial" w:hAnsi="Arial" w:cs="Arial"/>
          <w:color w:val="000000" w:themeColor="text1"/>
        </w:rPr>
        <w:t xml:space="preserve"> of glucose into CO</w:t>
      </w:r>
      <w:r w:rsidRPr="00D74025">
        <w:rPr>
          <w:rFonts w:ascii="Arial" w:hAnsi="Arial" w:cs="Arial"/>
          <w:color w:val="000000" w:themeColor="text1"/>
          <w:vertAlign w:val="subscript"/>
        </w:rPr>
        <w:t>2</w:t>
      </w:r>
      <w:r w:rsidRPr="00D74025">
        <w:rPr>
          <w:rFonts w:ascii="Arial" w:hAnsi="Arial" w:cs="Arial"/>
          <w:color w:val="000000" w:themeColor="text1"/>
        </w:rPr>
        <w:t>, resulting in higher ATP production. In anaerobic conditions, the absence of O</w:t>
      </w:r>
      <w:r w:rsidRPr="00D74025">
        <w:rPr>
          <w:rFonts w:ascii="Arial" w:hAnsi="Arial" w:cs="Arial"/>
          <w:color w:val="000000" w:themeColor="text1"/>
          <w:vertAlign w:val="subscript"/>
        </w:rPr>
        <w:t>2</w:t>
      </w:r>
      <w:r w:rsidRPr="00D74025">
        <w:rPr>
          <w:rFonts w:ascii="Arial" w:hAnsi="Arial" w:cs="Arial"/>
          <w:color w:val="000000" w:themeColor="text1"/>
        </w:rPr>
        <w:t xml:space="preserve"> necessary for oxidative phosphorylation limits the glucose metabolism to glycolysis, yielding much lower ATP production. Despite the decreased ATP output, cancer cells usually switch their metabolism to “aerobic glycolysis”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{"citationID":"aotvq1qjod","properties":{"formattedCitation":"\\super 114\\nosupersub{}","plainCitation":"114","noteIndex":0},"citationItems":[{"id":180,"uris":["http://zotero.org/users/7661987/items/NLM9WMSH"],"itemData":{"id":180,"type":"article-journal","container-title":"Cell Metabolism","DOI":"10.1016/j.cmet.2015.12.006","ISSN":"15504131","issue":"1","journalAbbreviation":"Cell Metabolism","language":"en","page":"27-47","source":"DOI.org (Crossref)","title":"The Emerging Hallmarks of Cancer Metabolism","volume":"23","author":[{"family":"Pavlova","given":"Natalya N."},{"family":"Thompson","given":"Craig B."}],"issued":{"date-parts":[["2016",1]]}}}],"schema":"https://github.com/citation-style-language/schema/raw/master/csl-citation.json"}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114</w:t>
      </w:r>
      <w:r w:rsidRPr="00D74025">
        <w:rPr>
          <w:rFonts w:ascii="Arial" w:hAnsi="Arial" w:cs="Arial"/>
          <w:color w:val="000000" w:themeColor="text1"/>
        </w:rPr>
        <w:fldChar w:fldCharType="end"/>
      </w:r>
      <w:r w:rsidRPr="00D74025">
        <w:rPr>
          <w:rFonts w:ascii="Arial" w:hAnsi="Arial" w:cs="Arial"/>
          <w:color w:val="000000" w:themeColor="text1"/>
        </w:rPr>
        <w:t xml:space="preserve">. One of the </w:t>
      </w:r>
      <w:r w:rsidR="00F7768E">
        <w:rPr>
          <w:rFonts w:ascii="Arial" w:hAnsi="Arial" w:cs="Arial"/>
          <w:color w:val="000000" w:themeColor="text1"/>
        </w:rPr>
        <w:t>reasons</w:t>
      </w:r>
      <w:r w:rsidRPr="00D74025">
        <w:rPr>
          <w:rFonts w:ascii="Arial" w:hAnsi="Arial" w:cs="Arial"/>
          <w:color w:val="000000" w:themeColor="text1"/>
        </w:rPr>
        <w:t xml:space="preserve"> for this phenomenon is that the metabolites from glycolysis can be used in the biosynthesis of other macromolecules crucial for cell proliferation</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{"citationID":"ali85m7dgs","properties":{"formattedCitation":"\\super 115\\nosupersub{}","plainCitation":"115","noteIndex":0},"citationItems":[{"id":326,"uris":["http://zotero.org/users/7661987/items/4RDB6V79"],"itemData":{"id":326,"type":"article-journal","abstract":"In contrast to normal differentiated cells, which rely primarily on mitochondrial oxidative phosphorylation to generate the energy needed for cellular processes, most cancer cells instead rely on aerobic glycolysis, a phenomenon termed “the Warburg effect.” Aerobic glycolysis is an inefficient way to generate adenosine 5′-triphosphate (ATP), however, and the advantage it confers to cancer cells has been unclear. Here we propose that the metabolism of cancer cells, and indeed all proliferating cells, is adapted to facilitate the uptake and incorporation of nutrients into the biomass (e.g., nucleotides, amino acids, and lipids) needed to produce a new cell. Supporting this idea are recent studies showing that (i) several signaling pathways implicated in cell proliferation also regulate metabolic pathways that incorporate nutrients into biomass; and that (ii) certain cancer-associated mutations enable cancer cells to acquire and metabolize nutrients in a manner conducive to proliferation rather than efficient ATP production. A better understanding of the mechanistic links between cellular metabolism and growth control may ultimately lead to better treatments for human cancer.","container-title":"Science","DOI":"10.1126/science.1160809","ISSN":"0036-8075, 1095-9203","issue":"5930","journalAbbreviation":"Science","language":"en","page":"1029-1033","source":"DOI.org (Crossref)","title":"Understanding the Warburg Effect: The Metabolic Requirements of Cell Proliferation","title-short":"Understanding the Warburg Effect","volume":"324","author":[{"family":"Vander Heiden","given":"Matthew G."},{"family":"Cantley","given":"Lewis C."},{"family":"Thompson","given":"Craig B."}],"issued":{"date-parts":[["2009",5,22]]}}}],"schema":"https://github.com/citation-style-language/schema/raw/master/csl-citation.json"}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115</w:t>
      </w:r>
      <w:r w:rsidRPr="00D74025">
        <w:rPr>
          <w:rFonts w:ascii="Arial" w:hAnsi="Arial" w:cs="Arial"/>
          <w:color w:val="000000" w:themeColor="text1"/>
        </w:rPr>
        <w:fldChar w:fldCharType="end"/>
      </w:r>
      <w:r w:rsidRPr="00D74025">
        <w:rPr>
          <w:rFonts w:ascii="Arial" w:hAnsi="Arial" w:cs="Arial"/>
          <w:color w:val="000000" w:themeColor="text1"/>
        </w:rPr>
        <w:t xml:space="preserve">. The proteins involved in the other hallmarks of cancer are responsible for this switch in the tumor cell </w:t>
      </w:r>
      <w:r w:rsidRPr="00D74025">
        <w:rPr>
          <w:rFonts w:ascii="Arial" w:hAnsi="Arial" w:cs="Arial"/>
          <w:color w:val="000000" w:themeColor="text1"/>
        </w:rPr>
        <w:lastRenderedPageBreak/>
        <w:t>metabolism. Therefore, the widespread of this phenotype in cancer cells is considered a hallmark of cancer</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{"citationID":"a2f4ss21p47","properties":{"formattedCitation":"\\super 85\\nosupersub{}","plainCitation":"85","noteIndex":0},"citationItems":[{"id":134,"uris":["http://zotero.org/users/7661987/items/WFS45MZR"],"itemData":{"id":134,"type":"article-journal","container-title":"Cell","DOI":"10.1016/j.cell.2011.02.013","ISSN":"00928674","issue":"5","journalAbbreviation":"Cell","language":"en","page":"646-674","source":"DOI.org (Crossref)","title":"Hallmarks of Cancer: The Next Generation","title-short":"Hallmarks of Cancer","volume":"144","author":[{"family":"Hanahan","given":"Douglas"},{"family":"Weinberg","given":"Robert A."}],"issued":{"date-parts":[["2011",3]]}}}],"schema":"https://github.com/citation-style-language/schema/raw/master/csl-citation.json"}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85</w:t>
      </w:r>
      <w:r w:rsidRPr="00D74025">
        <w:rPr>
          <w:rFonts w:ascii="Arial" w:hAnsi="Arial" w:cs="Arial"/>
          <w:color w:val="000000" w:themeColor="text1"/>
        </w:rPr>
        <w:fldChar w:fldCharType="end"/>
      </w:r>
      <w:r w:rsidRPr="00D74025">
        <w:rPr>
          <w:rFonts w:ascii="Arial" w:hAnsi="Arial" w:cs="Arial"/>
          <w:color w:val="000000" w:themeColor="text1"/>
        </w:rPr>
        <w:t>.</w:t>
      </w:r>
    </w:p>
    <w:p w14:paraId="0DDFD085" w14:textId="23E1A14D" w:rsidR="00F21106" w:rsidRPr="00D74025" w:rsidRDefault="00F21106" w:rsidP="00F21106">
      <w:pPr>
        <w:pStyle w:val="NormalWeb"/>
        <w:spacing w:line="360" w:lineRule="auto"/>
        <w:ind w:firstLine="1440"/>
        <w:contextualSpacing/>
        <w:rPr>
          <w:rFonts w:ascii="Arial" w:hAnsi="Arial" w:cs="Arial"/>
          <w:color w:val="000000" w:themeColor="text1"/>
        </w:rPr>
      </w:pPr>
      <w:r w:rsidRPr="00D74025">
        <w:rPr>
          <w:rFonts w:ascii="Arial" w:hAnsi="Arial" w:cs="Arial"/>
          <w:i/>
          <w:iCs/>
          <w:color w:val="000000" w:themeColor="text1"/>
          <w:u w:val="single"/>
        </w:rPr>
        <w:t>Avoiding immune destruction</w:t>
      </w:r>
      <w:r w:rsidRPr="00D74025">
        <w:rPr>
          <w:rFonts w:ascii="Arial" w:hAnsi="Arial" w:cs="Arial"/>
          <w:color w:val="000000" w:themeColor="text1"/>
        </w:rPr>
        <w:t>: Immune surveillance is a theory that explains healthy tissue’s prevention of cancer emergence. In that theory, immune system cells constantly monitor tissue-building cells for signs of tumorigenesis. Therefore, for the development of solid tumors, cells with tumorigenic tendencies had to undergo adaptations to evade immunological killing. The evidence of increased cancer incidence in immunocompromised populations supports this theory</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{"citationID":"a1s1dn5b9bb","properties":{"formattedCitation":"\\super 116\\nosupersub{}","plainCitation":"116","noteIndex":0},"citationItems":[{"id":328,"uris":["http://zotero.org/users/7661987/items/YNUEJMLK"],"itemData":{"id":328,"type":"article-journal","container-title":"International Journal of Cancer","DOI":"10.1002/ijc.24439","ISSN":"00207136, 10970215","issue":"8","journalAbbreviation":"Int. J. Cancer","language":"en","page":"1747-1754","source":"DOI.org (Crossref)","title":"Cancer incidence and risk factors after solid organ transplantation","volume":"125","author":[{"family":"Vajdic","given":"Claire M."},{"family":"Leeuwen","given":"Marina T.","non-dropping-particle":"van"}],"issued":{"date-parts":[["2009",10,15]]}}}],"schema":"https://github.com/citation-style-language/schema/raw/master/csl-citation.json"}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116</w:t>
      </w:r>
      <w:r w:rsidRPr="00D74025">
        <w:rPr>
          <w:rFonts w:ascii="Arial" w:hAnsi="Arial" w:cs="Arial"/>
          <w:color w:val="000000" w:themeColor="text1"/>
        </w:rPr>
        <w:fldChar w:fldCharType="end"/>
      </w:r>
      <w:r w:rsidRPr="00D74025">
        <w:rPr>
          <w:rFonts w:ascii="Arial" w:hAnsi="Arial" w:cs="Arial"/>
          <w:color w:val="000000" w:themeColor="text1"/>
        </w:rPr>
        <w:t>. Additionally, the use of carcinogens in genetically engineered immune-compromised mice has shown higher incidence and more rapid tumor growth than in mice that are immunocompetent</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{"citationID":"a8u4rfu9aq","properties":{"formattedCitation":"\\super 117\\nosupersub{}","plainCitation":"117","noteIndex":0},"citationItems":[{"id":327,"uris":["http://zotero.org/users/7661987/items/GDCNJ66S"],"itemData":{"id":327,"type":"article-journal","abstract":"This brief review discusses the role of the immune system in tumor development, covering a history of cancer immunity and a summary of the concept of cancer immunoediting, including its three phases: elimination, equilibrium, and escape. The latter half of this review then focuses speciﬁcally on the equilibrium phase, making note of previous work, suggesting that immunity might maintain cancer in a dormant state, and concluding with a description of a tractable mouse model unequivocally demonstrating that immunity can indeed hold preformed cancer in check. These ﬁndings form a framework for future studies aimed at validating immune-mediated cancer dormancy in humans with the hopes of devising new, immunotherapeutic strategies to treat established cancer. J. Leukoc. Biol. 84: 988 –993; 2008.","container-title":"Journal of Leukocyte Biology","DOI":"10.1189/jlb.1107774","ISSN":"07415400","issue":"4","journalAbbreviation":"Journal of Leukocyte Biology","language":"en","page":"988-993","source":"DOI.org (Crossref)","title":"Immune-mediated dormancy: an equilibrium with cancer","title-short":"Immune-mediated dormancy","volume":"84","author":[{"family":"Teng","given":"Michele W. L."},{"family":"Swann","given":"Jeremy B."},{"family":"Koebel","given":"Catherine M."},{"family":"Schreiber","given":"Robert D."},{"family":"Smyth","given":"Mark J."}],"issued":{"date-parts":[["2008",10]]}}}],"schema":"https://github.com/citation-style-language/schema/raw/master/csl-citation.json"}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117</w:t>
      </w:r>
      <w:r w:rsidRPr="00D74025">
        <w:rPr>
          <w:rFonts w:ascii="Arial" w:hAnsi="Arial" w:cs="Arial"/>
          <w:color w:val="000000" w:themeColor="text1"/>
        </w:rPr>
        <w:fldChar w:fldCharType="end"/>
      </w:r>
      <w:r w:rsidRPr="00D74025">
        <w:rPr>
          <w:rFonts w:ascii="Arial" w:hAnsi="Arial" w:cs="Arial"/>
          <w:color w:val="000000" w:themeColor="text1"/>
        </w:rPr>
        <w:t>. Both innate and adaptive immune systems might be critical in tumor prevention and, therefore, tumor eradication. In this work, one of the strategies for cancer treatment is the modulation of the immune system for developing anti-tumoral activity, thus counterbalancing cancer immune evasion.</w:t>
      </w:r>
    </w:p>
    <w:p w14:paraId="775DE7A1" w14:textId="688C12A9" w:rsidR="00191FBB" w:rsidRPr="00D74025" w:rsidRDefault="00191FBB" w:rsidP="00191FBB">
      <w:pPr>
        <w:pStyle w:val="NormalWeb"/>
        <w:spacing w:line="360" w:lineRule="auto"/>
        <w:ind w:firstLine="0"/>
        <w:contextualSpacing/>
        <w:rPr>
          <w:rFonts w:ascii="Arial" w:hAnsi="Arial" w:cs="Arial"/>
          <w:color w:val="000000" w:themeColor="text1"/>
        </w:rPr>
      </w:pPr>
    </w:p>
    <w:p w14:paraId="60B4C206" w14:textId="207754A5" w:rsidR="00191FBB" w:rsidRPr="00D74025" w:rsidRDefault="00F44121" w:rsidP="00F44121">
      <w:pPr>
        <w:pStyle w:val="NormalWeb"/>
        <w:spacing w:line="360" w:lineRule="auto"/>
        <w:ind w:firstLine="0"/>
        <w:contextualSpacing/>
        <w:jc w:val="center"/>
        <w:rPr>
          <w:rFonts w:ascii="Arial" w:hAnsi="Arial" w:cs="Arial"/>
          <w:color w:val="000000" w:themeColor="text1"/>
        </w:rPr>
      </w:pPr>
      <w:r w:rsidRPr="00D74025">
        <w:rPr>
          <w:rFonts w:ascii="Arial" w:hAnsi="Arial" w:cs="Arial"/>
          <w:color w:val="000000" w:themeColor="text1"/>
        </w:rPr>
        <w:t>***</w:t>
      </w:r>
    </w:p>
    <w:p w14:paraId="7886FCC5" w14:textId="77777777" w:rsidR="0056319F" w:rsidRPr="00D74025" w:rsidRDefault="0056319F" w:rsidP="00191FBB">
      <w:pPr>
        <w:pStyle w:val="NormalWeb"/>
        <w:spacing w:line="360" w:lineRule="auto"/>
        <w:ind w:firstLine="0"/>
        <w:contextualSpacing/>
        <w:rPr>
          <w:rFonts w:ascii="Arial" w:hAnsi="Arial" w:cs="Arial"/>
          <w:color w:val="000000" w:themeColor="text1"/>
        </w:rPr>
      </w:pPr>
    </w:p>
    <w:p w14:paraId="445260E8" w14:textId="77777777" w:rsidR="00313617" w:rsidRPr="00D74025" w:rsidRDefault="00313617" w:rsidP="00313617">
      <w:pPr>
        <w:pStyle w:val="NormalWeb"/>
        <w:spacing w:line="360" w:lineRule="auto"/>
        <w:ind w:firstLine="1440"/>
        <w:contextualSpacing/>
        <w:rPr>
          <w:rFonts w:ascii="Arial" w:hAnsi="Arial" w:cs="Arial"/>
          <w:color w:val="000000" w:themeColor="text1"/>
        </w:rPr>
      </w:pPr>
      <w:r w:rsidRPr="00D74025">
        <w:rPr>
          <w:rFonts w:ascii="Arial" w:hAnsi="Arial" w:cs="Arial"/>
          <w:color w:val="000000" w:themeColor="text1"/>
        </w:rPr>
        <w:t xml:space="preserve">Knowing all those attributes shared by cancer of all types is essential for developing strategies to counteract the tumor-enabling characteristics. Although those aspects are common to most tumor types, cancer is still a variety of diseases. Therefore, a cancer treatment study needs to focus on a specific type of tumor, which correlates to the choice of a relatable tumor model. </w:t>
      </w:r>
    </w:p>
    <w:p w14:paraId="275C79B4" w14:textId="77777777" w:rsidR="00313617" w:rsidRPr="00D74025" w:rsidRDefault="00313617" w:rsidP="00313617">
      <w:pPr>
        <w:pStyle w:val="NormalWeb"/>
        <w:spacing w:line="360" w:lineRule="auto"/>
        <w:ind w:firstLine="1440"/>
        <w:contextualSpacing/>
        <w:rPr>
          <w:rFonts w:ascii="Arial" w:hAnsi="Arial" w:cs="Arial"/>
          <w:color w:val="000000" w:themeColor="text1"/>
        </w:rPr>
      </w:pPr>
      <w:r w:rsidRPr="00D74025">
        <w:rPr>
          <w:rFonts w:ascii="Arial" w:hAnsi="Arial" w:cs="Arial"/>
          <w:color w:val="000000" w:themeColor="text1"/>
        </w:rPr>
        <w:t>The focus of this work is to study breast cancer treatment, even though some of the strategies might be translatable to other types of tumors. The following section will introduce the characteristics of breast cancer and, more importantly, a very deadly subtype of breast cancer: triple-negative breast cancer.</w:t>
      </w:r>
    </w:p>
    <w:p w14:paraId="3CFBF4DB" w14:textId="77777777" w:rsidR="0084375C" w:rsidRPr="00D74025" w:rsidRDefault="0084375C" w:rsidP="0084375C">
      <w:pPr>
        <w:pStyle w:val="NormalWeb"/>
        <w:spacing w:line="360" w:lineRule="auto"/>
        <w:ind w:firstLine="0"/>
        <w:contextualSpacing/>
        <w:rPr>
          <w:rFonts w:ascii="Arial" w:hAnsi="Arial" w:cs="Arial"/>
          <w:color w:val="000000" w:themeColor="text1"/>
        </w:rPr>
      </w:pPr>
    </w:p>
    <w:p w14:paraId="2F16F831" w14:textId="77777777" w:rsidR="00791D13" w:rsidRPr="00D74025" w:rsidRDefault="00791D13" w:rsidP="00CF0CD5">
      <w:pPr>
        <w:pStyle w:val="Heading3"/>
        <w:spacing w:line="360" w:lineRule="auto"/>
        <w:ind w:firstLine="1440"/>
        <w:rPr>
          <w:rFonts w:ascii="Arial" w:hAnsi="Arial" w:cs="Arial"/>
          <w:b/>
          <w:bCs/>
          <w:color w:val="000000" w:themeColor="text1"/>
        </w:rPr>
      </w:pPr>
      <w:bookmarkStart w:id="30" w:name="_Toc87466639"/>
      <w:bookmarkStart w:id="31" w:name="_Toc121217230"/>
      <w:r w:rsidRPr="00D74025">
        <w:rPr>
          <w:rFonts w:ascii="Arial" w:hAnsi="Arial" w:cs="Arial"/>
          <w:b/>
          <w:bCs/>
          <w:color w:val="000000" w:themeColor="text1"/>
        </w:rPr>
        <w:lastRenderedPageBreak/>
        <w:t>1.3.3 Breast cancer</w:t>
      </w:r>
      <w:bookmarkEnd w:id="30"/>
      <w:bookmarkEnd w:id="31"/>
    </w:p>
    <w:p w14:paraId="1E047064" w14:textId="68168BFB" w:rsidR="00D928B8" w:rsidRDefault="00D928B8" w:rsidP="00D928B8">
      <w:pPr>
        <w:spacing w:before="240" w:line="360" w:lineRule="auto"/>
        <w:ind w:firstLine="1440"/>
        <w:jc w:val="both"/>
        <w:rPr>
          <w:rFonts w:ascii="Arial" w:hAnsi="Arial" w:cs="Arial"/>
          <w:color w:val="000000" w:themeColor="text1"/>
        </w:rPr>
      </w:pPr>
      <w:r w:rsidRPr="00D74025">
        <w:rPr>
          <w:rFonts w:ascii="Arial" w:hAnsi="Arial" w:cs="Arial"/>
          <w:color w:val="000000" w:themeColor="text1"/>
        </w:rPr>
        <w:t>Breast cancer (BC) is the most common cancer in women worldwide (</w:t>
      </w:r>
      <w:r w:rsidRPr="009F2F83">
        <w:rPr>
          <w:rFonts w:ascii="Arial" w:hAnsi="Arial" w:cs="Arial"/>
          <w:color w:val="000000" w:themeColor="text1"/>
        </w:rPr>
        <w:t xml:space="preserve">see </w:t>
      </w:r>
      <w:r w:rsidR="009F2F83" w:rsidRPr="009F2F83">
        <w:rPr>
          <w:rFonts w:ascii="Arial" w:hAnsi="Arial" w:cs="Arial"/>
          <w:b/>
          <w:bCs/>
          <w:color w:val="000000" w:themeColor="text1"/>
        </w:rPr>
        <w:t>F</w:t>
      </w:r>
      <w:r w:rsidRPr="009F2F83">
        <w:rPr>
          <w:rFonts w:ascii="Arial" w:hAnsi="Arial" w:cs="Arial"/>
          <w:b/>
          <w:bCs/>
          <w:color w:val="000000" w:themeColor="text1"/>
        </w:rPr>
        <w:t>igure 15</w:t>
      </w:r>
      <w:r w:rsidRPr="00D74025">
        <w:rPr>
          <w:rFonts w:ascii="Arial" w:hAnsi="Arial" w:cs="Arial"/>
          <w:color w:val="000000" w:themeColor="text1"/>
        </w:rPr>
        <w:t>) and the most frequently diagnosed cancer in 154 of 185 countries in the world</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{"citationID":"a15804if0kc","properties":{"formattedCitation":"\\super 83\\nosupersub{}","plainCitation":"83","noteIndex":0},"citationItems":[{"id":133,"uris":["http://zotero.org/users/7661987/items/U6PFQKYZ"],"itemData":{"id":133,"type":"article-journal","container-title":"CA: A Cancer Journal for Clinicians","DOI":"10.3322/caac.21492","ISSN":"00079235","issue":"6","journalAbbreviation":"CA: A Cancer Journal for Clinicians","language":"en","page":"394-424","source":"DOI.org (Crossref)","title":"Global cancer statistics 2018: GLOBOCAN estimates of incidence and mortality worldwide for 36 cancers in 185 countries","title-short":"Global cancer statistics 2018","volume":"68","author":[{"family":"Bray","given":"Freddie"},{"family":"Ferlay","given":"Jacques"},{"family":"Soerjomataram","given":"Isabelle"},{"family":"Siegel","given":"Rebecca L."},{"family":"Torre","given":"Lindsey A."},{"family":"Jemal","given":"Ahmedin"}],"issued":{"date-parts":[["2018",11]]}}}],"schema":"https://github.com/citation-style-language/schema/raw/master/csl-citation.json"}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83</w:t>
      </w:r>
      <w:r w:rsidRPr="00D74025">
        <w:rPr>
          <w:rFonts w:ascii="Arial" w:hAnsi="Arial" w:cs="Arial"/>
          <w:color w:val="000000" w:themeColor="text1"/>
        </w:rPr>
        <w:fldChar w:fldCharType="end"/>
      </w:r>
      <w:r w:rsidRPr="00D74025">
        <w:rPr>
          <w:rFonts w:ascii="Arial" w:hAnsi="Arial" w:cs="Arial"/>
          <w:color w:val="000000" w:themeColor="text1"/>
        </w:rPr>
        <w:t>. BC is also the most prevailing cancer-related death in women, being the leading cause of death in 100 of all countries</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{"citationID":"aqplhs6p2p","properties":{"formattedCitation":"\\super 83\\nosupersub{}","plainCitation":"83","noteIndex":0},"citationItems":[{"id":133,"uris":["http://zotero.org/users/7661987/items/U6PFQKYZ"],"itemData":{"id":133,"type":"article-journal","container-title":"CA: A Cancer Journal for Clinicians","DOI":"10.3322/caac.21492","ISSN":"00079235","issue":"6","journalAbbreviation":"CA: A Cancer Journal for Clinicians","language":"en","page":"394-424","source":"DOI.org (Crossref)","title":"Global cancer statistics 2018: GLOBOCAN estimates of incidence and mortality worldwide for 36 cancers in 185 countries","title-short":"Global cancer statistics 2018","volume":"68","author":[{"family":"Bray","given":"Freddie"},{"family":"Ferlay","given":"Jacques"},{"family":"Soerjomataram","given":"Isabelle"},{"family":"Siegel","given":"Rebecca L."},{"family":"Torre","given":"Lindsey A."},{"family":"Jemal","given":"Ahmedin"}],"issued":{"date-parts":[["2018",11]]}}}],"schema":"https://github.com/citation-style-language/schema/raw/master/csl-citation.json"}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83</w:t>
      </w:r>
      <w:r w:rsidRPr="00D74025">
        <w:rPr>
          <w:rFonts w:ascii="Arial" w:hAnsi="Arial" w:cs="Arial"/>
          <w:color w:val="000000" w:themeColor="text1"/>
        </w:rPr>
        <w:fldChar w:fldCharType="end"/>
      </w:r>
      <w:r w:rsidRPr="00D74025">
        <w:rPr>
          <w:rFonts w:ascii="Arial" w:hAnsi="Arial" w:cs="Arial"/>
          <w:color w:val="000000" w:themeColor="text1"/>
        </w:rPr>
        <w:t>. Despite the decrease in mortality in high-income countries, BC incidence has increased worldwide</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{"citationID":"a1acueoficp","properties":{"formattedCitation":"\\super 118\\nosupersub{}","plainCitation":"118","noteIndex":0},"citationItems":[{"id":276,"uris":["http://zotero.org/users/7661987/items/4AF5L56J"],"itemData":{"id":276,"type":"article-journal","abstract":"Despite decades of laboratory, epidemiological and clinical research, breast cancer incidence continues to rise. Breast cancer remains the leading cancer-r elated cause of disease burden for women, affecting one in 20 globally and as many as one in eight in high-income countries. Reducing breast cancer incidence will likely require both a population-b ased approach of reducing exposure to modifiable risk factors and a precision-p revention approach of identifying women at increased risk and targeting them for specific interventions, such as risk-reducing medication. We already have the capacity to estimate an individual woman’s breast cancer risk using validated risk assessment models, and the accuracy of these models is likely to continue to improve over time, particularly with inclusion of newer risk factors, such as polygenic risk and mammographic density. Evidence-based risk-r educing medications are cheap, widely available and recommended by professional health bodies; however, widespread implementation of these has proven challenging. The barriers to uptake of, and adherence to, current medications will need to be considered as we deepen our understanding of breast cancer initiation and begin developing and testing novel preventives.","container-title":"Nature Reviews Cancer","DOI":"10.1038/s41568-020-0266-x","ISSN":"1474-175X, 1474-1768","issue":"8","journalAbbreviation":"Nat Rev Cancer","language":"en","page":"417-436","source":"DOI.org (Crossref)","title":"Key steps for effective breast cancer prevention","volume":"20","author":[{"family":"Britt","given":"Kara L."},{"family":"Cuzick","given":"Jack"},{"family":"Phillips","given":"Kelly-Anne"}],"issued":{"date-parts":[["2020",8]]}}}],"schema":"https://github.com/citation-style-language/schema/raw/master/csl-citation.json"}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118</w:t>
      </w:r>
      <w:r w:rsidRPr="00D74025">
        <w:rPr>
          <w:rFonts w:ascii="Arial" w:hAnsi="Arial" w:cs="Arial"/>
          <w:color w:val="000000" w:themeColor="text1"/>
        </w:rPr>
        <w:fldChar w:fldCharType="end"/>
      </w:r>
      <w:r w:rsidRPr="00D74025">
        <w:rPr>
          <w:rFonts w:ascii="Arial" w:hAnsi="Arial" w:cs="Arial"/>
          <w:color w:val="000000" w:themeColor="text1"/>
        </w:rPr>
        <w:t xml:space="preserve">. One in every </w:t>
      </w:r>
      <w:r w:rsidR="00F7768E">
        <w:rPr>
          <w:rFonts w:ascii="Arial" w:hAnsi="Arial" w:cs="Arial"/>
          <w:color w:val="000000" w:themeColor="text1"/>
        </w:rPr>
        <w:t>20</w:t>
      </w:r>
      <w:r w:rsidRPr="00D74025">
        <w:rPr>
          <w:rFonts w:ascii="Arial" w:hAnsi="Arial" w:cs="Arial"/>
          <w:color w:val="000000" w:themeColor="text1"/>
        </w:rPr>
        <w:t xml:space="preserve"> women is affected by BC globally, while this statistic rises to one in every </w:t>
      </w:r>
      <w:r w:rsidR="00F97AA8">
        <w:rPr>
          <w:rFonts w:ascii="Arial" w:hAnsi="Arial" w:cs="Arial"/>
          <w:color w:val="000000" w:themeColor="text1"/>
        </w:rPr>
        <w:t>8</w:t>
      </w:r>
      <w:r w:rsidRPr="00D74025">
        <w:rPr>
          <w:rFonts w:ascii="Arial" w:hAnsi="Arial" w:cs="Arial"/>
          <w:color w:val="000000" w:themeColor="text1"/>
        </w:rPr>
        <w:t xml:space="preserve"> women by age 85 who live in developed countries </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{"citationID":"a2osfli4h9d","properties":{"formattedCitation":"\\super 119\\nosupersub{}","plainCitation":"119","noteIndex":0},"citationItems":[{"id":275,"uris":["http://zotero.org/users/7661987/items/QGX6CPD3"],"itemData":{"id":275,"type":"article-journal","container-title":"Journal of Clinical Oncology","DOI":"10.1200/JCO.2018.36.15_suppl.1568","ISSN":"0732-183X, 1527-7755","issue":"15_suppl","journalAbbreviation":"JCO","language":"en","page":"1568-1568","source":"DOI.org (Crossref)","title":"Global, regional, and national cancer incidence, mortality, years of life lost, years lived with disability, and disability-adjusted life-years for 29 cancer groups, 2006 to 2016: A systematic analysis for the Global Burden of Disease study.","title-short":"Global, regional, and national cancer incidence, mortality, years of life lost, years lived with disability, and disability-adjusted life-years for 29 cancer groups, 2006 to 2016","volume":"36","author":[{"family":"Fitzmaurice","given":"Christina"},{"literal":"Global Burden of Disease Cancer Collaboration"}],"issued":{"date-parts":[["2018",5,20]]}}}],"schema":"https://github.com/citation-style-language/schema/raw/master/csl-citation.json"}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119</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40160F0C" w14:textId="77777777" w:rsidR="009F2F83" w:rsidRPr="00D74025" w:rsidRDefault="009F2F83" w:rsidP="00D928B8">
      <w:pPr>
        <w:spacing w:before="240" w:line="360" w:lineRule="auto"/>
        <w:ind w:firstLine="1440"/>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0F515F7B" w14:textId="77777777">
        <w:tc>
          <w:tcPr>
            <w:tcW w:w="9350" w:type="dxa"/>
          </w:tcPr>
          <w:p w14:paraId="46964E94" w14:textId="074EEFE9" w:rsidR="00EE1A9D" w:rsidRPr="00D74025" w:rsidRDefault="00BF4C92" w:rsidP="00BF4C92">
            <w:pPr>
              <w:spacing w:beforeAutospacing="0" w:line="360" w:lineRule="auto"/>
              <w:ind w:firstLine="0"/>
              <w:rPr>
                <w:rFonts w:ascii="Arial" w:hAnsi="Arial" w:cs="Arial"/>
                <w:color w:val="000000" w:themeColor="text1"/>
              </w:rPr>
            </w:pPr>
            <w:r w:rsidRPr="00D74025">
              <w:rPr>
                <w:rFonts w:ascii="Arial" w:hAnsi="Arial" w:cs="Arial"/>
                <w:noProof/>
                <w:color w:val="000000" w:themeColor="text1"/>
              </w:rPr>
              <w:drawing>
                <wp:inline distT="0" distB="0" distL="0" distR="0" wp14:anchorId="7A566414" wp14:editId="5F4A5A6F">
                  <wp:extent cx="5719665" cy="4344746"/>
                  <wp:effectExtent l="0" t="0" r="0" b="0"/>
                  <wp:docPr id="21" name="Picture 2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bar chart&#10;&#10;Description automatically generated"/>
                          <pic:cNvPicPr/>
                        </pic:nvPicPr>
                        <pic:blipFill>
                          <a:blip r:embed="rId30"/>
                          <a:stretch>
                            <a:fillRect/>
                          </a:stretch>
                        </pic:blipFill>
                        <pic:spPr>
                          <a:xfrm>
                            <a:off x="0" y="0"/>
                            <a:ext cx="5725514" cy="4349189"/>
                          </a:xfrm>
                          <a:prstGeom prst="rect">
                            <a:avLst/>
                          </a:prstGeom>
                        </pic:spPr>
                      </pic:pic>
                    </a:graphicData>
                  </a:graphic>
                </wp:inline>
              </w:drawing>
            </w:r>
          </w:p>
        </w:tc>
      </w:tr>
      <w:tr w:rsidR="00D74025" w:rsidRPr="00D74025" w14:paraId="1157D1D8" w14:textId="77777777">
        <w:tc>
          <w:tcPr>
            <w:tcW w:w="9350" w:type="dxa"/>
          </w:tcPr>
          <w:p w14:paraId="3FC8B1BF" w14:textId="7EC469EC" w:rsidR="00EE1A9D" w:rsidRPr="00D74025" w:rsidRDefault="00DD4B6C" w:rsidP="00DD4B6C">
            <w:pPr>
              <w:autoSpaceDE w:val="0"/>
              <w:autoSpaceDN w:val="0"/>
              <w:adjustRightInd w:val="0"/>
              <w:spacing w:before="120" w:beforeAutospacing="0" w:after="0" w:afterAutospacing="0" w:line="360" w:lineRule="auto"/>
              <w:ind w:firstLine="0"/>
              <w:rPr>
                <w:rFonts w:ascii="Arial" w:hAnsi="Arial" w:cs="Arial"/>
                <w:color w:val="000000" w:themeColor="text1"/>
              </w:rPr>
            </w:pPr>
            <w:bookmarkStart w:id="32" w:name="_Toc121217337"/>
            <w:r w:rsidRPr="00DD4B6C">
              <w:rPr>
                <w:rFonts w:ascii="Arial" w:hAnsi="Arial" w:cs="Arial"/>
                <w:b/>
                <w:bCs/>
                <w:color w:val="000000" w:themeColor="text1"/>
              </w:rPr>
              <w:t xml:space="preserve">Figure </w:t>
            </w:r>
            <w:r w:rsidRPr="00DD4B6C">
              <w:rPr>
                <w:rFonts w:ascii="Arial" w:hAnsi="Arial" w:cs="Arial"/>
                <w:b/>
                <w:bCs/>
                <w:color w:val="000000" w:themeColor="text1"/>
              </w:rPr>
              <w:fldChar w:fldCharType="begin"/>
            </w:r>
            <w:r w:rsidRPr="00DD4B6C">
              <w:rPr>
                <w:rFonts w:ascii="Arial" w:hAnsi="Arial" w:cs="Arial"/>
                <w:b/>
                <w:bCs/>
                <w:color w:val="000000" w:themeColor="text1"/>
              </w:rPr>
              <w:instrText xml:space="preserve"> SEQ Figure \* ARABIC </w:instrText>
            </w:r>
            <w:r w:rsidRPr="00DD4B6C">
              <w:rPr>
                <w:rFonts w:ascii="Arial" w:hAnsi="Arial" w:cs="Arial"/>
                <w:b/>
                <w:bCs/>
                <w:color w:val="000000" w:themeColor="text1"/>
              </w:rPr>
              <w:fldChar w:fldCharType="separate"/>
            </w:r>
            <w:r w:rsidR="002C4B25">
              <w:rPr>
                <w:rFonts w:ascii="Arial" w:hAnsi="Arial" w:cs="Arial"/>
                <w:b/>
                <w:bCs/>
                <w:noProof/>
                <w:color w:val="000000" w:themeColor="text1"/>
              </w:rPr>
              <w:t>15</w:t>
            </w:r>
            <w:r w:rsidRPr="00DD4B6C">
              <w:rPr>
                <w:rFonts w:ascii="Arial" w:hAnsi="Arial" w:cs="Arial"/>
                <w:b/>
                <w:bCs/>
                <w:color w:val="000000" w:themeColor="text1"/>
              </w:rPr>
              <w:fldChar w:fldCharType="end"/>
            </w:r>
            <w:r w:rsidRPr="00DD4B6C">
              <w:rPr>
                <w:rFonts w:ascii="Arial" w:hAnsi="Arial" w:cs="Arial"/>
                <w:b/>
                <w:bCs/>
                <w:color w:val="000000" w:themeColor="text1"/>
              </w:rPr>
              <w:t>:</w:t>
            </w:r>
            <w:r w:rsidR="00406800" w:rsidRPr="00DD4B6C">
              <w:rPr>
                <w:rFonts w:ascii="Arial" w:hAnsi="Arial" w:cs="Arial"/>
                <w:b/>
                <w:bCs/>
                <w:color w:val="000000" w:themeColor="text1"/>
              </w:rPr>
              <w:t xml:space="preserve"> Incidence and </w:t>
            </w:r>
            <w:r w:rsidR="00ED5D1E">
              <w:rPr>
                <w:rFonts w:ascii="Arial" w:hAnsi="Arial" w:cs="Arial"/>
                <w:b/>
                <w:bCs/>
                <w:color w:val="000000" w:themeColor="text1"/>
              </w:rPr>
              <w:t>m</w:t>
            </w:r>
            <w:r w:rsidR="00406800" w:rsidRPr="00DD4B6C">
              <w:rPr>
                <w:rFonts w:ascii="Arial" w:hAnsi="Arial" w:cs="Arial"/>
                <w:b/>
                <w:bCs/>
                <w:color w:val="000000" w:themeColor="text1"/>
              </w:rPr>
              <w:t xml:space="preserve">ortality </w:t>
            </w:r>
            <w:r w:rsidR="00ED5D1E">
              <w:rPr>
                <w:rFonts w:ascii="Arial" w:hAnsi="Arial" w:cs="Arial"/>
                <w:b/>
                <w:bCs/>
                <w:color w:val="000000" w:themeColor="text1"/>
              </w:rPr>
              <w:t>a</w:t>
            </w:r>
            <w:r w:rsidR="00406800" w:rsidRPr="00DD4B6C">
              <w:rPr>
                <w:rFonts w:ascii="Arial" w:hAnsi="Arial" w:cs="Arial"/>
                <w:b/>
                <w:bCs/>
                <w:color w:val="000000" w:themeColor="text1"/>
              </w:rPr>
              <w:t>ge-</w:t>
            </w:r>
            <w:r w:rsidR="00ED5D1E">
              <w:rPr>
                <w:rFonts w:ascii="Arial" w:hAnsi="Arial" w:cs="Arial"/>
                <w:b/>
                <w:bCs/>
                <w:color w:val="000000" w:themeColor="text1"/>
              </w:rPr>
              <w:t>s</w:t>
            </w:r>
            <w:r w:rsidR="00406800" w:rsidRPr="00DD4B6C">
              <w:rPr>
                <w:rFonts w:ascii="Arial" w:hAnsi="Arial" w:cs="Arial"/>
                <w:b/>
                <w:bCs/>
                <w:color w:val="000000" w:themeColor="text1"/>
              </w:rPr>
              <w:t xml:space="preserve">tandardized </w:t>
            </w:r>
            <w:r w:rsidR="00ED5D1E">
              <w:rPr>
                <w:rFonts w:ascii="Arial" w:hAnsi="Arial" w:cs="Arial"/>
                <w:b/>
                <w:bCs/>
                <w:color w:val="000000" w:themeColor="text1"/>
              </w:rPr>
              <w:t>r</w:t>
            </w:r>
            <w:r w:rsidR="00406800" w:rsidRPr="00DD4B6C">
              <w:rPr>
                <w:rFonts w:ascii="Arial" w:hAnsi="Arial" w:cs="Arial"/>
                <w:b/>
                <w:bCs/>
                <w:color w:val="000000" w:themeColor="text1"/>
              </w:rPr>
              <w:t xml:space="preserve">ates in </w:t>
            </w:r>
            <w:r w:rsidR="00ED5D1E">
              <w:rPr>
                <w:rFonts w:ascii="Arial" w:hAnsi="Arial" w:cs="Arial"/>
                <w:b/>
                <w:bCs/>
                <w:color w:val="000000" w:themeColor="text1"/>
              </w:rPr>
              <w:t>h</w:t>
            </w:r>
            <w:r w:rsidR="00406800" w:rsidRPr="00DD4B6C">
              <w:rPr>
                <w:rFonts w:ascii="Arial" w:hAnsi="Arial" w:cs="Arial"/>
                <w:b/>
                <w:bCs/>
                <w:color w:val="000000" w:themeColor="text1"/>
              </w:rPr>
              <w:t>igh/</w:t>
            </w:r>
            <w:r w:rsidR="00ED5D1E">
              <w:rPr>
                <w:rFonts w:ascii="Arial" w:hAnsi="Arial" w:cs="Arial"/>
                <w:b/>
                <w:bCs/>
                <w:color w:val="000000" w:themeColor="text1"/>
              </w:rPr>
              <w:t>v</w:t>
            </w:r>
            <w:r w:rsidR="00406800" w:rsidRPr="00DD4B6C">
              <w:rPr>
                <w:rFonts w:ascii="Arial" w:hAnsi="Arial" w:cs="Arial"/>
                <w:b/>
                <w:bCs/>
                <w:color w:val="000000" w:themeColor="text1"/>
              </w:rPr>
              <w:t>ery-</w:t>
            </w:r>
            <w:r w:rsidR="00ED5D1E">
              <w:rPr>
                <w:rFonts w:ascii="Arial" w:hAnsi="Arial" w:cs="Arial"/>
                <w:b/>
                <w:bCs/>
                <w:color w:val="000000" w:themeColor="text1"/>
              </w:rPr>
              <w:t>h</w:t>
            </w:r>
            <w:r w:rsidR="00406800" w:rsidRPr="00DD4B6C">
              <w:rPr>
                <w:rFonts w:ascii="Arial" w:hAnsi="Arial" w:cs="Arial"/>
                <w:b/>
                <w:bCs/>
                <w:color w:val="000000" w:themeColor="text1"/>
              </w:rPr>
              <w:t xml:space="preserve">igh </w:t>
            </w:r>
            <w:r w:rsidR="00ED5D1E">
              <w:rPr>
                <w:rFonts w:ascii="Arial" w:hAnsi="Arial" w:cs="Arial"/>
                <w:b/>
                <w:bCs/>
                <w:color w:val="000000" w:themeColor="text1"/>
              </w:rPr>
              <w:t>h</w:t>
            </w:r>
            <w:r w:rsidR="00406800" w:rsidRPr="00DD4B6C">
              <w:rPr>
                <w:rFonts w:ascii="Arial" w:hAnsi="Arial" w:cs="Arial"/>
                <w:b/>
                <w:bCs/>
                <w:color w:val="000000" w:themeColor="text1"/>
              </w:rPr>
              <w:t xml:space="preserve">uman </w:t>
            </w:r>
            <w:r w:rsidR="00ED5D1E">
              <w:rPr>
                <w:rFonts w:ascii="Arial" w:hAnsi="Arial" w:cs="Arial"/>
                <w:b/>
                <w:bCs/>
                <w:color w:val="000000" w:themeColor="text1"/>
              </w:rPr>
              <w:t>d</w:t>
            </w:r>
            <w:r w:rsidR="00406800" w:rsidRPr="00DD4B6C">
              <w:rPr>
                <w:rFonts w:ascii="Arial" w:hAnsi="Arial" w:cs="Arial"/>
                <w:b/>
                <w:bCs/>
                <w:color w:val="000000" w:themeColor="text1"/>
              </w:rPr>
              <w:t xml:space="preserve">evelopment </w:t>
            </w:r>
            <w:r w:rsidR="00ED5D1E">
              <w:rPr>
                <w:rFonts w:ascii="Arial" w:hAnsi="Arial" w:cs="Arial"/>
                <w:b/>
                <w:bCs/>
                <w:color w:val="000000" w:themeColor="text1"/>
              </w:rPr>
              <w:t>i</w:t>
            </w:r>
            <w:r w:rsidR="00406800" w:rsidRPr="00DD4B6C">
              <w:rPr>
                <w:rFonts w:ascii="Arial" w:hAnsi="Arial" w:cs="Arial"/>
                <w:b/>
                <w:bCs/>
                <w:color w:val="000000" w:themeColor="text1"/>
              </w:rPr>
              <w:t xml:space="preserve">ndex (HDI) </w:t>
            </w:r>
            <w:r w:rsidR="00ED5D1E">
              <w:rPr>
                <w:rFonts w:ascii="Arial" w:hAnsi="Arial" w:cs="Arial"/>
                <w:b/>
                <w:bCs/>
                <w:color w:val="000000" w:themeColor="text1"/>
              </w:rPr>
              <w:t>r</w:t>
            </w:r>
            <w:r w:rsidR="00406800" w:rsidRPr="00DD4B6C">
              <w:rPr>
                <w:rFonts w:ascii="Arial" w:hAnsi="Arial" w:cs="Arial"/>
                <w:b/>
                <w:bCs/>
                <w:color w:val="000000" w:themeColor="text1"/>
              </w:rPr>
              <w:t xml:space="preserve">egions </w:t>
            </w:r>
            <w:r w:rsidR="00ED5D1E">
              <w:rPr>
                <w:rFonts w:ascii="Arial" w:hAnsi="Arial" w:cs="Arial"/>
                <w:b/>
                <w:bCs/>
                <w:color w:val="000000" w:themeColor="text1"/>
              </w:rPr>
              <w:t>v</w:t>
            </w:r>
            <w:r w:rsidR="00406800" w:rsidRPr="00DD4B6C">
              <w:rPr>
                <w:rFonts w:ascii="Arial" w:hAnsi="Arial" w:cs="Arial"/>
                <w:b/>
                <w:bCs/>
                <w:color w:val="000000" w:themeColor="text1"/>
              </w:rPr>
              <w:t xml:space="preserve">ersus </w:t>
            </w:r>
            <w:r w:rsidR="00ED5D1E">
              <w:rPr>
                <w:rFonts w:ascii="Arial" w:hAnsi="Arial" w:cs="Arial"/>
                <w:b/>
                <w:bCs/>
                <w:color w:val="000000" w:themeColor="text1"/>
              </w:rPr>
              <w:t>l</w:t>
            </w:r>
            <w:r w:rsidR="00406800" w:rsidRPr="00DD4B6C">
              <w:rPr>
                <w:rFonts w:ascii="Arial" w:hAnsi="Arial" w:cs="Arial"/>
                <w:b/>
                <w:bCs/>
                <w:color w:val="000000" w:themeColor="text1"/>
              </w:rPr>
              <w:t>ow/</w:t>
            </w:r>
            <w:r w:rsidR="00ED5D1E">
              <w:rPr>
                <w:rFonts w:ascii="Arial" w:hAnsi="Arial" w:cs="Arial"/>
                <w:b/>
                <w:bCs/>
                <w:color w:val="000000" w:themeColor="text1"/>
              </w:rPr>
              <w:t>m</w:t>
            </w:r>
            <w:r w:rsidR="00406800" w:rsidRPr="00DD4B6C">
              <w:rPr>
                <w:rFonts w:ascii="Arial" w:hAnsi="Arial" w:cs="Arial"/>
                <w:b/>
                <w:bCs/>
                <w:color w:val="000000" w:themeColor="text1"/>
              </w:rPr>
              <w:t xml:space="preserve">edium HDI </w:t>
            </w:r>
            <w:r w:rsidR="00ED5D1E">
              <w:rPr>
                <w:rFonts w:ascii="Arial" w:hAnsi="Arial" w:cs="Arial"/>
                <w:b/>
                <w:bCs/>
                <w:color w:val="000000" w:themeColor="text1"/>
              </w:rPr>
              <w:t>r</w:t>
            </w:r>
            <w:r w:rsidR="00406800" w:rsidRPr="00DD4B6C">
              <w:rPr>
                <w:rFonts w:ascii="Arial" w:hAnsi="Arial" w:cs="Arial"/>
                <w:b/>
                <w:bCs/>
                <w:color w:val="000000" w:themeColor="text1"/>
              </w:rPr>
              <w:t xml:space="preserve">egions </w:t>
            </w:r>
            <w:r w:rsidR="000648F4">
              <w:rPr>
                <w:rFonts w:ascii="Arial" w:hAnsi="Arial" w:cs="Arial"/>
                <w:b/>
                <w:bCs/>
                <w:color w:val="000000" w:themeColor="text1"/>
              </w:rPr>
              <w:t>a</w:t>
            </w:r>
            <w:r w:rsidR="00406800" w:rsidRPr="00DD4B6C">
              <w:rPr>
                <w:rFonts w:ascii="Arial" w:hAnsi="Arial" w:cs="Arial"/>
                <w:b/>
                <w:bCs/>
                <w:color w:val="000000" w:themeColor="text1"/>
              </w:rPr>
              <w:t xml:space="preserve">mong </w:t>
            </w:r>
            <w:r w:rsidR="00ED5D1E">
              <w:rPr>
                <w:rFonts w:ascii="Arial" w:hAnsi="Arial" w:cs="Arial"/>
                <w:b/>
                <w:bCs/>
                <w:color w:val="000000" w:themeColor="text1"/>
              </w:rPr>
              <w:t>w</w:t>
            </w:r>
            <w:r w:rsidR="00406800" w:rsidRPr="00DD4B6C">
              <w:rPr>
                <w:rFonts w:ascii="Arial" w:hAnsi="Arial" w:cs="Arial"/>
                <w:b/>
                <w:bCs/>
                <w:color w:val="000000" w:themeColor="text1"/>
              </w:rPr>
              <w:t xml:space="preserve">omen in 2018. </w:t>
            </w:r>
            <w:r w:rsidR="00406800" w:rsidRPr="00D74025">
              <w:rPr>
                <w:rFonts w:ascii="Arial" w:hAnsi="Arial" w:cs="Arial"/>
                <w:color w:val="000000" w:themeColor="text1"/>
              </w:rPr>
              <w:t xml:space="preserve">The 15 most common cancers in 2018 are shown in descending order </w:t>
            </w:r>
            <w:r w:rsidR="00406800" w:rsidRPr="00D74025">
              <w:rPr>
                <w:rFonts w:ascii="Arial" w:hAnsi="Arial" w:cs="Arial"/>
                <w:color w:val="000000" w:themeColor="text1"/>
              </w:rPr>
              <w:lastRenderedPageBreak/>
              <w:t xml:space="preserve">of the overall age-standardized rate for both sexes combined. Source: GLOBOCAN 2018. Figure from Bray </w:t>
            </w:r>
            <w:r w:rsidR="00406800" w:rsidRPr="00D74025">
              <w:rPr>
                <w:rFonts w:ascii="Arial" w:hAnsi="Arial" w:cs="Arial"/>
                <w:i/>
                <w:iCs/>
                <w:color w:val="000000" w:themeColor="text1"/>
              </w:rPr>
              <w:t>et al.,</w:t>
            </w:r>
            <w:r w:rsidR="00406800" w:rsidRPr="00D74025">
              <w:rPr>
                <w:rFonts w:ascii="Arial" w:hAnsi="Arial" w:cs="Arial"/>
                <w:color w:val="000000" w:themeColor="text1"/>
              </w:rPr>
              <w:t xml:space="preserve"> 2018 </w:t>
            </w:r>
            <w:r w:rsidR="00406800"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{"citationID":"BussdNWI","properties":{"formattedCitation":"\\super 83\\nosupersub{}","plainCitation":"83","noteIndex":0},"citationItems":[{"id":133,"uris":["http://zotero.org/users/7661987/items/U6PFQKYZ"],"itemData":{"id":133,"type":"article-journal","container-title":"CA: A Cancer Journal for Clinicians","DOI":"10.3322/caac.21492","ISSN":"00079235","issue":"6","journalAbbreviation":"CA: A Cancer Journal for Clinicians","language":"en","page":"394-424","source":"DOI.org (Crossref)","title":"Global cancer statistics 2018: GLOBOCAN estimates of incidence and mortality worldwide for 36 cancers in 185 countries","title-short":"Global cancer statistics 2018","volume":"68","author":[{"family":"Bray","given":"Freddie"},{"family":"Ferlay","given":"Jacques"},{"family":"Soerjomataram","given":"Isabelle"},{"family":"Siegel","given":"Rebecca L."},{"family":"Torre","given":"Lindsey A."},{"family":"Jemal","given":"Ahmedin"}],"issued":{"date-parts":[["2018",11]]}}}],"schema":"https://github.com/citation-style-language/schema/raw/master/csl-citation.json"} </w:instrText>
            </w:r>
            <w:r w:rsidR="00406800" w:rsidRPr="00D74025">
              <w:rPr>
                <w:rFonts w:ascii="Arial" w:hAnsi="Arial" w:cs="Arial"/>
                <w:color w:val="000000" w:themeColor="text1"/>
              </w:rPr>
              <w:fldChar w:fldCharType="separate"/>
            </w:r>
            <w:r w:rsidR="00174D75" w:rsidRPr="00174D75">
              <w:rPr>
                <w:rFonts w:ascii="Arial" w:hAnsi="Arial" w:cs="Arial"/>
                <w:color w:val="000000"/>
                <w:vertAlign w:val="superscript"/>
              </w:rPr>
              <w:t>83</w:t>
            </w:r>
            <w:bookmarkEnd w:id="32"/>
            <w:r w:rsidR="00406800" w:rsidRPr="00D74025">
              <w:rPr>
                <w:rFonts w:ascii="Arial" w:hAnsi="Arial" w:cs="Arial"/>
                <w:color w:val="000000" w:themeColor="text1"/>
              </w:rPr>
              <w:fldChar w:fldCharType="end"/>
            </w:r>
          </w:p>
        </w:tc>
      </w:tr>
    </w:tbl>
    <w:p w14:paraId="215BC00E" w14:textId="77777777" w:rsidR="00DD4B6C" w:rsidRDefault="00DD4B6C" w:rsidP="00C976B1">
      <w:pPr>
        <w:spacing w:before="240" w:line="360" w:lineRule="auto"/>
        <w:ind w:firstLine="1440"/>
        <w:jc w:val="both"/>
        <w:rPr>
          <w:rFonts w:ascii="Arial" w:hAnsi="Arial" w:cs="Arial"/>
          <w:color w:val="000000" w:themeColor="text1"/>
        </w:rPr>
      </w:pPr>
    </w:p>
    <w:p w14:paraId="2B8CD525" w14:textId="44F2CD2E" w:rsidR="00C976B1" w:rsidRPr="00D74025" w:rsidRDefault="00C976B1" w:rsidP="00C976B1">
      <w:pPr>
        <w:spacing w:before="240" w:line="360" w:lineRule="auto"/>
        <w:ind w:firstLine="1440"/>
        <w:jc w:val="both"/>
        <w:rPr>
          <w:rFonts w:ascii="Arial" w:hAnsi="Arial" w:cs="Arial"/>
          <w:color w:val="000000" w:themeColor="text1"/>
        </w:rPr>
      </w:pPr>
      <w:r w:rsidRPr="00D74025">
        <w:rPr>
          <w:rFonts w:ascii="Arial" w:hAnsi="Arial" w:cs="Arial"/>
          <w:color w:val="000000" w:themeColor="text1"/>
        </w:rPr>
        <w:t xml:space="preserve">Even though genetic components are responsible for 5-10%, non-hereditary elements are the most relevant causes of BC cases. The risk factors include, but not limited to: </w:t>
      </w:r>
      <w:r w:rsidRPr="00D74025">
        <w:rPr>
          <w:rFonts w:ascii="Arial" w:hAnsi="Arial" w:cs="Arial"/>
          <w:color w:val="000000" w:themeColor="text1"/>
          <w:u w:val="single"/>
        </w:rPr>
        <w:t>long menstrual history</w:t>
      </w:r>
      <w:r w:rsidRPr="00D74025">
        <w:rPr>
          <w:rFonts w:ascii="Arial" w:hAnsi="Arial" w:cs="Arial"/>
          <w:color w:val="000000" w:themeColor="text1"/>
        </w:rPr>
        <w:t xml:space="preserve">, aggravated by historical decrease of </w:t>
      </w:r>
      <w:r w:rsidR="00AA2506" w:rsidRPr="00D74025">
        <w:rPr>
          <w:rFonts w:ascii="Arial" w:hAnsi="Arial" w:cs="Arial"/>
          <w:color w:val="000000" w:themeColor="text1"/>
        </w:rPr>
        <w:t>menorrheal</w:t>
      </w:r>
      <w:r w:rsidRPr="00D74025">
        <w:rPr>
          <w:rFonts w:ascii="Arial" w:hAnsi="Arial" w:cs="Arial"/>
          <w:color w:val="000000" w:themeColor="text1"/>
        </w:rPr>
        <w:t xml:space="preserve"> from 17 to 12 years since 1950</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{"citationID":"au802e1u7t","properties":{"formattedCitation":"\\super 120\\nosupersub{}","plainCitation":"120","noteIndex":0},"citationItems":[{"id":273,"uris":["http://zotero.org/users/7661987/items/D684Y9WF"],"itemData":{"id":273,"type":"article-journal","abstract":"Background Menarche and menopause mark the onset and cessation, respectively, of ovarian activity associated with reproduction, and a</w:instrText>
      </w:r>
      <w:r w:rsidR="000F4F53">
        <w:rPr>
          <w:rFonts w:ascii="Cambria Math" w:hAnsi="Cambria Math" w:cs="Cambria Math"/>
          <w:color w:val="000000" w:themeColor="text1"/>
        </w:rPr>
        <w:instrText>ﬀ</w:instrText>
      </w:r>
      <w:r w:rsidR="000F4F53">
        <w:rPr>
          <w:rFonts w:ascii="Arial" w:hAnsi="Arial" w:cs="Arial"/>
          <w:color w:val="000000" w:themeColor="text1"/>
        </w:rPr>
        <w:instrText>ect breast cancer risk. Our aim was to assess the strengths of their e</w:instrText>
      </w:r>
      <w:r w:rsidR="000F4F53">
        <w:rPr>
          <w:rFonts w:ascii="Cambria Math" w:hAnsi="Cambria Math" w:cs="Cambria Math"/>
          <w:color w:val="000000" w:themeColor="text1"/>
        </w:rPr>
        <w:instrText>ﬀ</w:instrText>
      </w:r>
      <w:r w:rsidR="000F4F53">
        <w:rPr>
          <w:rFonts w:ascii="Arial" w:hAnsi="Arial" w:cs="Arial"/>
          <w:color w:val="000000" w:themeColor="text1"/>
        </w:rPr>
        <w:instrText>ects and determine whether they depend on characteristics of the tumours or the a</w:instrText>
      </w:r>
      <w:r w:rsidR="000F4F53">
        <w:rPr>
          <w:rFonts w:ascii="Cambria Math" w:hAnsi="Cambria Math" w:cs="Cambria Math"/>
          <w:color w:val="000000" w:themeColor="text1"/>
        </w:rPr>
        <w:instrText>ﬀ</w:instrText>
      </w:r>
      <w:r w:rsidR="000F4F53">
        <w:rPr>
          <w:rFonts w:ascii="Arial" w:hAnsi="Arial" w:cs="Arial"/>
          <w:color w:val="000000" w:themeColor="text1"/>
        </w:rPr>
        <w:instrText xml:space="preserve">ected women.","container-title":"The Lancet Oncology","DOI":"10.1016/S1470-2045(12)70425-4","ISSN":"14702045","issue":"11","journalAbbreviation":"The Lancet Oncology","language":"en","page":"1141-1151","source":"DOI.org (Crossref)","title":"Menarche, menopause, and breast cancer risk: individual participant meta-analysis, including 118 964 women with breast cancer from 117 epidemiological studies","title-short":"Menarche, menopause, and breast cancer risk","volume":"13","issued":{"date-parts":[["2012",11]]}}}],"schema":"https://github.com/citation-style-language/schema/raw/master/csl-citation.json"}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120</w:t>
      </w:r>
      <w:r w:rsidRPr="00D74025">
        <w:rPr>
          <w:rFonts w:ascii="Arial" w:hAnsi="Arial" w:cs="Arial"/>
          <w:color w:val="000000" w:themeColor="text1"/>
        </w:rPr>
        <w:fldChar w:fldCharType="end"/>
      </w:r>
      <w:r w:rsidRPr="00D74025">
        <w:rPr>
          <w:rFonts w:ascii="Arial" w:hAnsi="Arial" w:cs="Arial"/>
          <w:color w:val="000000" w:themeColor="text1"/>
        </w:rPr>
        <w:t xml:space="preserve">, and increase in menopausal age from 49 in the beginning of the last century to 51 years </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{"citationID":"a1kt54230ln","properties":{"formattedCitation":"\\super 121\\nosupersub{}","plainCitation":"121","noteIndex":0},"citationItems":[{"id":274,"uris":["http://zotero.org/users/7661987/items/CJQFU69H"],"itemData":{"id":274,"type":"article-journal","abstract":"Objective: To describe secular trends in age of natural menopause. Design: A prospective study based on a random sample of the total female population in Gothenburg, Sweden, started in 1968 with follow-ups in 1974-75, 1980-81, 1992-93, and 2000-02. Participants: 1,462 women born in 1930, 1922, 1918, 1914, and 1908 (participation rate, 90.1%) representative of women of the same ages in the general population. Information regarding menopausal age was provided by 1,373 of the 1,462 women (93.9%). The number was further reduced to 1,017 after exclusion of women who had taken hormones, undergone a surgical menopause, or both.\nResults: The mean age at natural menopause showed a steady increase across birth cohorts. Trends were similar in women who had smoked and women who had never smoked, even after adjusting for different covariates. The upward trend was 0.1 years per birth year (SE 0.020, P &lt; 0.0001). Interestingly, women with earlier menarche had a somewhat earlier age at menopause, independent of the cohort effect. When hormone users were included in the sample, the cohort effect was also found to be independent of oral contraceptive use and hormone therapy.\nConclusions: This study has shown that, independent of variations in socioeconomic status, smoking status, oral contraceptive use, or hormone therapy use, as well as other potential confounders, there was a highly significant secular trend of increase in menopausal age. The observation of a positive association between menarche and menopausal age has, to our knowledge, not previously been described.","container-title":"Menopause","DOI":"10.1097/01.GME.0000094395.59028.0F","ISSN":"1072-3714","issue":"6","journalAbbreviation":"Menopause","language":"en","page":"538-543","source":"DOI.org (Crossref)","title":"Evidence for a secular trend in menopausal age: a population study of women in Gothenburg:","title-short":"Evidence for a secular trend in menopausal age","volume":"10","author":[{"family":"Rödström","given":"Kerstin"},{"family":"Bengtsson","given":"Calle"},{"family":"Milsom","given":"Ian"},{"family":"Lissner","given":"Lauren"},{"family":"Sundh","given":"Valter"},{"family":"Bjoürkelund","given":"Cecilia"}],"issued":{"date-parts":[["2003",11]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121</w:t>
      </w:r>
      <w:r w:rsidRPr="00D74025">
        <w:rPr>
          <w:rFonts w:ascii="Arial" w:hAnsi="Arial" w:cs="Arial"/>
          <w:color w:val="000000" w:themeColor="text1"/>
        </w:rPr>
        <w:fldChar w:fldCharType="end"/>
      </w:r>
      <w:r w:rsidRPr="00D74025">
        <w:rPr>
          <w:rFonts w:ascii="Arial" w:hAnsi="Arial" w:cs="Arial"/>
          <w:color w:val="000000" w:themeColor="text1"/>
        </w:rPr>
        <w:t xml:space="preserve">; </w:t>
      </w:r>
      <w:r w:rsidRPr="00D74025">
        <w:rPr>
          <w:rFonts w:ascii="Arial" w:hAnsi="Arial" w:cs="Arial"/>
          <w:color w:val="000000" w:themeColor="text1"/>
          <w:u w:val="single"/>
        </w:rPr>
        <w:t>reproduction patterns</w:t>
      </w:r>
      <w:r w:rsidRPr="00D74025">
        <w:rPr>
          <w:rFonts w:ascii="Arial" w:hAnsi="Arial" w:cs="Arial"/>
          <w:color w:val="000000" w:themeColor="text1"/>
        </w:rPr>
        <w:t xml:space="preserve">: childbearing grants long-term protection against BC, granted that the earliest the first pregnancy happens, the longer the protection last, while the having the first pregnancy after 35 years of age increase the risk of BC compared to nulliparity (no pregnancy); </w:t>
      </w:r>
      <w:r w:rsidRPr="00D74025">
        <w:rPr>
          <w:rFonts w:ascii="Arial" w:hAnsi="Arial" w:cs="Arial"/>
          <w:color w:val="000000" w:themeColor="text1"/>
          <w:u w:val="single"/>
        </w:rPr>
        <w:t>absence of breastfeeding</w:t>
      </w:r>
      <w:r w:rsidRPr="00D74025">
        <w:rPr>
          <w:rFonts w:ascii="Arial" w:hAnsi="Arial" w:cs="Arial"/>
          <w:color w:val="000000" w:themeColor="text1"/>
        </w:rPr>
        <w:t xml:space="preserve">: the longer one breastfeeds, the steeper is the decrease of BC risk; </w:t>
      </w:r>
      <w:r w:rsidRPr="00D74025">
        <w:rPr>
          <w:rFonts w:ascii="Arial" w:hAnsi="Arial" w:cs="Arial"/>
          <w:color w:val="000000" w:themeColor="text1"/>
          <w:u w:val="single"/>
        </w:rPr>
        <w:t>use of exogenous estrogen</w:t>
      </w:r>
      <w:r w:rsidRPr="00D74025">
        <w:rPr>
          <w:rFonts w:ascii="Arial" w:hAnsi="Arial" w:cs="Arial"/>
          <w:color w:val="000000" w:themeColor="text1"/>
        </w:rPr>
        <w:t xml:space="preserve"> as oral contraceptive or hormone replacement therapy induce the formation of BC; </w:t>
      </w:r>
      <w:r w:rsidRPr="00D74025">
        <w:rPr>
          <w:rFonts w:ascii="Arial" w:hAnsi="Arial" w:cs="Arial"/>
          <w:color w:val="000000" w:themeColor="text1"/>
          <w:u w:val="single"/>
        </w:rPr>
        <w:t>weight gain</w:t>
      </w:r>
      <w:r w:rsidRPr="00D74025">
        <w:rPr>
          <w:rFonts w:ascii="Arial" w:hAnsi="Arial" w:cs="Arial"/>
          <w:color w:val="000000" w:themeColor="text1"/>
        </w:rPr>
        <w:t xml:space="preserve"> after age 18 years, excess body weight at menopausal ages</w:t>
      </w:r>
      <w:r w:rsidR="00D74E5E">
        <w:rPr>
          <w:rFonts w:ascii="Arial" w:hAnsi="Arial" w:cs="Arial"/>
          <w:color w:val="000000" w:themeColor="text1"/>
        </w:rPr>
        <w:t xml:space="preserve"> increase chances of BC</w:t>
      </w:r>
      <w:r w:rsidRPr="00D74025">
        <w:rPr>
          <w:rFonts w:ascii="Arial" w:hAnsi="Arial" w:cs="Arial"/>
          <w:color w:val="000000" w:themeColor="text1"/>
        </w:rPr>
        <w:t xml:space="preserve">; </w:t>
      </w:r>
      <w:r w:rsidRPr="00D74025">
        <w:rPr>
          <w:rFonts w:ascii="Arial" w:hAnsi="Arial" w:cs="Arial"/>
          <w:color w:val="000000" w:themeColor="text1"/>
          <w:u w:val="single"/>
        </w:rPr>
        <w:t>physical inactivity</w:t>
      </w:r>
      <w:r w:rsidRPr="00D74025">
        <w:rPr>
          <w:rFonts w:ascii="Arial" w:hAnsi="Arial" w:cs="Arial"/>
          <w:color w:val="000000" w:themeColor="text1"/>
        </w:rPr>
        <w:t xml:space="preserve">: moderate to vigorous physical activities decrease BC risk </w:t>
      </w:r>
      <w:r w:rsidR="008E2D3E">
        <w:rPr>
          <w:rFonts w:ascii="Arial" w:hAnsi="Arial" w:cs="Arial"/>
          <w:color w:val="000000" w:themeColor="text1"/>
        </w:rPr>
        <w:t>by</w:t>
      </w:r>
      <w:r w:rsidRPr="00D74025">
        <w:rPr>
          <w:rFonts w:ascii="Arial" w:hAnsi="Arial" w:cs="Arial"/>
          <w:color w:val="000000" w:themeColor="text1"/>
        </w:rPr>
        <w:t xml:space="preserve"> 20%; </w:t>
      </w:r>
      <w:r w:rsidRPr="00D74025">
        <w:rPr>
          <w:rFonts w:ascii="Arial" w:hAnsi="Arial" w:cs="Arial"/>
          <w:color w:val="000000" w:themeColor="text1"/>
          <w:u w:val="single"/>
        </w:rPr>
        <w:t>alcohol consumption</w:t>
      </w:r>
      <w:r w:rsidRPr="00D74025">
        <w:rPr>
          <w:rFonts w:ascii="Arial" w:hAnsi="Arial" w:cs="Arial"/>
          <w:color w:val="000000" w:themeColor="text1"/>
        </w:rPr>
        <w:t xml:space="preserve">: while a consumption of 3-6 glasses of wine per week increase the chances of BC </w:t>
      </w:r>
      <w:r w:rsidR="00271417">
        <w:rPr>
          <w:rFonts w:ascii="Arial" w:hAnsi="Arial" w:cs="Arial"/>
          <w:color w:val="000000" w:themeColor="text1"/>
        </w:rPr>
        <w:t>by</w:t>
      </w:r>
      <w:r w:rsidRPr="00D74025">
        <w:rPr>
          <w:rFonts w:ascii="Arial" w:hAnsi="Arial" w:cs="Arial"/>
          <w:color w:val="000000" w:themeColor="text1"/>
        </w:rPr>
        <w:t xml:space="preserve"> 15%, the daily consumption of alcohol (two glasses of wine) increases the chances </w:t>
      </w:r>
      <w:r w:rsidR="00271417">
        <w:rPr>
          <w:rFonts w:ascii="Arial" w:hAnsi="Arial" w:cs="Arial"/>
          <w:color w:val="000000" w:themeColor="text1"/>
        </w:rPr>
        <w:t>by</w:t>
      </w:r>
      <w:r w:rsidRPr="00D74025">
        <w:rPr>
          <w:rFonts w:ascii="Arial" w:hAnsi="Arial" w:cs="Arial"/>
          <w:color w:val="000000" w:themeColor="text1"/>
        </w:rPr>
        <w:t xml:space="preserve"> 50%. Alcohol consumption is the most significant modifiable BC burden in pre-menopausal woman</w:t>
      </w:r>
      <w:r w:rsidRPr="00D74025">
        <w:rPr>
          <w:rFonts w:ascii="Arial" w:hAnsi="Arial" w:cs="Arial"/>
          <w:color w:val="000000" w:themeColor="text1"/>
        </w:rPr>
        <w:fldChar w:fldCharType="begin"/>
      </w:r>
      <w:r w:rsidR="00174D75">
        <w:rPr>
          <w:rFonts w:ascii="Arial" w:hAnsi="Arial" w:cs="Arial"/>
          <w:color w:val="000000" w:themeColor="text1"/>
        </w:rPr>
        <w:instrText xml:space="preserve"> ADDIN ZOTERO_ITEM CSL_CITATION {"citationID":"a1tdh6nvmpp","properties":{"formattedCitation":"\\super 81\\nosupersub{}","plainCitation":"81","noteIndex":0},"citationItems":[{"id":334,"uris":["http://zotero.org/users/7661987/items/G5ZT3BVN"],"itemData":{"id":334,"type":"article-journal","container-title":"Cancer Epidemiology Biomarkers &amp; Prevention","DOI":"10.1158/1055-9965.EPI-15-0578","ISSN":"1055-9965, 1538-7755","issue":"1","journalAbbreviation":"Cancer Epidemiol Biomarkers Prev","language":"en","page":"16-27","source":"DOI.org (Crossref)","title":"Global Cancer Incidence and Mortality Rates and Trends—An Update","volume":"25","author":[{"family":"Torre","given":"Lindsey A."},{"family":"Siegel","given":"Rebecca L."},{"family":"Ward","given":"Elizabeth M."},{"family":"Jemal","given":"Ahmedin"}],"issued":{"date-parts":[["2016",1]]}}}],"schema":"https://github.com/citation-style-language/schema/raw/master/csl-citation.json"} </w:instrText>
      </w:r>
      <w:r w:rsidRPr="00D74025">
        <w:rPr>
          <w:rFonts w:ascii="Arial" w:hAnsi="Arial" w:cs="Arial"/>
          <w:color w:val="000000" w:themeColor="text1"/>
        </w:rPr>
        <w:fldChar w:fldCharType="separate"/>
      </w:r>
      <w:r w:rsidR="00174D75" w:rsidRPr="00174D75">
        <w:rPr>
          <w:rFonts w:ascii="Arial" w:hAnsi="Arial" w:cs="Arial"/>
          <w:color w:val="000000"/>
          <w:vertAlign w:val="superscript"/>
        </w:rPr>
        <w:t>81</w:t>
      </w:r>
      <w:r w:rsidRPr="00D74025">
        <w:rPr>
          <w:rFonts w:ascii="Arial" w:hAnsi="Arial" w:cs="Arial"/>
          <w:color w:val="000000" w:themeColor="text1"/>
        </w:rPr>
        <w:fldChar w:fldCharType="end"/>
      </w:r>
      <w:r w:rsidRPr="00D74025">
        <w:rPr>
          <w:rFonts w:ascii="Arial" w:hAnsi="Arial" w:cs="Arial"/>
          <w:color w:val="000000" w:themeColor="text1"/>
        </w:rPr>
        <w:t xml:space="preserve">. Unfortunately, endogenous hormonal exposure, the primary risk factor for breast cancer, is difficult to be changed. It is worth mentioning the </w:t>
      </w:r>
      <w:r w:rsidRPr="00D74025">
        <w:rPr>
          <w:rFonts w:ascii="Arial" w:hAnsi="Arial" w:cs="Arial"/>
          <w:color w:val="000000" w:themeColor="text1"/>
          <w:u w:val="single"/>
        </w:rPr>
        <w:t>BC susceptibility genes, BRCA1 and BRCA2</w:t>
      </w:r>
      <w:r w:rsidRPr="00D74025">
        <w:rPr>
          <w:rFonts w:ascii="Arial" w:hAnsi="Arial" w:cs="Arial"/>
          <w:color w:val="000000" w:themeColor="text1"/>
        </w:rPr>
        <w:t>, that cause BC in 70% of women carrying them by age 80.</w:t>
      </w:r>
    </w:p>
    <w:p w14:paraId="6DDD9991" w14:textId="325F2A73" w:rsidR="004A7E65" w:rsidRDefault="004A7E65" w:rsidP="00114D13">
      <w:pPr>
        <w:spacing w:line="360" w:lineRule="auto"/>
        <w:ind w:firstLine="1440"/>
        <w:jc w:val="both"/>
        <w:rPr>
          <w:rFonts w:ascii="Arial" w:hAnsi="Arial" w:cs="Arial"/>
          <w:color w:val="000000" w:themeColor="text1"/>
        </w:rPr>
      </w:pPr>
      <w:r w:rsidRPr="00D74025">
        <w:rPr>
          <w:rFonts w:ascii="Arial" w:hAnsi="Arial" w:cs="Arial"/>
          <w:color w:val="000000" w:themeColor="text1"/>
        </w:rPr>
        <w:t>Mortality of BC has reduced significantly due to the development of novel chemotherapeutic drugs and adjuvant therapy</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{"citationID":"au5u5g2prg","properties":{"formattedCitation":"\\super 122\\nosupersub{}","plainCitation":"122","noteIndex":0},"citationItems":[{"id":325,"uris":["http://zotero.org/users/7661987/items/N36IZCRM"],"itemData":{"id":325,"type":"article-journal","container-title":"The Lancet Oncology","DOI":"10.1016/S1470-2045(03)01037-4","ISSN":"14702045","issue":"4","journalAbbreviation":"The Lancet Oncology","language":"en","page":"251-254","source":"DOI.org (Crossref)","title":"Why is breast-cancer mortality declining?","volume":"4","author":[{"family":"Jatoi","given":"Ismail"},{"family":"Miller","given":"Anthony B"}],"issued":{"date-parts":[["2003",4]]}}}],"schema":"https://github.com/citation-style-language/schema/raw/master/csl-citation.json"}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122</w:t>
      </w:r>
      <w:r w:rsidRPr="00D74025">
        <w:rPr>
          <w:rFonts w:ascii="Arial" w:hAnsi="Arial" w:cs="Arial"/>
          <w:color w:val="000000" w:themeColor="text1"/>
        </w:rPr>
        <w:fldChar w:fldCharType="end"/>
      </w:r>
      <w:r w:rsidRPr="00D74025">
        <w:rPr>
          <w:rFonts w:ascii="Arial" w:hAnsi="Arial" w:cs="Arial"/>
          <w:color w:val="000000" w:themeColor="text1"/>
        </w:rPr>
        <w:t xml:space="preserve">. Still, there is a lack of targeted therapies, especially for a subtype named triple-negative breast cancer, as will be discussed in the next section. </w:t>
      </w:r>
    </w:p>
    <w:p w14:paraId="565D095A" w14:textId="77777777" w:rsidR="00665F5E" w:rsidRPr="00D74025" w:rsidRDefault="00665F5E" w:rsidP="00114D13">
      <w:pPr>
        <w:spacing w:line="360" w:lineRule="auto"/>
        <w:ind w:firstLine="1440"/>
        <w:jc w:val="both"/>
        <w:rPr>
          <w:rFonts w:ascii="Arial" w:hAnsi="Arial" w:cs="Arial"/>
          <w:color w:val="000000" w:themeColor="text1"/>
        </w:rPr>
      </w:pPr>
    </w:p>
    <w:p w14:paraId="316591D7" w14:textId="2AD58DEC" w:rsidR="00A61218" w:rsidRPr="00D74025" w:rsidRDefault="0055207D" w:rsidP="00A61218">
      <w:pPr>
        <w:pStyle w:val="Heading3"/>
        <w:spacing w:line="360" w:lineRule="auto"/>
        <w:ind w:firstLine="1440"/>
        <w:rPr>
          <w:rFonts w:ascii="Arial" w:hAnsi="Arial" w:cs="Arial"/>
          <w:b/>
          <w:bCs/>
          <w:color w:val="000000" w:themeColor="text1"/>
        </w:rPr>
      </w:pPr>
      <w:bookmarkStart w:id="33" w:name="_Toc121217231"/>
      <w:r w:rsidRPr="00D74025">
        <w:rPr>
          <w:rFonts w:ascii="Arial" w:hAnsi="Arial" w:cs="Arial"/>
          <w:b/>
          <w:bCs/>
          <w:color w:val="000000" w:themeColor="text1"/>
        </w:rPr>
        <w:lastRenderedPageBreak/>
        <w:t>1.3</w:t>
      </w:r>
      <w:r w:rsidR="00CC720A" w:rsidRPr="00D74025">
        <w:rPr>
          <w:rFonts w:ascii="Arial" w:hAnsi="Arial" w:cs="Arial"/>
          <w:b/>
          <w:bCs/>
          <w:color w:val="000000" w:themeColor="text1"/>
        </w:rPr>
        <w:t xml:space="preserve">.4 Breast </w:t>
      </w:r>
      <w:r w:rsidR="00A61218" w:rsidRPr="00D74025">
        <w:rPr>
          <w:rFonts w:ascii="Arial" w:hAnsi="Arial" w:cs="Arial"/>
          <w:b/>
          <w:bCs/>
          <w:color w:val="000000" w:themeColor="text1"/>
        </w:rPr>
        <w:t>c</w:t>
      </w:r>
      <w:r w:rsidR="00CC720A" w:rsidRPr="00D74025">
        <w:rPr>
          <w:rFonts w:ascii="Arial" w:hAnsi="Arial" w:cs="Arial"/>
          <w:b/>
          <w:bCs/>
          <w:color w:val="000000" w:themeColor="text1"/>
        </w:rPr>
        <w:t xml:space="preserve">ancer </w:t>
      </w:r>
      <w:r w:rsidR="00A61218" w:rsidRPr="00D74025">
        <w:rPr>
          <w:rFonts w:ascii="Arial" w:hAnsi="Arial" w:cs="Arial"/>
          <w:b/>
          <w:bCs/>
          <w:color w:val="000000" w:themeColor="text1"/>
        </w:rPr>
        <w:t>c</w:t>
      </w:r>
      <w:r w:rsidR="00CC720A" w:rsidRPr="00D74025">
        <w:rPr>
          <w:rFonts w:ascii="Arial" w:hAnsi="Arial" w:cs="Arial"/>
          <w:b/>
          <w:bCs/>
          <w:color w:val="000000" w:themeColor="text1"/>
        </w:rPr>
        <w:t>lassifications</w:t>
      </w:r>
      <w:r w:rsidR="00325BCA" w:rsidRPr="00D74025">
        <w:rPr>
          <w:rFonts w:ascii="Arial" w:hAnsi="Arial" w:cs="Arial"/>
          <w:b/>
          <w:bCs/>
          <w:color w:val="000000" w:themeColor="text1"/>
        </w:rPr>
        <w:t xml:space="preserve"> and available therapies</w:t>
      </w:r>
      <w:bookmarkEnd w:id="33"/>
    </w:p>
    <w:p w14:paraId="55DB3604" w14:textId="795F0995" w:rsidR="0083397E" w:rsidRPr="00D74025" w:rsidRDefault="0083397E" w:rsidP="0083397E">
      <w:pPr>
        <w:spacing w:before="240" w:line="360" w:lineRule="auto"/>
        <w:ind w:firstLine="1440"/>
        <w:jc w:val="both"/>
        <w:rPr>
          <w:rFonts w:ascii="Arial" w:hAnsi="Arial" w:cs="Arial"/>
          <w:color w:val="000000" w:themeColor="text1"/>
        </w:rPr>
      </w:pPr>
      <w:r w:rsidRPr="00D74025">
        <w:rPr>
          <w:rFonts w:ascii="Arial" w:hAnsi="Arial" w:cs="Arial"/>
          <w:color w:val="000000" w:themeColor="text1"/>
        </w:rPr>
        <w:t xml:space="preserve">Even though distinguishing the primary cancer location is a way to classify cancers (as shown in </w:t>
      </w:r>
      <w:r w:rsidR="009F2F83" w:rsidRPr="009F2F83">
        <w:rPr>
          <w:rFonts w:ascii="Arial" w:hAnsi="Arial" w:cs="Arial"/>
          <w:b/>
          <w:bCs/>
          <w:color w:val="000000" w:themeColor="text1"/>
        </w:rPr>
        <w:t>F</w:t>
      </w:r>
      <w:r w:rsidRPr="009F2F83">
        <w:rPr>
          <w:rFonts w:ascii="Arial" w:hAnsi="Arial" w:cs="Arial"/>
          <w:b/>
          <w:bCs/>
          <w:color w:val="000000" w:themeColor="text1"/>
        </w:rPr>
        <w:t>igure 15</w:t>
      </w:r>
      <w:r w:rsidRPr="00D74025">
        <w:rPr>
          <w:rFonts w:ascii="Arial" w:hAnsi="Arial" w:cs="Arial"/>
          <w:color w:val="000000" w:themeColor="text1"/>
        </w:rPr>
        <w:t xml:space="preserve">), each cancer </w:t>
      </w:r>
      <w:r w:rsidR="008E2D3E">
        <w:rPr>
          <w:rFonts w:ascii="Arial" w:hAnsi="Arial" w:cs="Arial"/>
          <w:color w:val="000000" w:themeColor="text1"/>
        </w:rPr>
        <w:t>type</w:t>
      </w:r>
      <w:r w:rsidRPr="00D74025">
        <w:rPr>
          <w:rFonts w:ascii="Arial" w:hAnsi="Arial" w:cs="Arial"/>
          <w:color w:val="000000" w:themeColor="text1"/>
        </w:rPr>
        <w:t xml:space="preserve"> is still a large group of diseases. Accordingly, breast cancer (BC) is a heterogeneous disease that develops in breast tissue, presenting different biological characteristics and, consequently, distinctive outcomes and responses to treatment. Clinicians have created classifications for breast cancer, attempting to predict tumor behavior and guide the selection of treatment strategies. </w:t>
      </w:r>
    </w:p>
    <w:p w14:paraId="6C90F76B" w14:textId="79BA4FFD" w:rsidR="008A7397" w:rsidRDefault="008A7397" w:rsidP="008A7397">
      <w:pPr>
        <w:spacing w:before="240" w:line="360" w:lineRule="auto"/>
        <w:ind w:firstLine="1440"/>
        <w:jc w:val="both"/>
        <w:rPr>
          <w:rFonts w:ascii="Arial" w:hAnsi="Arial" w:cs="Arial"/>
          <w:color w:val="000000" w:themeColor="text1"/>
        </w:rPr>
      </w:pPr>
      <w:r w:rsidRPr="00D74025">
        <w:rPr>
          <w:rFonts w:ascii="Arial" w:hAnsi="Arial" w:cs="Arial"/>
          <w:color w:val="000000" w:themeColor="text1"/>
        </w:rPr>
        <w:t xml:space="preserve">To exemplify the variety of breast cancer subtypes, one can classify BC histologically. Broadly, histology analysis generates two main subtypes based on the invasiveness of the tumor: </w:t>
      </w:r>
      <w:r w:rsidRPr="00D74025">
        <w:rPr>
          <w:rFonts w:ascii="Arial" w:hAnsi="Arial" w:cs="Arial"/>
          <w:i/>
          <w:iCs/>
          <w:color w:val="000000" w:themeColor="text1"/>
        </w:rPr>
        <w:t>in situ</w:t>
      </w:r>
      <w:r w:rsidRPr="00D74025">
        <w:rPr>
          <w:rFonts w:ascii="Arial" w:hAnsi="Arial" w:cs="Arial"/>
          <w:color w:val="000000" w:themeColor="text1"/>
        </w:rPr>
        <w:t xml:space="preserve"> carcinoma or invasive (infiltrating) carcinoma. Those subtypes can be further separated into subgroups, as shown in </w:t>
      </w:r>
      <w:r w:rsidR="009F2F83" w:rsidRPr="009F2F83">
        <w:rPr>
          <w:rFonts w:ascii="Arial" w:hAnsi="Arial" w:cs="Arial"/>
          <w:b/>
          <w:bCs/>
          <w:color w:val="000000" w:themeColor="text1"/>
        </w:rPr>
        <w:t>F</w:t>
      </w:r>
      <w:r w:rsidRPr="009F2F83">
        <w:rPr>
          <w:rFonts w:ascii="Arial" w:hAnsi="Arial" w:cs="Arial"/>
          <w:b/>
          <w:bCs/>
          <w:color w:val="000000" w:themeColor="text1"/>
        </w:rPr>
        <w:t>igure 16</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{"citationID":"dMiLCY5q","properties":{"formattedCitation":"\\super 123\\nosupersub{}","plainCitation":"123","noteIndex":0},"citationItems":[{"id":425,"uris":["http://zotero.org/users/7661987/items/KR9ERCFF"],"itemData":{"id":425,"type":"article-journal","container-title":"Cancer Biology &amp; Therapy","DOI":"10.4161/cbt.10.10.13879","ISSN":"1538-4047, 1555-8576","issue":"10","journalAbbreviation":"Cancer Biology &amp; Therapy","language":"en","page":"955-960","source":"DOI.org (Crossref)","title":"Histological, molecular and functional subtypes of breast cancers","volume":"10","author":[{"family":"Malhotra","given":"Gautam K."},{"family":"Zhao","given":"Xiangshan"},{"family":"Band","given":"Hamid"},{"family":"Band","given":"Vimla"}],"issued":{"date-parts":[["2010",11,15]]}}}],"schema":"https://github.com/citation-style-language/schema/raw/master/csl-citation.json"}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123</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4374ED09" w14:textId="77777777" w:rsidR="00C92DD5" w:rsidRPr="00D74025" w:rsidRDefault="00C92DD5" w:rsidP="008A7397">
      <w:pPr>
        <w:spacing w:before="240" w:line="360" w:lineRule="auto"/>
        <w:ind w:firstLine="1440"/>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78CA2223" w14:textId="77777777" w:rsidTr="00B1382C">
        <w:tc>
          <w:tcPr>
            <w:tcW w:w="9350" w:type="dxa"/>
          </w:tcPr>
          <w:p w14:paraId="5B2D6D62" w14:textId="1DEA7145" w:rsidR="00B1382C" w:rsidRPr="00D74025" w:rsidRDefault="00D737DB" w:rsidP="00665F5E">
            <w:pPr>
              <w:spacing w:beforeAutospacing="0" w:line="360" w:lineRule="auto"/>
              <w:ind w:firstLine="0"/>
              <w:rPr>
                <w:rFonts w:ascii="Arial" w:hAnsi="Arial" w:cs="Arial"/>
                <w:color w:val="000000" w:themeColor="text1"/>
              </w:rPr>
            </w:pPr>
            <w:r w:rsidRPr="00D74025">
              <w:rPr>
                <w:rFonts w:ascii="Arial" w:hAnsi="Arial" w:cs="Arial"/>
                <w:noProof/>
                <w:color w:val="000000" w:themeColor="text1"/>
              </w:rPr>
              <w:lastRenderedPageBreak/>
              <w:drawing>
                <wp:inline distT="0" distB="0" distL="0" distR="0" wp14:anchorId="460836B6" wp14:editId="24057371">
                  <wp:extent cx="5797550" cy="423047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818019" cy="4245413"/>
                          </a:xfrm>
                          <a:prstGeom prst="rect">
                            <a:avLst/>
                          </a:prstGeom>
                        </pic:spPr>
                      </pic:pic>
                    </a:graphicData>
                  </a:graphic>
                </wp:inline>
              </w:drawing>
            </w:r>
          </w:p>
        </w:tc>
      </w:tr>
      <w:tr w:rsidR="00B1382C" w:rsidRPr="00D74025" w14:paraId="162C5D30" w14:textId="77777777" w:rsidTr="00B1382C">
        <w:tc>
          <w:tcPr>
            <w:tcW w:w="9350" w:type="dxa"/>
          </w:tcPr>
          <w:p w14:paraId="7D8C9B3D" w14:textId="6F65A072" w:rsidR="00B1382C" w:rsidRPr="00D74025" w:rsidRDefault="00DD4B6C" w:rsidP="00204FB3">
            <w:pPr>
              <w:spacing w:line="360" w:lineRule="auto"/>
              <w:ind w:firstLine="0"/>
              <w:rPr>
                <w:rFonts w:ascii="Arial" w:hAnsi="Arial" w:cs="Arial"/>
                <w:color w:val="000000" w:themeColor="text1"/>
              </w:rPr>
            </w:pPr>
            <w:bookmarkStart w:id="34" w:name="_Toc121217338"/>
            <w:r w:rsidRPr="00DD4B6C">
              <w:rPr>
                <w:rFonts w:ascii="Arial" w:hAnsi="Arial" w:cs="Arial"/>
                <w:b/>
                <w:bCs/>
                <w:color w:val="000000" w:themeColor="text1"/>
              </w:rPr>
              <w:t xml:space="preserve">Figure </w:t>
            </w:r>
            <w:r w:rsidRPr="00DD4B6C">
              <w:rPr>
                <w:rFonts w:ascii="Arial" w:hAnsi="Arial" w:cs="Arial"/>
                <w:b/>
                <w:bCs/>
                <w:color w:val="000000" w:themeColor="text1"/>
              </w:rPr>
              <w:fldChar w:fldCharType="begin"/>
            </w:r>
            <w:r w:rsidRPr="00DD4B6C">
              <w:rPr>
                <w:rFonts w:ascii="Arial" w:hAnsi="Arial" w:cs="Arial"/>
                <w:b/>
                <w:bCs/>
                <w:color w:val="000000" w:themeColor="text1"/>
              </w:rPr>
              <w:instrText xml:space="preserve"> SEQ Figure \* ARABIC </w:instrText>
            </w:r>
            <w:r w:rsidRPr="00DD4B6C">
              <w:rPr>
                <w:rFonts w:ascii="Arial" w:hAnsi="Arial" w:cs="Arial"/>
                <w:b/>
                <w:bCs/>
                <w:color w:val="000000" w:themeColor="text1"/>
              </w:rPr>
              <w:fldChar w:fldCharType="separate"/>
            </w:r>
            <w:r w:rsidR="002C4B25">
              <w:rPr>
                <w:rFonts w:ascii="Arial" w:hAnsi="Arial" w:cs="Arial"/>
                <w:b/>
                <w:bCs/>
                <w:noProof/>
                <w:color w:val="000000" w:themeColor="text1"/>
              </w:rPr>
              <w:t>16</w:t>
            </w:r>
            <w:r w:rsidRPr="00DD4B6C">
              <w:rPr>
                <w:rFonts w:ascii="Arial" w:hAnsi="Arial" w:cs="Arial"/>
                <w:b/>
                <w:bCs/>
                <w:color w:val="000000" w:themeColor="text1"/>
              </w:rPr>
              <w:fldChar w:fldCharType="end"/>
            </w:r>
            <w:r w:rsidRPr="00DD4B6C">
              <w:rPr>
                <w:rFonts w:ascii="Arial" w:hAnsi="Arial" w:cs="Arial"/>
                <w:b/>
                <w:bCs/>
                <w:color w:val="000000" w:themeColor="text1"/>
              </w:rPr>
              <w:t>:</w:t>
            </w:r>
            <w:r w:rsidR="0000074B" w:rsidRPr="00DD4B6C">
              <w:rPr>
                <w:rFonts w:ascii="Arial" w:hAnsi="Arial" w:cs="Arial"/>
                <w:b/>
                <w:bCs/>
                <w:color w:val="000000" w:themeColor="text1"/>
              </w:rPr>
              <w:t xml:space="preserve"> Histological classification of breast cancer subtypes shows the heterogeneity in breast cancer due to growth patterns and architectural features</w:t>
            </w:r>
            <w:r w:rsidR="0000074B" w:rsidRPr="00D74025">
              <w:rPr>
                <w:rFonts w:ascii="Arial" w:hAnsi="Arial" w:cs="Arial"/>
                <w:color w:val="000000" w:themeColor="text1"/>
              </w:rPr>
              <w:t xml:space="preserve">. HPF: high power field. Figure from Malhotra, </w:t>
            </w:r>
            <w:r w:rsidR="0000074B" w:rsidRPr="00D74025">
              <w:rPr>
                <w:rFonts w:ascii="Arial" w:hAnsi="Arial" w:cs="Arial"/>
                <w:i/>
                <w:iCs/>
                <w:color w:val="000000" w:themeColor="text1"/>
              </w:rPr>
              <w:t xml:space="preserve">et al. </w:t>
            </w:r>
            <w:r w:rsidR="0000074B" w:rsidRPr="00D74025">
              <w:rPr>
                <w:rFonts w:ascii="Arial" w:hAnsi="Arial" w:cs="Arial"/>
                <w:color w:val="000000" w:themeColor="text1"/>
              </w:rPr>
              <w:t xml:space="preserve">2010 </w:t>
            </w:r>
            <w:r w:rsidR="0000074B"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{"citationID":"XVwE2LHv","properties":{"formattedCitation":"\\super 123\\nosupersub{}","plainCitation":"123","noteIndex":0},"citationItems":[{"id":425,"uris":["http://zotero.org/users/7661987/items/KR9ERCFF"],"itemData":{"id":425,"type":"article-journal","container-title":"Cancer Biology &amp; Therapy","DOI":"10.4161/cbt.10.10.13879","ISSN":"1538-4047, 1555-8576","issue":"10","journalAbbreviation":"Cancer Biology &amp; Therapy","language":"en","page":"955-960","source":"DOI.org (Crossref)","title":"Histological, molecular and functional subtypes of breast cancers","volume":"10","author":[{"family":"Malhotra","given":"Gautam K."},{"family":"Zhao","given":"Xiangshan"},{"family":"Band","given":"Hamid"},{"family":"Band","given":"Vimla"}],"issued":{"date-parts":[["2010",11,15]]}}}],"schema":"https://github.com/citation-style-language/schema/raw/master/csl-citation.json"} </w:instrText>
            </w:r>
            <w:r w:rsidR="0000074B" w:rsidRPr="00D74025">
              <w:rPr>
                <w:rFonts w:ascii="Arial" w:hAnsi="Arial" w:cs="Arial"/>
                <w:color w:val="000000" w:themeColor="text1"/>
              </w:rPr>
              <w:fldChar w:fldCharType="separate"/>
            </w:r>
            <w:r w:rsidR="000F4F53" w:rsidRPr="000F4F53">
              <w:rPr>
                <w:rFonts w:ascii="Arial" w:hAnsi="Arial" w:cs="Arial"/>
                <w:color w:val="000000"/>
                <w:vertAlign w:val="superscript"/>
              </w:rPr>
              <w:t>123</w:t>
            </w:r>
            <w:r w:rsidR="0000074B" w:rsidRPr="00D74025">
              <w:rPr>
                <w:rFonts w:ascii="Arial" w:hAnsi="Arial" w:cs="Arial"/>
                <w:color w:val="000000" w:themeColor="text1"/>
              </w:rPr>
              <w:fldChar w:fldCharType="end"/>
            </w:r>
            <w:r w:rsidR="00204FB3" w:rsidRPr="00D74025">
              <w:rPr>
                <w:rFonts w:ascii="Arial" w:hAnsi="Arial" w:cs="Arial"/>
                <w:color w:val="000000" w:themeColor="text1"/>
              </w:rPr>
              <w:t>.</w:t>
            </w:r>
            <w:bookmarkEnd w:id="34"/>
          </w:p>
        </w:tc>
      </w:tr>
    </w:tbl>
    <w:p w14:paraId="7175AD72" w14:textId="77777777" w:rsidR="00DD4B6C" w:rsidRDefault="00DD4B6C" w:rsidP="00BB766B">
      <w:pPr>
        <w:spacing w:before="240" w:line="360" w:lineRule="auto"/>
        <w:ind w:firstLine="1440"/>
        <w:jc w:val="both"/>
        <w:rPr>
          <w:rFonts w:ascii="Arial" w:hAnsi="Arial" w:cs="Arial"/>
          <w:color w:val="000000" w:themeColor="text1"/>
        </w:rPr>
      </w:pPr>
    </w:p>
    <w:p w14:paraId="331341F2" w14:textId="0711C579" w:rsidR="00BB766B" w:rsidRPr="00D74025" w:rsidRDefault="00BB766B" w:rsidP="00BB766B">
      <w:pPr>
        <w:spacing w:before="240" w:line="360" w:lineRule="auto"/>
        <w:ind w:firstLine="1440"/>
        <w:jc w:val="both"/>
        <w:rPr>
          <w:rFonts w:ascii="Arial" w:hAnsi="Arial" w:cs="Arial"/>
          <w:color w:val="000000" w:themeColor="text1"/>
        </w:rPr>
      </w:pPr>
      <w:r w:rsidRPr="00D74025">
        <w:rPr>
          <w:rFonts w:ascii="Arial" w:hAnsi="Arial" w:cs="Arial"/>
          <w:color w:val="000000" w:themeColor="text1"/>
        </w:rPr>
        <w:t>Currently, the treatment strategies for BC involve surgery, radiation therapy, targeted therapy, and chemotherapy</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{"citationID":"a2mvdemmbok","properties":{"formattedCitation":"\\super 124\\nosupersub{}","plainCitation":"124","noteIndex":0},"citationItems":[{"id":298,"uris":["http://zotero.org/users/7661987/items/DWE4XKEX"],"itemData":{"id":298,"type":"article-journal","container-title":"JAMA","DOI":"10.1001/jama.2018.19323","ISSN":"0098-7484","issue":"3","journalAbbreviation":"JAMA","language":"en","page":"288","source":"DOI.org (Crossref)","title":"Breast Cancer Treatment: A Review","title-short":"Breast Cancer Treatment","volume":"321","author":[{"family":"Waks","given":"Adrienne G."},{"family":"Winer","given":"Eric P."}],"issued":{"date-parts":[["2019",1,22]]}}}],"schema":"https://github.com/citation-style-language/schema/raw/master/csl-citation.json"}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124</w:t>
      </w:r>
      <w:r w:rsidRPr="00D74025">
        <w:rPr>
          <w:rFonts w:ascii="Arial" w:hAnsi="Arial" w:cs="Arial"/>
          <w:color w:val="000000" w:themeColor="text1"/>
        </w:rPr>
        <w:fldChar w:fldCharType="end"/>
      </w:r>
      <w:r w:rsidRPr="00D74025">
        <w:rPr>
          <w:rFonts w:ascii="Arial" w:hAnsi="Arial" w:cs="Arial"/>
          <w:color w:val="000000" w:themeColor="text1"/>
        </w:rPr>
        <w:t>. The rationalization of the treatment course needs to be individualized due to the heterogeneity of the disease between patients. Surgery strategies have shifted from radical mastectomy to breast-conserving surgery allied to breast radiation</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{"citationID":"a23tdjqskoe","properties":{"formattedCitation":"\\super 125\\nosupersub{}","plainCitation":"125","noteIndex":0},"citationItems":[{"id":295,"uris":["http://zotero.org/users/7661987/items/EQ8GQ4VM"],"itemData":{"id":295,"type":"article-journal","abstract":"Purpose of Review The goals of surgery for breast cancer have remained the same over the years, to eliminate breast cancer from the breast with the least degree of deformity. With the current expectation of long-term survival after breast cancer treatment, more attention has turned to the cosmetic result of the surgical treatment. Whether lumpectomy or mastectomy, the need for aesthetic improvement was recognized by surgeons both in and outside the USA.","container-title":"Current Oncology Reports","DOI":"10.1007/s11912-019-0860-9","ISSN":"1523-3790, 1534-6269","issue":"12","journalAbbreviation":"Curr Oncol Rep","language":"en","page":"111","source":"DOI.org (Crossref)","title":"Increasing Role of Oncoplastic Surgery for Breast Cancer","volume":"21","author":[{"family":"Kaufman","given":"Cary S."}],"issued":{"date-parts":[["2019",12]]}}}],"schema":"https://github.com/citation-style-language/schema/raw/master/csl-citation.json"}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125</w:t>
      </w:r>
      <w:r w:rsidRPr="00D74025">
        <w:rPr>
          <w:rFonts w:ascii="Arial" w:hAnsi="Arial" w:cs="Arial"/>
          <w:color w:val="000000" w:themeColor="text1"/>
        </w:rPr>
        <w:fldChar w:fldCharType="end"/>
      </w:r>
      <w:r w:rsidRPr="00D74025">
        <w:rPr>
          <w:rFonts w:ascii="Arial" w:hAnsi="Arial" w:cs="Arial"/>
          <w:color w:val="000000" w:themeColor="text1"/>
        </w:rPr>
        <w:t>. Additionally, correlations between pre-operative chemotherapy and an increase in locoregional management, disease-free survival, and overall survival have also established that treatment option as a typical treatment course</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{"citationID":"a1fm88h0lu2","properties":{"formattedCitation":"\\super 126\\nosupersub{}","plainCitation":"126","noteIndex":0},"citationItems":[{"id":294,"uris":["http://zotero.org/users/7661987/items/2TT25L3S"],"itemData":{"id":294,"type":"article-journal","abstract":"BACKGROUND—Patients with isolated locoregional recurrences (ILRR) of breast cancer have a high risk of distant metastasis and death from breast cancer. We investigated adjuvant chemotherapy for such patients in a randomised clinical trial.","container-title":"The Lancet Oncology","DOI":"10.1016/S1470-2045(13)70589-8","ISSN":"14702045","issue":"2","journalAbbreviation":"The Lancet Oncology","language":"en","page":"156-163","source":"DOI.org (Crossref)","title":"Chemotherapy for isolated locoregional recurrence of breast cancer (CALOR): a randomised trial","title-short":"Chemotherapy for isolated locoregional recurrence of breast cancer (CALOR)","volume":"15","author":[{"family":"Aebi","given":"Stefan"},{"family":"Gelber","given":"Shari"},{"family":"Anderson","given":"Stewart J"},{"family":"Láng","given":"István"},{"family":"Robidoux","given":"André"},{"family":"Martín","given":"Miguel"},{"family":"Nortier","given":"Johan W R"},{"family":"Paterson","given":"Alexander H G"},{"family":"Rimawi","given":"Mothaffar F"},{"family":"Cañada","given":"José Manuel Baena"},{"family":"Thürlimann","given":"Beat"},{"family":"Murray","given":"Elizabeth"},{"family":"Mamounas","given":"Eleftherios P"},{"family":"Geyer","given":"Charles E"},{"family":"Price","given":"Karen N"},{"family":"Coates","given":"Alan S"},{"family":"Gelber","given":"Richard D"},{"family":"Rastogi","given":"Priya"},{"family":"Wolmark","given":"Norman"},{"family":"Wapnir","given":"Irene L"}],"issued":{"date-parts":[["2014",2]]}}}],"schema":"https://github.com/citation-style-language/schema/raw/master/csl-citation.json"}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126</w:t>
      </w:r>
      <w:r w:rsidRPr="00D74025">
        <w:rPr>
          <w:rFonts w:ascii="Arial" w:hAnsi="Arial" w:cs="Arial"/>
          <w:color w:val="000000" w:themeColor="text1"/>
        </w:rPr>
        <w:fldChar w:fldCharType="end"/>
      </w:r>
      <w:r w:rsidRPr="00D74025">
        <w:rPr>
          <w:rFonts w:ascii="Arial" w:hAnsi="Arial" w:cs="Arial"/>
          <w:color w:val="000000" w:themeColor="text1"/>
        </w:rPr>
        <w:t>.</w:t>
      </w:r>
    </w:p>
    <w:p w14:paraId="081293BD" w14:textId="3F6D61BC" w:rsidR="007C5F23" w:rsidRPr="00D74025" w:rsidRDefault="007C5F23" w:rsidP="00E81501">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Even though chemotherapeutic agents have debilitating side effects related to their use, their use is still crucial for preventing recurrence in many BC patients. The </w:t>
      </w:r>
      <w:r w:rsidRPr="00D74025">
        <w:rPr>
          <w:rFonts w:ascii="Arial" w:hAnsi="Arial" w:cs="Arial"/>
          <w:color w:val="000000" w:themeColor="text1"/>
        </w:rPr>
        <w:lastRenderedPageBreak/>
        <w:t xml:space="preserve">commonly used chemotherapeutic agents are: </w:t>
      </w:r>
      <w:r w:rsidRPr="00D74025">
        <w:rPr>
          <w:rFonts w:ascii="Arial" w:hAnsi="Arial" w:cs="Arial"/>
          <w:color w:val="000000" w:themeColor="text1"/>
          <w:u w:val="single"/>
        </w:rPr>
        <w:t>docetaxel</w:t>
      </w:r>
      <w:r w:rsidRPr="00D74025">
        <w:rPr>
          <w:rFonts w:ascii="Arial" w:hAnsi="Arial" w:cs="Arial"/>
          <w:color w:val="000000" w:themeColor="text1"/>
        </w:rPr>
        <w:t xml:space="preserve">, which inhibits microtubule formation, thus disrupting mitosis; </w:t>
      </w:r>
      <w:r w:rsidRPr="00D74025">
        <w:rPr>
          <w:rFonts w:ascii="Arial" w:hAnsi="Arial" w:cs="Arial"/>
          <w:color w:val="000000" w:themeColor="text1"/>
          <w:u w:val="single"/>
        </w:rPr>
        <w:t>cyclophosphamide</w:t>
      </w:r>
      <w:r w:rsidRPr="00D74025">
        <w:rPr>
          <w:rFonts w:ascii="Arial" w:hAnsi="Arial" w:cs="Arial"/>
          <w:color w:val="000000" w:themeColor="text1"/>
        </w:rPr>
        <w:t xml:space="preserve">, an alkylating agent that disrupts DNA replication; </w:t>
      </w:r>
      <w:r w:rsidRPr="00D74025">
        <w:rPr>
          <w:rFonts w:ascii="Arial" w:hAnsi="Arial" w:cs="Arial"/>
          <w:color w:val="000000" w:themeColor="text1"/>
          <w:u w:val="single"/>
        </w:rPr>
        <w:t>paclitaxel</w:t>
      </w:r>
      <w:r w:rsidRPr="00D74025">
        <w:rPr>
          <w:rFonts w:ascii="Arial" w:hAnsi="Arial" w:cs="Arial"/>
          <w:color w:val="000000" w:themeColor="text1"/>
        </w:rPr>
        <w:t xml:space="preserve">, which also inhibits microtubule formation; </w:t>
      </w:r>
      <w:proofErr w:type="spellStart"/>
      <w:r w:rsidR="00BF2DC8">
        <w:rPr>
          <w:rFonts w:ascii="Arial" w:hAnsi="Arial" w:cs="Arial"/>
          <w:color w:val="000000" w:themeColor="text1"/>
          <w:u w:val="single"/>
        </w:rPr>
        <w:t>a</w:t>
      </w:r>
      <w:r w:rsidRPr="00D74025">
        <w:rPr>
          <w:rFonts w:ascii="Arial" w:hAnsi="Arial" w:cs="Arial"/>
          <w:color w:val="000000" w:themeColor="text1"/>
          <w:u w:val="single"/>
        </w:rPr>
        <w:t>driamycin</w:t>
      </w:r>
      <w:proofErr w:type="spellEnd"/>
      <w:r w:rsidRPr="00D74025">
        <w:rPr>
          <w:rFonts w:ascii="Arial" w:hAnsi="Arial" w:cs="Arial"/>
          <w:color w:val="000000" w:themeColor="text1"/>
        </w:rPr>
        <w:t xml:space="preserve">, a disruptor of DNA replication; </w:t>
      </w:r>
      <w:r w:rsidRPr="00D74025">
        <w:rPr>
          <w:rFonts w:ascii="Arial" w:hAnsi="Arial" w:cs="Arial"/>
          <w:color w:val="000000" w:themeColor="text1"/>
          <w:u w:val="single"/>
        </w:rPr>
        <w:t>docetaxel</w:t>
      </w:r>
      <w:r w:rsidRPr="00D74025">
        <w:rPr>
          <w:rFonts w:ascii="Arial" w:hAnsi="Arial" w:cs="Arial"/>
          <w:color w:val="000000" w:themeColor="text1"/>
        </w:rPr>
        <w:t xml:space="preserve">, a microtubule formation inhibitor; </w:t>
      </w:r>
      <w:r w:rsidRPr="00D74025">
        <w:rPr>
          <w:rFonts w:ascii="Arial" w:hAnsi="Arial" w:cs="Arial"/>
          <w:color w:val="000000" w:themeColor="text1"/>
          <w:u w:val="single"/>
        </w:rPr>
        <w:t>carboplatin</w:t>
      </w:r>
      <w:r w:rsidRPr="00D74025">
        <w:rPr>
          <w:rFonts w:ascii="Arial" w:hAnsi="Arial" w:cs="Arial"/>
          <w:color w:val="000000" w:themeColor="text1"/>
        </w:rPr>
        <w:t>, which disrupts DNA replication by crosslinking to DNA</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{"citationID":"ap6tvsv9ii","properties":{"formattedCitation":"\\super 124\\nosupersub{}","plainCitation":"124","noteIndex":0},"citationItems":[{"id":298,"uris":["http://zotero.org/users/7661987/items/DWE4XKEX"],"itemData":{"id":298,"type":"article-journal","container-title":"JAMA","DOI":"10.1001/jama.2018.19323","ISSN":"0098-7484","issue":"3","journalAbbreviation":"JAMA","language":"en","page":"288","source":"DOI.org (Crossref)","title":"Breast Cancer Treatment: A Review","title-short":"Breast Cancer Treatment","volume":"321","author":[{"family":"Waks","given":"Adrienne G."},{"family":"Winer","given":"Eric P."}],"issued":{"date-parts":[["2019",1,22]]}}}],"schema":"https://github.com/citation-style-language/schema/raw/master/csl-citation.json"}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124</w:t>
      </w:r>
      <w:r w:rsidRPr="00D74025">
        <w:rPr>
          <w:rFonts w:ascii="Arial" w:hAnsi="Arial" w:cs="Arial"/>
          <w:color w:val="000000" w:themeColor="text1"/>
        </w:rPr>
        <w:fldChar w:fldCharType="end"/>
      </w:r>
      <w:r w:rsidRPr="00D74025">
        <w:rPr>
          <w:rFonts w:ascii="Arial" w:hAnsi="Arial" w:cs="Arial"/>
          <w:color w:val="000000" w:themeColor="text1"/>
        </w:rPr>
        <w:t>. The most common side effects include, but are not limited to, asthenia, edema, myalgias, myelosuppression, and sensory neuropathy. The less common side effects can involve uterine cancer, thromboembolic disease, osteoporosis, febrile neutropenia, and congestive heart failure</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{"citationID":"FWggYFTA","properties":{"formattedCitation":"\\super 124\\nosupersub{}","plainCitation":"124","noteIndex":0},"citationItems":[{"id":298,"uris":["http://zotero.org/users/7661987/items/DWE4XKEX"],"itemData":{"id":298,"type":"article-journal","container-title":"JAMA","DOI":"10.1001/jama.2018.19323","ISSN":"0098-7484","issue":"3","journalAbbreviation":"JAMA","language":"en","page":"288","source":"DOI.org (Crossref)","title":"Breast Cancer Treatment: A Review","title-short":"Breast Cancer Treatment","volume":"321","author":[{"family":"Waks","given":"Adrienne G."},{"family":"Winer","given":"Eric P."}],"issued":{"date-parts":[["2019",1,22]]}}}],"schema":"https://github.com/citation-style-language/schema/raw/master/csl-citation.json"}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124</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560FE356" w14:textId="77777777" w:rsidR="00E75219" w:rsidRPr="00D74025" w:rsidRDefault="00E75219" w:rsidP="00BF2DC8">
      <w:pPr>
        <w:spacing w:line="360" w:lineRule="auto"/>
        <w:ind w:firstLine="1440"/>
        <w:jc w:val="both"/>
        <w:rPr>
          <w:rFonts w:ascii="Arial" w:hAnsi="Arial" w:cs="Arial"/>
          <w:color w:val="000000" w:themeColor="text1"/>
        </w:rPr>
      </w:pPr>
      <w:r w:rsidRPr="00D74025">
        <w:rPr>
          <w:rFonts w:ascii="Arial" w:hAnsi="Arial" w:cs="Arial"/>
          <w:color w:val="000000" w:themeColor="text1"/>
        </w:rPr>
        <w:t>From listing toxicities associated with chemotherapeutic agents, it is intuitive to conclude that there is a need to develop novel therapies that are more effective at treating BC patients and have significantly reduced side effects. The most effective recognized strategy to achieve that goal is targeted therapies.</w:t>
      </w:r>
    </w:p>
    <w:p w14:paraId="4D82ECBC" w14:textId="11853F61" w:rsidR="00D66636" w:rsidRDefault="00533A70" w:rsidP="0041681A">
      <w:pPr>
        <w:spacing w:line="360" w:lineRule="auto"/>
        <w:ind w:firstLine="1440"/>
        <w:jc w:val="both"/>
        <w:rPr>
          <w:rFonts w:ascii="Arial" w:hAnsi="Arial" w:cs="Arial"/>
          <w:color w:val="000000" w:themeColor="text1"/>
        </w:rPr>
      </w:pPr>
      <w:r w:rsidRPr="00D74025">
        <w:rPr>
          <w:rFonts w:ascii="Arial" w:hAnsi="Arial" w:cs="Arial"/>
          <w:color w:val="000000" w:themeColor="text1"/>
        </w:rPr>
        <w:t>One of the most routine analyses for breast cancer classification is immunophenotyping: the assessment of tumor molecular markers. This classification is based on molecular and histological evidence and assesses whether the primary tumor expresses surface receptors, which characterize the tumor's responsivity to currently available targeted treatments. Biopsied tissue is prepared and stained for the presence of estrogen receptor (ER), progesterone receptor (PR), and human epithelial growth factor receptor 2 (HER2, most recently named  ErbB2) expression</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{"citationID":"y9K4wuOm","properties":{"formattedCitation":"\\super 127\\nosupersub{}","plainCitation":"127","noteIndex":0},"citationItems":[{"id":434,"uris":["http://zotero.org/users/7661987/items/5SHYE5LZ"],"itemData":{"id":434,"type":"article-journal","abstract":"Treatment protocols for breast cancer depend predominantly on receptor status with respect to estrogen (estrogen receptor alpha), progesterone (progesterone receptor) and human epidermal growth factor [human epidermal growth factor receptor 2 (HER2)]. The presence of one or more of these receptors suggests that a treatment targeting these pathways might be effective, while the absence of, or in the case of HER2, lack of overexpression of, all of these receptors, termed triple negative breast cancer (TNBC), indicates a need for the more toxic chemotherapy. In an effort to develop targeted therapies for TNBC, it will be necessary to differentiate among specific TNBC subtypes. The subset of TNBC that expresses androgen receptor (AR) has been determined to express genes consistent with a luminal subtype and therefore may be amenable to therapies targeting either AR, itself, or other pathways typical of a luminal subtype. Recent investigations of the AR signal pathway within breast cancer lead to AR as a significant target for breast cancer therapy with several clinical trials currently in progress. The subclass of TNBC that lacks AR, which we have termed quadruple negative breast cancer (QNBC) currently lacks a defined targetable pathway. Unlike AR-positive TNBC, QNBC predominantly exhibits a basal-like molecular subtype. Several subtypes and related pathway proteins are preferentially expressed in QNBC that may serve as effective targets for treatment, such as ACSL4, SKP2 and EGFR. ACSL4 expression has been demonstrated to be inversely correlated with expression of hormone/growth factor receptors and may thus serve as a biomarker for QNBC as well as a target for therapy. In the following review we summarize some of the current efforts to develop alternatives to chemotherapy for TNBC and QNBC.","language":"en","page":"9","source":"Zotero","title":"Breast cancer molecular subtypes: from TNBC to QNBC","author":[{"family":"Hon","given":"Jane Date C"},{"family":"Singh","given":"Baljit"},{"family":"Sahin","given":"Aysegul"},{"family":"Du","given":"Gang"},{"family":"Wang","given":"Jinhua"},{"family":"Wang","given":"Vincent Y"},{"family":"Zhang","given":"David Y"},{"family":"Monaco","given":"Marie E"},{"family":"Lee","given":"Peng"}]}}],"schema":"https://github.com/citation-style-language/schema/raw/master/csl-citation.json"}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127</w:t>
      </w:r>
      <w:r w:rsidRPr="00D74025">
        <w:rPr>
          <w:rFonts w:ascii="Arial" w:hAnsi="Arial" w:cs="Arial"/>
          <w:color w:val="000000" w:themeColor="text1"/>
        </w:rPr>
        <w:fldChar w:fldCharType="end"/>
      </w:r>
      <w:r w:rsidRPr="00D74025">
        <w:rPr>
          <w:rFonts w:ascii="Arial" w:hAnsi="Arial" w:cs="Arial"/>
          <w:color w:val="000000" w:themeColor="text1"/>
        </w:rPr>
        <w:t xml:space="preserve">. After immunohistochemical techniques are applied to biopsied tissue, they are classified as </w:t>
      </w:r>
      <w:r w:rsidR="00EE6B5C">
        <w:rPr>
          <w:rFonts w:ascii="Arial" w:hAnsi="Arial" w:cs="Arial"/>
          <w:color w:val="000000" w:themeColor="text1"/>
        </w:rPr>
        <w:t>l</w:t>
      </w:r>
      <w:r w:rsidRPr="00D74025">
        <w:rPr>
          <w:rFonts w:ascii="Arial" w:hAnsi="Arial" w:cs="Arial"/>
          <w:color w:val="000000" w:themeColor="text1"/>
        </w:rPr>
        <w:t xml:space="preserve">uminal A (ER/PR+, and HER2-), </w:t>
      </w:r>
      <w:r w:rsidR="00EE6B5C">
        <w:rPr>
          <w:rFonts w:ascii="Arial" w:hAnsi="Arial" w:cs="Arial"/>
          <w:color w:val="000000" w:themeColor="text1"/>
        </w:rPr>
        <w:t>l</w:t>
      </w:r>
      <w:r w:rsidRPr="00D74025">
        <w:rPr>
          <w:rFonts w:ascii="Arial" w:hAnsi="Arial" w:cs="Arial"/>
          <w:color w:val="000000" w:themeColor="text1"/>
        </w:rPr>
        <w:t>uminal B (ER/PR</w:t>
      </w:r>
      <w:r w:rsidRPr="00D74025">
        <w:rPr>
          <w:rFonts w:ascii="Arial" w:hAnsi="Arial" w:cs="Arial"/>
          <w:color w:val="000000" w:themeColor="text1"/>
          <w:vertAlign w:val="superscript"/>
        </w:rPr>
        <w:t>+</w:t>
      </w:r>
      <w:r w:rsidRPr="00D74025">
        <w:rPr>
          <w:rFonts w:ascii="Arial" w:hAnsi="Arial" w:cs="Arial"/>
          <w:color w:val="000000" w:themeColor="text1"/>
        </w:rPr>
        <w:t>, and HER2</w:t>
      </w:r>
      <w:r w:rsidRPr="00D74025">
        <w:rPr>
          <w:rFonts w:ascii="Arial" w:hAnsi="Arial" w:cs="Arial"/>
          <w:color w:val="000000" w:themeColor="text1"/>
          <w:vertAlign w:val="superscript"/>
        </w:rPr>
        <w:t>+</w:t>
      </w:r>
      <w:r w:rsidRPr="00D74025">
        <w:rPr>
          <w:rFonts w:ascii="Arial" w:hAnsi="Arial" w:cs="Arial"/>
          <w:color w:val="000000" w:themeColor="text1"/>
        </w:rPr>
        <w:t xml:space="preserve">), HER2 enriched (PR/ER-, but HER2+), and Basal Like, also known as </w:t>
      </w:r>
      <w:r w:rsidR="00EE6B5C">
        <w:rPr>
          <w:rFonts w:ascii="Arial" w:hAnsi="Arial" w:cs="Arial"/>
          <w:color w:val="000000" w:themeColor="text1"/>
        </w:rPr>
        <w:t>t</w:t>
      </w:r>
      <w:r w:rsidRPr="00D74025">
        <w:rPr>
          <w:rFonts w:ascii="Arial" w:hAnsi="Arial" w:cs="Arial"/>
          <w:color w:val="000000" w:themeColor="text1"/>
        </w:rPr>
        <w:t xml:space="preserve">riple </w:t>
      </w:r>
      <w:r w:rsidR="00EE6B5C">
        <w:rPr>
          <w:rFonts w:ascii="Arial" w:hAnsi="Arial" w:cs="Arial"/>
          <w:color w:val="000000" w:themeColor="text1"/>
        </w:rPr>
        <w:t>n</w:t>
      </w:r>
      <w:r w:rsidRPr="00D74025">
        <w:rPr>
          <w:rFonts w:ascii="Arial" w:hAnsi="Arial" w:cs="Arial"/>
          <w:color w:val="000000" w:themeColor="text1"/>
        </w:rPr>
        <w:t xml:space="preserve">egative </w:t>
      </w:r>
      <w:r w:rsidR="00EE6B5C">
        <w:rPr>
          <w:rFonts w:ascii="Arial" w:hAnsi="Arial" w:cs="Arial"/>
          <w:color w:val="000000" w:themeColor="text1"/>
        </w:rPr>
        <w:t>b</w:t>
      </w:r>
      <w:r w:rsidRPr="00D74025">
        <w:rPr>
          <w:rFonts w:ascii="Arial" w:hAnsi="Arial" w:cs="Arial"/>
          <w:color w:val="000000" w:themeColor="text1"/>
        </w:rPr>
        <w:t xml:space="preserve">reast </w:t>
      </w:r>
      <w:r w:rsidR="00EE6B5C">
        <w:rPr>
          <w:rFonts w:ascii="Arial" w:hAnsi="Arial" w:cs="Arial"/>
          <w:color w:val="000000" w:themeColor="text1"/>
        </w:rPr>
        <w:t>c</w:t>
      </w:r>
      <w:r w:rsidRPr="00D74025">
        <w:rPr>
          <w:rFonts w:ascii="Arial" w:hAnsi="Arial" w:cs="Arial"/>
          <w:color w:val="000000" w:themeColor="text1"/>
        </w:rPr>
        <w:t>ancer</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{"citationID":"a2dgvno0u19","properties":{"formattedCitation":"\\super 128\\nosupersub{}","plainCitation":"128","noteIndex":0},"citationItems":[{"id":305,"uris":["http://zotero.org/users/7661987/items/546D8LK3"],"itemData":{"id":305,"type":"article-journal","container-title":"The Lancet","DOI":"10.1016/S0140-6736(20)32381-3","ISSN":"01406736","issue":"10286","journalAbbreviation":"The Lancet","language":"en","page":"1750-1769","source":"DOI.org (Crossref)","title":"Breast cancer","volume":"397","author":[{"family":"Loibl","given":"Sibylle"},{"family":"Poortmans","given":"Philip"},{"family":"Morrow","given":"Monica"},{"family":"Denkert","given":"Carsten"},{"family":"Curigliano","given":"Giuseppe"}],"issued":{"date-parts":[["2021",5]]}}}],"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128</w:t>
      </w:r>
      <w:r w:rsidRPr="00D74025">
        <w:rPr>
          <w:rFonts w:ascii="Arial" w:hAnsi="Arial" w:cs="Arial"/>
          <w:color w:val="000000" w:themeColor="text1"/>
        </w:rPr>
        <w:fldChar w:fldCharType="end"/>
      </w:r>
      <w:r w:rsidRPr="00D74025">
        <w:rPr>
          <w:rFonts w:ascii="Arial" w:hAnsi="Arial" w:cs="Arial"/>
          <w:color w:val="000000" w:themeColor="text1"/>
        </w:rPr>
        <w:t>. Although many other classifications of BC were developed, receptor status is considered the most effective in the prediction of response and prognosis of available treatment options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{"citationID":"a5lpg00k0a","properties":{"formattedCitation":"\\super 129\\uc0\\u8211{}131\\nosupersub{}","plainCitation":"129–131","noteIndex":0},"citationItems":[{"id":304,"uris":["http://zotero.org/users/7661987/items/ZJVG5KMT"],"itemData":{"id":304,"type":"article-journal","abstract":"Purpose Triple-negative breast cancer (TNBC) is a heterogeneous group of tumors comprising various breast cancers simply deﬁned by the absence of estrogen receptor, progesterone receptor and overexpression of human epidermal growth factor receptor 2 gene. In this review, we discuss the epidemiology, risk factors, clinical characteristics and prognostic variables of TNBC, and present the summary of recommended treatment strategies and all other available treatment options.","container-title":"Archives of Gynecology and Obstetrics","DOI":"10.1007/s00404-015-3859-y","ISSN":"0932-0067, 1432-0711","issue":"2","journalAbbreviation":"Arch Gynecol Obstet","language":"en","page":"247-269","source":"DOI.org (Crossref)","title":"An overview of triple-negative breast cancer","volume":"293","author":[{"family":"Kumar","given":"Pankaj"},{"family":"Aggarwal","given":"Rupali"}],"issued":{"date-parts":[["2016",2]]}}},{"id":303,"uris":["http://zotero.org/users/7661987/items/PIWNUXV4"],"itemData":{"id":303,"type":"article-journal","abstract":"Breast cancer is a heterogeneous disease with multiple intrinsic tumor subtypes. These subtypes vary in tumor gene expression and phenotype, and are most commonly grouped into four major subtypes: luminal A, luminal B, HER2-overexpressing and triple negative (or basal-like). A growing number of studies have evaluated the relationship between established breast cancer risk factors and risk of one or more intrinsic tumor subtypes. We conducted a systematic review of 38 studies to synthesize their results and identify areas requiring more research. Taken together, published studies suggest that most established breast cancer risk factors reﬂect risk factors for the luminal A subtype of breast cancer, and some breast cancer risk factors may be differentially associated with other intrinsic tumor subtypes. Future breast cancer research will need to consider etiologic differences across subtypes and design studies focused on understanding the etiology and prevention of less common tumor subtypes.","container-title":"Biochimica et Biophysica Acta (BBA) - Reviews on Cancer","DOI":"10.1016/j.bbcan.2015.06.002","ISSN":"0304419X","issue":"1","journalAbbreviation":"Biochimica et Biophysica Acta (BBA) - Reviews on Cancer","language":"en","page":"73-85","source":"DOI.org (Crossref)","title":"Established breast cancer risk factors and risk of intrinsic tumor subtypes","volume":"1856","author":[{"family":"Barnard","given":"Mollie E."},{"family":"Boeke","given":"Caroline E."},{"family":"Tamimi","given":"Rulla M."}],"issued":{"date-parts":[["2015",8]]}}},{"id":302,"uris":["http://zotero.org/users/7661987/items/FZ86KQWT"],"itemData":{"id":302,"type":"article-journal","container-title":"Journal of Clinical Investigation","DOI":"10.1172/JCI60534","ISSN":"0021-9738","issue":"10","journalAbbreviation":"J. Clin. Invest.","language":"en","page":"3786-3788","source":"DOI.org (Crossref)","title":"Heterogeneity in breast cancer","volume":"121","author":[{"family":"Polyak","given":"Kornelia"}],"issued":{"date-parts":[["2011",10,3]]}}}],"schema":"https://github.com/citation-style-language/schema/raw/master/csl-citation.json"}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129–131</w:t>
      </w:r>
      <w:r w:rsidRPr="00D74025">
        <w:rPr>
          <w:rFonts w:ascii="Arial" w:hAnsi="Arial" w:cs="Arial"/>
          <w:color w:val="000000" w:themeColor="text1"/>
        </w:rPr>
        <w:fldChar w:fldCharType="end"/>
      </w:r>
      <w:r w:rsidRPr="00D74025">
        <w:rPr>
          <w:rFonts w:ascii="Arial" w:hAnsi="Arial" w:cs="Arial"/>
          <w:color w:val="000000" w:themeColor="text1"/>
        </w:rPr>
        <w:t>.</w:t>
      </w:r>
    </w:p>
    <w:p w14:paraId="7E1B410E" w14:textId="74A0D6D2" w:rsidR="00D66636" w:rsidRDefault="00CD3F38" w:rsidP="009819B9">
      <w:pPr>
        <w:spacing w:before="240" w:line="360" w:lineRule="auto"/>
        <w:ind w:firstLine="1440"/>
        <w:jc w:val="both"/>
        <w:rPr>
          <w:rFonts w:ascii="Arial" w:hAnsi="Arial" w:cs="Arial"/>
          <w:color w:val="000000" w:themeColor="text1"/>
        </w:rPr>
      </w:pPr>
      <w:r w:rsidRPr="00D74025">
        <w:rPr>
          <w:rFonts w:ascii="Arial" w:hAnsi="Arial" w:cs="Arial"/>
          <w:color w:val="000000" w:themeColor="text1"/>
        </w:rPr>
        <w:t xml:space="preserve">Targeting estrogen and progesterone receptors by endocrine therapy has transformed breast cancer's global impact. Those strategies decrease breast cancer recurrence and overall survival when applied to women diagnosed with early stages BC and are positive for ER. This receptor is responsible for activating oncogenic growth pathways in cancer cells, enabling proliferative characteristics. The progesterone </w:t>
      </w:r>
      <w:r w:rsidRPr="00D74025">
        <w:rPr>
          <w:rFonts w:ascii="Arial" w:hAnsi="Arial" w:cs="Arial"/>
          <w:color w:val="000000" w:themeColor="text1"/>
        </w:rPr>
        <w:lastRenderedPageBreak/>
        <w:t>receptor is considered a marker for ER signaling, making PR+ tumor cells responsive to ER-targeted treatments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{"citationID":"a2p9532mn2g","properties":{"formattedCitation":"\\super 132\\nosupersub{}","plainCitation":"132","noteIndex":0},"citationItems":[{"id":292,"uris":["http://zotero.org/users/7661987/items/2MPQTRGE"],"itemData":{"id":292,"type":"article-journal","abstract":"Estrogens are considered to play a major role in promoting the proliferation of both the normal and the neoplastic breast epithelium. Their role as breast carcinogens has long been suspected and recently conﬁrmed by epidemiological studies. Three major mechanisms are postulated to be involved in their carcinogenic effects: stimulation of cellular proliferation through their receptor-mediated hormonal activity, direct genotoxic effects by increasing mutation rates through a cytochrome P450-mediated metabolic activation, and induction of aneuploidy. Recently it has been fully demonstrated that estrogens are carcinogenic in the human breast by testing in an experimental system the natural estrogen 17</w:instrText>
      </w:r>
      <w:r w:rsidR="000F4F53">
        <w:rPr>
          <w:rFonts w:ascii="Segoe UI Symbol" w:hAnsi="Segoe UI Symbol" w:cs="Segoe UI Symbol"/>
          <w:color w:val="000000" w:themeColor="text1"/>
        </w:rPr>
        <w:instrText>␤</w:instrText>
      </w:r>
      <w:r w:rsidR="000F4F53">
        <w:rPr>
          <w:rFonts w:ascii="Arial" w:hAnsi="Arial" w:cs="Arial"/>
          <w:color w:val="000000" w:themeColor="text1"/>
        </w:rPr>
        <w:instrText>-estradiol (E2) by itself or its metabolites 2-hydroxy, 4-hydroxy, and 16-a-hydroxy-estradiol (2-OH-E2, 4-OH-E2, and 16-</w:instrText>
      </w:r>
      <w:r w:rsidR="000F4F53">
        <w:rPr>
          <w:rFonts w:ascii="Segoe UI Symbol" w:hAnsi="Segoe UI Symbol" w:cs="Segoe UI Symbol"/>
          <w:color w:val="000000" w:themeColor="text1"/>
        </w:rPr>
        <w:instrText>␣</w:instrText>
      </w:r>
      <w:r w:rsidR="000F4F53">
        <w:rPr>
          <w:rFonts w:ascii="Arial" w:hAnsi="Arial" w:cs="Arial"/>
          <w:color w:val="000000" w:themeColor="text1"/>
        </w:rPr>
        <w:instrText>-OH E2), respectively, by inducing neoplastic transformation of human breast epithelial cells (HBEC) MCF-10F in vitro to a degree at least similar to that induced by the chemical carcinogen benz(a)pyrene (BP). Neither Tamoxyfen (TAM) nor ICI-182,780 abrogated the transforming efﬁciency of estrogen or its metabolites. The E2 induced expression of anchorage independent growth, loss of ductulogenesis in collagen, invasiveness in Matrigel, is associated with the loss of 9p11-13 and only invasive cells that exhibited a 4p15.3-16 deletion were tumorigenic. Tumors were poorly differentiated ER-</w:instrText>
      </w:r>
      <w:r w:rsidR="000F4F53">
        <w:rPr>
          <w:rFonts w:ascii="Segoe UI Symbol" w:hAnsi="Segoe UI Symbol" w:cs="Segoe UI Symbol"/>
          <w:color w:val="000000" w:themeColor="text1"/>
        </w:rPr>
        <w:instrText>␣</w:instrText>
      </w:r>
      <w:r w:rsidR="000F4F53">
        <w:rPr>
          <w:rFonts w:ascii="Arial" w:hAnsi="Arial" w:cs="Arial"/>
          <w:color w:val="000000" w:themeColor="text1"/>
        </w:rPr>
        <w:instrText xml:space="preserve"> and progesterone receptor negative adenocarcinomas that expressed keratins, EMA and E-cadherin. The E2 induced tumors and tumor-derived cell lines exhibited loss of chromosome 4, deletions in chromosomes 3p12.3-13, 8p11.1-21, 9p21qter, and 18q, and gains in 1p, and 5q15-qter. The induction of complete transformation of the human breast epithelial cell MCF-10F in vitro conﬁrms the carcinogenicity of E2, supporting the concept that this hormone could act as an initiator of breast cancer in women. This model provides a unique system for understanding the genomic changes that intervene for leading normal cells to tumorigenesis and for testing the functional role of speciﬁc genomic events taking place during neoplastic transformation.","container-title":"The Journal of Steroid Biochemistry and Molecular Biology","DOI":"10.1016/j.jsbmb.2006.09.004","ISSN":"09600760","issue":"1-5","journalAbbreviation":"The Journal of Steroid Biochemistry and Molecular Biology","language":"en","page":"89-96","source":"DOI.org (Crossref)","title":"The role of estrogen in the initiation of breast cancer","volume":"102","author":[{"family":"Russo","given":"J."},{"family":"Russo","given":"Irma H."}],"issued":{"date-parts":[["2006",12]]}}}],"schema":"https://github.com/citation-style-language/schema/raw/master/csl-citation.json"}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132</w:t>
      </w:r>
      <w:r w:rsidRPr="00D74025">
        <w:rPr>
          <w:rFonts w:ascii="Arial" w:hAnsi="Arial" w:cs="Arial"/>
          <w:color w:val="000000" w:themeColor="text1"/>
        </w:rPr>
        <w:fldChar w:fldCharType="end"/>
      </w:r>
      <w:r w:rsidRPr="00D74025">
        <w:rPr>
          <w:rFonts w:ascii="Arial" w:hAnsi="Arial" w:cs="Arial"/>
          <w:color w:val="000000" w:themeColor="text1"/>
        </w:rPr>
        <w:t xml:space="preserve">. Biopsied cancerous tissue that expresses at least 1% of either ER or PR positive staining is considered hormonal positive (HR+). The </w:t>
      </w:r>
      <w:r w:rsidR="00137825">
        <w:rPr>
          <w:rFonts w:ascii="Arial" w:hAnsi="Arial" w:cs="Arial"/>
          <w:color w:val="000000" w:themeColor="text1"/>
        </w:rPr>
        <w:t>percentage</w:t>
      </w:r>
      <w:r w:rsidRPr="00D74025">
        <w:rPr>
          <w:rFonts w:ascii="Arial" w:hAnsi="Arial" w:cs="Arial"/>
          <w:color w:val="000000" w:themeColor="text1"/>
        </w:rPr>
        <w:t xml:space="preserve"> of cases diagnosed with HR+ is around 70%, including ErbB2+ or ErbB2-</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{"citationID":"a2ahsaumn9g","properties":{"formattedCitation":"\\super 133\\nosupersub{}","plainCitation":"133","noteIndex":0},"citationItems":[{"id":293,"uris":["http://zotero.org/users/7661987/items/XBL5NPP5"],"itemData":{"id":293,"type":"article-journal","abstract":"Purpose To develop a guideline to improve the accuracy of immunohistochemical (IHC) estrogen receptor (ER) and progesterone receptor (PgR) testing in breast cancer and the utility of these receptors as predictive markers.","container-title":"Journal of Clinical Oncology","DOI":"10.1200/JCO.2009.25.6529","ISSN":"0732-183X, 1527-7755","issue":"16","journalAbbreviation":"JCO","language":"en","page":"2784-2795","source":"DOI.org (Crossref)","title":"American Society of Clinical Oncology/College of American Pathologists Guideline Recommendations for Immunohistochemical Testing of Estrogen and Progesterone Receptors in Breast Cancer","volume":"28","author":[{"family":"Hammond","given":"M. Elizabeth H."},{"family":"Hayes","given":"Daniel F."},{"family":"Dowsett","given":"Mitch"},{"family":"Allred","given":"D. Craig"},{"family":"Hagerty","given":"Karen L."},{"family":"Badve","given":"Sunil"},{"family":"Fitzgibbons","given":"Patrick L."},{"family":"Francis","given":"Glenn"},{"family":"Goldstein","given":"Neil S."},{"family":"Hayes","given":"Malcolm"},{"family":"Hicks","given":"David G."},{"family":"Lester","given":"Susan"},{"family":"Love","given":"Richard"},{"family":"Mangu","given":"Pamela B."},{"family":"McShane","given":"Lisa"},{"family":"Miller","given":"Keith"},{"family":"Osborne","given":"C. Kent"},{"family":"Paik","given":"Soonmyung"},{"family":"Perlmutter","given":"Jane"},{"family":"Rhodes","given":"Anthony"},{"family":"Sasano","given":"Hironobu"},{"family":"Schwartz","given":"Jared N."},{"family":"Sweep","given":"Fred C.G."},{"family":"Taube","given":"Sheila"},{"family":"Torlakovic","given":"Emina Emilia"},{"family":"Valenstein","given":"Paul"},{"family":"Viale","given":"Giuseppe"},{"family":"Visscher","given":"Daniel"},{"family":"Wheeler","given":"Thomas"},{"family":"Williams","given":"R. Bruce"},{"family":"Wittliff","given":"James L."},{"family":"Wolff","given":"Antonio C."}],"issued":{"date-parts":[["2010",6,1]]}}}],"schema":"https://github.com/citation-style-language/schema/raw/master/csl-citation.json"}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133</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1B08002A" w14:textId="11459A78" w:rsidR="00274E63" w:rsidRPr="00D74025" w:rsidRDefault="00274E63" w:rsidP="009819B9">
      <w:pPr>
        <w:spacing w:line="360" w:lineRule="auto"/>
        <w:ind w:firstLine="1440"/>
        <w:jc w:val="both"/>
        <w:rPr>
          <w:rFonts w:ascii="Arial" w:hAnsi="Arial" w:cs="Arial"/>
          <w:color w:val="000000" w:themeColor="text1"/>
        </w:rPr>
      </w:pPr>
      <w:r w:rsidRPr="00D74025">
        <w:rPr>
          <w:rFonts w:ascii="Arial" w:hAnsi="Arial" w:cs="Arial"/>
          <w:color w:val="000000" w:themeColor="text1"/>
        </w:rPr>
        <w:t>Tamoxifen is the most preva</w:t>
      </w:r>
      <w:r w:rsidR="00137825">
        <w:rPr>
          <w:rFonts w:ascii="Arial" w:hAnsi="Arial" w:cs="Arial"/>
          <w:color w:val="000000" w:themeColor="text1"/>
        </w:rPr>
        <w:t>lent</w:t>
      </w:r>
      <w:r w:rsidRPr="00D74025">
        <w:rPr>
          <w:rFonts w:ascii="Arial" w:hAnsi="Arial" w:cs="Arial"/>
          <w:color w:val="000000" w:themeColor="text1"/>
        </w:rPr>
        <w:t xml:space="preserve"> drug used for the treatment of ER-positive BC, and it was the first targeted treatment for BC ever discovered</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{"citationID":"a2ma25t2jqp","properties":{"formattedCitation":"\\super 134\\nosupersub{}","plainCitation":"134","noteIndex":0},"citationItems":[{"id":301,"uris":["http://zotero.org/users/7661987/items/UJ67PCPP"],"itemData":{"id":301,"type":"article-journal","abstract":"Tamoxifen (ICI 46 474), trans-1-(4-b-dimethylaminoethoxyphenyl)-1,2-diphenylbut-1-ene, is the most commonly used drug for the treatment of estrogen receptor positive breast cancer and has been saving lives worldwide for the past four decades. Tamoxifen is considered a pioneering drug due to its ubiquitous use in both treatment and chemoprevention of breast cancer and also for research addressing novel selective estrogen receptor modulators (SERMs). Tamoxifen is cost effective, lifesaving, and devoid of major side effects in the majority of patients. The discovery of tamoxifen metabolites such as 4hydroxy tamoxifen, N-desmethyl tamoxifen, and endoxifen has facilitated understanding of tamoxifen's and its metabolites' mechanisms of action in breast cancer therapy. Continuous efforts are being made by both industry and academia to synthesize novel tamoxifen derivatives in order to better understand the mechanism of this drug's action and to generate new agents with reduced side effects for many therapeutic targets. This review article comprises the tamoxifen derivatives reported in the literature in the last few years and we anticipate that it will assist medicinal chemists in the synthesis of novel and pharmacologically potent agents for various therapeutic targets.","container-title":"European Journal of Medicinal Chemistry","DOI":"10.1016/j.ejmech.2017.11.056","ISSN":"02235234","journalAbbreviation":"European Journal of Medicinal Chemistry","language":"en","page":"515-531","source":"DOI.org (Crossref)","title":"Tamoxifen a pioneering drug: An update on the therapeutic potential of tamoxifen derivatives","title-short":"Tamoxifen a pioneering drug","volume":"143","author":[{"literal":"Shagufta"},{"family":"Ahmad","given":"Irshad"}],"issued":{"date-parts":[["2018",1]]}}}],"schema":"https://github.com/citation-style-language/schema/raw/master/csl-citation.json"}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134</w:t>
      </w:r>
      <w:r w:rsidRPr="00D74025">
        <w:rPr>
          <w:rFonts w:ascii="Arial" w:hAnsi="Arial" w:cs="Arial"/>
          <w:color w:val="000000" w:themeColor="text1"/>
        </w:rPr>
        <w:fldChar w:fldCharType="end"/>
      </w:r>
      <w:r w:rsidRPr="00D74025">
        <w:rPr>
          <w:rFonts w:ascii="Arial" w:hAnsi="Arial" w:cs="Arial"/>
          <w:color w:val="000000" w:themeColor="text1"/>
        </w:rPr>
        <w:t xml:space="preserve">. Because of its targeting capabilities, it has improved therapy outcomes, saving many lives for the last 40 years while lacking the debilitating side </w:t>
      </w:r>
      <w:proofErr w:type="gramStart"/>
      <w:r w:rsidRPr="00D74025">
        <w:rPr>
          <w:rFonts w:ascii="Arial" w:hAnsi="Arial" w:cs="Arial"/>
          <w:color w:val="000000" w:themeColor="text1"/>
        </w:rPr>
        <w:t>effects</w:t>
      </w:r>
      <w:proofErr w:type="gramEnd"/>
      <w:r w:rsidRPr="00D74025">
        <w:rPr>
          <w:rFonts w:ascii="Arial" w:hAnsi="Arial" w:cs="Arial"/>
          <w:color w:val="000000" w:themeColor="text1"/>
        </w:rPr>
        <w:t xml:space="preserve"> that were commonly associated with BC treatment in most patients. Tamoxifen acts as a selective estrogen receptor modulator, antagonizing the ER in breast tissue and thus inhibiting those ER proliferative capabilities in the tumor cells. The historical importance of </w:t>
      </w:r>
      <w:r w:rsidR="00137825">
        <w:rPr>
          <w:rFonts w:ascii="Arial" w:hAnsi="Arial" w:cs="Arial"/>
          <w:color w:val="000000" w:themeColor="text1"/>
        </w:rPr>
        <w:t>t</w:t>
      </w:r>
      <w:r w:rsidRPr="00D74025">
        <w:rPr>
          <w:rFonts w:ascii="Arial" w:hAnsi="Arial" w:cs="Arial"/>
          <w:color w:val="000000" w:themeColor="text1"/>
        </w:rPr>
        <w:t>amoxifen is also related to the establishment of the effectiveness of targeted treatments in cancer research</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{"citationID":"a2dt96e575m","properties":{"formattedCitation":"\\super 135\\nosupersub{}","plainCitation":"135","noteIndex":0},"citationItems":[{"id":291,"uris":["http://zotero.org/users/7661987/items/CEYBUTU8"],"itemData":{"id":291,"type":"article-journal","container-title":"The New England Journal of Medicine","language":"en","page":"13","source":"Zotero","title":"Selective Estrogen-Receptor Modulators — Mechanisms of Action and Application to Clinical Practice","author":[{"family":"Riggs","given":"B Lawrence"}],"issued":{"date-parts":[["2003"]]}}}],"schema":"https://github.com/citation-style-language/schema/raw/master/csl-citation.json"}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135</w:t>
      </w:r>
      <w:r w:rsidRPr="00D74025">
        <w:rPr>
          <w:rFonts w:ascii="Arial" w:hAnsi="Arial" w:cs="Arial"/>
          <w:color w:val="000000" w:themeColor="text1"/>
        </w:rPr>
        <w:fldChar w:fldCharType="end"/>
      </w:r>
      <w:r w:rsidRPr="00D74025">
        <w:rPr>
          <w:rFonts w:ascii="Arial" w:hAnsi="Arial" w:cs="Arial"/>
          <w:color w:val="000000" w:themeColor="text1"/>
        </w:rPr>
        <w:t>. Tamoxifen has reduced the recurrence of ER+ BC by 50% and the morbidity rates by 28%.</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{"citationID":"a2pi6v7rsf1","properties":{"formattedCitation":"\\super 134\\nosupersub{}","plainCitation":"134","noteIndex":0},"citationItems":[{"id":301,"uris":["http://zotero.org/users/7661987/items/UJ67PCPP"],"itemData":{"id":301,"type":"article-journal","abstract":"Tamoxifen (ICI 46 474), trans-1-(4-b-dimethylaminoethoxyphenyl)-1,2-diphenylbut-1-ene, is the most commonly used drug for the treatment of estrogen receptor positive breast cancer and has been saving lives worldwide for the past four decades. Tamoxifen is considered a pioneering drug due to its ubiquitous use in both treatment and chemoprevention of breast cancer and also for research addressing novel selective estrogen receptor modulators (SERMs). Tamoxifen is cost effective, lifesaving, and devoid of major side effects in the majority of patients. The discovery of tamoxifen metabolites such as 4hydroxy tamoxifen, N-desmethyl tamoxifen, and endoxifen has facilitated understanding of tamoxifen's and its metabolites' mechanisms of action in breast cancer therapy. Continuous efforts are being made by both industry and academia to synthesize novel tamoxifen derivatives in order to better understand the mechanism of this drug's action and to generate new agents with reduced side effects for many therapeutic targets. This review article comprises the tamoxifen derivatives reported in the literature in the last few years and we anticipate that it will assist medicinal chemists in the synthesis of novel and pharmacologically potent agents for various therapeutic targets.","container-title":"European Journal of Medicinal Chemistry","DOI":"10.1016/j.ejmech.2017.11.056","ISSN":"02235234","journalAbbreviation":"European Journal of Medicinal Chemistry","language":"en","page":"515-531","source":"DOI.org (Crossref)","title":"Tamoxifen a pioneering drug: An update on the therapeutic potential of tamoxifen derivatives","title-short":"Tamoxifen a pioneering drug","volume":"143","author":[{"literal":"Shagufta"},{"family":"Ahmad","given":"Irshad"}],"issued":{"date-parts":[["2018",1]]}}}],"schema":"https://github.com/citation-style-language/schema/raw/master/csl-citation.json"}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134</w:t>
      </w:r>
      <w:r w:rsidRPr="00D74025">
        <w:rPr>
          <w:rFonts w:ascii="Arial" w:hAnsi="Arial" w:cs="Arial"/>
          <w:color w:val="000000" w:themeColor="text1"/>
        </w:rPr>
        <w:fldChar w:fldCharType="end"/>
      </w:r>
    </w:p>
    <w:p w14:paraId="6D13DBCE" w14:textId="602A8EBC" w:rsidR="009630C8" w:rsidRPr="00D74025" w:rsidRDefault="009630C8" w:rsidP="00F64652">
      <w:pPr>
        <w:spacing w:line="360" w:lineRule="auto"/>
        <w:ind w:firstLine="1440"/>
        <w:jc w:val="both"/>
        <w:rPr>
          <w:rFonts w:ascii="Arial" w:hAnsi="Arial" w:cs="Arial"/>
          <w:color w:val="000000" w:themeColor="text1"/>
        </w:rPr>
      </w:pPr>
      <w:r w:rsidRPr="00D74025">
        <w:rPr>
          <w:rFonts w:ascii="Arial" w:hAnsi="Arial" w:cs="Arial"/>
          <w:color w:val="000000" w:themeColor="text1"/>
        </w:rPr>
        <w:t>Another type of adjuvant endocrine therapy that targets ER+BC is aromatase inhibitors. Those drugs deplete estrogen in breast tissue in post-menopausal women by inhibiting aromatase, an enzyme that converts precursors of estrogen into this hormone that fires the ER, consequently also inhibiting its proliferative activities. Third-generation aromatase inhibitors currently available are letrozole, anastrozole, and exemestane.</w:t>
      </w:r>
      <w:r w:rsidRPr="00D74025">
        <w:rPr>
          <w:rFonts w:ascii="Arial" w:hAnsi="Arial" w:cs="Arial"/>
          <w:color w:val="000000" w:themeColor="text1"/>
          <w:highlight w:val="yellow"/>
        </w:rPr>
        <w:fldChar w:fldCharType="begin"/>
      </w:r>
      <w:r w:rsidR="000F4F53">
        <w:rPr>
          <w:rFonts w:ascii="Arial" w:hAnsi="Arial" w:cs="Arial"/>
          <w:color w:val="000000" w:themeColor="text1"/>
          <w:highlight w:val="yellow"/>
        </w:rPr>
        <w:instrText xml:space="preserve"> ADDIN ZOTERO_ITEM CSL_CITATION {"citationID":"a1aesea0r1q","properties":{"formattedCitation":"\\super 136\\nosupersub{}","plainCitation":"136","noteIndex":0},"citationItems":[{"id":297,"uris":["http://zotero.org/users/7661987/items/XLNAHRAA"],"itemData":{"id":297,"type":"article-journal","abstract":"Postmenopausal women are at high risk of developing breast cancer due to estrogen production in peripheral tissues of the body other than ovaries. Aromatase is present in breast tissue, leading to local estrogen production which can be inhibited by a variety of steroidal and nonsteroidal aromatase inhibitors. There are many aromatase inhibitors available in clinical practice like exemestane, formestane, anastrozole, letrozole, fadrozole, vorozole, and so forth, but the major challenge in anti</w:instrText>
      </w:r>
      <w:r w:rsidR="000F4F53">
        <w:rPr>
          <w:rFonts w:ascii="Cambria Math" w:hAnsi="Cambria Math" w:cs="Cambria Math"/>
          <w:color w:val="000000" w:themeColor="text1"/>
          <w:highlight w:val="yellow"/>
        </w:rPr>
        <w:instrText>‐</w:instrText>
      </w:r>
      <w:r w:rsidR="000F4F53">
        <w:rPr>
          <w:rFonts w:ascii="Arial" w:hAnsi="Arial" w:cs="Arial"/>
          <w:color w:val="000000" w:themeColor="text1"/>
          <w:highlight w:val="yellow"/>
        </w:rPr>
        <w:instrText xml:space="preserve">breast cancer therapy is the toxicity associated with aromatase inhibitors, especially the steroidal class of drugs. It is, therefore, urgently required to develop novel anticancer drugs having better safety and efficacy for the treatment of breast cancer. This study highlights the aromatase inhibitors reported in the current literature as well as the recent advances in the management of breast cancer.","container-title":"Archiv der Pharmazie","DOI":"10.1002/ardp.202000081","ISSN":"0365-6233, 1521-4184","issue":"8","journalAbbreviation":"Arch Pharm","language":"en","page":"2000081","source":"DOI.org (Crossref)","title":"Aromatase inhibitors: Role in postmenopausal breast cancer","title-short":"Aromatase inhibitors","volume":"353","author":[{"family":"Kharb","given":"Rajeev"},{"family":"Haider","given":"Kashif"},{"family":"Neha","given":"Kumari"},{"family":"Yar","given":"Mohammad S."}],"issued":{"date-parts":[["2020",8]]}}}],"schema":"https://github.com/citation-style-language/schema/raw/master/csl-citation.json"} </w:instrText>
      </w:r>
      <w:r w:rsidRPr="00D74025">
        <w:rPr>
          <w:rFonts w:ascii="Arial" w:hAnsi="Arial" w:cs="Arial"/>
          <w:color w:val="000000" w:themeColor="text1"/>
          <w:highlight w:val="yellow"/>
        </w:rPr>
        <w:fldChar w:fldCharType="separate"/>
      </w:r>
      <w:r w:rsidR="000F4F53" w:rsidRPr="000F4F53">
        <w:rPr>
          <w:rFonts w:ascii="Arial" w:hAnsi="Arial" w:cs="Arial"/>
          <w:color w:val="000000"/>
          <w:vertAlign w:val="superscript"/>
        </w:rPr>
        <w:t>136</w:t>
      </w:r>
      <w:r w:rsidRPr="00D74025">
        <w:rPr>
          <w:rFonts w:ascii="Arial" w:hAnsi="Arial" w:cs="Arial"/>
          <w:color w:val="000000" w:themeColor="text1"/>
          <w:highlight w:val="yellow"/>
        </w:rPr>
        <w:fldChar w:fldCharType="end"/>
      </w:r>
      <w:r w:rsidRPr="00D74025">
        <w:rPr>
          <w:rFonts w:ascii="Arial" w:hAnsi="Arial" w:cs="Arial"/>
          <w:color w:val="000000" w:themeColor="text1"/>
        </w:rPr>
        <w:t xml:space="preserve"> </w:t>
      </w:r>
    </w:p>
    <w:p w14:paraId="0E9DCAA7" w14:textId="3AA61333" w:rsidR="00FE50D7" w:rsidRPr="00D74025" w:rsidRDefault="00FE50D7" w:rsidP="00FE50D7">
      <w:pPr>
        <w:spacing w:before="240" w:line="360" w:lineRule="auto"/>
        <w:ind w:firstLine="1440"/>
        <w:jc w:val="both"/>
        <w:rPr>
          <w:rFonts w:ascii="Arial" w:hAnsi="Arial" w:cs="Arial"/>
          <w:color w:val="000000" w:themeColor="text1"/>
        </w:rPr>
      </w:pPr>
      <w:r w:rsidRPr="00D74025">
        <w:rPr>
          <w:rFonts w:ascii="Arial" w:hAnsi="Arial" w:cs="Arial"/>
          <w:color w:val="000000" w:themeColor="text1"/>
        </w:rPr>
        <w:t>Patients diagnosed with non-metastatic HR+</w:t>
      </w:r>
      <w:r w:rsidR="00500361">
        <w:rPr>
          <w:rFonts w:ascii="Arial" w:hAnsi="Arial" w:cs="Arial"/>
          <w:color w:val="000000" w:themeColor="text1"/>
        </w:rPr>
        <w:t>BC</w:t>
      </w:r>
      <w:r w:rsidRPr="00D74025">
        <w:rPr>
          <w:rFonts w:ascii="Arial" w:hAnsi="Arial" w:cs="Arial"/>
          <w:color w:val="000000" w:themeColor="text1"/>
        </w:rPr>
        <w:t xml:space="preserve"> are usually subjected to 5 years of tamoxifen to reduce chances of recurrence or can choose the switch strategy, consisting of the use of initial 2-3 years of tamoxifen and followed by the use of aromatase inhibitor until completion of 5 years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{"citationID":"a1mpsednhkn","properties":{"formattedCitation":"\\super 137\\nosupersub{}","plainCitation":"137","noteIndex":0},"citationItems":[{"id":290,"uris":["http://zotero.org/users/7661987/items/Z5MY2FC5"],"itemData":{"id":290,"type":"article-journal","abstract":"Background As trials of 5 years of tamoxifen in early breast cancer mature, the relevance of hormone receptor measurements (and other patient characteristics) to long-term outcome can be assessed increasingly reliably. We report updated meta-analyses of the trials of 5 years of adjuvant tamoxifen.","container-title":"The Lancet","DOI":"10.1016/S0140-6736(11)60993-8","ISSN":"01406736","issue":"9793","journalAbbreviation":"The Lancet","language":"en","page":"771-784","source":"DOI.org (Crossref)","title":"Relevance of breast cancer hormone receptors and other factors to the efficacy of adjuvant tamoxifen: patient-level meta-analysis of randomised trials","title-short":"Relevance of breast cancer hormone receptors and other factors to the efficacy of adjuvant tamoxifen","volume":"378","author":[{"literal":"Early Breast Cancer Trialists' Collaborative Group (EBCTCG)"}],"issued":{"date-parts":[["2011",8]]}}}],"schema":"https://github.com/citation-style-language/schema/raw/master/csl-citation.json"}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137</w:t>
      </w:r>
      <w:r w:rsidRPr="00D74025">
        <w:rPr>
          <w:rFonts w:ascii="Arial" w:hAnsi="Arial" w:cs="Arial"/>
          <w:color w:val="000000" w:themeColor="text1"/>
        </w:rPr>
        <w:fldChar w:fldCharType="end"/>
      </w:r>
      <w:r w:rsidRPr="00D74025">
        <w:rPr>
          <w:rFonts w:ascii="Arial" w:hAnsi="Arial" w:cs="Arial"/>
          <w:color w:val="000000" w:themeColor="text1"/>
        </w:rPr>
        <w:t>. Because estrogen fires the ER and subsequently generates proliferative signals, pre-menopausal women are usually subjected to menopause-inducing therapies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{"citationID":"a3ov7n1kl5","properties":{"formattedCitation":"\\super 138\\nosupersub{}","plainCitation":"138","noteIndex":0},"citationItems":[{"id":289,"uris":["http://zotero.org/users/7661987/items/RDV4CYI5"],"itemData":{"id":289,"type":"article-journal","abstract":"BACKGROUND The authors’ full names, academic de</w:instrText>
      </w:r>
      <w:r w:rsidR="000F4F53">
        <w:rPr>
          <w:rFonts w:ascii="Cambria Math" w:hAnsi="Cambria Math" w:cs="Cambria Math"/>
          <w:color w:val="000000" w:themeColor="text1"/>
        </w:rPr>
        <w:instrText>‑</w:instrText>
      </w:r>
      <w:r w:rsidR="000F4F53">
        <w:rPr>
          <w:rFonts w:ascii="Arial" w:hAnsi="Arial" w:cs="Arial"/>
          <w:color w:val="000000" w:themeColor="text1"/>
        </w:rPr>
        <w:instrText xml:space="preserve"> In the Suppression of Ovarian Function Trial (SOFT) and the Tamoxifen and Exemesgrees, and affiliations are listed in the tane Trial (TEXT), the 5-year rates of recurrence of breast cancer were significantly Appendix. Address reprint requests to Dr. Francis at the Peter MacCallum Can</w:instrText>
      </w:r>
      <w:r w:rsidR="000F4F53">
        <w:rPr>
          <w:rFonts w:ascii="Cambria Math" w:hAnsi="Cambria Math" w:cs="Cambria Math"/>
          <w:color w:val="000000" w:themeColor="text1"/>
        </w:rPr>
        <w:instrText>‑</w:instrText>
      </w:r>
      <w:r w:rsidR="000F4F53">
        <w:rPr>
          <w:rFonts w:ascii="Arial" w:hAnsi="Arial" w:cs="Arial"/>
          <w:color w:val="000000" w:themeColor="text1"/>
        </w:rPr>
        <w:instrText>lower among premenopausal women who received the aromatase inhibitor exemescer Centre, Locked Bag 1, A’Beckett St., tane plus ovarian suppression than among those who received tamoxifen plus ovarian Melbourne, VIC 8006, Australia, or at suppression. The addition of ovarian suppression to tamoxifen did not result in sig­prue.­francis@­petermac.­org; or to Dr. Pa</w:instrText>
      </w:r>
      <w:r w:rsidR="000F4F53">
        <w:rPr>
          <w:rFonts w:ascii="Cambria Math" w:hAnsi="Cambria Math" w:cs="Cambria Math"/>
          <w:color w:val="000000" w:themeColor="text1"/>
        </w:rPr>
        <w:instrText>‑</w:instrText>
      </w:r>
      <w:r w:rsidR="000F4F53">
        <w:rPr>
          <w:rFonts w:ascii="Arial" w:hAnsi="Arial" w:cs="Arial"/>
          <w:color w:val="000000" w:themeColor="text1"/>
        </w:rPr>
        <w:instrText>gani at the Institute of Oncology of South</w:instrText>
      </w:r>
      <w:r w:rsidR="000F4F53">
        <w:rPr>
          <w:rFonts w:ascii="Cambria Math" w:hAnsi="Cambria Math" w:cs="Cambria Math"/>
          <w:color w:val="000000" w:themeColor="text1"/>
        </w:rPr>
        <w:instrText>‑</w:instrText>
      </w:r>
      <w:r w:rsidR="000F4F53">
        <w:rPr>
          <w:rFonts w:ascii="Arial" w:hAnsi="Arial" w:cs="Arial"/>
          <w:color w:val="000000" w:themeColor="text1"/>
        </w:rPr>
        <w:instrText>nificantly lower recurrence rates than those with tamoxifen alone. Here, we report the ern Switzerland, Ospedale San Giovanni, updated results from the two trials. 6500 Bellinzona, Switzerland, or at ­olivia .­pagani@­ibcsg.­org.\nMETHODS Premenopausal women were randomly assigned to receive 5 years of tamoxifen, *A list of the investigators in the SOFT and TEXT trials and in the International tamoxifen plus ovarian suppression, or exemestane plus ovarian suppression in SOFT Breast Cancer Study Group is provided and to receive tamoxifen plus ovarian suppression or exemestane plus ovarian suppresin the Supplementary Appendix, avail</w:instrText>
      </w:r>
      <w:r w:rsidR="000F4F53">
        <w:rPr>
          <w:rFonts w:ascii="Cambria Math" w:hAnsi="Cambria Math" w:cs="Cambria Math"/>
          <w:color w:val="000000" w:themeColor="text1"/>
        </w:rPr>
        <w:instrText>‑</w:instrText>
      </w:r>
      <w:r w:rsidR="000F4F53">
        <w:rPr>
          <w:rFonts w:ascii="Arial" w:hAnsi="Arial" w:cs="Arial"/>
          <w:color w:val="000000" w:themeColor="text1"/>
        </w:rPr>
        <w:instrText>able at NEJM.org. Drs. Francis and Pagani and Drs. Gold</w:instrText>
      </w:r>
      <w:r w:rsidR="000F4F53">
        <w:rPr>
          <w:rFonts w:ascii="Cambria Math" w:hAnsi="Cambria Math" w:cs="Cambria Math"/>
          <w:color w:val="000000" w:themeColor="text1"/>
        </w:rPr>
        <w:instrText>‑</w:instrText>
      </w:r>
      <w:r w:rsidR="000F4F53">
        <w:rPr>
          <w:rFonts w:ascii="Arial" w:hAnsi="Arial" w:cs="Arial"/>
          <w:color w:val="000000" w:themeColor="text1"/>
        </w:rPr>
        <w:instrText xml:space="preserve">hirsch and Regan contributed equally to this article. sion in TEXT. Randomization was stratified according to the receipt of chemotherapy.\nRESULTS In SOFT, the 8-year disease-free survival rate was 78.9% with tamoxifen alone, 83.2% with tamoxifen plus ovarian suppression, and 85.9% with exemestane plus ovarian This article was published on June 4, 2018, suppression (P = 0.009 for tamoxifen alone vs. tamoxifen plus ovarian suppression). at NEJM.org. The 8-year rate of overall survival was 91.5% with tamoxifen alone, 93.3% with N Engl J Med 2018;379:122-37. DOI: 10.1056/NEJMoa1803164 tamoxifen plus ovarian suppression, and 92.1% with exemestane plus ovarian suppression (P = 0.01 for tamoxifen alone vs. tamoxifen plus ovarian suppression); among Copyright © 2018 Massachusetts Medical Society. the women who remained premenopausal after chemotherapy, the rates were 85.1%, 89.4%, and 87.2%, respectively. Among the women with cancers that were negative for HER2 who received chemotherapy, the 8-year rate of distant recurrence with exemestane plus ovarian suppression was lower than the rate with tamoxifen plus ovarian suppression (by 7.0 percentage points in SOFT and by 5.0 percentage points in TEXT). Grade 3 or higher adverse events were reported in 24.6% of the tamoxifenalone group, 31.0% of the tamoxifen–ovarian suppression group, and 32.3% of the exemestane–ovarian suppression group.\nCONCLUSIONS Among premenopausal women with breast cancer, the addition of ovarian suppression to tamoxifen resulted in significantly higher 8-year rates of both disease-free and overall survival than tamoxifen alone. The use of exemestane plus ovarian suppression resulted in even higher rates of freedom from recurrence. The frequency of adverse events was higher in the two groups that received ovarian suppression than in the tamoxifen-alone group. (Funded by Pfizer and others; SOFT and TEXT ClinicalTrials .gov numbers, NCT00066690 and NCT00066703, respectively.)","container-title":"New England Journal of Medicine","DOI":"10.1056/NEJMoa1803164","ISSN":"0028-4793, 1533-4406","issue":"2","journalAbbreviation":"N Engl J Med","language":"en","page":"122-137","source":"DOI.org (Crossref)","title":"Tailoring Adjuvant Endocrine Therapy for Premenopausal Breast Cancer","volume":"379","author":[{"family":"Francis","given":"Prudence A."},{"family":"Pagani","given":"Olivia"},{"family":"Fleming","given":"Gini F."},{"family":"Walley","given":"Barbara A."},{"family":"Colleoni","given":"Marco"},{"family":"Láng","given":"István"},{"family":"Gómez","given":"Henry L."},{"family":"Tondini","given":"Carlo"},{"family":"Ciruelos","given":"Eva"},{"family":"Burstein","given":"Harold J."},{"family":"Bonnefoi","given":"Hervé R."},{"family":"Bellet","given":"Meritxell"},{"family":"Martino","given":"Silvana"},{"family":"Geyer","given":"Charles E."},{"family":"Goetz","given":"Matthew P."},{"family":"Stearns","given":"Vered"},{"family":"Pinotti","given":"Graziella"},{"family":"Puglisi","given":"Fabio"},{"family":"Spazzapan","given":"Simon"},{"family":"Climent","given":"Miguel A."},{"family":"Pavesi","given":"Lorenzo"},{"family":"Ruhstaller","given":"Thomas"},{"family":"Davidson","given":"Nancy E."},{"family":"Coleman","given":"Robert"},{"family":"Debled","given":"Marc"},{"family":"Buchholz","given":"Stefan"},{"family":"Ingle","given":"James N."},{"family":"Winer","given":"Eric P."},{"family":"Maibach","given":"Rudolf"},{"family":"Rabaglio-Poretti","given":"Manuela"},{"family":"Ruepp","given":"Barbara"},{"family":"Di Leo","given":"Angelo"},{"family":"Coates","given":"Alan S."},{"family":"Gelber","given":"Richard D."},{"family":"Goldhirsch","given":"Aron"},{"family":"Regan","given":"Meredith M."}],"issued":{"date-parts":[["2018",7,12]]}}}],"schema":"https://github.com/citation-style-language/schema/raw/master/csl-citation.json"}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138</w:t>
      </w:r>
      <w:r w:rsidRPr="00D74025">
        <w:rPr>
          <w:rFonts w:ascii="Arial" w:hAnsi="Arial" w:cs="Arial"/>
          <w:color w:val="000000" w:themeColor="text1"/>
        </w:rPr>
        <w:fldChar w:fldCharType="end"/>
      </w:r>
      <w:r w:rsidRPr="00D74025">
        <w:rPr>
          <w:rFonts w:ascii="Arial" w:hAnsi="Arial" w:cs="Arial"/>
          <w:color w:val="000000" w:themeColor="text1"/>
        </w:rPr>
        <w:t>. The addition of chemotherapeutics agents to endocrine therapies occurs depending on late staging or higher grades of cancer</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{"citationID":"a2lj8d03l9g","properties":{"formattedCitation":"\\super 139\\nosupersub{}","plainCitation":"139","noteIndex":0},"citationItems":[{"id":288,"uris":["http://zotero.org/users/7661987/items/C6M968X8"],"itemData":{"id":288,"type":"article-journal","abstract":"Background Moderate di</w:instrText>
      </w:r>
      <w:r w:rsidR="000F4F53">
        <w:rPr>
          <w:rFonts w:ascii="Cambria Math" w:hAnsi="Cambria Math" w:cs="Cambria Math"/>
          <w:color w:val="000000" w:themeColor="text1"/>
        </w:rPr>
        <w:instrText>ﬀ</w:instrText>
      </w:r>
      <w:r w:rsidR="000F4F53">
        <w:rPr>
          <w:rFonts w:ascii="Arial" w:hAnsi="Arial" w:cs="Arial"/>
          <w:color w:val="000000" w:themeColor="text1"/>
        </w:rPr>
        <w:instrText>erences in e</w:instrText>
      </w:r>
      <w:r w:rsidR="000F4F53">
        <w:rPr>
          <w:rFonts w:ascii="Cambria Math" w:hAnsi="Cambria Math" w:cs="Cambria Math"/>
          <w:color w:val="000000" w:themeColor="text1"/>
        </w:rPr>
        <w:instrText>ﬃ</w:instrText>
      </w:r>
      <w:r w:rsidR="000F4F53">
        <w:rPr>
          <w:rFonts w:ascii="Arial" w:hAnsi="Arial" w:cs="Arial"/>
          <w:color w:val="000000" w:themeColor="text1"/>
        </w:rPr>
        <w:instrText>cacy between adjuvant chemotherapy regimens for breast cancer are plausible, and could a</w:instrText>
      </w:r>
      <w:r w:rsidR="000F4F53">
        <w:rPr>
          <w:rFonts w:ascii="Cambria Math" w:hAnsi="Cambria Math" w:cs="Cambria Math"/>
          <w:color w:val="000000" w:themeColor="text1"/>
        </w:rPr>
        <w:instrText>ﬀ</w:instrText>
      </w:r>
      <w:r w:rsidR="000F4F53">
        <w:rPr>
          <w:rFonts w:ascii="Arial" w:hAnsi="Arial" w:cs="Arial"/>
          <w:color w:val="000000" w:themeColor="text1"/>
        </w:rPr>
        <w:instrText>ect treatment choices. We sought any such di</w:instrText>
      </w:r>
      <w:r w:rsidR="000F4F53">
        <w:rPr>
          <w:rFonts w:ascii="Cambria Math" w:hAnsi="Cambria Math" w:cs="Cambria Math"/>
          <w:color w:val="000000" w:themeColor="text1"/>
        </w:rPr>
        <w:instrText>ﬀ</w:instrText>
      </w:r>
      <w:r w:rsidR="000F4F53">
        <w:rPr>
          <w:rFonts w:ascii="Arial" w:hAnsi="Arial" w:cs="Arial"/>
          <w:color w:val="000000" w:themeColor="text1"/>
        </w:rPr>
        <w:instrText xml:space="preserve">erences.","container-title":"The Lancet","DOI":"10.1016/S0140-6736(11)61625-5","ISSN":"01406736","issue":"9814","journalAbbreviation":"The Lancet","language":"en","page":"432-444","source":"DOI.org (Crossref)","title":"Comparisons between different polychemotherapy regimens for early breast cancer: meta-analyses of long-term outcome among 100 000 women in 123 randomised trials","title-short":"Comparisons between different polychemotherapy regimens for early breast cancer","volume":"379","author":[{"literal":"Early Breast Cancer Trialists' Collaborative Group (EBCTCG)"}],"issued":{"date-parts":[["2012",2]]}}}],"schema":"https://github.com/citation-style-language/schema/raw/master/csl-citation.json"}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139</w:t>
      </w:r>
      <w:r w:rsidRPr="00D74025">
        <w:rPr>
          <w:rFonts w:ascii="Arial" w:hAnsi="Arial" w:cs="Arial"/>
          <w:color w:val="000000" w:themeColor="text1"/>
        </w:rPr>
        <w:fldChar w:fldCharType="end"/>
      </w:r>
      <w:r w:rsidRPr="00D74025">
        <w:rPr>
          <w:rFonts w:ascii="Arial" w:hAnsi="Arial" w:cs="Arial"/>
          <w:color w:val="000000" w:themeColor="text1"/>
        </w:rPr>
        <w:t xml:space="preserve">. Even though endocrine therapies have saved many lives, resistance to treatment, especially when therapy takes longer than </w:t>
      </w:r>
      <w:r w:rsidR="00500361">
        <w:rPr>
          <w:rFonts w:ascii="Arial" w:hAnsi="Arial" w:cs="Arial"/>
          <w:color w:val="000000" w:themeColor="text1"/>
        </w:rPr>
        <w:t>5</w:t>
      </w:r>
      <w:r w:rsidRPr="00D74025">
        <w:rPr>
          <w:rFonts w:ascii="Arial" w:hAnsi="Arial" w:cs="Arial"/>
          <w:color w:val="000000" w:themeColor="text1"/>
        </w:rPr>
        <w:t xml:space="preserve"> years, is a clinical challenge</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{"citationID":"a9b7o79j9s","properties":{"formattedCitation":"\\super 140\\nosupersub{}","plainCitation":"140","noteIndex":0},"citationItems":[{"id":287,"uris":["http://zotero.org/users/7661987/items/88EKCMG4"],"itemData":{"id":287,"type":"article-journal","container-title":"Cancer Cell","DOI":"10.1016/j.ccell.2020.03.009","ISSN":"15356108","issue":"4","journalAbbreviation":"Cancer Cell","language":"en","page":"496-513","source":"DOI.org (Crossref)","title":"Overcoming Endocrine Resistance in Breast Cancer","volume":"37","author":[{"family":"Hanker","given":"Ariella B."},{"family":"Sudhan","given":"Dhivya R."},{"family":"Arteaga","given":"Carlos L."}],"issued":{"date-parts":[["2020",4]]}}}],"schema":"https://github.com/citation-style-language/schema/raw/master/csl-citation.json"}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140</w:t>
      </w:r>
      <w:r w:rsidRPr="00D74025">
        <w:rPr>
          <w:rFonts w:ascii="Arial" w:hAnsi="Arial" w:cs="Arial"/>
          <w:color w:val="000000" w:themeColor="text1"/>
        </w:rPr>
        <w:fldChar w:fldCharType="end"/>
      </w:r>
      <w:r w:rsidRPr="00D74025">
        <w:rPr>
          <w:rFonts w:ascii="Arial" w:hAnsi="Arial" w:cs="Arial"/>
          <w:color w:val="000000" w:themeColor="text1"/>
        </w:rPr>
        <w:t>.</w:t>
      </w:r>
    </w:p>
    <w:p w14:paraId="6BB663A8" w14:textId="0DDEFCCD" w:rsidR="004D0397" w:rsidRPr="00D74025" w:rsidRDefault="004D0397" w:rsidP="004D0397">
      <w:pPr>
        <w:spacing w:before="240" w:line="360" w:lineRule="auto"/>
        <w:ind w:firstLine="1440"/>
        <w:jc w:val="both"/>
        <w:rPr>
          <w:rFonts w:ascii="Arial" w:hAnsi="Arial" w:cs="Arial"/>
          <w:color w:val="000000" w:themeColor="text1"/>
        </w:rPr>
      </w:pPr>
      <w:r w:rsidRPr="00D74025">
        <w:rPr>
          <w:rFonts w:ascii="Arial" w:hAnsi="Arial" w:cs="Arial"/>
          <w:color w:val="000000" w:themeColor="text1"/>
        </w:rPr>
        <w:lastRenderedPageBreak/>
        <w:t>Another critical receptor for which targeted therapies were developed is the epidermal growth factor 2 (ErbB2, formerly known as HER2). A patient is considered ErbB2 positive when the cancerous cells stain strongly ErbB2 protein or when the ErbB2 gene is overexpressed</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{"citationID":"a2g5b51rbqs","properties":{"formattedCitation":"\\super 141\\nosupersub{}","plainCitation":"141","noteIndex":0},"citationItems":[{"id":286,"uris":["http://zotero.org/users/7661987/items/39DNVK3D"],"itemData":{"id":286,"type":"article-journal","abstract":"Purpose To update the American Society of Clinical Oncology (ASCO)/College of American Pathologists (CAP) guideline recommendations for human epidermal growth factor receptor 2 (HER2) testing in breast cancer to improve the accuracy of HER2 testing and its utility as a predictive marker in invasive breast cancer.","container-title":"Journal of Clinical Oncology","DOI":"10.1200/JCO.2013.50.9984","ISSN":"0732-183X, 1527-7755","issue":"31","journalAbbreviation":"JCO","language":"en","page":"3997-4013","source":"DOI.org (Crossref)","title":"Recommendations for Human Epidermal Growth Factor Receptor 2 Testing in Breast Cancer: American Society of Clinical Oncology/College of American Pathologists Clinical Practice Guideline Update","title-short":"Recommendations for Human Epidermal Growth Factor Receptor 2 Testing in Breast Cancer","volume":"31","author":[{"family":"Wolff","given":"Antonio C."},{"family":"Hammond","given":"M. Elizabeth H."},{"family":"Hicks","given":"David G."},{"family":"Dowsett","given":"Mitch"},{"family":"McShane","given":"Lisa M."},{"family":"Allison","given":"Kimberly H."},{"family":"Allred","given":"Donald C."},{"family":"Bartlett","given":"John M.S."},{"family":"Bilous","given":"Michael"},{"family":"Fitzgibbons","given":"Patrick"},{"family":"Hanna","given":"Wedad"},{"family":"Jenkins","given":"Robert B."},{"family":"Mangu","given":"Pamela B."},{"family":"Paik","given":"Soonmyung"},{"family":"Perez","given":"Edith A."},{"family":"Press","given":"Michael F."},{"family":"Spears","given":"Patricia A."},{"family":"Vance","given":"Gail H."},{"family":"Viale","given":"Giuseppe"},{"family":"Hayes","given":"Daniel F."}],"issued":{"date-parts":[["2013",11,1]]}}}],"schema":"https://github.com/citation-style-language/schema/raw/master/csl-citation.json"}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141</w:t>
      </w:r>
      <w:r w:rsidRPr="00D74025">
        <w:rPr>
          <w:rFonts w:ascii="Arial" w:hAnsi="Arial" w:cs="Arial"/>
          <w:color w:val="000000" w:themeColor="text1"/>
        </w:rPr>
        <w:fldChar w:fldCharType="end"/>
      </w:r>
      <w:r w:rsidRPr="00D74025">
        <w:rPr>
          <w:rFonts w:ascii="Arial" w:hAnsi="Arial" w:cs="Arial"/>
          <w:color w:val="000000" w:themeColor="text1"/>
        </w:rPr>
        <w:t>. This receptor is positive in approximately 20% of breast cancer cases. About 50% of those are also HR+</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{"citationID":"aonv87d6po","properties":{"formattedCitation":"\\super 142\\nosupersub{}","plainCitation":"142","noteIndex":0},"citationItems":[{"id":285,"uris":["http://zotero.org/users/7661987/items/DWGNXMWG"],"itemData":{"id":285,"type":"article-journal","container-title":"The New England Journal of Medicine","language":"en","page":"14","source":"Zotero","title":"Trastuzumab after Adjuvant Chemotherapy in HER2-Positive Breast Cancer","author":[{"family":"Piccart-Gebhart","given":"Martine J"},{"family":"Untch","given":"Michael"},{"family":"Jackisch","given":"Christian"},{"family":"Huang","given":"Chiun-Shen"},{"family":"Lichinitser","given":"Mikhail"},{"family":"Lohrisch","given":"Caroline"},{"family":"Greatorex","given":"Victoria"},{"family":"Ward","given":"Carol"},{"family":"Straehle","given":"Carolyn"},{"family":"Gelber","given":"Richard D"}],"issued":{"date-parts":[["2005"]]}}}],"schema":"https://github.com/citation-style-language/schema/raw/master/csl-citation.json"}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142</w:t>
      </w:r>
      <w:r w:rsidRPr="00D74025">
        <w:rPr>
          <w:rFonts w:ascii="Arial" w:hAnsi="Arial" w:cs="Arial"/>
          <w:color w:val="000000" w:themeColor="text1"/>
        </w:rPr>
        <w:fldChar w:fldCharType="end"/>
      </w:r>
      <w:r w:rsidRPr="00D74025">
        <w:rPr>
          <w:rFonts w:ascii="Arial" w:hAnsi="Arial" w:cs="Arial"/>
          <w:color w:val="000000" w:themeColor="text1"/>
        </w:rPr>
        <w:t>. Before targeted therapies were developed, the overexpression of this receptor was correlated with a more aggressive and poorer prognosis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{"citationID":"a2hn684ojk8","properties":{"formattedCitation":"\\super 143\\nosupersub{}","plainCitation":"143","noteIndex":0},"citationItems":[{"id":284,"uris":["http://zotero.org/users/7661987/items/ZU3TH7CN"],"itemData":{"id":284,"type":"article-journal","abstract":"Human epidermal growth factor receptor 2 (HER2)</w:instrText>
      </w:r>
      <w:r w:rsidR="000F4F53">
        <w:rPr>
          <w:rFonts w:ascii="Cambria Math" w:hAnsi="Cambria Math" w:cs="Cambria Math"/>
          <w:color w:val="000000" w:themeColor="text1"/>
        </w:rPr>
        <w:instrText>‑</w:instrText>
      </w:r>
      <w:r w:rsidR="000F4F53">
        <w:rPr>
          <w:rFonts w:ascii="Arial" w:hAnsi="Arial" w:cs="Arial"/>
          <w:color w:val="000000" w:themeColor="text1"/>
        </w:rPr>
        <w:instrText>overexpressing breast cancer has been historically associated with an aggressive disease course with common distant metastasis and poor prognosis. HER2</w:instrText>
      </w:r>
      <w:r w:rsidR="000F4F53">
        <w:rPr>
          <w:rFonts w:ascii="Cambria Math" w:hAnsi="Cambria Math" w:cs="Cambria Math"/>
          <w:color w:val="000000" w:themeColor="text1"/>
        </w:rPr>
        <w:instrText>‑</w:instrText>
      </w:r>
      <w:r w:rsidR="000F4F53">
        <w:rPr>
          <w:rFonts w:ascii="Arial" w:hAnsi="Arial" w:cs="Arial"/>
          <w:color w:val="000000" w:themeColor="text1"/>
        </w:rPr>
        <w:instrText>targeting therapies have significantly changed treatment and drastically improved outcomes for this group of patients. However, primary or acquired resistance to anti</w:instrText>
      </w:r>
      <w:r w:rsidR="000F4F53">
        <w:rPr>
          <w:rFonts w:ascii="Cambria Math" w:hAnsi="Cambria Math" w:cs="Cambria Math"/>
          <w:color w:val="000000" w:themeColor="text1"/>
        </w:rPr>
        <w:instrText>‑</w:instrText>
      </w:r>
      <w:r w:rsidR="000F4F53">
        <w:rPr>
          <w:rFonts w:ascii="Arial" w:hAnsi="Arial" w:cs="Arial"/>
          <w:color w:val="000000" w:themeColor="text1"/>
        </w:rPr>
        <w:instrText>HER2 regimens leads almost universally to disease progression, often with difficult to treat central nervous system (CNS) metastases. The current review summarized the existing therapeutic options for HER2</w:instrText>
      </w:r>
      <w:r w:rsidR="000F4F53">
        <w:rPr>
          <w:rFonts w:ascii="Cambria Math" w:hAnsi="Cambria Math" w:cs="Cambria Math"/>
          <w:color w:val="000000" w:themeColor="text1"/>
        </w:rPr>
        <w:instrText>‑</w:instrText>
      </w:r>
      <w:r w:rsidR="000F4F53">
        <w:rPr>
          <w:rFonts w:ascii="Arial" w:hAnsi="Arial" w:cs="Arial"/>
          <w:color w:val="000000" w:themeColor="text1"/>
        </w:rPr>
        <w:instrText>positive metastatic disease in the first, second and further line setting. Furthermore, novel agents currently under development were presented, which have demonstrated encouraging results in heavily pretreated patients or specific subgroups, such as HR</w:instrText>
      </w:r>
      <w:r w:rsidR="000F4F53">
        <w:rPr>
          <w:rFonts w:ascii="Cambria Math" w:hAnsi="Cambria Math" w:cs="Cambria Math"/>
          <w:color w:val="000000" w:themeColor="text1"/>
        </w:rPr>
        <w:instrText>‑</w:instrText>
      </w:r>
      <w:r w:rsidR="000F4F53">
        <w:rPr>
          <w:rFonts w:ascii="Arial" w:hAnsi="Arial" w:cs="Arial"/>
          <w:color w:val="000000" w:themeColor="text1"/>
        </w:rPr>
        <w:instrText>positive/HER2</w:instrText>
      </w:r>
      <w:r w:rsidR="000F4F53">
        <w:rPr>
          <w:rFonts w:ascii="Cambria Math" w:hAnsi="Cambria Math" w:cs="Cambria Math"/>
          <w:color w:val="000000" w:themeColor="text1"/>
        </w:rPr>
        <w:instrText>‑</w:instrText>
      </w:r>
      <w:r w:rsidR="000F4F53">
        <w:rPr>
          <w:rFonts w:ascii="Arial" w:hAnsi="Arial" w:cs="Arial"/>
          <w:color w:val="000000" w:themeColor="text1"/>
        </w:rPr>
        <w:instrText>positive tumors and CNS disease.","container-title":"Oncology Letters","DOI":"10.3892/ol.2021.12548","ISSN":"1792-1074, 1792-1082","issue":"4","journalAbbreviation":"Oncol Lett","language":"en","page":"287","source":"DOI.org (Crossref)","title":"The changing treatment of metastatic her2</w:instrText>
      </w:r>
      <w:r w:rsidR="000F4F53">
        <w:rPr>
          <w:rFonts w:ascii="Cambria Math" w:hAnsi="Cambria Math" w:cs="Cambria Math"/>
          <w:color w:val="000000" w:themeColor="text1"/>
        </w:rPr>
        <w:instrText>‑</w:instrText>
      </w:r>
      <w:r w:rsidR="000F4F53">
        <w:rPr>
          <w:rFonts w:ascii="Arial" w:hAnsi="Arial" w:cs="Arial"/>
          <w:color w:val="000000" w:themeColor="text1"/>
        </w:rPr>
        <w:instrText xml:space="preserve">positive breast cancer (Review)","volume":"21","author":[{"family":"Mitsogianni","given":"Maria"},{"family":"Trontzas","given":"Ioannis"},{"family":"Gomatou","given":"Georgia"},{"family":"Ioannou","given":"Stephanie"},{"family":"Syrigos","given":"Nikolaos"},{"family":"Kotteas","given":"Elias"}],"issued":{"date-parts":[["2021",2,12]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143</w:t>
      </w:r>
      <w:r w:rsidRPr="00D74025">
        <w:rPr>
          <w:rFonts w:ascii="Arial" w:hAnsi="Arial" w:cs="Arial"/>
          <w:color w:val="000000" w:themeColor="text1"/>
        </w:rPr>
        <w:fldChar w:fldCharType="end"/>
      </w:r>
      <w:r w:rsidRPr="00D74025">
        <w:rPr>
          <w:rFonts w:ascii="Arial" w:hAnsi="Arial" w:cs="Arial"/>
          <w:color w:val="000000" w:themeColor="text1"/>
        </w:rPr>
        <w:t>. ErbB2 is a growth factor receptor that induces potent proliferative and anti-apoptosis signals, thus enabling oncogenic phenotype</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{"citationID":"a1njjk1vivq","properties":{"formattedCitation":"\\super 144\\nosupersub{}","plainCitation":"144","noteIndex":0},"citationItems":[{"id":283,"uris":["http://zotero.org/users/7661987/items/XHBFUHYS"],"itemData":{"id":283,"type":"article-journal","abstract":"HER2 is overexpressed in a subset of breast cancers and controls an oncogenic signaling network that inhibits tumor cell death through the specific biochemical regulation of apoptotic pathways. In particular, the mitochondrial pathway for apoptosis is important for death induced by inhibitors of HER2. This review focuses on the connections between this oncogenic signaling network and individual components of the mitochondrial pathway. A comprehensive view of this signaling network is crucial for developing novel drugs in this area and to gain an understanding of how these regulatory interactions are altered in drug-refractory cancers.","container-title":"Genes &amp; Cancer","DOI":"10.1177/1947601913488598","ISSN":"1947-6019, 1947-6027","issue":"5-6","journalAbbreviation":"Genes &amp; Cancer","language":"en","page":"187-195","source":"DOI.org (Crossref)","title":"Survival of HER2-Positive Breast Cancer Cells: Receptor Signaling to Apoptotic Control Centers","title-short":"Survival of HER2-Positive Breast Cancer Cells","volume":"4","author":[{"family":"Fink","given":"M. Y."},{"family":"Chipuk","given":"J. E."}],"issued":{"date-parts":[["2013",5,1]]}}}],"schema":"https://github.com/citation-style-language/schema/raw/master/csl-citation.json"}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144</w:t>
      </w:r>
      <w:r w:rsidRPr="00D74025">
        <w:rPr>
          <w:rFonts w:ascii="Arial" w:hAnsi="Arial" w:cs="Arial"/>
          <w:color w:val="000000" w:themeColor="text1"/>
        </w:rPr>
        <w:fldChar w:fldCharType="end"/>
      </w:r>
      <w:r w:rsidRPr="00D74025">
        <w:rPr>
          <w:rFonts w:ascii="Arial" w:hAnsi="Arial" w:cs="Arial"/>
          <w:color w:val="000000" w:themeColor="text1"/>
        </w:rPr>
        <w:t>.</w:t>
      </w:r>
    </w:p>
    <w:p w14:paraId="4F4CCCFA" w14:textId="7FEA12A0" w:rsidR="00F36CEF" w:rsidRPr="00D74025" w:rsidRDefault="00F36CEF" w:rsidP="00C70922">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The most common treatment options for ErbB2+ BC are anti-ErbB2 antibodies and small-molecule tyrosine kinase inhibitors. For instance, trastuzumab and </w:t>
      </w:r>
      <w:proofErr w:type="spellStart"/>
      <w:r w:rsidRPr="00D74025">
        <w:rPr>
          <w:rFonts w:ascii="Arial" w:hAnsi="Arial" w:cs="Arial"/>
          <w:color w:val="000000" w:themeColor="text1"/>
        </w:rPr>
        <w:t>pertuzumab</w:t>
      </w:r>
      <w:proofErr w:type="spellEnd"/>
      <w:r w:rsidRPr="00D74025">
        <w:rPr>
          <w:rFonts w:ascii="Arial" w:hAnsi="Arial" w:cs="Arial"/>
          <w:color w:val="000000" w:themeColor="text1"/>
        </w:rPr>
        <w:t xml:space="preserve"> are </w:t>
      </w:r>
      <w:r w:rsidRPr="00D74025">
        <w:rPr>
          <w:rFonts w:ascii="Calibri" w:hAnsi="Calibri" w:cs="Calibri"/>
          <w:color w:val="000000" w:themeColor="text1"/>
        </w:rPr>
        <w:t>﻿</w:t>
      </w:r>
      <w:r w:rsidRPr="00D74025">
        <w:rPr>
          <w:rFonts w:ascii="Arial" w:hAnsi="Arial" w:cs="Arial"/>
          <w:color w:val="000000" w:themeColor="text1"/>
        </w:rPr>
        <w:t xml:space="preserve"> recombinant humanized monoclonal antibodies that bind to the extracellular domain of the ErbB2 receptor and inhibit homodimerization, resulting in the prevention of receptor firing</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{"citationID":"anrt48hu68","properties":{"formattedCitation":"\\super 145\\nosupersub{}","plainCitation":"145","noteIndex":0},"citationItems":[{"id":282,"uris":["http://zotero.org/users/7661987/items/TWTEJ7WC"],"itemData":{"id":282,"type":"article-journal","abstract":"It has now been 15 years since the HER2-targeted monoclonal antibody trastuzumab was introduced in clinical and revolutionized the treatment of HER2-positive breast cancer patients. Despite this achievement, most patients with HER2-positive metastatic breast cancer still show progression of their disease, highlighting the need for new therapies. The continuous interest in novel targeted agents led to the development of pertuzumab, the first in a new class of agents, the HER dimerization inhibitors. Pertuzumab is a novel recombinant humanized antibody directed against extracellular domain II of HER2 protein that is required for the heterodimerization of HER2 with other HER receptors, leading to the activation of downstream signalling pathways. Pertuzumab combined with trastuzumab plus docetaxel was approved for the first-line treatment of patients with HER2-positive metastatic breast cancer and is currently used as a standard of care in this indication. In the neoadjuvant setting, the drug was granted FDA-accelerated approval in 2013. Pertuzumab is also being evaluated in the adjuvant setting. The potential of pertuzumab relies in the dual complete blockade of the HER2/3 axis when administered with trastuzumab. This paper synthesizes preclinical and clinical data on pertuzumab and highlights the mechanisms underlying the synergistic activity of the combination pertuzumab-trastuzumab which are essentially due to their complementary mode of action.","container-title":"Anais da Academia Brasileira de Ciências","DOI":"10.1590/0001-3765201620150178","ISSN":"1678-2690, 0001-3765","issue":"suppl 1","journalAbbreviation":"An. Acad. Bras. Ciênc.","language":"en","page":"565-577","source":"DOI.org (Crossref)","title":"Pertuzumab and trastuzumab: the rationale way to synergy","title-short":"Pertuzumab and trastuzumab","volume":"88","author":[{"family":"Richard","given":"Sandrine"},{"family":"Selle","given":"Frédéric"},{"family":"Lotz","given":"Jean-Pierre"},{"family":"Khalil","given":"Ahmed"},{"family":"Gligorov","given":"Joseph"},{"family":"Soares","given":"Daniele G."}],"issued":{"date-parts":[["2016",4,11]]}}}],"schema":"https://github.com/citation-style-language/schema/raw/master/csl-citation.json"}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145</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3CE745EA" w14:textId="63634A6E" w:rsidR="00E1511B" w:rsidRPr="00D74025" w:rsidRDefault="00E1511B" w:rsidP="00BA37A7">
      <w:pPr>
        <w:spacing w:line="360" w:lineRule="auto"/>
        <w:ind w:firstLine="1440"/>
        <w:jc w:val="both"/>
        <w:rPr>
          <w:rFonts w:ascii="Arial" w:hAnsi="Arial" w:cs="Arial"/>
          <w:color w:val="000000" w:themeColor="text1"/>
        </w:rPr>
      </w:pPr>
      <w:r w:rsidRPr="00D74025">
        <w:rPr>
          <w:rFonts w:ascii="Arial" w:hAnsi="Arial" w:cs="Arial"/>
          <w:color w:val="000000" w:themeColor="text1"/>
        </w:rPr>
        <w:t>The standard of care for non-metastatic ErbB2+ patients is trastuzumab in combination with paclitaxel</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{"citationID":"a1csve7ar8b","properties":{"formattedCitation":"\\super 146\\nosupersub{}","plainCitation":"146","noteIndex":0},"citationItems":[{"id":281,"uris":["http://zotero.org/users/7661987/items/7IQTFDG3"],"itemData":{"id":281,"type":"article-journal","abstract":"PURPOSE The Adjuvant Paclitaxel and Trastuzumab trial was designed to address treatment of patients with small human epidermal growth factor receptor 2 (HER2)–positive breast cancer. The primary analysis of the Adjuvant Paclitaxel and Trastuzumab trial demonstrated a 3-year disease-free survival (DFS) of 98.7%. In this planned secondary analysis, we report longer-term outcomes and exploratory results to characterize the biology of small HER2-positive tumors and genetic factors that may predispose to paclitaxel-induced peripheral neuropathy (TIPN). PATIENTS AND METHODS In this phase II study, patients with HER2-positive breast cancer with tumors 3 cm or smaller and negative nodes received paclitaxel (80 mg/m2) with trastuzumab for 12 weeks, followed by trastuzumab for 9 months. The primary end point was DFS. Recurrence-free interval (RFI), breast cancer–speciﬁc survival, and overall survival (OS) were also analyzed. In an exploratory analysis, intrinsic subtyping by PAM50 (Prosigna) and calculation of the risk of recurrence score were performed on the nCounter analysis system on archival tissue. Genotyping was performed to investigate TIPN.\nRESULTS A total of 410 patients were enrolled from October 2007 to September 2010. After a median follow-up of 6.5 years, there were 23 DFS events. The 7-year DFS was 93% (95% CI, 90.4 to 96.2) with four (1.0%) distant recurrences, 7-year OS was 95% (95% CI, 92.4 to 97.7), and 7-year RFI was 97.5% (95% CI, 95.9 to 99.1). PAM50 analyses (n = 278) showed that most tumors were HER2-enriched (66%), followed by luminal B (14%), luminal A (13%), and basal-like (8%). Genotyping (n = 230) identiﬁed one single-nucleotide polymorphism, rs3012437, associated with an increased risk of TIPN in patients with grade 2 or greater TIPN (10.4%). ASSOCIATED CONTENT Appendix Data Supplement Author afﬁliations and support information (if applicable) appear at the end of this article. Accepted on February 26, 2019 and published at jco.org on April 2, 2019: DOI https://doi.org/10. 1200/JCO.19.00066 Processed as a Rapid Communication manuscript. Clinical trial information: NCT00542451.\nCONCLUSION With longer follow-up, adjuvant paclitaxel and trastuzumab is associated with excellent long-term outcomes. Distribution of PAM50 intrinsic subtypes in small HER2-positive tumors is similar to that previously reported for larger tumors.","container-title":"Journal of Clinical Oncology","DOI":"10.1200/JCO.19.00066","ISSN":"0732-183X, 1527-7755","issue":"22","journalAbbreviation":"JCO","language":"en","page":"1868-1875","source":"DOI.org (Crossref)","title":"Seven-Year Follow-Up Analysis of Adjuvant Paclitaxel and Trastuzumab Trial for Node-Negative, Human Epidermal Growth Factor Receptor 2–Positive Breast Cancer","volume":"37","author":[{"family":"Tolaney","given":"Sara M."},{"family":"Guo","given":"Hao"},{"family":"Pernas","given":"Sonia"},{"family":"Barry","given":"William T."},{"family":"Dillon","given":"Deborah A."},{"family":"Ritterhouse","given":"Lauren"},{"family":"Schneider","given":"Bryan P."},{"family":"Shen","given":"Fei"},{"family":"Fuhrman","given":"Kit"},{"family":"Baltay","given":"Michele"},{"family":"Dang","given":"Chau T."},{"family":"Yardley","given":"Denise A."},{"family":"Moy","given":"Beverly"},{"family":"Marcom","given":"P. Kelly"},{"family":"Albain","given":"Kathy S."},{"family":"Rugo","given":"Hope S."},{"family":"Ellis","given":"Mathew J."},{"family":"Shapira","given":"Iuliana"},{"family":"Wolff","given":"Antonio C."},{"family":"Carey","given":"Lisa A."},{"family":"Overmoyer","given":"Beth"},{"family":"Partridge","given":"Ann H."},{"family":"Hudis","given":"Clifford A."},{"family":"Krop","given":"Ian E."},{"family":"Burstein","given":"Harold J."},{"family":"Winer","given":"Eric P."}],"issued":{"date-parts":[["2019",8,1]]}}}],"schema":"https://github.com/citation-style-language/schema/raw/master/csl-citation.json"}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146</w:t>
      </w:r>
      <w:r w:rsidRPr="00D74025">
        <w:rPr>
          <w:rFonts w:ascii="Arial" w:hAnsi="Arial" w:cs="Arial"/>
          <w:color w:val="000000" w:themeColor="text1"/>
        </w:rPr>
        <w:fldChar w:fldCharType="end"/>
      </w:r>
      <w:r w:rsidRPr="00D74025">
        <w:rPr>
          <w:rFonts w:ascii="Arial" w:hAnsi="Arial" w:cs="Arial"/>
          <w:color w:val="000000" w:themeColor="text1"/>
        </w:rPr>
        <w:t xml:space="preserve">. </w:t>
      </w:r>
      <w:proofErr w:type="spellStart"/>
      <w:r w:rsidRPr="00D74025">
        <w:rPr>
          <w:rFonts w:ascii="Arial" w:hAnsi="Arial" w:cs="Arial"/>
          <w:color w:val="000000" w:themeColor="text1"/>
        </w:rPr>
        <w:t>Pertuzumab</w:t>
      </w:r>
      <w:proofErr w:type="spellEnd"/>
      <w:r w:rsidRPr="00D74025">
        <w:rPr>
          <w:rFonts w:ascii="Arial" w:hAnsi="Arial" w:cs="Arial"/>
          <w:color w:val="000000" w:themeColor="text1"/>
        </w:rPr>
        <w:t xml:space="preserve"> is incorporated into the regimen when the patient is at higher risk, which is correlated to tumor size and affected lymph nodes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{"citationID":"a2d0u7ukc4o","properties":{"formattedCitation":"\\super 147\\nosupersub{}","plainCitation":"147","noteIndex":0},"citationItems":[{"id":280,"uris":["http://zotero.org/users/7661987/items/VN6Q55XN"],"itemData":{"id":280,"type":"article-journal","abstract":"BACKGROUND Pertuzumab increases the rate of pathological complete response in the preoperative context and increases overall survival among patients with metastatic disease when it is added to trastuzumab and chemotherapy for the treatment of human epidermal growth factor receptor 2 (HER2)–positive breast cancer. In this trial, we investigated whether pertuzumab, when added to adjuvant trastuzumab and chemotherapy, improves outcomes among patients with HER2-positive early breast cancer.\nMETHODS We randomly assigned patients with node-positive or high-risk node-negative HER2positive, operable breast cancer to receive either pertuzumab or placebo added to standard adjuvant chemotherapy plus 1 year of treatment with trastuzumab. We assumed a 3-year invasive-disease–free survival rate of 91.8% with pertuzumab and 89.2% with placebo.\nRESULTS In the trial population, 63% of the patients who were randomly assigned to receive pertuzumab (2400 patients) or placebo (2405 patients) had node-positive disease and 36% had hormone-receptor–negative disease. Disease recurrence occurred in 171 patients (7.1%) in the pertuzumab group and 210 patients (8.7%) in the placebo group (hazard ratio, 0.81; 95% confidence interval [CI], 0.66 to 1.00; P = 0.045). The estimates of the 3-year rates of invasive-disease–free survival were 94.1% in the pertuzumab group and 93.2% in the placebo group. In the cohort of patients with node-positive disease, the 3-year rate of invasive-disease–free survival was 92.0% in the pertuzumab group, as compared with 90.2% in the placebo group (hazard ratio for an invasive-disease event, 0.77; 95% CI, 0.62 to 0.96; P = 0.02). In the cohort of patients with node-negative disease, the 3-year rate of invasive-disease–free survival was 97.5% in the pertuzumab group and 98.4% in the placebo group (hazard ratio for an invasive-disease event, 1.13; 95% CI, 0.68 to 1.86; P = 0.64). Heart failure, cardiac death, and cardiac dysfunction were infrequent in both treatment groups. Diarrhea of grade 3 or higher occurred almost exclusively during chemotherapy and was more frequent with pertuzumab than with placebo (9.8% vs. 3.7%).\nCONCLUSIONS Pertuzumab significantly improved the rates of invasive-disease–free survival among patients with HER2-positive, operable breast cancer when it was added to trastuzumab and chemotherapy. Diarrhea was more common with pertuzumab than with placebo. (Funded by F. Hoffmann–La Roche/Genentech; APHINITY ClinicalTrials.gov number, NCT01358877.)","container-title":"New England Journal of Medicine","DOI":"10.1056/NEJMoa1703643","ISSN":"0028-4793, 1533-4406","issue":"2","journalAbbreviation":"N Engl J Med","language":"en","page":"122-131","source":"DOI.org (Crossref)","title":"Adjuvant Pertuzumab and Trastuzumab in Early HER2-Positive Breast Cancer","volume":"377","author":[{"family":"Minckwitz","given":"Gunter","non-dropping-particle":"von"},{"family":"Procter","given":"Marion"},{"family":"Azambuja","given":"Evandro","non-dropping-particle":"de"},{"family":"Zardavas","given":"Dimitrios"},{"family":"Benyunes","given":"Mark"},{"family":"Viale","given":"Giuseppe"},{"family":"Suter","given":"Thomas"},{"family":"Arahmani","given":"Amal"},{"family":"Rouchet","given":"Nathalie"},{"family":"Clark","given":"Emma"},{"family":"Knott","given":"Adam"},{"family":"Lang","given":"Istvan"},{"family":"Levy","given":"Christelle"},{"family":"Yardley","given":"Denise A."},{"family":"Bines","given":"Jose"},{"family":"Gelber","given":"Richard D."},{"family":"Piccart","given":"Martine"},{"family":"Baselga","given":"Jose"}],"issued":{"date-parts":[["2017",7,13]]}}}],"schema":"https://github.com/citation-style-language/schema/raw/master/csl-citation.json"}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147</w:t>
      </w:r>
      <w:r w:rsidRPr="00D74025">
        <w:rPr>
          <w:rFonts w:ascii="Arial" w:hAnsi="Arial" w:cs="Arial"/>
          <w:color w:val="000000" w:themeColor="text1"/>
        </w:rPr>
        <w:fldChar w:fldCharType="end"/>
      </w:r>
      <w:r w:rsidRPr="00D74025">
        <w:rPr>
          <w:rFonts w:ascii="Arial" w:hAnsi="Arial" w:cs="Arial"/>
          <w:color w:val="000000" w:themeColor="text1"/>
        </w:rPr>
        <w:t xml:space="preserve">. When ErbB2+ cancer is metastatic, a combination of </w:t>
      </w:r>
      <w:proofErr w:type="spellStart"/>
      <w:r w:rsidRPr="00D74025">
        <w:rPr>
          <w:rFonts w:ascii="Arial" w:hAnsi="Arial" w:cs="Arial"/>
          <w:color w:val="000000" w:themeColor="text1"/>
        </w:rPr>
        <w:t>taxane</w:t>
      </w:r>
      <w:proofErr w:type="spellEnd"/>
      <w:r w:rsidRPr="00D74025">
        <w:rPr>
          <w:rFonts w:ascii="Arial" w:hAnsi="Arial" w:cs="Arial"/>
          <w:color w:val="000000" w:themeColor="text1"/>
        </w:rPr>
        <w:t xml:space="preserve">, trastuzumab, and </w:t>
      </w:r>
      <w:proofErr w:type="spellStart"/>
      <w:r w:rsidRPr="00D74025">
        <w:rPr>
          <w:rFonts w:ascii="Arial" w:hAnsi="Arial" w:cs="Arial"/>
          <w:color w:val="000000" w:themeColor="text1"/>
        </w:rPr>
        <w:t>pertuzumab</w:t>
      </w:r>
      <w:proofErr w:type="spellEnd"/>
      <w:r w:rsidRPr="00D74025">
        <w:rPr>
          <w:rFonts w:ascii="Arial" w:hAnsi="Arial" w:cs="Arial"/>
          <w:color w:val="000000" w:themeColor="text1"/>
        </w:rPr>
        <w:t xml:space="preserve"> is used as the first line of therapy, and the antibody-drug conjugate tDM1 is added later (trastuzumab linked to </w:t>
      </w:r>
      <w:proofErr w:type="spellStart"/>
      <w:r w:rsidR="003E47C0">
        <w:rPr>
          <w:rFonts w:ascii="Arial" w:hAnsi="Arial" w:cs="Arial"/>
          <w:color w:val="000000" w:themeColor="text1"/>
        </w:rPr>
        <w:t>mer</w:t>
      </w:r>
      <w:r w:rsidRPr="00D74025">
        <w:rPr>
          <w:rFonts w:ascii="Arial" w:hAnsi="Arial" w:cs="Arial"/>
          <w:color w:val="000000" w:themeColor="text1"/>
        </w:rPr>
        <w:t>tansine</w:t>
      </w:r>
      <w:proofErr w:type="spellEnd"/>
      <w:r w:rsidR="003E47C0">
        <w:rPr>
          <w:rFonts w:ascii="Arial" w:hAnsi="Arial" w:cs="Arial"/>
          <w:color w:val="000000" w:themeColor="text1"/>
        </w:rPr>
        <w:t xml:space="preserve">, a drug </w:t>
      </w:r>
      <w:r w:rsidR="00BF7011">
        <w:rPr>
          <w:rFonts w:ascii="Arial" w:hAnsi="Arial" w:cs="Arial"/>
          <w:color w:val="000000" w:themeColor="text1"/>
        </w:rPr>
        <w:t>studied</w:t>
      </w:r>
      <w:r w:rsidR="003E47C0">
        <w:rPr>
          <w:rFonts w:ascii="Arial" w:hAnsi="Arial" w:cs="Arial"/>
          <w:color w:val="000000" w:themeColor="text1"/>
        </w:rPr>
        <w:t xml:space="preserve"> in this work</w:t>
      </w:r>
      <w:r w:rsidR="00BF7011">
        <w:rPr>
          <w:rFonts w:ascii="Arial" w:hAnsi="Arial" w:cs="Arial"/>
          <w:color w:val="000000" w:themeColor="text1"/>
        </w:rPr>
        <w:t xml:space="preserve"> for the conjugation with ANXA5 and gold nanoparticles</w:t>
      </w:r>
      <w:r w:rsidRPr="00D74025">
        <w:rPr>
          <w:rFonts w:ascii="Arial" w:hAnsi="Arial" w:cs="Arial"/>
          <w:color w:val="000000" w:themeColor="text1"/>
        </w:rPr>
        <w:t>)</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{"citationID":"a1pfi05ubjs","properties":{"formattedCitation":"\\super 148\\nosupersub{}","plainCitation":"148","noteIndex":0},"citationItems":[{"id":279,"uris":["http://zotero.org/users/7661987/items/RES3WE6W"],"itemData":{"id":279,"type":"article-journal","abstract":"Purpose Trastuzumab shows clinical activity in human epidermal growth factor receptor 2 (HER-2)–positive early and advanced breast cancer. In the German Breast Group 26/Breast International Group 03-05 trial, we investigated if trastuzumab treatment should be continued beyond progression.\nMethods Patients with HER-2–positive breast cancer that progresses during treatment with trastuzumab were randomly assigned to receive capecitabine (2,500 mg/m2 body-surface area on days 1 through 14 [1,250 mg/m2 semi-daily]) alone or with continuation of trastuzumab (6 mg/kg body weight) in 3-week cycles. The primary end point was time to progression.\nResults We randomly assigned 78 patients to capecitabine and 78 patients to capecitabine plus trastuzumab. Sixty-ﬁve events and 38 deaths in the capecitabine group and 62 events and 33 deaths in the capecitabine-plus-trastuzumab group occurred during 15.6 months of follow-up. Median times to progression were 5.6 months in the capecitabine group and 8.2 months in the capecitabine-plus-trastuzumab group with an unadjusted hazard ratio of 0.69 (95% CI, 0.48 to 0.97; two-sided log-rank P ϭ .0338). Overall survival rates were 20.4 months (95% CI, 17.8 to 24.7) in the capecitabine group and 25.5 months (95% CI, 19.0 to 30.7) in the capecitabine-plustrastuzumab group (P ϭ .257). Overall response rates were 27.0% with capecitabine and 48.1% with capecitabine plus trastuzumab (odds ratio, 2.50; P ϭ .0115). Continuation of trastuzumab beyond progression was not associated with increased toxicity.\nConclusion Continuation of trastuzumab plus capecitabine showed a signiﬁcant improvement in overall response and time to progression compared with capecitabine alone in women with HER-2–positive breast cancer who experienced progression during trastuzumab treatment.","container-title":"Journal of Clinical Oncology","DOI":"10.1200/JCO.2008.19.6618","ISSN":"0732-183X, 1527-7755","issue":"12","journalAbbreviation":"JCO","language":"en","page":"1999-2006","source":"DOI.org (Crossref)","title":"Trastuzumab Beyond Progression in Human Epidermal Growth Factor Receptor 2–Positive Advanced Breast Cancer: A German Breast Group 26/Breast International Group 03-05 Study","title-short":"Trastuzumab Beyond Progression in Human Epidermal Growth Factor Receptor 2–Positive Advanced Breast Cancer","volume":"27","author":[{"family":"Minckwitz","given":"Gunter","non-dropping-particle":"von"},{"family":"Bois","given":"Andreas","non-dropping-particle":"du"},{"family":"Schmidt","given":"Marcus"},{"family":"Maass","given":"Nicolai"},{"family":"Cufer","given":"Tanja"},{"family":"Jongh","given":"Felix E.","non-dropping-particle":"de"},{"family":"Maartense","given":"Eduard"},{"family":"Zielinski","given":"Christoph"},{"family":"Kaufmann","given":"Manfred"},{"family":"Bauer","given":"Wolfgang"},{"family":"Baumann","given":"Klaus H."},{"family":"Clemens","given":"Michael R."},{"family":"Duerr","given":"Ralph"},{"family":"Uleer","given":"Christoph"},{"family":"Andersson","given":"Michael"},{"family":"Stein","given":"Robert C."},{"family":"Nekljudova","given":"Valentina"},{"family":"Loibl","given":"Sibylle"}],"issued":{"date-parts":[["2009",4,20]]}}}],"schema":"https://github.com/citation-style-language/schema/raw/master/csl-citation.json"}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148</w:t>
      </w:r>
      <w:r w:rsidRPr="00D74025">
        <w:rPr>
          <w:rFonts w:ascii="Arial" w:hAnsi="Arial" w:cs="Arial"/>
          <w:color w:val="000000" w:themeColor="text1"/>
        </w:rPr>
        <w:fldChar w:fldCharType="end"/>
      </w:r>
      <w:r w:rsidRPr="00D74025">
        <w:rPr>
          <w:rFonts w:ascii="Arial" w:hAnsi="Arial" w:cs="Arial"/>
          <w:color w:val="000000" w:themeColor="text1"/>
        </w:rPr>
        <w:t>.</w:t>
      </w:r>
    </w:p>
    <w:p w14:paraId="77E6EAFC" w14:textId="77777777" w:rsidR="00B10757" w:rsidRPr="00D74025" w:rsidRDefault="00B10757" w:rsidP="00F52A4C">
      <w:pPr>
        <w:autoSpaceDE w:val="0"/>
        <w:autoSpaceDN w:val="0"/>
        <w:adjustRightInd w:val="0"/>
        <w:rPr>
          <w:color w:val="000000" w:themeColor="text1"/>
          <w:sz w:val="20"/>
          <w:szCs w:val="20"/>
        </w:rPr>
      </w:pPr>
    </w:p>
    <w:p w14:paraId="19E851CA" w14:textId="7F312B20" w:rsidR="00090CBA" w:rsidRPr="00D74025" w:rsidRDefault="00090CBA" w:rsidP="00090CBA">
      <w:pPr>
        <w:spacing w:before="240" w:line="360" w:lineRule="auto"/>
        <w:ind w:firstLine="1440"/>
        <w:jc w:val="both"/>
        <w:rPr>
          <w:rFonts w:ascii="Arial" w:hAnsi="Arial" w:cs="Arial"/>
          <w:color w:val="000000" w:themeColor="text1"/>
        </w:rPr>
      </w:pPr>
      <w:r w:rsidRPr="00D74025">
        <w:rPr>
          <w:rFonts w:ascii="Arial" w:hAnsi="Arial" w:cs="Arial"/>
          <w:color w:val="000000" w:themeColor="text1"/>
        </w:rPr>
        <w:t xml:space="preserve">Another way to classify BC is staging, which measures the disease's spread level by the time of diagnosis. </w:t>
      </w:r>
      <w:r w:rsidRPr="00D74025">
        <w:rPr>
          <w:rFonts w:ascii="Arial" w:hAnsi="Arial" w:cs="Arial"/>
          <w:color w:val="000000" w:themeColor="text1"/>
          <w:u w:val="single"/>
        </w:rPr>
        <w:t>Stage I</w:t>
      </w:r>
      <w:r w:rsidRPr="00D74025">
        <w:rPr>
          <w:rFonts w:ascii="Arial" w:hAnsi="Arial" w:cs="Arial"/>
          <w:color w:val="000000" w:themeColor="text1"/>
        </w:rPr>
        <w:t xml:space="preserve"> is characterized as a small primary tumor (less than 2 cm in size) without lymph node involvement. </w:t>
      </w:r>
      <w:r w:rsidRPr="00D74025">
        <w:rPr>
          <w:rFonts w:ascii="Arial" w:hAnsi="Arial" w:cs="Arial"/>
          <w:color w:val="000000" w:themeColor="text1"/>
          <w:u w:val="single"/>
        </w:rPr>
        <w:t>Stage II</w:t>
      </w:r>
      <w:r w:rsidRPr="00D74025">
        <w:rPr>
          <w:rFonts w:ascii="Arial" w:hAnsi="Arial" w:cs="Arial"/>
          <w:color w:val="000000" w:themeColor="text1"/>
        </w:rPr>
        <w:t xml:space="preserve"> comprises primary tumors between 2-5 cm, with only local lymph nodes affected. </w:t>
      </w:r>
      <w:r w:rsidRPr="00D74025">
        <w:rPr>
          <w:rFonts w:ascii="Arial" w:hAnsi="Arial" w:cs="Arial"/>
          <w:color w:val="000000" w:themeColor="text1"/>
          <w:u w:val="single"/>
        </w:rPr>
        <w:t>Stage III</w:t>
      </w:r>
      <w:r w:rsidRPr="00D74025">
        <w:rPr>
          <w:rFonts w:ascii="Arial" w:hAnsi="Arial" w:cs="Arial"/>
          <w:color w:val="000000" w:themeColor="text1"/>
        </w:rPr>
        <w:t xml:space="preserve"> are primary tumors that are bigger than 5 cm, and cancer has usually affected muscles and skin while also affecting lymph nodes in the area, but it has</w:t>
      </w:r>
      <w:r w:rsidR="00500361">
        <w:rPr>
          <w:rFonts w:ascii="Arial" w:hAnsi="Arial" w:cs="Arial"/>
          <w:color w:val="000000" w:themeColor="text1"/>
        </w:rPr>
        <w:t xml:space="preserve"> not</w:t>
      </w:r>
      <w:r w:rsidRPr="00D74025">
        <w:rPr>
          <w:rFonts w:ascii="Arial" w:hAnsi="Arial" w:cs="Arial"/>
          <w:color w:val="000000" w:themeColor="text1"/>
        </w:rPr>
        <w:t xml:space="preserve"> spread to other parts of the body</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{"citationID":"a11abgmlgm3","properties":{"formattedCitation":"\\super 149\\nosupersub{}","plainCitation":"149","noteIndex":0},"citationItems":[{"id":277,"uris":["http://zotero.org/users/7661987/items/ZPIGRN69"],"itemData":{"id":277,"type":"article-journal","abstract":"Expanded understanding of biologic factors that modulate the clinical course of malignant disease have led to the gradual integration of biomarkers into staging classifications. The American Joint Committee on Cancer (AJCC) TNM staging system is universally used and has largely displaced other staging classifications for most, although not all, cancers. Many of the chapters of the eighth edition of the AJCC TNM staging system integrated biomarkers with anatomic definitions. The Breast Chapter added estrogen receptor (ER) and progesterone receptor (PR) expression, HER2 expression, and/or amplification and histologic grade to the anatomic assessment of tumor size, regional lymph node involvement, and distant metastases (known as TNM). While preserving an anatomic staging system for continuity and for regions where modern biomarkers are not always available, the eighth edition emphasizes the increased prognostic precision of the clinical prognostic stage groups and the pathologic prognostic stage groups. The clinical prognostic stage groups are applicable to all patients with primary breast cancer before any treatment has been implemented, but require a clinical and imaging evaluation as well as a biopsy with grade and available ER, PR, and HER2 results; the pathologic prognostic stage groups are applicable to all patients treated with complete surgical excision as first treatment and also require a complete pathology report, grade, and ER, PR, and HER2. Applying the pathologic prognostic stage groups to a large database of patients staged by basic TNM groupings changed the stage grouping of almost 40% of patients. Grouping by pathologic prognostic stage groups led to a better prognostic distribution of the group and more precise individual prognostication.\n          , \n            PRACTICAL APPLICATIONS\n            Biologic attributes of tumor cells modulate clinical course and therapeutic outcomes. Staging systems divide patient cohorts into distinct prognostic categories and allow more precise comparison of patient cohorts, clinical trial results, and therapeutic outcomes. ER and PR expressions by breast cancer cells identify different types of breast cancer, with distinct clinical behavior and prognosis. Overexpression and amplification of HER2 is associated with adverse prognosis, but it can be overcome with specific anti-HER2 targeted treatments. The eighth edition AJCC staging system assumes all patients receive state-of-the-art local, regional, and systemic therapies. The use of pathologic prognostic stage groups is the recommended staging system for North America, since it provides more precise individual prognostication.","container-title":"American Society of Clinical Oncology Educational Book","DOI":"10.1200/EDBK_201313","ISSN":"1548-8748, 1548-8756","issue":"38","journalAbbreviation":"American Society of Clinical Oncology Educational Book","language":"en","page":"457-467","source":"DOI.org (Crossref)","title":"New and Important Changes in the TNM Staging System for Breast Cancer","author":[{"family":"Hortobagyi","given":"Gabriel N."},{"family":"Edge","given":"Stephen B."},{"family":"Giuliano","given":"Armando"}],"issued":{"date-parts":[["2018",5]]}}}],"schema":"https://github.com/citation-style-language/schema/raw/master/csl-citation.json"}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149</w:t>
      </w:r>
      <w:r w:rsidRPr="00D74025">
        <w:rPr>
          <w:rFonts w:ascii="Arial" w:hAnsi="Arial" w:cs="Arial"/>
          <w:color w:val="000000" w:themeColor="text1"/>
        </w:rPr>
        <w:fldChar w:fldCharType="end"/>
      </w:r>
      <w:r w:rsidRPr="00D74025">
        <w:rPr>
          <w:rFonts w:ascii="Arial" w:hAnsi="Arial" w:cs="Arial"/>
          <w:color w:val="000000" w:themeColor="text1"/>
        </w:rPr>
        <w:t xml:space="preserve">. </w:t>
      </w:r>
      <w:r w:rsidRPr="00D74025">
        <w:rPr>
          <w:rFonts w:ascii="Arial" w:hAnsi="Arial" w:cs="Arial"/>
          <w:color w:val="000000" w:themeColor="text1"/>
          <w:u w:val="single"/>
        </w:rPr>
        <w:t>Stage IV</w:t>
      </w:r>
      <w:r w:rsidRPr="00D74025">
        <w:rPr>
          <w:rFonts w:ascii="Arial" w:hAnsi="Arial" w:cs="Arial"/>
          <w:color w:val="000000" w:themeColor="text1"/>
        </w:rPr>
        <w:t xml:space="preserve"> is when cancer has spread to any body part, also known as </w:t>
      </w:r>
      <w:r w:rsidRPr="00D74025">
        <w:rPr>
          <w:rFonts w:ascii="Arial" w:hAnsi="Arial" w:cs="Arial"/>
          <w:color w:val="000000" w:themeColor="text1"/>
          <w:u w:val="single"/>
        </w:rPr>
        <w:t>metastatic breast cancer</w:t>
      </w:r>
      <w:r w:rsidRPr="00D74025">
        <w:rPr>
          <w:rFonts w:ascii="Arial" w:hAnsi="Arial" w:cs="Arial"/>
          <w:color w:val="000000" w:themeColor="text1"/>
        </w:rPr>
        <w:t xml:space="preserve">. Due to the widespread mammography, 62% of BC diagnosed in the United States have not yet spread from the primary tumor (Stage I). Thirty-one percent of the diagnosed cancer involved the lymph nodes. Merely </w:t>
      </w:r>
      <w:r w:rsidR="00AD12E3">
        <w:rPr>
          <w:rFonts w:ascii="Arial" w:hAnsi="Arial" w:cs="Arial"/>
          <w:color w:val="000000" w:themeColor="text1"/>
        </w:rPr>
        <w:t>6%</w:t>
      </w:r>
      <w:r w:rsidRPr="00D74025">
        <w:rPr>
          <w:rFonts w:ascii="Arial" w:hAnsi="Arial" w:cs="Arial"/>
          <w:color w:val="000000" w:themeColor="text1"/>
        </w:rPr>
        <w:t xml:space="preserve"> of patients are diagnosed with Stage IV </w:t>
      </w:r>
      <w:r w:rsidRPr="00D74025">
        <w:rPr>
          <w:rFonts w:ascii="Arial" w:hAnsi="Arial" w:cs="Arial"/>
          <w:color w:val="000000" w:themeColor="text1"/>
        </w:rPr>
        <w:lastRenderedPageBreak/>
        <w:t>breast cancer</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{"citationID":"a1aktjsolu9","properties":{"formattedCitation":"\\super 124\\nosupersub{}","plainCitation":"124","noteIndex":0},"citationItems":[{"id":298,"uris":["http://zotero.org/users/7661987/items/DWE4XKEX"],"itemData":{"id":298,"type":"article-journal","container-title":"JAMA","DOI":"10.1001/jama.2018.19323","ISSN":"0098-7484","issue":"3","journalAbbreviation":"JAMA","language":"en","page":"288","source":"DOI.org (Crossref)","title":"Breast Cancer Treatment: A Review","title-short":"Breast Cancer Treatment","volume":"321","author":[{"family":"Waks","given":"Adrienne G."},{"family":"Winer","given":"Eric P."}],"issued":{"date-parts":[["2019",1,22]]}}}],"schema":"https://github.com/citation-style-language/schema/raw/master/csl-citation.json"}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124</w:t>
      </w:r>
      <w:r w:rsidRPr="00D74025">
        <w:rPr>
          <w:rFonts w:ascii="Arial" w:hAnsi="Arial" w:cs="Arial"/>
          <w:color w:val="000000" w:themeColor="text1"/>
        </w:rPr>
        <w:fldChar w:fldCharType="end"/>
      </w:r>
      <w:r w:rsidRPr="00D74025">
        <w:rPr>
          <w:rFonts w:ascii="Arial" w:hAnsi="Arial" w:cs="Arial"/>
          <w:color w:val="000000" w:themeColor="text1"/>
        </w:rPr>
        <w:t xml:space="preserve">. It has been proven that the diagnosis of nonpalpable </w:t>
      </w:r>
      <w:r w:rsidR="000818C1">
        <w:rPr>
          <w:rFonts w:ascii="Arial" w:hAnsi="Arial" w:cs="Arial"/>
          <w:color w:val="000000" w:themeColor="text1"/>
        </w:rPr>
        <w:t xml:space="preserve">tumors </w:t>
      </w:r>
      <w:r w:rsidRPr="00D74025">
        <w:rPr>
          <w:rFonts w:ascii="Arial" w:hAnsi="Arial" w:cs="Arial"/>
          <w:color w:val="000000" w:themeColor="text1"/>
        </w:rPr>
        <w:t xml:space="preserve">(smaller than 1.5 cm) </w:t>
      </w:r>
      <w:r w:rsidR="000818C1">
        <w:rPr>
          <w:rFonts w:ascii="Arial" w:hAnsi="Arial" w:cs="Arial"/>
          <w:color w:val="000000" w:themeColor="text1"/>
        </w:rPr>
        <w:t>by</w:t>
      </w:r>
      <w:r w:rsidRPr="00D74025">
        <w:rPr>
          <w:rFonts w:ascii="Arial" w:hAnsi="Arial" w:cs="Arial"/>
          <w:color w:val="000000" w:themeColor="text1"/>
        </w:rPr>
        <w:t xml:space="preserve"> mammography leads to a better prognosis</w:t>
      </w:r>
      <w:r w:rsidRPr="00D74025">
        <w:rPr>
          <w:rFonts w:ascii="Arial" w:hAnsi="Arial" w:cs="Arial"/>
          <w:color w:val="000000" w:themeColor="text1"/>
          <w:vertAlign w:val="superscript"/>
        </w:rPr>
        <w:fldChar w:fldCharType="begin"/>
      </w:r>
      <w:r w:rsidR="000F4F53">
        <w:rPr>
          <w:rFonts w:ascii="Arial" w:hAnsi="Arial" w:cs="Arial"/>
          <w:color w:val="000000" w:themeColor="text1"/>
          <w:vertAlign w:val="superscript"/>
        </w:rPr>
        <w:instrText xml:space="preserve"> ADDIN ZOTERO_ITEM CSL_CITATION {"citationID":"a18a47nl0l0","properties":{"formattedCitation":"\\super 150\\nosupersub{}","plainCitation":"150","noteIndex":0},"citationItems":[{"id":296,"uris":["http://zotero.org/users/7661987/items/QUI7RNAQ"],"itemData":{"id":296,"type":"article-journal","abstract":"OBJECTIVE: To review the history, current status, and future trends related to breast cancer screening. DATA SOURCES: Peer-reviewed articles, web sites, and textbooks. CONCLUSION: Breast cancer remains a complex, heterogeneous disease. Serial screening with mammography is the most effective method to detect early stage disease and decrease mortality. Although politics and economics may inhibit organized mammography screening programs in many countries, the judicious use of proﬁcient clinical and self-breast examination can also identify small tumors leading to reduced morbidity. IMPLICATIONS FOR NURSING PRACTICE: Oncology nurses have exciting opportunities to lead, facilitate, and advocate for delivery of high-quality screening services targeting individuals and communities. A practical approach is needed to translate the complexities and controversies surrounding breast cancer screening into improved care outcomes.","container-title":"Seminars in Oncology Nursing","DOI":"10.1016/j.soncn.2017.02.009","ISSN":"07492081","issue":"2","journalAbbreviation":"Seminars in Oncology Nursing","language":"en","page":"141-155","source":"DOI.org (Crossref)","title":"Early Detection and Screening for Breast Cancer","volume":"33","author":[{"family":"Coleman","given":"Cathy"}],"issued":{"date-parts":[["2017",5]]}}}],"schema":"https://github.com/citation-style-language/schema/raw/master/csl-citation.json"} </w:instrText>
      </w:r>
      <w:r w:rsidRPr="00D74025">
        <w:rPr>
          <w:rFonts w:ascii="Arial" w:hAnsi="Arial" w:cs="Arial"/>
          <w:color w:val="000000" w:themeColor="text1"/>
          <w:vertAlign w:val="superscript"/>
        </w:rPr>
        <w:fldChar w:fldCharType="separate"/>
      </w:r>
      <w:r w:rsidR="000F4F53" w:rsidRPr="000F4F53">
        <w:rPr>
          <w:rFonts w:ascii="Arial" w:hAnsi="Arial" w:cs="Arial"/>
          <w:color w:val="000000"/>
          <w:vertAlign w:val="superscript"/>
        </w:rPr>
        <w:t>150</w:t>
      </w:r>
      <w:r w:rsidRPr="00D74025">
        <w:rPr>
          <w:rFonts w:ascii="Arial" w:hAnsi="Arial" w:cs="Arial"/>
          <w:color w:val="000000" w:themeColor="text1"/>
          <w:vertAlign w:val="superscript"/>
        </w:rPr>
        <w:fldChar w:fldCharType="end"/>
      </w:r>
      <w:r w:rsidRPr="00D74025">
        <w:rPr>
          <w:rFonts w:ascii="Arial" w:hAnsi="Arial" w:cs="Arial"/>
          <w:color w:val="000000" w:themeColor="text1"/>
        </w:rPr>
        <w:t>.</w:t>
      </w:r>
    </w:p>
    <w:p w14:paraId="61724999" w14:textId="1138A6D8" w:rsidR="00D210BD" w:rsidRPr="00D74025" w:rsidRDefault="00D210BD" w:rsidP="00D210BD">
      <w:pPr>
        <w:spacing w:before="240" w:line="360" w:lineRule="auto"/>
        <w:ind w:firstLine="1440"/>
        <w:jc w:val="both"/>
        <w:rPr>
          <w:rFonts w:ascii="Arial" w:hAnsi="Arial" w:cs="Arial"/>
          <w:color w:val="000000" w:themeColor="text1"/>
        </w:rPr>
      </w:pPr>
      <w:r w:rsidRPr="00D74025">
        <w:rPr>
          <w:rFonts w:ascii="Arial" w:hAnsi="Arial" w:cs="Arial"/>
          <w:color w:val="000000" w:themeColor="text1"/>
        </w:rPr>
        <w:t>Even though the percentage of women diagnosed with Stage IV BC is small, metastatic breast cancer is a substantial challenge because it is incurable for practically all the patients diagnosed at this stage. The purpose of the treatment is symptom palliation and to prolong life. The course of treatment is systemic therapies, either pre-operative or post-operative chemotherapy, and local therapies, such as surgery and radiation, are used for palliation</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{"citationID":"as9eo7ce97","properties":{"formattedCitation":"\\super 124\\nosupersub{}","plainCitation":"124","noteIndex":0},"citationItems":[{"id":298,"uris":["http://zotero.org/users/7661987/items/DWE4XKEX"],"itemData":{"id":298,"type":"article-journal","container-title":"JAMA","DOI":"10.1001/jama.2018.19323","ISSN":"0098-7484","issue":"3","journalAbbreviation":"JAMA","language":"en","page":"288","source":"DOI.org (Crossref)","title":"Breast Cancer Treatment: A Review","title-short":"Breast Cancer Treatment","volume":"321","author":[{"family":"Waks","given":"Adrienne G."},{"family":"Winer","given":"Eric P."}],"issued":{"date-parts":[["2019",1,22]]}}}],"schema":"https://github.com/citation-style-language/schema/raw/master/csl-citation.json"}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124</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3A6A28CB" w14:textId="45F08548" w:rsidR="00200DE2" w:rsidRPr="00D74025" w:rsidRDefault="00200DE2" w:rsidP="00200DE2">
      <w:pPr>
        <w:spacing w:before="240" w:line="360" w:lineRule="auto"/>
        <w:ind w:firstLine="1440"/>
        <w:jc w:val="both"/>
        <w:rPr>
          <w:rFonts w:ascii="Arial" w:hAnsi="Arial" w:cs="Arial"/>
          <w:color w:val="000000" w:themeColor="text1"/>
        </w:rPr>
      </w:pPr>
      <w:r w:rsidRPr="00D74025">
        <w:rPr>
          <w:rFonts w:ascii="Calibri" w:hAnsi="Calibri" w:cs="Calibri"/>
          <w:color w:val="000000" w:themeColor="text1"/>
        </w:rPr>
        <w:t>﻿</w:t>
      </w:r>
      <w:r w:rsidRPr="00D74025">
        <w:rPr>
          <w:rFonts w:ascii="Calibri" w:hAnsi="Calibri" w:cs="Calibri"/>
          <w:color w:val="000000" w:themeColor="text1"/>
          <w:sz w:val="20"/>
          <w:szCs w:val="20"/>
        </w:rPr>
        <w:t>﻿</w:t>
      </w:r>
      <w:r w:rsidRPr="00D74025">
        <w:rPr>
          <w:rFonts w:ascii="Arial" w:hAnsi="Arial" w:cs="Arial"/>
          <w:color w:val="000000" w:themeColor="text1"/>
        </w:rPr>
        <w:t>When the cancer cells lack the expression of either hormonal receptor or ErbB2 receptor, the cancer is classified as triple-negative breast cancer (TNBC)</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{"citationID":"a32t7f0le7","properties":{"formattedCitation":"\\super 129\\nosupersub{}","plainCitation":"129","noteIndex":0},"citationItems":[{"id":304,"uris":["http://zotero.org/users/7661987/items/ZJVG5KMT"],"itemData":{"id":304,"type":"article-journal","abstract":"Purpose Triple-negative breast cancer (TNBC) is a heterogeneous group of tumors comprising various breast cancers simply deﬁned by the absence of estrogen receptor, progesterone receptor and overexpression of human epidermal growth factor receptor 2 gene. In this review, we discuss the epidemiology, risk factors, clinical characteristics and prognostic variables of TNBC, and present the summary of recommended treatment strategies and all other available treatment options.","container-title":"Archives of Gynecology and Obstetrics","DOI":"10.1007/s00404-015-3859-y","ISSN":"0932-0067, 1432-0711","issue":"2","journalAbbreviation":"Arch Gynecol Obstet","language":"en","page":"247-269","source":"DOI.org (Crossref)","title":"An overview of triple-negative breast cancer","volume":"293","author":[{"family":"Kumar","given":"Pankaj"},{"family":"Aggarwal","given":"Rupali"}],"issued":{"date-parts":[["2016",2]]}}}],"schema":"https://github.com/citation-style-language/schema/raw/master/csl-citation.json"}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129</w:t>
      </w:r>
      <w:r w:rsidRPr="00D74025">
        <w:rPr>
          <w:rFonts w:ascii="Arial" w:hAnsi="Arial" w:cs="Arial"/>
          <w:color w:val="000000" w:themeColor="text1"/>
        </w:rPr>
        <w:fldChar w:fldCharType="end"/>
      </w:r>
      <w:r w:rsidRPr="00D74025">
        <w:rPr>
          <w:rFonts w:ascii="Arial" w:hAnsi="Arial" w:cs="Arial"/>
          <w:color w:val="000000" w:themeColor="text1"/>
        </w:rPr>
        <w:t xml:space="preserve">. Due to the absence of targeted treatments available for this subtype of cancer, the outcomes for patients are poorer compared to the other subtypes:  the </w:t>
      </w:r>
      <w:r w:rsidR="008B1170">
        <w:rPr>
          <w:rFonts w:ascii="Arial" w:hAnsi="Arial" w:cs="Arial"/>
          <w:color w:val="000000" w:themeColor="text1"/>
        </w:rPr>
        <w:t>5-</w:t>
      </w:r>
      <w:r w:rsidRPr="00D74025">
        <w:rPr>
          <w:rFonts w:ascii="Arial" w:hAnsi="Arial" w:cs="Arial"/>
          <w:color w:val="000000" w:themeColor="text1"/>
        </w:rPr>
        <w:t xml:space="preserve">year specific survival for HR+ErbB2- and HR-ErbB2+ are respectively greater than 99 and 95% for stage I, while for TNBC is 85%; for metastatic BC, median survival ranges from </w:t>
      </w:r>
      <w:r w:rsidR="008B1170">
        <w:rPr>
          <w:rFonts w:ascii="Arial" w:hAnsi="Arial" w:cs="Arial"/>
          <w:color w:val="000000" w:themeColor="text1"/>
        </w:rPr>
        <w:t>4</w:t>
      </w:r>
      <w:r w:rsidR="00CF5C2B">
        <w:rPr>
          <w:rFonts w:ascii="Arial" w:hAnsi="Arial" w:cs="Arial"/>
          <w:color w:val="000000" w:themeColor="text1"/>
        </w:rPr>
        <w:t xml:space="preserve"> to</w:t>
      </w:r>
      <w:r w:rsidR="008B1170">
        <w:rPr>
          <w:rFonts w:ascii="Arial" w:hAnsi="Arial" w:cs="Arial"/>
          <w:color w:val="000000" w:themeColor="text1"/>
        </w:rPr>
        <w:t xml:space="preserve"> 5</w:t>
      </w:r>
      <w:r w:rsidRPr="00D74025">
        <w:rPr>
          <w:rFonts w:ascii="Arial" w:hAnsi="Arial" w:cs="Arial"/>
          <w:color w:val="000000" w:themeColor="text1"/>
        </w:rPr>
        <w:t xml:space="preserve"> years for receptor-positive cancer, while it drastically decreases to 10-13 months for TNBC</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{"citationID":"a4f1jttmap","properties":{"formattedCitation":"\\super 151\\nosupersub{}","plainCitation":"151","noteIndex":0},"citationItems":[{"id":435,"uris":["http://zotero.org/users/7661987/items/M6QTPZ6R"],"itemData":{"id":435,"type":"article-journal","abstract":"Triple-negative breast cancer (TNBC), a specific subtype of breast cancer that does not express estrogen receptor (ER), progesterone receptor (PR), or human epidermal growth factor receptor 2 (HER-2), has clinical features that include high invasiveness, high metastatic potential, proneness to relapse, and poor prognosis. Because TNBC tumors lack ER, PR, and HER2 expression, they are not sensitive to endocrine therapy or HER2 treatment, and standardized TNBC treatment regimens are still lacking. Therefore, development of new TNBC treatment strategies has become an urgent clinical need. By summarizing existing treatment regimens, therapeutic drugs, and their efficacy for different TNBC subtypes and reviewing some new preclinical studies and targeted treatment regimens for TNBC, this paper aims to provide new ideas for TNBC treatment.","container-title":"Breast Cancer Research","DOI":"10.1186/s13058-020-01296-5","ISSN":"1465-542X","issue":"1","journalAbbreviation":"Breast Cancer Res","language":"en","page":"61","source":"DOI.org (Crossref)","title":"Triple-negative breast cancer molecular subtyping and treatment progress","volume":"22","author":[{"family":"Yin","given":"Li"},{"family":"Duan","given":"Jiang-Jie"},{"family":"Bian","given":"Xiu-Wu"},{"family":"Yu","given":"Shi-cang"}],"issued":{"date-parts":[["2020",12]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151</w:t>
      </w:r>
      <w:r w:rsidRPr="00D74025">
        <w:rPr>
          <w:rFonts w:ascii="Arial" w:hAnsi="Arial" w:cs="Arial"/>
          <w:color w:val="000000" w:themeColor="text1"/>
        </w:rPr>
        <w:fldChar w:fldCharType="end"/>
      </w:r>
      <w:r w:rsidRPr="00D74025">
        <w:rPr>
          <w:rFonts w:ascii="Arial" w:hAnsi="Arial" w:cs="Arial"/>
          <w:color w:val="000000" w:themeColor="text1"/>
        </w:rPr>
        <w:t xml:space="preserve">. </w:t>
      </w:r>
      <w:r w:rsidRPr="00D66636">
        <w:rPr>
          <w:rFonts w:ascii="Arial" w:hAnsi="Arial" w:cs="Arial"/>
          <w:color w:val="000000" w:themeColor="text1"/>
        </w:rPr>
        <w:t>In this work, we study a strategy for targeting and treating triple-negative breast cancer; thus, more attention will be given to it.</w:t>
      </w:r>
    </w:p>
    <w:p w14:paraId="4B53538C" w14:textId="1FE8C939" w:rsidR="00E44B2B" w:rsidRPr="00D74025" w:rsidRDefault="00E44B2B" w:rsidP="00E44B2B">
      <w:pPr>
        <w:spacing w:before="240" w:line="360" w:lineRule="auto"/>
        <w:jc w:val="both"/>
        <w:rPr>
          <w:rFonts w:ascii="Arial" w:hAnsi="Arial" w:cs="Arial"/>
          <w:color w:val="000000" w:themeColor="text1"/>
        </w:rPr>
      </w:pPr>
    </w:p>
    <w:p w14:paraId="3EB2A065" w14:textId="4F41A18A" w:rsidR="00791D13" w:rsidRPr="00D74025" w:rsidRDefault="00791D13" w:rsidP="00CF0CD5">
      <w:pPr>
        <w:pStyle w:val="Heading3"/>
        <w:spacing w:line="360" w:lineRule="auto"/>
        <w:ind w:firstLine="1440"/>
        <w:rPr>
          <w:rFonts w:ascii="Arial" w:hAnsi="Arial" w:cs="Arial"/>
          <w:b/>
          <w:bCs/>
          <w:color w:val="000000" w:themeColor="text1"/>
        </w:rPr>
      </w:pPr>
      <w:bookmarkStart w:id="35" w:name="_Toc87466640"/>
      <w:bookmarkStart w:id="36" w:name="_Toc121217232"/>
      <w:r w:rsidRPr="00D74025">
        <w:rPr>
          <w:rFonts w:ascii="Arial" w:hAnsi="Arial" w:cs="Arial"/>
          <w:b/>
          <w:bCs/>
          <w:color w:val="000000" w:themeColor="text1"/>
        </w:rPr>
        <w:t>1.3.</w:t>
      </w:r>
      <w:r w:rsidR="00A61218" w:rsidRPr="00D74025">
        <w:rPr>
          <w:rFonts w:ascii="Arial" w:hAnsi="Arial" w:cs="Arial"/>
          <w:b/>
          <w:bCs/>
          <w:color w:val="000000" w:themeColor="text1"/>
        </w:rPr>
        <w:t>5</w:t>
      </w:r>
      <w:r w:rsidRPr="00D74025">
        <w:rPr>
          <w:rFonts w:ascii="Arial" w:hAnsi="Arial" w:cs="Arial"/>
          <w:b/>
          <w:bCs/>
          <w:color w:val="000000" w:themeColor="text1"/>
        </w:rPr>
        <w:t xml:space="preserve"> Triple negative breast cancer</w:t>
      </w:r>
      <w:bookmarkEnd w:id="35"/>
      <w:bookmarkEnd w:id="36"/>
    </w:p>
    <w:p w14:paraId="117EC56D" w14:textId="302DC45E" w:rsidR="003F2CCF" w:rsidRPr="00D74025" w:rsidRDefault="003F2CCF" w:rsidP="003F2CCF">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The absence of targeting receptors expression characterizes triple-negative breast cancer (TNBC). It affects approximately 10 - 20% of the women diagnosed with breast cancer</w:t>
      </w:r>
      <w:r w:rsidRPr="00D74025">
        <w:rPr>
          <w:rFonts w:ascii="Arial" w:hAnsi="Arial" w:cs="Arial"/>
          <w:color w:val="000000" w:themeColor="text1"/>
        </w:rPr>
        <w:fldChar w:fldCharType="begin" w:fldLock="1"/>
      </w:r>
      <w:r w:rsidR="000F4F53">
        <w:rPr>
          <w:rFonts w:ascii="Arial" w:hAnsi="Arial" w:cs="Arial"/>
          <w:color w:val="000000" w:themeColor="text1"/>
        </w:rPr>
        <w:instrText xml:space="preserve"> ADDIN ZOTERO_ITEM CSL_CITATION {"citationID":"UfyE10Of","properties":{"formattedCitation":"\\super 152,153\\nosupersub{}","plainCitation":"152,153","noteIndex":0},"citationItems":[{"id":"a7Mi7BUu/br9rK94R","uris":["http://www.mendeley.com/documents/?uuid=39af4746-e5ca-4e47-a7dd-4d9a18eb3700"],"itemData":{"DOI":"10.3322/caac.21551","ISSN":"0007-9235","PMID":"30620402","abstract":"Each year, the American Cancer Society estimates the numbers of new cancer cases and deaths that will occur in the United States and compiles the most recent data on cancer incidence, mortality, and survival. Incidence data, available through 2015, were collected by the Surveillance, Epidemiology, and End Results Program; the National Program of Cancer Registries; and the North American Association of Central Cancer Registries. Mortality data, available through 2016, were collected by the National Center for Health Statistics. In 2019, 1,762,450 new cancer cases and 606,880 cancer deaths are projected to occur in the United States. Over the past decade of data, the cancer incidence rate (2006-2015) was stable in women and declined by approximately 2% per year in men, whereas the cancer death rate (2007-2016) declined annually by 1.4% and 1.8%, respectively. The overall cancer death rate dropped continuously from 1991 to 2016 by a total of 27%, translating into approximately 2,629,200 fewer cancer deaths than would have been expected if death rates had remained at their peak. Although the racial gap in cancer mortality is slowly narrowing, socioeconomic inequalities are widening, with the most notable gaps for the most preventable cancers. For example, compared with the most affluent counties, mortality rates in the poorest counties were 2-fold higher for cervical cancer and 40% higher for male lung and liver cancers during 2012-2016. Some states are home to both the wealthiest and the poorest counties, suggesting the opportunity for more equitable dissemination of effective cancer prevention, early detection, and treatment strategies. A broader application of existing cancer control knowledge with an emphasis on disadvantaged groups would undoubtedly accelerate progress against cancer.","author":[{"dropping-particle":"","family":"Siegel","given":"Rebecca L.","non-dropping-particle":"","parse-names":false,"suffix":""},{"dropping-particle":"","family":"Miller","given":"Kimberly D.","non-dropping-particle":"","parse-names":false,"suffix":""},{"dropping-particle":"","family":"Jemal","given":"Ahmedin","non-dropping-particle":"","parse-names":false,"suffix":""}],"container-title":"CA: A Cancer Journal for Clinicians","id":"ITEM-1","issue":"1","issued":{"date-parts":[["2019"]]},"page":"7-34","title":"Cancer statistics, 2019","type":"article-journal","volume":"69"}},{"id":"a7Mi7BUu/n4QJAxRy","uris":["http://www.mendeley.com/documents/?uuid=561800ab-cf3f-4abb-9487-0be94c286695"],"itemData":{"DOI":"10.1200/jop.2017.023333","ISSN":"1554-7477","abstract":"The SOS response of bacteria is a global regulatory network targeted at addressing DNA damage. Governed by the products of the lexA and recA genes, it co-ordinates a comprehensive response against DNA lesions and its description in Escherichia coli has stood for years as a textbook paradigm of stress-response systems in bacteria. In this paper we review the current state of research on the SOS response outside E. coli. By retracing research on the identification of multiple diverging LexA-binding motifs across the Bacteria Domain, we show how this work has led to the description of a minimum regulon core, but also of a heterogeneous collection of SOS regulatory networks that challenges many tenets of the E. coli model. We also review recent attempts at reconstructing the evolutionary history of the SOS network that have cast new light on the SOS response. Exploiting the newly gained knowledge on LexA-binding motifs and the tight association of LexA with a recently described mutagenesis cassette, these works put forward likely evolutionary scenarios for the SOS response, and we discuss their relevance on the ultimate nature of this stress-response system and the evolutionary pressures driving its evolution.","author":[{"dropping-particle":"","family":"Costa","given":"Ricardo L.B.","non-dropping-particle":"","parse-names":false,"suffix":""},{"dropping-particle":"","family":"Gradishar","given":"William J.","non-dropping-particle":"","parse-names":false,"suffix":""}],"container-title":"Journal of Oncology Practice","id":"ITEM-2","issue":"5","issued":{"date-parts":[["2017"]]},"page":"301-303","title":"Triple-Negative Breast Cancer: Current Practice and Future Directions","type":"article-journal","volume":"13"}}],"schema":"https://github.com/citation-style-language/schema/raw/master/csl-citation.json"}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152,153</w:t>
      </w:r>
      <w:r w:rsidRPr="00D74025">
        <w:rPr>
          <w:rFonts w:ascii="Arial" w:hAnsi="Arial" w:cs="Arial"/>
          <w:color w:val="000000" w:themeColor="text1"/>
        </w:rPr>
        <w:fldChar w:fldCharType="end"/>
      </w:r>
      <w:r w:rsidRPr="00D74025">
        <w:rPr>
          <w:rFonts w:ascii="Arial" w:hAnsi="Arial" w:cs="Arial"/>
          <w:color w:val="000000" w:themeColor="text1"/>
        </w:rPr>
        <w:t xml:space="preserve">. Early-stage TNBC presents about 37% death in the first </w:t>
      </w:r>
      <w:r w:rsidR="008B1170">
        <w:rPr>
          <w:rFonts w:ascii="Arial" w:hAnsi="Arial" w:cs="Arial"/>
          <w:color w:val="000000" w:themeColor="text1"/>
        </w:rPr>
        <w:t>5</w:t>
      </w:r>
      <w:r w:rsidRPr="00D74025">
        <w:rPr>
          <w:rFonts w:ascii="Arial" w:hAnsi="Arial" w:cs="Arial"/>
          <w:color w:val="000000" w:themeColor="text1"/>
        </w:rPr>
        <w:t xml:space="preserve"> years after surgery, and metastatic TNBC has short progression-free survival has a median of </w:t>
      </w:r>
      <w:r w:rsidR="00CF5C2B">
        <w:rPr>
          <w:rFonts w:ascii="Arial" w:hAnsi="Arial" w:cs="Arial"/>
          <w:color w:val="000000" w:themeColor="text1"/>
        </w:rPr>
        <w:t>3 to 4</w:t>
      </w:r>
      <w:r w:rsidRPr="00D74025">
        <w:rPr>
          <w:rFonts w:ascii="Arial" w:hAnsi="Arial" w:cs="Arial"/>
          <w:color w:val="000000" w:themeColor="text1"/>
        </w:rPr>
        <w:t xml:space="preserve"> months</w:t>
      </w:r>
      <w:r w:rsidRPr="00D74025">
        <w:rPr>
          <w:rFonts w:ascii="Arial" w:hAnsi="Arial" w:cs="Arial"/>
          <w:color w:val="000000" w:themeColor="text1"/>
        </w:rPr>
        <w:fldChar w:fldCharType="begin" w:fldLock="1"/>
      </w:r>
      <w:r w:rsidR="000F4F53">
        <w:rPr>
          <w:rFonts w:ascii="Arial" w:hAnsi="Arial" w:cs="Arial"/>
          <w:color w:val="000000" w:themeColor="text1"/>
        </w:rPr>
        <w:instrText xml:space="preserve"> ADDIN ZOTERO_ITEM CSL_CITATION {"citationID":"QB3ydZqj","properties":{"formattedCitation":"\\super 154\\uc0\\u8211{}157\\nosupersub{}","plainCitation":"154–157","noteIndex":0},"citationItems":[{"id":"a7Mi7BUu/oFKXl7D5","uris":["http://www.mendeley.com/documents/?uuid=1711d335-2214-420e-8294-1eaaf45f597d"],"itemData":{"DOI":"10.1001/jama.2017.19130","ISSN":"15383598","abstract":"IMPORTANCE Given recent advances in screening mammography and adjuvant therapy (treatment), quantifying their separate and combined effects on US breast cancer mortality reductions by molecular subtype could guide future decisions to reduce disease burden. OBJECTIVE To evaluate the contributions associated with screening and treatment to breast cancer mortality reductions by molecular subtype based on estrogen-receptor (ER) and human epidermal growth factor receptor 2 (ERBB2, formerly HER2 or HER2/neu). DESIGN, SETTING, AND PARTICIPANTS Six Cancer Intervention and Surveillance Network (CISNET) models simulated US breast cancer mortality from 2000 to 2012 using national data on plain-film and digital mammography patterns and performance, dissemination and efficacy of ER/ERBB2-specific treatment, and competing mortality. Multiple US birth cohorts were simulated. EXPOSURES Screening mammography and treatment. MAIN OUTCOMES AND MEASURES The models compared age-adjusted, overall, and ER/ERBB2-specific breast cancer mortality rates from 2000 to 2012 for women aged 30 to 79 years relative to the estimated mortality rate in the absence of screening and treatment (baseline rate); mortality reductions were apportioned to screening and treatment. RESULTS In 2000, the estimated reduction in overall breast cancer mortality rate was 37% (model range, 27%-42%) relative to the estimated baseline rate in 2000 of 64 deaths (model range, 56-73) per 100 000 women: 44% (model range, 35%-60%) of this reduction was associated with screening and 56% (model range, 40%-65%) with treatment. In 2012, the estimated reduction in overall breast cancer mortality rate was 49% (model range, 39%-58%) relative to the estimated baseline rate in 2012 of 63 deaths (model range, 54-73) per 100 000 women: 37% (model range, 26%-51%) of this reduction was associated with screening and 63% (model range, 49%-74%) with treatment. Of the 63% associated with treatment, 31% (model range, 22%-37%) was associated with chemotherapy, 27% (model range, 18%-36%) with hormone therapy, and 4% (model range, 1%-6%) with trastuzumab. The estimated relative contributions associated with screening vs treatment varied by molecular subtype: for ER+/ERBB2?, 36% (model range, 24%-50%) vs 64% (model range, 50%-76%); for ER+/ERBB2+, 31% (model range, 23%-41%) vs 69% (model range, 59%-77%); for ER?/ERBB2+, 40% (model range, 34%-47%) vs 60% (model range, 53%-66%); and for ER?/ERBB2?, 48% (model range, 38%-57%) vs 52% (mod…","author":[{"dropping-particle":"","family":"Plevritis","given":"Sylvia K.","non-dropping-particle":"","parse-names":false,"suffix":""},{"dropping-particle":"","family":"Munoz","given":"Diego","non-dropping-particle":"","parse-names":false,"suffix":""},{"dropping-particle":"","family":"Kurian","given":"Allison W.","non-dropping-particle":"","parse-names":false,"suffix":""},{"dropping-particle":"","family":"Stout","given":"Natasha K.","non-dropping-particle":"","parse-names":false,"suffix":""},{"dropping-particle":"","family":"Alagoz","given":"Oguzhan","non-dropping-particle":"","parse-names":false,"suffix":""},{"dropping-particle":"","family":"Near","given":"Aimee M.","non-dropping-particle":"","parse-names":false,"suffix":""},{"dropping-particle":"","family":"Lee","given":"Sandra J.","non-dropping-particle":"","parse-names":false,"suffix":""},{"dropping-particle":"","family":"Broek","given":"Jeroen J.","non-dropping-particle":"Van Den","parse-names":false,"suffix":""},{"dropping-particle":"","family":"Huang","given":"Xuelin","non-dropping-particle":"","parse-names":false,"suffix":""},{"dropping-particle":"","family":"Schechter","given":"Clyde B.","non-dropping-particle":"","parse-names":false,"suffix":""},{"dropping-particle":"","family":"Sprague","given":"Brian L.","non-dropping-particle":"","parse-names":false,"suffix":""},{"dropping-particle":"","family":"Song","given":"Juhee","non-dropping-particle":"","parse-names":false,"suffix":""},{"dropping-particle":"","family":"Koning","given":"Harry J.","non-dropping-particle":"De","parse-names":false,"suffix":""},{"dropping-particle":"","family":"Trentham-Dietz","given":"Amy","non-dropping-particle":"","parse-names":false,"suffix":""},{"dropping-particle":"","family":"Ravesteyn","given":"Nicolien T.","non-dropping-particle":"Van","parse-names":false,"suffix":""},{"dropping-particle":"","family":"Gangnon","given":"Ronald","non-dropping-particle":"","parse-names":false,"suffix":""},{"dropping-particle":"","family":"Chandler","given":"Young","non-dropping-particle":"","parse-names":false,"suffix":""},{"dropping-particle":"","family":"Li","given":"Yisheng","non-dropping-particle":"","parse-names":false,"suffix":""},{"dropping-particle":"","family":"Xu","given":"Cong","non-dropping-particle":"","parse-names":false,"suffix":""},{"dropping-particle":"","family":"Ali Ergun","given":"Mehmet","non-dropping-particle":"","parse-names":false,"suffix":""},{"dropping-particle":"","family":"Huang","given":"Hui","non-dropping-particle":"","parse-names":false,"suffix":""},{"dropping-particle":"","family":"Berry","given":"Donald A.","non-dropping-particle":"","parse-names":false,"suffix":""},{"dropping-particle":"","family":"Mandelblatt","given":"Jeanne S.","non-dropping-particle":"","parse-names":false,"suffix":""}],"container-title":"JAMA - Journal of the American Medical Association","id":"ITEM-1","issue":"2","issued":{"date-parts":[["2018"]]},"page":"154-164","title":"Association of screening and treatment with breast cancer mortality by molecular subtype in US women, 2000-2012","type":"article-journal","volume":"319"}},{"id":"a7Mi7BUu/FFzRWkak","uris":["http://www.mendeley.com/documents/?uuid=95fdf90d-216d-4251-997e-f55e1cadaee4"],"itemData":{"DOI":"10.1200/JCO.2005.02.6914","ISSN":"0732183X","abstract":"Purpose: To evaluate whether hormonal receptor (HR) status can influence the prognostic significance of pathologic complete response (pCR). Patients and Methods: This retrospective analysis included 1,731 patients with stage I to III noninflammatory breast cancer treated between 1988 and 2005 with primary chemotherapy (PC). Ninety-one percent of patients received anthracycline-based PC, and 66% received additional taxane therapy. pCR was defined as no evidence of invasive tumor in the breast and axillary lymph nodes. Results: Median age was 49 years (range, 19 to 83 years). Sixty-seven percent of patients (n = 1,163) had HR-positive tumors. A pCR was observed in 225 (13%) of 1,731 patients; pCR rates were 24% in HR-negative tumors and 8% in HR-positive tumors (P &lt; .001). A significant survival benefit for patients who achieved pCR compared with no pCR was observed regardless of HR status. In the HR-positive group, 5-year overall survival (OS) rates were 96.4% v 84.5% (P = .04) and 5-year progression-free survival (PFS) rates were 91.1% v 65.3% (P &lt; .0001) for patients with and without pCR, respectively. For the HR-negative group, 5-year OS rates were 83.9% v 67.4% (P = .003) and 5-year PFS rates were 83.4% v 50.0% (P &lt; .0001) for patients with and without pCR, respectively. After adjustment for adjuvant hormonal treatment, HR status, clinical stage, and nuclear grade, patients who achieved a pCR had 0.36 times the risk of death. Conclusion: pCR is associated with better outcome regardless of HR status in breast cancer patients who receive PC. © 2006 by American Society of Clinical Oncology.","author":[{"dropping-particle":"","family":"Guarneri","given":"Valentina","non-dropping-particle":"","parse-names":false,"suffix":""},{"dropping-particle":"","family":"Broglio","given":"Kristine","non-dropping-particle":"","parse-names":false,"suffix":""},{"dropping-particle":"","family":"Kau","given":"Shu Wan","non-dropping-particle":"","parse-names":false,"suffix":""},{"dropping-particle":"","family":"Cristofanilli","given":"Massimo","non-dropping-particle":"","parse-names":false,"suffix":""},{"dropping-particle":"","family":"Buzdar","given":"Aman U.","non-dropping-particle":"","parse-names":false,"suffix":""},{"dropping-particle":"","family":"Valero","given":"Vicente","non-dropping-particle":"","parse-names":false,"suffix":""},{"dropping-particle":"","family":"Buchholz","given":"Thomas","non-dropping-particle":"","parse-names":false,"suffix":""},{"dropping-particle":"","family":"Meric","given":"Funda","non-dropping-particle":"","parse-names":false,"suffix":""},{"dropping-particle":"","family":"Middleton","given":"Lavinia","non-dropping-particle":"","parse-names":false,"suffix":""},{"dropping-particle":"","family":"Hortobagyi","given":"Gabriel N.","non-dropping-particle":"","parse-names":false,"suffix":""},{"dropping-particle":"","family":"Gonzalez-Angulo","given":"Ana M.","non-dropping-particle":"","parse-names":false,"suffix":""}],"container-title":"Journal of Clinical Oncology","id":"ITEM-2","issue":"7","issued":{"date-parts":[["2006"]]},"page":"1037-1044","title":"Prognostic value of pathologic complete response after primary chemotherapy in relation to hormone receptor status and other factors","type":"article-journal","volume":"24"}},{"id":"a7Mi7BUu/w1O6iPiz","uris":["http://www.mendeley.com/documents/?uuid=8293f9ab-3d91-4a26-a9fd-0dcfd698e3a6"],"itemData":{"DOI":"10.1200/JCO.2007.14.4147","ISSN":"0732183X","abstract":"Purpose: Triple-negative breast cancer (TNBC) is defined by the lack of estrogen receptor (ER), progesterone receptor (PR), and human epidermal growth factor receptor 2 (HER-2) expression. In this study, we compared response to neoadjuvant chemotherapy and survival between patients with TNBC and non-TNBC. Patients and Methods: Analysis of a prospectively collected clinical database was performed. We included 1,118 patients who received neoadjuvant chemotherapy at M.D. Anderson Cancer Center for stage I-III breast cancer from 1985 to 2004 and for whom complete receptor information were available. Clinical and pathologic parameters, pathologic complete response rates (pCR), survival measurements, and organ-specific relapse rates were compared between patients with TNBC and non-TNBC. Results: Two hundred fifty-five patients (23%) had TNBC. Patients with TNBC compared with non-TNBC had significantly higher pCR rates (22% v 11%; P = .034), but decreased 3-year progression-free survival rates (P &lt; .0001) and 3-year overall survival (OS) rates (P &lt; .0001). TNBC was associated with increased risk for visceral metastases (P = .0005), lower risk for bone recurrence (P = .027), and shorter postrecurrence survival (P &lt; .0001). Recurrence and death rates were higher for TNBC only in the first 3 years. If pCR was achieved, patients with TNBC and non-TNBC had similar survival (P = .24). In contrast, patients with residual disease (RD) had worse OS if they had TNBC compared with non-TNBC (P &lt; .0001). Conclusion: Patients with TNBC have increased pCR rates compared with non-TNBC, and those with pCR have excellent survival. However, patients with RD after neoadjuvant chemotherapy have significantly worse survival if they have TNBC compared with non-TNBC, particularly in the first 3 years. © 2008 by American Society of Clinical Oncology.","author":[{"dropping-particle":"","family":"Liedtke","given":"Cornelia","non-dropping-particle":"","parse-names":false,"suffix":""},{"dropping-particle":"","family":"Mazouni","given":"Chafika","non-dropping-particle":"","parse-names":false,"suffix":""},{"dropping-particle":"","family":"Hess","given":"Kenneth R.","non-dropping-particle":"","parse-names":false,"suffix":""},{"dropping-particle":"","family":"André","given":"Fabrice","non-dropping-particle":"","parse-names":false,"suffix":""},{"dropping-particle":"","family":"Tordai","given":"Attila","non-dropping-particle":"","parse-names":false,"suffix":""},{"dropping-particle":"","family":"Mejia","given":"Jaime A.","non-dropping-particle":"","parse-names":false,"suffix":""},{"dropping-particle":"","family":"Symmans","given":"W. Fraser","non-dropping-particle":"","parse-names":false,"suffix":""},{"dropping-particle":"","family":"Gonzalez-Angulo","given":"Ana M.","non-dropping-particle":"","parse-names":false,"suffix":""},{"dropping-particle":"","family":"Hennessy","given":"Bryan","non-dropping-particle":"","parse-names":false,"suffix":""},{"dropping-particle":"","family":"Green","given":"Marjorie","non-dropping-particle":"","parse-names":false,"suffix":""},{"dropping-particle":"","family":"Cristofanilli","given":"Massimo","non-dropping-particle":"","parse-names":false,"suffix":""},{"dropping-particle":"","family":"Hortobagyi","given":"Gabriel N.","non-dropping-particle":"","parse-names":false,"suffix":""},{"dropping-particle":"","family":"Pusztai","given":"Lajos","non-dropping-particle":"","parse-names":false,"suffix":""}],"container-title":"Journal of Clinical Oncology","id":"ITEM-3","issue":"8","issued":{"date-parts":[["2008"]]},"page":"1275-1281","title":"Response to neoadjuvant therapy and long-term survival in patients with triple-negative breast cancer","type":"article-journal","volume":"26"}},{"id":"a7Mi7BUu/K96TEuGA","uris":["http://www.mendeley.com/documents/?uuid=f42bf032-1e52-4e7a-9461-c4c716ab828c"],"itemData":{"DOI":"10.2147/dddt.s97778","ISSN":"1177-8881","author":[{"dropping-particle":"","family":"Mustacchi","given":"Giorgio","non-dropping-particle":"","parse-names":false,"suffix":""},{"dropping-particle":"","family":"Laurentiis","given":"Michelino","non-dropping-particle":"De","parse-names":false,"suffix":""}],"container-title":"Drug Design, Development and Therapy","id":"ITEM-4","issued":{"date-parts":[["2015"]]},"page":"5669","title":"The role of taxanes in triple-negative breast cancer: literature review [Corrigendum]","type":"article-journal"}}],"schema":"https://github.com/citation-style-language/schema/raw/master/csl-citation.json"}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154–157</w:t>
      </w:r>
      <w:r w:rsidRPr="00D74025">
        <w:rPr>
          <w:rFonts w:ascii="Arial" w:hAnsi="Arial" w:cs="Arial"/>
          <w:color w:val="000000" w:themeColor="text1"/>
        </w:rPr>
        <w:fldChar w:fldCharType="end"/>
      </w:r>
      <w:r w:rsidRPr="00D74025">
        <w:rPr>
          <w:rFonts w:ascii="Arial" w:hAnsi="Arial" w:cs="Arial"/>
          <w:color w:val="000000" w:themeColor="text1"/>
        </w:rPr>
        <w:t>. Poor prognosis is strongly associated with the lack of targeted therapies. The limited options also increase the incidence of cancer recurrence in TNBC patients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{"citationID":"a2hrtfij35o","properties":{"formattedCitation":"\\super 151\\nosupersub{}","plainCitation":"151","noteIndex":0},"citationItems":[{"id":435,"uris":["http://zotero.org/users/7661987/items/M6QTPZ6R"],"itemData":{"id":435,"type":"article-journal","abstract":"Triple-negative breast cancer (TNBC), a specific subtype of breast cancer that does not express estrogen receptor (ER), progesterone receptor (PR), or human epidermal growth factor receptor 2 (HER-2), has clinical features that include high invasiveness, high metastatic potential, proneness to relapse, and poor prognosis. Because TNBC tumors lack ER, PR, and HER2 expression, they are not sensitive to endocrine therapy or HER2 treatment, and standardized TNBC treatment regimens are still lacking. Therefore, development of new TNBC treatment strategies has become an urgent clinical need. By summarizing existing treatment regimens, therapeutic drugs, and their efficacy for different TNBC subtypes and reviewing some new preclinical studies and targeted treatment regimens for TNBC, this paper aims to provide new ideas for TNBC treatment.","container-title":"Breast Cancer Research","DOI":"10.1186/s13058-020-01296-5","ISSN":"1465-542X","issue":"1","journalAbbreviation":"Breast Cancer Res","language":"en","page":"61","source":"DOI.org (Crossref)","title":"Triple-negative breast cancer molecular subtyping and treatment progress","volume":"22","author":[{"family":"Yin","given":"Li"},{"family":"Duan","given":"Jiang-Jie"},{"family":"Bian","given":"Xiu-Wu"},{"family":"Yu","given":"Shi-cang"}],"issued":{"date-parts":[["2020",12]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151</w:t>
      </w:r>
      <w:r w:rsidRPr="00D74025">
        <w:rPr>
          <w:rFonts w:ascii="Arial" w:hAnsi="Arial" w:cs="Arial"/>
          <w:color w:val="000000" w:themeColor="text1"/>
        </w:rPr>
        <w:fldChar w:fldCharType="end"/>
      </w:r>
      <w:r w:rsidRPr="00D74025">
        <w:rPr>
          <w:rFonts w:ascii="Arial" w:hAnsi="Arial" w:cs="Arial"/>
          <w:color w:val="000000" w:themeColor="text1"/>
        </w:rPr>
        <w:t>.</w:t>
      </w:r>
    </w:p>
    <w:p w14:paraId="75E13B95" w14:textId="5D6D2EF1" w:rsidR="004C3E8B" w:rsidRPr="00D74025" w:rsidRDefault="004C3E8B" w:rsidP="004C3E8B">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 xml:space="preserve">More specifically, the lack of molecular targets makes the endocrine and HER2 targeted therapies inefficacious against TNBC; thus, chemotherapy is the standard approach for its treatment. Using neoadjuvant (pre-operative) therapies generates a </w:t>
      </w:r>
      <w:r w:rsidRPr="00D74025">
        <w:rPr>
          <w:rFonts w:ascii="Arial" w:hAnsi="Arial" w:cs="Arial"/>
          <w:color w:val="000000" w:themeColor="text1"/>
        </w:rPr>
        <w:lastRenderedPageBreak/>
        <w:t xml:space="preserve">higher remission rate than ErbB2+ BC and significantly improves the prognosis. The recommended treatment regimen is </w:t>
      </w:r>
      <w:proofErr w:type="spellStart"/>
      <w:r w:rsidRPr="00D74025">
        <w:rPr>
          <w:rFonts w:ascii="Arial" w:hAnsi="Arial" w:cs="Arial"/>
          <w:color w:val="000000" w:themeColor="text1"/>
        </w:rPr>
        <w:t>taxanes</w:t>
      </w:r>
      <w:proofErr w:type="spellEnd"/>
      <w:r w:rsidRPr="00D74025">
        <w:rPr>
          <w:rFonts w:ascii="Arial" w:hAnsi="Arial" w:cs="Arial"/>
          <w:color w:val="000000" w:themeColor="text1"/>
        </w:rPr>
        <w:t>, anthracycline, cyclophosphamide, cisplatin, and fluorouracil. Many combinations are possible, and optimization of regimens is necessary for improved outcomes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{"citationID":"a1iurol54jb","properties":{"formattedCitation":"\\super 124,151\\nosupersub{}","plainCitation":"124,151","noteIndex":0},"citationItems":[{"id":298,"uris":["http://zotero.org/users/7661987/items/DWE4XKEX"],"itemData":{"id":298,"type":"article-journal","container-title":"JAMA","DOI":"10.1001/jama.2018.19323","ISSN":"0098-7484","issue":"3","journalAbbreviation":"JAMA","language":"en","page":"288","source":"DOI.org (Crossref)","title":"Breast Cancer Treatment: A Review","title-short":"Breast Cancer Treatment","volume":"321","author":[{"family":"Waks","given":"Adrienne G."},{"family":"Winer","given":"Eric P."}],"issued":{"date-parts":[["2019",1,22]]}}},{"id":435,"uris":["http://zotero.org/users/7661987/items/M6QTPZ6R"],"itemData":{"id":435,"type":"article-journal","abstract":"Triple-negative breast cancer (TNBC), a specific subtype of breast cancer that does not express estrogen receptor (ER), progesterone receptor (PR), or human epidermal growth factor receptor 2 (HER-2), has clinical features that include high invasiveness, high metastatic potential, proneness to relapse, and poor prognosis. Because TNBC tumors lack ER, PR, and HER2 expression, they are not sensitive to endocrine therapy or HER2 treatment, and standardized TNBC treatment regimens are still lacking. Therefore, development of new TNBC treatment strategies has become an urgent clinical need. By summarizing existing treatment regimens, therapeutic drugs, and their efficacy for different TNBC subtypes and reviewing some new preclinical studies and targeted treatment regimens for TNBC, this paper aims to provide new ideas for TNBC treatment.","container-title":"Breast Cancer Research","DOI":"10.1186/s13058-020-01296-5","ISSN":"1465-542X","issue":"1","journalAbbreviation":"Breast Cancer Res","language":"en","page":"61","source":"DOI.org (Crossref)","title":"Triple-negative breast cancer molecular subtyping and treatment progress","volume":"22","author":[{"family":"Yin","given":"Li"},{"family":"Duan","given":"Jiang-Jie"},{"family":"Bian","given":"Xiu-Wu"},{"family":"Yu","given":"Shi-cang"}],"issued":{"date-parts":[["2020",12]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124,151</w:t>
      </w:r>
      <w:r w:rsidRPr="00D74025">
        <w:rPr>
          <w:rFonts w:ascii="Arial" w:hAnsi="Arial" w:cs="Arial"/>
          <w:color w:val="000000" w:themeColor="text1"/>
        </w:rPr>
        <w:fldChar w:fldCharType="end"/>
      </w:r>
      <w:r w:rsidRPr="00D74025">
        <w:rPr>
          <w:rFonts w:ascii="Arial" w:hAnsi="Arial" w:cs="Arial"/>
          <w:color w:val="000000" w:themeColor="text1"/>
        </w:rPr>
        <w:t xml:space="preserve">. </w:t>
      </w:r>
      <w:proofErr w:type="spellStart"/>
      <w:r w:rsidRPr="00D74025">
        <w:rPr>
          <w:rFonts w:ascii="Arial" w:hAnsi="Arial" w:cs="Arial"/>
          <w:color w:val="000000" w:themeColor="text1"/>
        </w:rPr>
        <w:t>Taxanes</w:t>
      </w:r>
      <w:proofErr w:type="spellEnd"/>
      <w:r w:rsidRPr="00D74025">
        <w:rPr>
          <w:rFonts w:ascii="Arial" w:hAnsi="Arial" w:cs="Arial"/>
          <w:color w:val="000000" w:themeColor="text1"/>
        </w:rPr>
        <w:t xml:space="preserve"> and anthracyclines are very important for the treatment of TNBC. The addition of platinum agents increases complete pathological response (</w:t>
      </w:r>
      <w:proofErr w:type="spellStart"/>
      <w:r w:rsidRPr="00D74025">
        <w:rPr>
          <w:rFonts w:ascii="Arial" w:hAnsi="Arial" w:cs="Arial"/>
          <w:color w:val="000000" w:themeColor="text1"/>
        </w:rPr>
        <w:t>pCR</w:t>
      </w:r>
      <w:proofErr w:type="spellEnd"/>
      <w:r w:rsidRPr="00D74025">
        <w:rPr>
          <w:rFonts w:ascii="Arial" w:hAnsi="Arial" w:cs="Arial"/>
          <w:color w:val="000000" w:themeColor="text1"/>
        </w:rPr>
        <w:t>) but causes higher rates of hematological side effects and treatment discontinuation</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{"citationID":"aqg9130b32","properties":{"formattedCitation":"\\super 158\\nosupersub{}","plainCitation":"158","noteIndex":0},"citationItems":[{"id":264,"uris":["http://zotero.org/users/7661987/items/DJ77X77M"],"itemData":{"id":264,"type":"article-journal","abstract":"Background: The role of platinum-based neoadjuvant chemotherapy in triple-negative breast cancer (TNBC) patients is highly controversial and it is not endorsed by current guidelines. Our meta-analysis aimed to better elucidate its activity, efficacy and safety. Material and methods: A systematic search of Medline, Web of Science and conferences proceedings up to 30 October 2017 was carried out to identify randomized controlled trials (RCTs) investigating platinum-based versus platinum-free neoadjuvant chemotherapy in TNBC patients. Using the fixed and random effects models, pooled odds ratios (ORs) and hazard ratios (HRs) with 95% confidence intervals (CI) were calculated for pathological complete response (pCR, defined as ypT0/is pN0), event-free survival (EFS), overall survival (OS) and grade 3 and 4 adverse events (AEs: neutropenia, anemia, thrombocytopenia and neuropathy).\nResults: Nine RCTs (N ¼ 2109) were included. Overall, platinum-based neoadjuvant chemotherapy significantly increased pCR rate from 37.0% to 52.1% (OR 1.96, 95% CI 1.46–2.62, P &lt; 0.001). Platinum-based neoadjuvant chemotherapy remained significantly associated with increased pCR rate also after restricting the analysis to the three RCTs (N ¼ 611) that used the same standard regimen in both groups of weekly paclitaxel (with or without carboplatin) followed by anthracycline and cyclophosphamide (OR 2.53, 95% CI 1.37–4.66, P ¼ 0.003). Conversely, among the 96 BRCA-mutated patients included in two RCTs, the addition of carboplatin was not associated with significantly increased pCR rate (OR 1.17, 95% CI 0.51–2.67, P ¼ 0.711). Two RCTs (N ¼ 748) reported survival outcomes: no significant difference in EFS (HR 0.72, 95% CI 0.49–1.06, P ¼ 0.094) and OS (HR 0.86, 95% CI 0.46–1.63, P ¼ 0.651) was observed. A significant higher risk of grade 3 and 4 hematological AEs, with no increased risk of grade 3 and 4 neuropathy was observed with platinum-based neoadjuvant chemotherapy.\nConclusion: In TNBC patients, platinum-based neoadjuvant chemotherapy is associated with significantly increased pCR rates at the cost of worse hematological toxicities. Platinum-based neoadjuvant chemotherapy may be considered an option in TNBC patients.","container-title":"Annals of Oncology","DOI":"10.1093/annonc/mdy127","ISSN":"09237534","issue":"7","journalAbbreviation":"Annals of Oncology","language":"en","page":"1497-1508","source":"DOI.org (Crossref)","title":"Platinum-based neoadjuvant chemotherapy in triple-negative breast cancer: a systematic review and meta-analysis","title-short":"Platinum-based neoadjuvant chemotherapy in triple-negative breast cancer","volume":"29","author":[{"family":"Poggio","given":"F."},{"family":"Bruzzone","given":"M."},{"family":"Ceppi","given":"M."},{"family":"Pondé","given":"N.F."},{"family":"La Valle","given":"G."},{"family":"Del Mastro","given":"L."},{"family":"Azambuja","given":"E.","non-dropping-particle":"de"},{"family":"Lambertini","given":"M."}],"issued":{"date-parts":[["2018",7]]}}}],"schema":"https://github.com/citation-style-language/schema/raw/master/csl-citation.json"}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158</w:t>
      </w:r>
      <w:r w:rsidRPr="00D74025">
        <w:rPr>
          <w:rFonts w:ascii="Arial" w:hAnsi="Arial" w:cs="Arial"/>
          <w:color w:val="000000" w:themeColor="text1"/>
        </w:rPr>
        <w:fldChar w:fldCharType="end"/>
      </w:r>
      <w:r w:rsidRPr="00D74025">
        <w:rPr>
          <w:rFonts w:ascii="Arial" w:hAnsi="Arial" w:cs="Arial"/>
          <w:color w:val="000000" w:themeColor="text1"/>
        </w:rPr>
        <w:t>. Patients with germline BRCA1/2 mutation (accounting for 10% of TNBC) are usually more sensitive to platinum-based agents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{"citationID":"a1avjgo3cuv","properties":{"formattedCitation":"\\super 159\\nosupersub{}","plainCitation":"159","noteIndex":0},"citationItems":[{"id":260,"uris":["http://zotero.org/users/7661987/items/KQWU7C4X"],"itemData":{"id":260,"type":"article-journal","abstract":"BRCA1 and BRCA2 germline mutation–associated breast cancers are known to be deficient in the process of homologous recombination and often respond favorably to drugs targeting this important DNA repair pathway. There is emerging evidence that a significant proportion of patients with BRCA1/ BRCA2 wild-type breast cancer are also deficient in homologous recombination, and it is hypothesized that these patients may derive similar benefit from drugs targeting this pathway. Current research has focused on the development of a companion diagnostic to identify these sporadic BRCA-like tumors. This review outlines the various approaches that researchers have taken to predict homologous recombination deficiency as part of correlative biomarker work in various studies and clinical trials in breast cancer. As some of these tests of homologous recombination deficiency move closer to clinical use, understanding the approach and limitations of each is of relevance to clinicians who treat patients with breast cancer.","container-title":"JCO Precision Oncology","DOI":"10.1200/PO.16.00031","ISSN":"2473-4284","issue":"1","journalAbbreviation":"JCO Precision Oncology","language":"en","page":"1-13","source":"DOI.org (Crossref)","title":"Homologous Recombination Deficiency in Breast Cancer: A Clinical Review","title-short":"Homologous Recombination Deficiency in Breast Cancer","author":[{"family":"Brok","given":"Wendie D.","non-dropping-particle":"den"},{"family":"Schrader","given":"Kasmintan A."},{"family":"Sun","given":"Sophie"},{"family":"Tinker","given":"Anna V."},{"family":"Zhao","given":"Eric Yang"},{"family":"Aparicio","given":"Samuel"},{"family":"Gelmon","given":"Karen A."}],"issued":{"date-parts":[["2017",11]]}}}],"schema":"https://github.com/citation-style-language/schema/raw/master/csl-citation.json"}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159</w:t>
      </w:r>
      <w:r w:rsidRPr="00D74025">
        <w:rPr>
          <w:rFonts w:ascii="Arial" w:hAnsi="Arial" w:cs="Arial"/>
          <w:color w:val="000000" w:themeColor="text1"/>
        </w:rPr>
        <w:fldChar w:fldCharType="end"/>
      </w:r>
      <w:r w:rsidRPr="00D74025">
        <w:rPr>
          <w:rFonts w:ascii="Arial" w:hAnsi="Arial" w:cs="Arial"/>
          <w:color w:val="000000" w:themeColor="text1"/>
        </w:rPr>
        <w:t>. Ironically, TNBC has a higher response to chemotherapy than the other BC types, but it has not resulted in a better prognosis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{"citationID":"a2buabs7sov","properties":{"formattedCitation":"\\super 160\\nosupersub{}","plainCitation":"160","noteIndex":0},"citationItems":[{"id":267,"uris":["http://zotero.org/users/7661987/items/IFS7YCVL"],"itemData":{"id":267,"type":"article-journal","abstract":"Chemotherapy is the primary established systemic treatment for patients with triple-negative breast cancer (TNBC) in both the early and advanced-stages of the disease. The lack of targeted therapies and the poor prognosis of patients with TNBC have fostered a major effort to discover actionable molecular targets to treat patients with these tumours. Massively parallel sequencing and other ‘omics’ technologies have revealed an unexpected level of heterogeneity of TNBCs and have led to the identification of potentially actionable molecular features in some TNBCs, such as germline BRCA1/2 mutations or ‘BRCAness’, the presence of the androgen receptor, and several rare genomic alterations. Whether these alterations are molecular ‘drivers’, however, has not been clearly established. A subgroup of TNBCs shows a high degree of tumour-infiltrating lymphocytes that also correlates with a lower risk of disease relapse and a higher likelihood of benefit from chemotherapy. Proof</w:instrText>
      </w:r>
      <w:r w:rsidR="000F4F53">
        <w:rPr>
          <w:rFonts w:ascii="Cambria Math" w:hAnsi="Cambria Math" w:cs="Cambria Math"/>
          <w:color w:val="000000" w:themeColor="text1"/>
        </w:rPr>
        <w:instrText>‑</w:instrText>
      </w:r>
      <w:r w:rsidR="000F4F53">
        <w:rPr>
          <w:rFonts w:ascii="Arial" w:hAnsi="Arial" w:cs="Arial"/>
          <w:color w:val="000000" w:themeColor="text1"/>
        </w:rPr>
        <w:instrText>of</w:instrText>
      </w:r>
      <w:r w:rsidR="000F4F53">
        <w:rPr>
          <w:rFonts w:ascii="Cambria Math" w:hAnsi="Cambria Math" w:cs="Cambria Math"/>
          <w:color w:val="000000" w:themeColor="text1"/>
        </w:rPr>
        <w:instrText>‑</w:instrText>
      </w:r>
      <w:r w:rsidR="000F4F53">
        <w:rPr>
          <w:rFonts w:ascii="Arial" w:hAnsi="Arial" w:cs="Arial"/>
          <w:color w:val="000000" w:themeColor="text1"/>
        </w:rPr>
        <w:instrText xml:space="preserve">principle studies with immune-checkpoint inhibitors in advanced-stage TNBC have yielded promising results, indicating the potential benefit of immunotherapy for patients with TNBC. In this Review, we discuss the most relevant molecular findings in TNBC from the past decade and the most promising therapeutic opportunities derived from these data.","container-title":"Nature Reviews Clinical Oncology","DOI":"10.1038/nrclinonc.2016.66","ISSN":"1759-4774, 1759-4782","issue":"11","journalAbbreviation":"Nat Rev Clin Oncol","language":"en","page":"674-690","source":"DOI.org (Crossref)","title":"Triple-negative breast cancer: challenges and opportunities of a heterogeneous disease","title-short":"Triple-negative breast cancer","volume":"13","author":[{"family":"Bianchini","given":"Giampaolo"},{"family":"Balko","given":"Justin M."},{"family":"Mayer","given":"Ingrid A."},{"family":"Sanders","given":"Melinda E."},{"family":"Gianni","given":"Luca"}],"issued":{"date-parts":[["2016",11]]}}}],"schema":"https://github.com/citation-style-language/schema/raw/master/csl-citation.json"}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160</w:t>
      </w:r>
      <w:r w:rsidRPr="00D74025">
        <w:rPr>
          <w:rFonts w:ascii="Arial" w:hAnsi="Arial" w:cs="Arial"/>
          <w:color w:val="000000" w:themeColor="text1"/>
        </w:rPr>
        <w:fldChar w:fldCharType="end"/>
      </w:r>
      <w:r w:rsidRPr="00D74025">
        <w:rPr>
          <w:rFonts w:ascii="Arial" w:hAnsi="Arial" w:cs="Arial"/>
          <w:color w:val="000000" w:themeColor="text1"/>
        </w:rPr>
        <w:t>.</w:t>
      </w:r>
    </w:p>
    <w:p w14:paraId="17E253A6" w14:textId="41886A36" w:rsidR="00733B30" w:rsidRPr="00D74025" w:rsidRDefault="00733B30" w:rsidP="00733B30">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Clinical trials have been designed to improve TNBC patients' outcomes using combination chemotherapy. The improved response rates correlated to increased toxicity and did not increase patient survival. Sequential single-agent chemotherapy is recommended for metastatic TNBC (</w:t>
      </w:r>
      <w:proofErr w:type="spellStart"/>
      <w:r w:rsidRPr="00D74025">
        <w:rPr>
          <w:rFonts w:ascii="Arial" w:hAnsi="Arial" w:cs="Arial"/>
          <w:color w:val="000000" w:themeColor="text1"/>
        </w:rPr>
        <w:t>mTNBC</w:t>
      </w:r>
      <w:proofErr w:type="spellEnd"/>
      <w:r w:rsidRPr="00D74025">
        <w:rPr>
          <w:rFonts w:ascii="Arial" w:hAnsi="Arial" w:cs="Arial"/>
          <w:color w:val="000000" w:themeColor="text1"/>
        </w:rPr>
        <w:t xml:space="preserve">) due to the increased toxicity of combined </w:t>
      </w:r>
      <w:r w:rsidR="00CD50E1">
        <w:rPr>
          <w:rFonts w:ascii="Arial" w:hAnsi="Arial" w:cs="Arial"/>
          <w:color w:val="000000" w:themeColor="text1"/>
        </w:rPr>
        <w:t>chemo</w:t>
      </w:r>
      <w:r w:rsidRPr="00D74025">
        <w:rPr>
          <w:rFonts w:ascii="Arial" w:hAnsi="Arial" w:cs="Arial"/>
          <w:color w:val="000000" w:themeColor="text1"/>
        </w:rPr>
        <w:t>therapy</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{"citationID":"a9d0nor96s","properties":{"formattedCitation":"\\super 161\\nosupersub{}","plainCitation":"161","noteIndex":0},"citationItems":[{"id":261,"uris":["http://zotero.org/users/7661987/items/AFWQ8MD2"],"itemData":{"id":261,"type":"article-journal","abstract":"Purpose To identify optimal chemo- and targeted therapy for women with human epidermal growth factor 2 (HER2)– negative (or unknown) advanced breast cancer. Methods A systematic review of randomized evidence (including systematic reviews and meta-analyses) from 1993 through to current was completed. Outcomes of interest included survival, progressionfree survival, response, quality of life, and adverse effects. Guideline recommendations were evidence based and were agreed on by the Expert Panel via consensus.","container-title":"Journal of Clinical Oncology","DOI":"10.1200/JCO.2014.56.7479","ISSN":"0732-183X, 1527-7755","issue":"29","journalAbbreviation":"JCO","language":"en","page":"3307-3329","source":"DOI.org (Crossref)","title":"Chemotherapy and Targeted Therapy for Women With Human Epidermal Growth Factor Receptor 2–Negative (or unknown) Advanced Breast Cancer: American Society of Clinical Oncology Clinical Practice Guideline","title-short":"Chemotherapy and Targeted Therapy for Women With Human Epidermal Growth Factor Receptor 2–Negative (or unknown) Advanced Breast Cancer","volume":"32","author":[{"family":"Partridge","given":"Ann H."},{"family":"Rumble","given":"R. Bryan"},{"family":"Come","given":"Steven E."},{"family":"Davidson","given":"Nancy E."},{"family":"Di Leo","given":"Angelo"},{"family":"Gralow","given":"Julie"},{"family":"Hortobagyi","given":"Gabriel N."},{"family":"Moy","given":"Beverly"},{"family":"Yee","given":"Douglas"},{"family":"Brundage","given":"Shelley B."},{"family":"Danso","given":"Michael A."},{"family":"Wilcox","given":"Maggie"},{"family":"Smith","given":"Ian E."}],"issued":{"date-parts":[["2014",10,10]]}}}],"schema":"https://github.com/citation-style-language/schema/raw/master/csl-citation.json"}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161</w:t>
      </w:r>
      <w:r w:rsidRPr="00D74025">
        <w:rPr>
          <w:rFonts w:ascii="Arial" w:hAnsi="Arial" w:cs="Arial"/>
          <w:color w:val="000000" w:themeColor="text1"/>
        </w:rPr>
        <w:fldChar w:fldCharType="end"/>
      </w:r>
      <w:r w:rsidRPr="00D74025">
        <w:rPr>
          <w:rFonts w:ascii="Arial" w:hAnsi="Arial" w:cs="Arial"/>
          <w:color w:val="000000" w:themeColor="text1"/>
        </w:rPr>
        <w:t>.</w:t>
      </w:r>
      <w:r w:rsidR="00590BE0">
        <w:rPr>
          <w:rFonts w:ascii="Arial" w:hAnsi="Arial" w:cs="Arial"/>
          <w:color w:val="000000" w:themeColor="text1"/>
        </w:rPr>
        <w:t xml:space="preserve"> </w:t>
      </w:r>
      <w:r w:rsidR="002A1F8B" w:rsidRPr="002A1F8B">
        <w:rPr>
          <w:rFonts w:ascii="Arial" w:hAnsi="Arial" w:cs="Arial"/>
          <w:color w:val="000000" w:themeColor="text1"/>
        </w:rPr>
        <w:t xml:space="preserve">Conversely, in this work, it will be shown that a combination of different treatment strategies induced better outcomes in </w:t>
      </w:r>
      <w:proofErr w:type="spellStart"/>
      <w:r w:rsidR="00590BE0">
        <w:rPr>
          <w:rFonts w:ascii="Arial" w:hAnsi="Arial" w:cs="Arial"/>
          <w:color w:val="000000" w:themeColor="text1"/>
        </w:rPr>
        <w:t>m</w:t>
      </w:r>
      <w:r w:rsidR="002A1F8B" w:rsidRPr="002A1F8B">
        <w:rPr>
          <w:rFonts w:ascii="Arial" w:hAnsi="Arial" w:cs="Arial"/>
          <w:color w:val="000000" w:themeColor="text1"/>
        </w:rPr>
        <w:t>TNBC</w:t>
      </w:r>
      <w:proofErr w:type="spellEnd"/>
      <w:r w:rsidR="002A1F8B" w:rsidRPr="002A1F8B">
        <w:rPr>
          <w:rFonts w:ascii="Arial" w:hAnsi="Arial" w:cs="Arial"/>
          <w:color w:val="000000" w:themeColor="text1"/>
        </w:rPr>
        <w:t xml:space="preserve"> murine tumor model without signs of increased toxicity</w:t>
      </w:r>
      <w:r w:rsidR="00590BE0">
        <w:rPr>
          <w:rFonts w:ascii="Arial" w:hAnsi="Arial" w:cs="Arial"/>
          <w:color w:val="000000" w:themeColor="text1"/>
        </w:rPr>
        <w:t>.</w:t>
      </w:r>
    </w:p>
    <w:p w14:paraId="643E27D8" w14:textId="7879F901" w:rsidR="00C21163" w:rsidRPr="00D74025" w:rsidRDefault="00C21163" w:rsidP="00C21163">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 xml:space="preserve">Even though TNBC is commonly contemplated as a single disease, molecular profiling of patient samples shows that this cancer subtype is highly heterogeneous. TNBC is usually treated uniformly across different sets of patients. One of the attempts to subdivide TNBC and encourage the development of more precise therapies was made by Lehmann </w:t>
      </w:r>
      <w:r w:rsidRPr="0092268E">
        <w:rPr>
          <w:rFonts w:ascii="Arial" w:hAnsi="Arial" w:cs="Arial"/>
          <w:i/>
          <w:iCs/>
          <w:color w:val="000000" w:themeColor="text1"/>
        </w:rPr>
        <w:t>et al</w:t>
      </w:r>
      <w:r w:rsidRPr="00D74025">
        <w:rPr>
          <w:rFonts w:ascii="Arial" w:hAnsi="Arial" w:cs="Arial"/>
          <w:color w:val="000000" w:themeColor="text1"/>
        </w:rPr>
        <w:t>.</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{"citationID":"aktj3p1675","properties":{"formattedCitation":"\\super 162\\nosupersub{}","plainCitation":"162","noteIndex":0},"citationItems":[{"id":268,"uris":["http://zotero.org/users/7661987/items/3VKLITLM"],"itemData":{"id":268,"type":"article-journal","container-title":"Journal of Clinical Investigation","DOI":"10.1172/JCI45014","ISSN":"0021-9738","issue":"7","journalAbbreviation":"J. Clin. Invest.","language":"en","page":"2750-2767","source":"DOI.org (Crossref)","title":"Identification of human triple-negative breast cancer subtypes and preclinical models for selection of targeted therapies","volume":"121","author":[{"family":"Lehmann","given":"Brian D."},{"family":"Bauer","given":"Joshua A."},{"family":"Chen","given":"Xi"},{"family":"Sanders","given":"Melinda E."},{"family":"Chakravarthy","given":"A. Bapsi"},{"family":"Shyr","given":"Yu"},{"family":"Pietenpol","given":"Jennifer A."}],"issued":{"date-parts":[["2011",7,1]]}}}],"schema":"https://github.com/citation-style-language/schema/raw/master/csl-citation.json"}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162</w:t>
      </w:r>
      <w:r w:rsidRPr="00D74025">
        <w:rPr>
          <w:rFonts w:ascii="Arial" w:hAnsi="Arial" w:cs="Arial"/>
          <w:color w:val="000000" w:themeColor="text1"/>
        </w:rPr>
        <w:fldChar w:fldCharType="end"/>
      </w:r>
      <w:r w:rsidRPr="00D74025">
        <w:rPr>
          <w:rFonts w:ascii="Arial" w:hAnsi="Arial" w:cs="Arial"/>
          <w:color w:val="000000" w:themeColor="text1"/>
        </w:rPr>
        <w:t>, based on gene expression profiling subtyping. It identified six subtypes based on the analysis of 587 TNBC patients: basal-like 1, basal-like 2, mesenchymal (M), mesenchymal stem-like (MSL), immunomodulatory (IM), and luminal androgen receptor (LAR). This subdivision helps guide the clinical treatment of TNBC by correlating targeted therapies to responsiveness.</w:t>
      </w:r>
    </w:p>
    <w:p w14:paraId="37743F64" w14:textId="2A7FB2FF" w:rsidR="00E66061" w:rsidRPr="00D74025" w:rsidRDefault="00E66061" w:rsidP="00E66061">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 xml:space="preserve">According to this subclassification, the high expression of some genes guided a more personalized approach in the adoption of targeted treatment: </w:t>
      </w:r>
      <w:r w:rsidRPr="00D74025">
        <w:rPr>
          <w:rFonts w:ascii="Arial" w:hAnsi="Arial" w:cs="Arial"/>
          <w:color w:val="000000" w:themeColor="text1"/>
          <w:u w:val="single"/>
        </w:rPr>
        <w:t>BL1 subtype</w:t>
      </w:r>
      <w:r w:rsidRPr="00D74025">
        <w:rPr>
          <w:rFonts w:ascii="Arial" w:hAnsi="Arial" w:cs="Arial"/>
          <w:color w:val="000000" w:themeColor="text1"/>
        </w:rPr>
        <w:t xml:space="preserve"> is correlated to DNA repair and cell-cycle-related genes. BRCA 2 mutation is part of this subset. Possible treatment options are poly (ADP-ribose) polymerase (PARP) inhibitors. Both BL1 and BL2 may be targeted by mTOR inhibitors and growth factor inhibitors, such </w:t>
      </w:r>
      <w:r w:rsidRPr="00D74025">
        <w:rPr>
          <w:rFonts w:ascii="Arial" w:hAnsi="Arial" w:cs="Arial"/>
          <w:color w:val="000000" w:themeColor="text1"/>
        </w:rPr>
        <w:lastRenderedPageBreak/>
        <w:t xml:space="preserve">as lapatinib, gefitinib, and cetuximab. </w:t>
      </w:r>
      <w:r w:rsidRPr="00EE0C38">
        <w:rPr>
          <w:rFonts w:ascii="Arial" w:hAnsi="Arial" w:cs="Arial"/>
          <w:color w:val="000000" w:themeColor="text1"/>
          <w:u w:val="single"/>
        </w:rPr>
        <w:t>BL1</w:t>
      </w:r>
      <w:r w:rsidRPr="00D74025">
        <w:rPr>
          <w:rFonts w:ascii="Arial" w:hAnsi="Arial" w:cs="Arial"/>
          <w:color w:val="000000" w:themeColor="text1"/>
        </w:rPr>
        <w:t xml:space="preserve"> patients are usually very responsive to cisplatin treatment as well. </w:t>
      </w:r>
      <w:r w:rsidRPr="00D74025">
        <w:rPr>
          <w:rFonts w:ascii="Arial" w:hAnsi="Arial" w:cs="Arial"/>
          <w:color w:val="000000" w:themeColor="text1"/>
          <w:u w:val="single"/>
        </w:rPr>
        <w:t>M subtype</w:t>
      </w:r>
      <w:r w:rsidRPr="00D74025">
        <w:rPr>
          <w:rFonts w:ascii="Arial" w:hAnsi="Arial" w:cs="Arial"/>
          <w:color w:val="000000" w:themeColor="text1"/>
        </w:rPr>
        <w:t xml:space="preserve"> is related to high activation of cell-migration-related signaling pathways and differentiation pathways. They are prone to chemotherapy resistance and are treated with mTOR inhibitors and drugs targeting </w:t>
      </w:r>
      <w:r w:rsidRPr="00D66636">
        <w:rPr>
          <w:rFonts w:ascii="Arial" w:hAnsi="Arial" w:cs="Arial"/>
          <w:color w:val="000000" w:themeColor="text1"/>
        </w:rPr>
        <w:t>epithelial-mesenchymal transition.</w:t>
      </w:r>
      <w:r w:rsidRPr="00D74025">
        <w:rPr>
          <w:rFonts w:ascii="Arial" w:hAnsi="Arial" w:cs="Arial"/>
          <w:color w:val="000000" w:themeColor="text1"/>
        </w:rPr>
        <w:t xml:space="preserve"> </w:t>
      </w:r>
      <w:r w:rsidRPr="00D74025">
        <w:rPr>
          <w:rFonts w:ascii="Arial" w:hAnsi="Arial" w:cs="Arial"/>
          <w:color w:val="000000" w:themeColor="text1"/>
          <w:u w:val="single"/>
        </w:rPr>
        <w:t>MSL subtype</w:t>
      </w:r>
      <w:r w:rsidRPr="00D74025">
        <w:rPr>
          <w:rFonts w:ascii="Arial" w:hAnsi="Arial" w:cs="Arial"/>
          <w:color w:val="000000" w:themeColor="text1"/>
        </w:rPr>
        <w:t xml:space="preserve"> is correlated to high levels of stemness-related genes, HOX genes, and mesenchymal stem cell-specific markers. PI3K inhibitors, </w:t>
      </w:r>
      <w:proofErr w:type="spellStart"/>
      <w:r w:rsidRPr="00D74025">
        <w:rPr>
          <w:rFonts w:ascii="Arial" w:hAnsi="Arial" w:cs="Arial"/>
          <w:color w:val="000000" w:themeColor="text1"/>
        </w:rPr>
        <w:t>Src</w:t>
      </w:r>
      <w:proofErr w:type="spellEnd"/>
      <w:r w:rsidRPr="00D74025">
        <w:rPr>
          <w:rFonts w:ascii="Arial" w:hAnsi="Arial" w:cs="Arial"/>
          <w:color w:val="000000" w:themeColor="text1"/>
        </w:rPr>
        <w:t xml:space="preserve"> antagonists, and antiangiogenic drugs are potential treatment options for both M and MSL subtypes. </w:t>
      </w:r>
      <w:r w:rsidRPr="00D74025">
        <w:rPr>
          <w:rFonts w:ascii="Arial" w:hAnsi="Arial" w:cs="Arial"/>
          <w:color w:val="000000" w:themeColor="text1"/>
          <w:u w:val="single"/>
        </w:rPr>
        <w:t>IM subtype</w:t>
      </w:r>
      <w:r w:rsidRPr="00D74025">
        <w:rPr>
          <w:rFonts w:ascii="Arial" w:hAnsi="Arial" w:cs="Arial"/>
          <w:color w:val="000000" w:themeColor="text1"/>
        </w:rPr>
        <w:t xml:space="preserve"> highly expresses immune-cell-associated genes. Immune checkpoint inhibitors are recommended for this subtype. Although the </w:t>
      </w:r>
      <w:r w:rsidRPr="00D74025">
        <w:rPr>
          <w:rFonts w:ascii="Arial" w:hAnsi="Arial" w:cs="Arial"/>
          <w:color w:val="000000" w:themeColor="text1"/>
          <w:u w:val="single"/>
        </w:rPr>
        <w:t>LAR subtype</w:t>
      </w:r>
      <w:r w:rsidRPr="00D74025">
        <w:rPr>
          <w:rFonts w:ascii="Arial" w:hAnsi="Arial" w:cs="Arial"/>
          <w:color w:val="000000" w:themeColor="text1"/>
        </w:rPr>
        <w:t xml:space="preserve"> does not express ER/PR receptors (as for being TNBC), it has hormonal-related signaling pathways highly expressed. Anti-androgen receptor drugs are recommended for this subtype</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{"citationID":"a4sgvbnmmr","properties":{"formattedCitation":"\\super 151\\nosupersub{}","plainCitation":"151","noteIndex":0},"citationItems":[{"id":435,"uris":["http://zotero.org/users/7661987/items/M6QTPZ6R"],"itemData":{"id":435,"type":"article-journal","abstract":"Triple-negative breast cancer (TNBC), a specific subtype of breast cancer that does not express estrogen receptor (ER), progesterone receptor (PR), or human epidermal growth factor receptor 2 (HER-2), has clinical features that include high invasiveness, high metastatic potential, proneness to relapse, and poor prognosis. Because TNBC tumors lack ER, PR, and HER2 expression, they are not sensitive to endocrine therapy or HER2 treatment, and standardized TNBC treatment regimens are still lacking. Therefore, development of new TNBC treatment strategies has become an urgent clinical need. By summarizing existing treatment regimens, therapeutic drugs, and their efficacy for different TNBC subtypes and reviewing some new preclinical studies and targeted treatment regimens for TNBC, this paper aims to provide new ideas for TNBC treatment.","container-title":"Breast Cancer Research","DOI":"10.1186/s13058-020-01296-5","ISSN":"1465-542X","issue":"1","journalAbbreviation":"Breast Cancer Res","language":"en","page":"61","source":"DOI.org (Crossref)","title":"Triple-negative breast cancer molecular subtyping and treatment progress","volume":"22","author":[{"family":"Yin","given":"Li"},{"family":"Duan","given":"Jiang-Jie"},{"family":"Bian","given":"Xiu-Wu"},{"family":"Yu","given":"Shi-cang"}],"issued":{"date-parts":[["2020",12]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151</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136A6997" w14:textId="7A2A5433" w:rsidR="00BD1DA5" w:rsidRPr="00D74025" w:rsidRDefault="00BD1DA5" w:rsidP="003B572C">
      <w:pPr>
        <w:spacing w:after="240" w:line="360" w:lineRule="auto"/>
        <w:ind w:firstLine="1440"/>
        <w:contextualSpacing/>
        <w:jc w:val="both"/>
        <w:rPr>
          <w:rFonts w:ascii="Arial" w:hAnsi="Arial" w:cs="Arial"/>
          <w:color w:val="000000" w:themeColor="text1"/>
        </w:rPr>
      </w:pPr>
      <w:r w:rsidRPr="00D74025">
        <w:rPr>
          <w:rFonts w:ascii="Arial" w:hAnsi="Arial" w:cs="Arial"/>
          <w:color w:val="000000" w:themeColor="text1"/>
        </w:rPr>
        <w:t xml:space="preserve">The gene-expression subtyping was identified as an independent predictor of </w:t>
      </w:r>
      <w:proofErr w:type="spellStart"/>
      <w:r w:rsidRPr="00D74025">
        <w:rPr>
          <w:rFonts w:ascii="Arial" w:hAnsi="Arial" w:cs="Arial"/>
          <w:color w:val="000000" w:themeColor="text1"/>
        </w:rPr>
        <w:t>pCR</w:t>
      </w:r>
      <w:proofErr w:type="spellEnd"/>
      <w:r w:rsidRPr="00D74025">
        <w:rPr>
          <w:rFonts w:ascii="Arial" w:hAnsi="Arial" w:cs="Arial"/>
          <w:color w:val="000000" w:themeColor="text1"/>
        </w:rPr>
        <w:t xml:space="preserve"> status in patients who underwent standard chemotherapy regimens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{"citationID":"a1kdh374akv","properties":{"formattedCitation":"\\super 163\\nosupersub{}","plainCitation":"163","noteIndex":0},"citationItems":[{"id":263,"uris":["http://zotero.org/users/7661987/items/U4UREGNW"],"itemData":{"id":263,"type":"article-journal","abstract":"Purpose: The clinical relevancy of the 7-subtype classiﬁcation of triple-negative breast cancer (TNBC) reported by Lehmann and colleagues is unknown. We investigated the clinical relevancy of TNBC heterogeneity by determining pathologic complete response (pCR) rates after neoadjuvant chemotherapy, based on TNBC subtypes. Experimental Design: We revalidated the Lehmann and colleagues experiments using Affymetrix CEL ﬁles from public datasets. We applied these methods to 146 patients with TNBC with gene expression microarrays obtained from June 2000 to March 2010 at our institution. Of those, 130 had received standard neoadjuvant chemotherapy and had evaluable pathologic response data. We classiﬁed the TNBC samples by subtype and then correlated subtype and pCR status using Fisher exact test and a logistic regression model. We also assessed survival and compared the subtypes with PAM50 intrinsic subtypes and residual cancer burden (RCB) index.\nResults: TNBC subtype and pCR status were signiﬁcantly associated (P ¼ 0.04379). The basal-like 1 (BL1) subtype had the highest pCR rate (52%); basal-like 2 (BL2) and luminal androgen receptor had the lowest (0% and 10%, respectively). TNBC subtype was an independent predictor of pCR status (P ¼ 0.022) by a likelihood ratio test. The subtypes better predicted pCR status than did the PAM50 intrinsic subtypes (basallike vs. non basal-like).\nConclusions: Classifying TNBC by 7 subtypes predicts high versus low pCR rate. We conﬁrm the clinical relevancy of the 7 subtypes of TNBC. We need to prospectively validate whether the pCR rate differences translate into long-term outcome differences. The 7-subtype classiﬁcation may spur innovative personalized medicine strategies for patients with TNBC. Clin Cancer Res; 19(19); 5533–40. Ó2013 AACR.","container-title":"Clinical Cancer Research","DOI":"10.1158/1078-0432.CCR-13-0799","ISSN":"1078-0432, 1557-3265","issue":"19","language":"en","page":"5533-5540","source":"DOI.org (Crossref)","title":"Differential Response to Neoadjuvant Chemotherapy Among 7 Triple-Negative Breast Cancer Molecular Subtypes","volume":"19","author":[{"family":"Masuda","given":"Hiroko"},{"family":"Baggerly","given":"Keith A."},{"family":"Wang","given":"Ying"},{"family":"Zhang","given":"Ya"},{"family":"Gonzalez-Angulo","given":"Ana Maria"},{"family":"Meric-Bernstam","given":"Funda"},{"family":"Valero","given":"Vicente"},{"family":"Lehmann","given":"Brian D."},{"family":"Pietenpol","given":"Jennifer A."},{"family":"Hortobagyi","given":"Gabriel N."},{"family":"Symmans","given":"W. Fraser"},{"family":"Ueno","given":"Naoto T."}],"issued":{"date-parts":[["2013",10,1]]}}}],"schema":"https://github.com/citation-style-language/schema/raw/master/csl-citation.json"}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163</w:t>
      </w:r>
      <w:r w:rsidRPr="00D74025">
        <w:rPr>
          <w:rFonts w:ascii="Arial" w:hAnsi="Arial" w:cs="Arial"/>
          <w:color w:val="000000" w:themeColor="text1"/>
        </w:rPr>
        <w:fldChar w:fldCharType="end"/>
      </w:r>
      <w:r w:rsidRPr="00D74025">
        <w:rPr>
          <w:rFonts w:ascii="Arial" w:hAnsi="Arial" w:cs="Arial"/>
          <w:color w:val="000000" w:themeColor="text1"/>
        </w:rPr>
        <w:t>. Nonetheless, the clinical relevance of this subtyping is still in debate since additional studies are required to validate if this subclassification can predict the risk of relapse and chemotherapy responsiveness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{"citationID":"a2f03svuula","properties":{"formattedCitation":"\\super 160\\nosupersub{}","plainCitation":"160","noteIndex":0},"citationItems":[{"id":267,"uris":["http://zotero.org/users/7661987/items/IFS7YCVL"],"itemData":{"id":267,"type":"article-journal","abstract":"Chemotherapy is the primary established systemic treatment for patients with triple-negative breast cancer (TNBC) in both the early and advanced-stages of the disease. The lack of targeted therapies and the poor prognosis of patients with TNBC have fostered a major effort to discover actionable molecular targets to treat patients with these tumours. Massively parallel sequencing and other ‘omics’ technologies have revealed an unexpected level of heterogeneity of TNBCs and have led to the identification of potentially actionable molecular features in some TNBCs, such as germline BRCA1/2 mutations or ‘BRCAness’, the presence of the androgen receptor, and several rare genomic alterations. Whether these alterations are molecular ‘drivers’, however, has not been clearly established. A subgroup of TNBCs shows a high degree of tumour-infiltrating lymphocytes that also correlates with a lower risk of disease relapse and a higher likelihood of benefit from chemotherapy. Proof</w:instrText>
      </w:r>
      <w:r w:rsidR="000F4F53">
        <w:rPr>
          <w:rFonts w:ascii="Cambria Math" w:hAnsi="Cambria Math" w:cs="Cambria Math"/>
          <w:color w:val="000000" w:themeColor="text1"/>
        </w:rPr>
        <w:instrText>‑</w:instrText>
      </w:r>
      <w:r w:rsidR="000F4F53">
        <w:rPr>
          <w:rFonts w:ascii="Arial" w:hAnsi="Arial" w:cs="Arial"/>
          <w:color w:val="000000" w:themeColor="text1"/>
        </w:rPr>
        <w:instrText>of</w:instrText>
      </w:r>
      <w:r w:rsidR="000F4F53">
        <w:rPr>
          <w:rFonts w:ascii="Cambria Math" w:hAnsi="Cambria Math" w:cs="Cambria Math"/>
          <w:color w:val="000000" w:themeColor="text1"/>
        </w:rPr>
        <w:instrText>‑</w:instrText>
      </w:r>
      <w:r w:rsidR="000F4F53">
        <w:rPr>
          <w:rFonts w:ascii="Arial" w:hAnsi="Arial" w:cs="Arial"/>
          <w:color w:val="000000" w:themeColor="text1"/>
        </w:rPr>
        <w:instrText xml:space="preserve">principle studies with immune-checkpoint inhibitors in advanced-stage TNBC have yielded promising results, indicating the potential benefit of immunotherapy for patients with TNBC. In this Review, we discuss the most relevant molecular findings in TNBC from the past decade and the most promising therapeutic opportunities derived from these data.","container-title":"Nature Reviews Clinical Oncology","DOI":"10.1038/nrclinonc.2016.66","ISSN":"1759-4774, 1759-4782","issue":"11","journalAbbreviation":"Nat Rev Clin Oncol","language":"en","page":"674-690","source":"DOI.org (Crossref)","title":"Triple-negative breast cancer: challenges and opportunities of a heterogeneous disease","title-short":"Triple-negative breast cancer","volume":"13","author":[{"family":"Bianchini","given":"Giampaolo"},{"family":"Balko","given":"Justin M."},{"family":"Mayer","given":"Ingrid A."},{"family":"Sanders","given":"Melinda E."},{"family":"Gianni","given":"Luca"}],"issued":{"date-parts":[["2016",11]]}}}],"schema":"https://github.com/citation-style-language/schema/raw/master/csl-citation.json"}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160</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140B204D" w14:textId="621119D5" w:rsidR="00705865" w:rsidRPr="00D74025" w:rsidRDefault="00705865" w:rsidP="003B572C">
      <w:pPr>
        <w:spacing w:before="240" w:line="360" w:lineRule="auto"/>
        <w:ind w:firstLine="1440"/>
        <w:jc w:val="both"/>
        <w:rPr>
          <w:rFonts w:ascii="Arial" w:hAnsi="Arial" w:cs="Arial"/>
          <w:color w:val="000000" w:themeColor="text1"/>
        </w:rPr>
      </w:pPr>
      <w:r w:rsidRPr="00D74025">
        <w:rPr>
          <w:rFonts w:ascii="Arial" w:hAnsi="Arial" w:cs="Arial"/>
          <w:color w:val="000000" w:themeColor="text1"/>
        </w:rPr>
        <w:t xml:space="preserve">The last few years have been fruitful in developing novel targeted strategies for cancer treatment. Various pathways have been associated with TNBC oncogenicity and thus are potential or approved targets to treat TNBC, as shown in </w:t>
      </w:r>
      <w:r w:rsidRPr="009F2F83">
        <w:rPr>
          <w:rFonts w:ascii="Arial" w:hAnsi="Arial" w:cs="Arial"/>
          <w:b/>
          <w:bCs/>
          <w:color w:val="000000" w:themeColor="text1"/>
        </w:rPr>
        <w:t>Figure 1</w:t>
      </w:r>
      <w:r w:rsidR="009F2F83" w:rsidRPr="009F2F83">
        <w:rPr>
          <w:rFonts w:ascii="Arial" w:hAnsi="Arial" w:cs="Arial"/>
          <w:b/>
          <w:bCs/>
          <w:color w:val="000000" w:themeColor="text1"/>
        </w:rPr>
        <w:t>7</w:t>
      </w:r>
      <w:r w:rsidRPr="00D74025">
        <w:rPr>
          <w:rFonts w:ascii="Arial" w:hAnsi="Arial" w:cs="Arial"/>
          <w:color w:val="000000" w:themeColor="text1"/>
        </w:rPr>
        <w:t>.</w:t>
      </w:r>
    </w:p>
    <w:tbl>
      <w:tblPr>
        <w:tblStyle w:val="TableGrid"/>
        <w:tblW w:w="0" w:type="auto"/>
        <w:tblLook w:val="04A0" w:firstRow="1" w:lastRow="0" w:firstColumn="1" w:lastColumn="0" w:noHBand="0" w:noVBand="1"/>
      </w:tblPr>
      <w:tblGrid>
        <w:gridCol w:w="9350"/>
      </w:tblGrid>
      <w:tr w:rsidR="00D74025" w:rsidRPr="00D74025" w14:paraId="7BEE6C21" w14:textId="77777777" w:rsidTr="00A42DFE">
        <w:tc>
          <w:tcPr>
            <w:tcW w:w="9350" w:type="dxa"/>
          </w:tcPr>
          <w:p w14:paraId="3D6C39B3" w14:textId="4E806A7D" w:rsidR="0078079E" w:rsidRPr="00D74025" w:rsidRDefault="00244AE1" w:rsidP="00244AE1">
            <w:pPr>
              <w:spacing w:before="120" w:beforeAutospacing="0" w:after="120" w:afterAutospacing="0" w:line="360" w:lineRule="auto"/>
              <w:ind w:firstLine="0"/>
              <w:rPr>
                <w:rFonts w:ascii="Arial" w:hAnsi="Arial" w:cs="Arial"/>
                <w:color w:val="000000" w:themeColor="text1"/>
              </w:rPr>
            </w:pPr>
            <w:r w:rsidRPr="00D74025">
              <w:rPr>
                <w:rFonts w:ascii="Arial" w:hAnsi="Arial" w:cs="Arial"/>
                <w:noProof/>
                <w:color w:val="000000" w:themeColor="text1"/>
                <w:sz w:val="15"/>
                <w:szCs w:val="15"/>
              </w:rPr>
              <w:lastRenderedPageBreak/>
              <w:drawing>
                <wp:inline distT="0" distB="0" distL="0" distR="0" wp14:anchorId="2F8224D0" wp14:editId="2ECB0C84">
                  <wp:extent cx="5805253" cy="5693134"/>
                  <wp:effectExtent l="0" t="0" r="0" b="0"/>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32"/>
                          <a:stretch>
                            <a:fillRect/>
                          </a:stretch>
                        </pic:blipFill>
                        <pic:spPr>
                          <a:xfrm>
                            <a:off x="0" y="0"/>
                            <a:ext cx="5809031" cy="5696839"/>
                          </a:xfrm>
                          <a:prstGeom prst="rect">
                            <a:avLst/>
                          </a:prstGeom>
                        </pic:spPr>
                      </pic:pic>
                    </a:graphicData>
                  </a:graphic>
                </wp:inline>
              </w:drawing>
            </w:r>
          </w:p>
        </w:tc>
      </w:tr>
      <w:tr w:rsidR="00D74025" w:rsidRPr="00D74025" w14:paraId="0090F547" w14:textId="77777777" w:rsidTr="00A42DFE">
        <w:tc>
          <w:tcPr>
            <w:tcW w:w="9350" w:type="dxa"/>
          </w:tcPr>
          <w:p w14:paraId="04B7219B" w14:textId="749A9C97" w:rsidR="00A42DFE" w:rsidRPr="00D74025" w:rsidRDefault="00DD4B6C" w:rsidP="00DD4B6C">
            <w:pPr>
              <w:spacing w:line="360" w:lineRule="auto"/>
              <w:ind w:firstLine="0"/>
              <w:rPr>
                <w:rFonts w:ascii="Arial" w:hAnsi="Arial" w:cs="Arial"/>
                <w:color w:val="000000" w:themeColor="text1"/>
              </w:rPr>
            </w:pPr>
            <w:bookmarkStart w:id="37" w:name="_Toc121217339"/>
            <w:r w:rsidRPr="00DD4B6C">
              <w:rPr>
                <w:rFonts w:ascii="Arial" w:hAnsi="Arial" w:cs="Arial"/>
                <w:b/>
                <w:bCs/>
                <w:color w:val="000000" w:themeColor="text1"/>
              </w:rPr>
              <w:t xml:space="preserve">Figure </w:t>
            </w:r>
            <w:r w:rsidRPr="00DD4B6C">
              <w:rPr>
                <w:rFonts w:ascii="Arial" w:hAnsi="Arial" w:cs="Arial"/>
                <w:b/>
                <w:bCs/>
                <w:color w:val="000000" w:themeColor="text1"/>
              </w:rPr>
              <w:fldChar w:fldCharType="begin"/>
            </w:r>
            <w:r w:rsidRPr="00DD4B6C">
              <w:rPr>
                <w:rFonts w:ascii="Arial" w:hAnsi="Arial" w:cs="Arial"/>
                <w:b/>
                <w:bCs/>
                <w:color w:val="000000" w:themeColor="text1"/>
              </w:rPr>
              <w:instrText xml:space="preserve"> SEQ Figure \* ARABIC </w:instrText>
            </w:r>
            <w:r w:rsidRPr="00DD4B6C">
              <w:rPr>
                <w:rFonts w:ascii="Arial" w:hAnsi="Arial" w:cs="Arial"/>
                <w:b/>
                <w:bCs/>
                <w:color w:val="000000" w:themeColor="text1"/>
              </w:rPr>
              <w:fldChar w:fldCharType="separate"/>
            </w:r>
            <w:r w:rsidR="002C4B25">
              <w:rPr>
                <w:rFonts w:ascii="Arial" w:hAnsi="Arial" w:cs="Arial"/>
                <w:b/>
                <w:bCs/>
                <w:noProof/>
                <w:color w:val="000000" w:themeColor="text1"/>
              </w:rPr>
              <w:t>17</w:t>
            </w:r>
            <w:r w:rsidRPr="00DD4B6C">
              <w:rPr>
                <w:rFonts w:ascii="Arial" w:hAnsi="Arial" w:cs="Arial"/>
                <w:b/>
                <w:bCs/>
                <w:color w:val="000000" w:themeColor="text1"/>
              </w:rPr>
              <w:fldChar w:fldCharType="end"/>
            </w:r>
            <w:r w:rsidRPr="00DD4B6C">
              <w:rPr>
                <w:rFonts w:ascii="Arial" w:hAnsi="Arial" w:cs="Arial"/>
                <w:b/>
                <w:bCs/>
                <w:color w:val="000000" w:themeColor="text1"/>
              </w:rPr>
              <w:t>:</w:t>
            </w:r>
            <w:r w:rsidR="007157B9" w:rsidRPr="00DD4B6C">
              <w:rPr>
                <w:rFonts w:ascii="Arial" w:hAnsi="Arial" w:cs="Arial"/>
                <w:b/>
                <w:bCs/>
                <w:color w:val="000000" w:themeColor="text1"/>
              </w:rPr>
              <w:t xml:space="preserve"> Targetable pathways of oncogenic signaling pathways in TNBC</w:t>
            </w:r>
            <w:r w:rsidR="007157B9" w:rsidRPr="00D74025">
              <w:rPr>
                <w:rFonts w:ascii="Arial" w:hAnsi="Arial" w:cs="Arial"/>
                <w:color w:val="000000" w:themeColor="text1"/>
              </w:rPr>
              <w:t xml:space="preserve">. Boxes present the drugs that target those pathways, and the underline ones are approved. ADCs: antibody-drug conjugates; AR: androgen receptor; PARP: </w:t>
            </w:r>
            <w:proofErr w:type="gramStart"/>
            <w:r w:rsidR="007157B9" w:rsidRPr="00D74025">
              <w:rPr>
                <w:rFonts w:ascii="Arial" w:hAnsi="Arial" w:cs="Arial"/>
                <w:color w:val="000000" w:themeColor="text1"/>
              </w:rPr>
              <w:t>poly(</w:t>
            </w:r>
            <w:proofErr w:type="gramEnd"/>
            <w:r w:rsidR="007157B9" w:rsidRPr="00D74025">
              <w:rPr>
                <w:rFonts w:ascii="Arial" w:hAnsi="Arial" w:cs="Arial"/>
                <w:color w:val="000000" w:themeColor="text1"/>
              </w:rPr>
              <w:t xml:space="preserve">ADP-ribose) polymerase; TLR: Toll-like receptor; TMB: tumor mutational burden; TME: tumor microenvironment; TROP2: trophoblast cell-surface antigen 2. Figure from </w:t>
            </w:r>
            <w:r w:rsidR="007157B9" w:rsidRPr="00D74025">
              <w:rPr>
                <w:rFonts w:ascii="Calibri" w:hAnsi="Calibri" w:cs="Calibri"/>
                <w:color w:val="000000" w:themeColor="text1"/>
              </w:rPr>
              <w:t>﻿</w:t>
            </w:r>
            <w:proofErr w:type="spellStart"/>
            <w:r w:rsidR="007157B9" w:rsidRPr="00D74025">
              <w:rPr>
                <w:rFonts w:ascii="Arial" w:hAnsi="Arial" w:cs="Arial"/>
                <w:color w:val="000000" w:themeColor="text1"/>
              </w:rPr>
              <w:t>Bianchini</w:t>
            </w:r>
            <w:proofErr w:type="spellEnd"/>
            <w:r w:rsidR="007157B9" w:rsidRPr="00D74025">
              <w:rPr>
                <w:rFonts w:ascii="Arial" w:hAnsi="Arial" w:cs="Arial"/>
                <w:color w:val="000000" w:themeColor="text1"/>
              </w:rPr>
              <w:t xml:space="preserve">, </w:t>
            </w:r>
            <w:r w:rsidR="007157B9" w:rsidRPr="00D74025">
              <w:rPr>
                <w:rFonts w:ascii="Arial" w:hAnsi="Arial" w:cs="Arial"/>
                <w:i/>
                <w:iCs/>
                <w:color w:val="000000" w:themeColor="text1"/>
              </w:rPr>
              <w:t>et al</w:t>
            </w:r>
            <w:r w:rsidR="007157B9" w:rsidRPr="00D74025">
              <w:rPr>
                <w:rFonts w:ascii="Arial" w:hAnsi="Arial" w:cs="Arial"/>
                <w:color w:val="000000" w:themeColor="text1"/>
              </w:rPr>
              <w:t>. 2022.</w:t>
            </w:r>
            <w:r w:rsidR="007157B9"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{"citationID":"a1tqin9jqai","properties":{"formattedCitation":"\\super 164\\nosupersub{}","plainCitation":"164","noteIndex":0},"citationItems":[{"id":266,"uris":["http://zotero.org/users/7661987/items/7NUNM4II"],"itemData":{"id":266,"type":"article-journal","abstract":"Tumour heterogeneity and a long-standing paucity of effective therapies other than chemotherapy have contributed to triple-negative breast cancer (TNBC) being the subtype with the least favourable outcomes. In the past few years, advances in omics technologies have shed light on the relevance of the TNBC microenvironment heterogeneity, unveiling a close dynamic relationship with cancer cell features. An improved understanding of tumour–immune system co-evolution supports the need to adopt a more comprehensive view of TNBC as an ecosystem that encompasses the intrinsic and extrinsic features of cancer cells. This new appreciation of the biology of TNBC has already led to the development of novel targeted agents, including PARP inhibitors, antibody–drug conjugates and immune-checkpoint inhibitors, which are revolutionizing the therapeutic landscape and providing new opportunities both for patients with early-stage TNBC and for those with advanced-stage disease. The current therapeutic scenario is only the tip of the iceberg, as hundreds of new compounds and combinations are in development. The translation of these experimental therapies into clinical benefit is a welcome and ongoing challenge. In this Review, we describe the current and upcoming therapeutic landscape of TNBC and discuss how an integrated view of the TNBC ecosystem can define different levels of risk and provide improved opportunities for tailoring treatment.","container-title":"Nature Reviews Clinical Oncology","DOI":"10.1038/s41571-021-00565-2","ISSN":"1759-4774, 1759-4782","issue":"2","journalAbbreviation":"Nat Rev Clin Oncol","language":"en","page":"91-113","source":"DOI.org (Crossref)","title":"Treatment landscape of triple-negative breast cancer — expanded options, evolving needs","volume":"19","author":[{"family":"Bianchini","given":"Giampaolo"},{"family":"De Angelis","given":"Carmine"},{"family":"Licata","given":"Luca"},{"family":"Gianni","given":"Luca"}],"issued":{"date-parts":[["2022",2]]}}}],"schema":"https://github.com/citation-style-language/schema/raw/master/csl-citation.json"} </w:instrText>
            </w:r>
            <w:r w:rsidR="007157B9" w:rsidRPr="00D74025">
              <w:rPr>
                <w:rFonts w:ascii="Arial" w:hAnsi="Arial" w:cs="Arial"/>
                <w:color w:val="000000" w:themeColor="text1"/>
              </w:rPr>
              <w:fldChar w:fldCharType="separate"/>
            </w:r>
            <w:r w:rsidR="000F4F53" w:rsidRPr="000F4F53">
              <w:rPr>
                <w:rFonts w:ascii="Arial" w:hAnsi="Arial" w:cs="Arial"/>
                <w:color w:val="000000"/>
                <w:vertAlign w:val="superscript"/>
              </w:rPr>
              <w:t>164</w:t>
            </w:r>
            <w:bookmarkEnd w:id="37"/>
            <w:r w:rsidR="007157B9" w:rsidRPr="00D74025">
              <w:rPr>
                <w:rFonts w:ascii="Arial" w:hAnsi="Arial" w:cs="Arial"/>
                <w:color w:val="000000" w:themeColor="text1"/>
              </w:rPr>
              <w:fldChar w:fldCharType="end"/>
            </w:r>
          </w:p>
        </w:tc>
      </w:tr>
    </w:tbl>
    <w:p w14:paraId="714BC363" w14:textId="5B4AAD57" w:rsidR="00DD4B6C" w:rsidRDefault="00DD4B6C" w:rsidP="00DE03E2">
      <w:pPr>
        <w:spacing w:line="360" w:lineRule="auto"/>
        <w:contextualSpacing/>
        <w:jc w:val="both"/>
        <w:rPr>
          <w:rFonts w:ascii="Arial" w:hAnsi="Arial" w:cs="Arial"/>
          <w:color w:val="000000" w:themeColor="text1"/>
          <w:sz w:val="15"/>
          <w:szCs w:val="15"/>
        </w:rPr>
      </w:pPr>
    </w:p>
    <w:p w14:paraId="5AE8C6C9" w14:textId="77777777" w:rsidR="00284DE3" w:rsidRPr="00D74025" w:rsidRDefault="00284DE3" w:rsidP="00DE03E2">
      <w:pPr>
        <w:spacing w:line="360" w:lineRule="auto"/>
        <w:contextualSpacing/>
        <w:jc w:val="both"/>
        <w:rPr>
          <w:rFonts w:ascii="Arial" w:hAnsi="Arial" w:cs="Arial"/>
          <w:color w:val="000000" w:themeColor="text1"/>
          <w:sz w:val="15"/>
          <w:szCs w:val="15"/>
        </w:rPr>
      </w:pPr>
    </w:p>
    <w:p w14:paraId="4B89FC8C" w14:textId="74F56E0C" w:rsidR="00084F74" w:rsidRPr="00D74025" w:rsidRDefault="00084F74" w:rsidP="00084F74">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lastRenderedPageBreak/>
        <w:t>Poly-(ADP-ribose) polymerase is a family of enzymes that aid DNA single-strand break recognition and DNA repair, which correlates to genomic stability. Some TNBC, including BRCA1 and 2, rely on PARP to survive. Therefore, the inhibition of this enzyme promotes cell death</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{"citationID":"a1l385t5gop","properties":{"formattedCitation":"\\super 165\\nosupersub{}","plainCitation":"165","noteIndex":0},"citationItems":[{"id":259,"uris":["http://zotero.org/users/7661987/items/DSTZX8NU"],"itemData":{"id":259,"type":"article-journal","language":"en","page":"6","source":"Zotero","title":"Speciﬁc killing of BRCA2-deﬁcient tumours with inhibitors of poly(ADP-ribose) polymerase","volume":"434","author":[{"family":"Bryant","given":"Helen E"},{"family":"Schultz","given":"Niklas"},{"family":"Thomas","given":"Huw D"},{"family":"Parker","given":"Kayan M"},{"family":"Flower","given":"Dan"},{"family":"Lopez","given":"Elena"},{"family":"Kyle","given":"Suzanne"},{"family":"Meuth","given":"Mark"},{"family":"Curtin","given":"Nicola J"},{"family":"Helleday","given":"Thomas"}],"issued":{"date-parts":[["2005"]]}}}],"schema":"https://github.com/citation-style-language/schema/raw/master/csl-citation.json"}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165</w:t>
      </w:r>
      <w:r w:rsidRPr="00D74025">
        <w:rPr>
          <w:rFonts w:ascii="Arial" w:hAnsi="Arial" w:cs="Arial"/>
          <w:color w:val="000000" w:themeColor="text1"/>
        </w:rPr>
        <w:fldChar w:fldCharType="end"/>
      </w:r>
      <w:r w:rsidRPr="00D74025">
        <w:rPr>
          <w:rFonts w:ascii="Arial" w:hAnsi="Arial" w:cs="Arial"/>
          <w:color w:val="000000" w:themeColor="text1"/>
        </w:rPr>
        <w:t xml:space="preserve">. Olaparib and </w:t>
      </w:r>
      <w:proofErr w:type="spellStart"/>
      <w:r w:rsidRPr="00D74025">
        <w:rPr>
          <w:rFonts w:ascii="Arial" w:hAnsi="Arial" w:cs="Arial"/>
          <w:color w:val="000000" w:themeColor="text1"/>
        </w:rPr>
        <w:t>talazoparib</w:t>
      </w:r>
      <w:proofErr w:type="spellEnd"/>
      <w:r w:rsidRPr="00D74025">
        <w:rPr>
          <w:rFonts w:ascii="Arial" w:hAnsi="Arial" w:cs="Arial"/>
          <w:color w:val="000000" w:themeColor="text1"/>
        </w:rPr>
        <w:t xml:space="preserve"> are PARP inhibitor (</w:t>
      </w:r>
      <w:proofErr w:type="spellStart"/>
      <w:r w:rsidRPr="00D74025">
        <w:rPr>
          <w:rFonts w:ascii="Arial" w:hAnsi="Arial" w:cs="Arial"/>
          <w:color w:val="000000" w:themeColor="text1"/>
        </w:rPr>
        <w:t>PARPi</w:t>
      </w:r>
      <w:proofErr w:type="spellEnd"/>
      <w:r w:rsidRPr="00D74025">
        <w:rPr>
          <w:rFonts w:ascii="Arial" w:hAnsi="Arial" w:cs="Arial"/>
          <w:color w:val="000000" w:themeColor="text1"/>
        </w:rPr>
        <w:t>) antibodies approved for BRCA1 and 2, HER2-metastatic BC</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{"citationID":"a2p8bmqh8li","properties":{"formattedCitation":"\\super 166,167\\nosupersub{}","plainCitation":"166,167","noteIndex":0},"citationItems":[{"id":258,"uris":["http://zotero.org/users/7661987/items/GXV7PT4H"],"itemData":{"id":258,"type":"article-journal","abstract":"BACKGROUND Olaparib is an oral poly(adenosine diphosphate–ribose) polymerase inhibitor that has promising antitumor activity in patients with metastatic breast cancer and a germline BRCA mutation.\nMETHODS We conducted a randomized, open-label, phase 3 trial in which olaparib monotherapy was compared with standard therapy in patients with a germline BRCA mutation and human epidermal growth factor receptor type 2 (HER2)–negative metastatic breast cancer who had received no more than two previous chemotherapy regimens for metastatic disease. Patients were randomly assigned, in a 2:1 ratio, to receive olaparib tablets (300 mg twice daily) or standard therapy with single-agent chemotherapy of the physician’s choice (capecitabine, eribulin, or vinorelbine in 21-day cycles). The primary end point was progression-free survival, which was assessed by blinded independent central review and was analyzed on an intention-to-treat basis.\nRESULTS Of the 302 patients who underwent randomization, 205 were assigned to receive olaparib and 97 were assigned to receive standard therapy. Median progressionfree survival was significantly longer in the olaparib group than in the standardtherapy group (7.0 months vs. 4.2 months; hazard ratio for disease progression or death, 0.58; 95% confidence interval, 0.43 to 0.80; P&lt;0.001). The response rate was 59.9% in the olaparib group and 28.8% in the standard-therapy group. The rate of grade 3 or higher adverse events was 36.6% in the olaparib group and 50.5% in the standard-therapy group, and the rate of treatment discontinuation due to toxic effects was 4.9% and 7.7%, respectively.\nCONCLUSIONS Among patients with HER2-negative metastatic breast cancer and a germline BRCA mutation, olaparib monotherapy provided a significant benefit over standard therapy; median progression-free survival was 2.8 months longer and the risk of disease progression or death was 42% lower with olaparib monotherapy than with standard therapy. (Funded by AstraZeneca; OlympiAD ClinicalTrials.gov number, NCT02000622.)","container-title":"New England Journal of Medicine","DOI":"10.1056/NEJMoa1706450","ISSN":"0028-4793, 1533-4406","issue":"6","journalAbbreviation":"N Engl J Med","language":"en","page":"523-533","source":"DOI.org (Crossref)","title":"Olaparib for Metastatic Breast Cancer in Patients with a Germline &lt;i&gt;BRCA&lt;/i&gt; Mutation","volume":"377","author":[{"family":"Robson","given":"Mark"},{"family":"Im","given":"Seock-Ah"},{"family":"Senkus","given":"Elżbieta"},{"family":"Xu","given":"Binghe"},{"family":"Domchek","given":"Susan M."},{"family":"Masuda","given":"Norikazu"},{"family":"Delaloge","given":"Suzette"},{"family":"Li","given":"Wei"},{"family":"Tung","given":"Nadine"},{"family":"Armstrong","given":"Anne"},{"family":"Wu","given":"Wenting"},{"family":"Goessl","given":"Carsten"},{"family":"Runswick","given":"Sarah"},{"family":"Conte","given":"Pierfranco"}],"issued":{"date-parts":[["2017",8,10]]}}},{"id":257,"uris":["http://zotero.org/users/7661987/items/AYKWA5K4"],"itemData":{"id":257,"type":"article-journal","abstract":"BACKGROUND The poly(adenosine diphosphate–ribose) inhibitor talazoparib has shown antitumor activity in patients with advanced breast cancer and germline mutations in BRCA1 and BRCA2 (BRCA1/2).\nMETHODS We conducted a randomized, open-label, phase 3 trial in which patients with advanced breast cancer and a germline BRCA1/2 mutation were assigned, in a 2:1 ratio, to receive talazoparib (1 mg once daily) or standard single-agent therapy of the physician’s choice (capecitabine, eribulin, gemcitabine, or vinorelbine in continuous 21-day cycles). The primary end point was progression-free survival, which was assessed by blinded independent central review.\nRESULTS Of the 431 patients who underwent randomization, 287 were assigned to receive talazoparib and 144 were assigned to receive standard therapy. Median progressionfree survival was significantly longer in the talazoparib group than in the standardtherapy group (8.6 months vs. 5.6 months; hazard ratio for disease progression or death, 0.54; 95% confidence interval [CI], 0.41 to 0.71; P&lt;0.001). The interim median hazard ratio for death was 0.76 (95% CI, 0.55 to 1.06; P = 0.11 [57% of projected events]). The objective response rate was higher in the talazoparib group than in the standard-therapy group (62.6% vs. 27.2%; odds ratio, 5.0; 95% CI, 2.9 to 8.8; P&lt;0.001). Hematologic grade 3–4 adverse events (primarily anemia) occurred in 55% of the patients who received talazoparib and in 38% of the patients who received standard therapy; nonhematologic grade 3 adverse events occurred in 32% and 38% of the patients, respectively. Patient-reported outcomes favored talazoparib; significant overall improvements and significant delays in the time to clinically meaningful deterioration according to both the global health status–quality-of-life and breast symptoms scales were observed.\nCONCLUSIONS Among patients with advanced breast cancer and a germline BRCA1/2 mutation, single-agent talazoparib provided a significant benefit over standard chemotherapy with respect to progression-free survival. Patient-reported outcomes were superior with talazoparib. (Funded by Medivation [Pfizer]; EMBRACA ClinicalTrials.gov number, NCT01945775.)","container-title":"New England Journal of Medicine","DOI":"10.1056/NEJMoa1802905","ISSN":"0028-4793, 1533-4406","issue":"8","journalAbbreviation":"N Engl J Med","language":"en","page":"753-763","source":"DOI.org (Crossref)","title":"Talazoparib in Patients with Advanced Breast Cancer and a Germline &lt;i&gt;BRCA&lt;/i&gt; Mutation","volume":"379","author":[{"family":"Litton","given":"Jennifer K."},{"family":"Rugo","given":"Hope S."},{"family":"Ettl","given":"Johannes"},{"family":"Hurvitz","given":"Sara A."},{"family":"Gonçalves","given":"Anthony"},{"family":"Lee","given":"Kyung-Hun"},{"family":"Fehrenbacher","given":"Louis"},{"family":"Yerushalmi","given":"Rinat"},{"family":"Mina","given":"Lida A."},{"family":"Martin","given":"Miguel"},{"family":"Roché","given":"Henri"},{"family":"Im","given":"Young-Hyuck"},{"family":"Quek","given":"Ruben G.W."},{"family":"Markova","given":"Denka"},{"family":"Tudor","given":"Iulia C."},{"family":"Hannah","given":"Alison L."},{"family":"Eiermann","given":"Wolfgang"},{"family":"Blum","given":"Joanne L."}],"issued":{"date-parts":[["2018",8,23]]}}}],"schema":"https://github.com/citation-style-language/schema/raw/master/csl-citation.json"}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166,167</w:t>
      </w:r>
      <w:r w:rsidRPr="00D74025">
        <w:rPr>
          <w:rFonts w:ascii="Arial" w:hAnsi="Arial" w:cs="Arial"/>
          <w:color w:val="000000" w:themeColor="text1"/>
        </w:rPr>
        <w:fldChar w:fldCharType="end"/>
      </w:r>
      <w:r w:rsidRPr="00D74025">
        <w:rPr>
          <w:rFonts w:ascii="Arial" w:hAnsi="Arial" w:cs="Arial"/>
          <w:color w:val="000000" w:themeColor="text1"/>
        </w:rPr>
        <w:t>. There is evidence that the combination of PARP inhibitors and DNA-damaging chemotherapy produces synergistic effects against cancer but promotes toxicity</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{"citationID":"a2ph5li67et","properties":{"formattedCitation":"\\super 168\\nosupersub{}","plainCitation":"168","noteIndex":0},"citationItems":[{"id":256,"uris":["http://zotero.org/users/7661987/items/EAU76TAI"],"itemData":{"id":256,"type":"article-journal","abstract":"PARP inhibitors (PARPi), a cancer therapy targeting poly(ADP-ribose) polymerase, are the first clinically approved drugs designed to exploit synthetic lethality, a genetic concept proposed nearly a century ago. Tumors arising in patients who carry germline mutations in either\n              BRCA1\n              or\n              BRCA2\n              are sensitive to PARPi because they have a specific type of DNA repair defect. PARPi also show promising activity in more common cancers that share this repair defect. However, as with other targeted therapies, resistance to PARPi arises in advanced disease. In addition, determining the optimal use of PARPi within drug combination approaches has been challenging. Nevertheless, the preclinical discovery of PARPi synthetic lethality and the route to clinical approval provide interesting lessons for the development of other therapies. Here, we discuss current knowledge of PARP inhibitors and potential ways to maximize their clinical effectiveness.","container-title":"Science","DOI":"10.1126/science.aam7344","ISSN":"0036-8075, 1095-9203","issue":"6330","journalAbbreviation":"Science","language":"en","page":"1152-1158","source":"DOI.org (Crossref)","title":"PARP inhibitors: Synthetic lethality in the clinic","title-short":"PARP inhibitors","volume":"355","author":[{"family":"Lord","given":"Christopher J."},{"family":"Ashworth","given":"Alan"}],"issued":{"date-parts":[["2017",3,17]]}}}],"schema":"https://github.com/citation-style-language/schema/raw/master/csl-citation.json"}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168</w:t>
      </w:r>
      <w:r w:rsidRPr="00D74025">
        <w:rPr>
          <w:rFonts w:ascii="Arial" w:hAnsi="Arial" w:cs="Arial"/>
          <w:color w:val="000000" w:themeColor="text1"/>
        </w:rPr>
        <w:fldChar w:fldCharType="end"/>
      </w:r>
      <w:r w:rsidRPr="00D74025">
        <w:rPr>
          <w:rFonts w:ascii="Arial" w:hAnsi="Arial" w:cs="Arial"/>
          <w:color w:val="000000" w:themeColor="text1"/>
        </w:rPr>
        <w:t>. PARP inhibitors have been proven effective in clinics, encouraging the testing for BRCA in all TNBC patients. Tumors that undergo somatic and epigenetic mutation of those genes might also be sensitive to PARPi</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{"citationID":"a9p699284j","properties":{"formattedCitation":"\\super 169\\nosupersub{}","plainCitation":"169","noteIndex":0},"citationItems":[{"id":255,"uris":["http://zotero.org/users/7661987/items/L78T6XUI"],"itemData":{"id":255,"type":"article-journal","abstract":"PURPOSE Olaparib, a poly (ADP-ribose) polymerase (PARP) inhibitor (PARPi), is approved for the treatment of human epidermal growth factor receptor 2 (HER2)–negative metastatic breast cancer (MBC) in germline (g)BRCA1/2 mutation carriers. Olaparib Expanded, an investigator-initiated, phase II study, assessed olaparib response in patients with MBC with somatic (s)BRCA1/2 mutations or g/s mutations in homologous recombination (HR)–related genes other than BRCA1/2.\nMETHODS Eligible patients had MBC with measurable disease and germline mutations in non-BRCA1/2 HRrelated genes (cohort 1) or somatic mutations in these genes or BRCA1/2 (cohort 2). Prior PARPi, platinumrefractory disease, or progression on more than two chemotherapy regimens (metastatic setting) was not allowed. Patients received olaparib 300 mg orally twice a day until progression. A single-arm, two-stage design was used. The primary endpoint was objective response rate (ORR); the null hypothesis (# 5% ORR) would be rejected within each cohort if there were four or more responses in 27 patients. Secondary endpoints included clinical beneﬁt rate and progression-free survival (PFS).\nRESULTS Fifty-four patients enrolled. Seventy-six percent had estrogen receptor–positive HER2-negative disease. Eighty-seven percent had mutations in PALB2, sBRCA1/2, ATM, or CHEK2. In cohort 1, ORR was 33% (90% CI, 19% to 51%) and in cohort 2, 31% (90% CI, 15% to 49%). Conﬁrmed responses were seen only with gPALB2 (ORR, 82%) and sBRCA1/2 (ORR, 50%) mutations. Median PFS was 13.3 months (90% CI, 12 months to not available/computable [NA]) for gPALB2 and 6.3 months (90% CI, 4.4 months to NA) for sBRCA1/ 2 mutation carriers. No responses were observed with ATM or CHEK2 mutations alone.\nCONCLUSION PARP inhibition is an effective treatment for patients with MBC and gPALB2 or sBRCA1/2 mutations, signiﬁcantly expanding the population of patients with breast cancer likely to beneﬁt from PARPi beyond gBRCA1/2 mutation carriers. These results emphasize the value of molecular characterization for treatment decisions in MBC.","container-title":"Journal of Clinical Oncology","DOI":"10.1200/JCO.20.02151","ISSN":"0732-183X, 1527-7755","issue":"36","journalAbbreviation":"JCO","language":"en","page":"4274-4282","source":"DOI.org (Crossref)","title":"TBCRC 048: Phase II Study of Olaparib for Metastatic Breast Cancer and Mutations in Homologous Recombination-Related Genes","title-short":"TBCRC 048","volume":"38","author":[{"family":"Tung","given":"Nadine M."},{"family":"Robson","given":"Mark E."},{"family":"Ventz","given":"Steffen"},{"family":"Santa-Maria","given":"Cesar A."},{"family":"Nanda","given":"Rita"},{"family":"Marcom","given":"Paul K."},{"family":"Shah","given":"Payal D."},{"family":"Ballinger","given":"Tarah J."},{"family":"Yang","given":"Eddy S."},{"family":"Vinayak","given":"Shaveta"},{"family":"Melisko","given":"Michelle"},{"family":"Brufsky","given":"Adam"},{"family":"DeMeo","given":"Michelle"},{"family":"Jenkins","given":"Colby"},{"family":"Domchek","given":"Susan"},{"family":"D’Andrea","given":"Alan"},{"family":"Lin","given":"Nancy U."},{"family":"Hughes","given":"Melissa E."},{"family":"Carey","given":"Lisa A."},{"family":"Wagle","given":"Nick"},{"family":"Wulf","given":"Gerburg M."},{"family":"Krop","given":"Ian E."},{"family":"Wolff","given":"Antonio C."},{"family":"Winer","given":"Eric P."},{"family":"Garber","given":"Judy E."}],"issued":{"date-parts":[["2020",12,20]]}}}],"schema":"https://github.com/citation-style-language/schema/raw/master/csl-citation.json"}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169</w:t>
      </w:r>
      <w:r w:rsidRPr="00D74025">
        <w:rPr>
          <w:rFonts w:ascii="Arial" w:hAnsi="Arial" w:cs="Arial"/>
          <w:color w:val="000000" w:themeColor="text1"/>
        </w:rPr>
        <w:fldChar w:fldCharType="end"/>
      </w:r>
      <w:r w:rsidRPr="00D74025">
        <w:rPr>
          <w:rFonts w:ascii="Arial" w:hAnsi="Arial" w:cs="Arial"/>
          <w:color w:val="000000" w:themeColor="text1"/>
        </w:rPr>
        <w:t>.</w:t>
      </w:r>
    </w:p>
    <w:p w14:paraId="2B8A28F1" w14:textId="4A8C4D9D" w:rsidR="00C11668" w:rsidRPr="00D74025" w:rsidRDefault="00C11668" w:rsidP="00C11668">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 xml:space="preserve">Antibody-drug conjugates (ADCs) are recombinant monoclonal antibodies (Ab), covalently bound to cytotoxic agents, thus selectively delivering drugs to cells expressing the epitopes that the antibody recognizes. Sacituzumab </w:t>
      </w:r>
      <w:proofErr w:type="spellStart"/>
      <w:r w:rsidRPr="00D74025">
        <w:rPr>
          <w:rFonts w:ascii="Arial" w:hAnsi="Arial" w:cs="Arial"/>
          <w:color w:val="000000" w:themeColor="text1"/>
        </w:rPr>
        <w:t>govitecan</w:t>
      </w:r>
      <w:proofErr w:type="spellEnd"/>
      <w:r w:rsidRPr="00D74025">
        <w:rPr>
          <w:rFonts w:ascii="Arial" w:hAnsi="Arial" w:cs="Arial"/>
          <w:color w:val="000000" w:themeColor="text1"/>
        </w:rPr>
        <w:t xml:space="preserve"> is an ADC consisting of an Ab that targets TROP2 – trophoblast cell-surface antigen, associated with pro-oncogenic signaling pathways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{"citationID":"a4m0i0ni6n","properties":{"formattedCitation":"\\super 170\\nosupersub{}","plainCitation":"170","noteIndex":0},"citationItems":[{"id":254,"uris":["http://zotero.org/users/7661987/items/7NV76FWG"],"itemData":{"id":254,"type":"article-journal","abstract":"Background: Trop2 is a cell-surface glycoprotein overexpressed by a variety of epithelial carcinomas with reported low to restricted expression in normal tissues. Expression of Trop2 has been associated with increased tumor aggressiveness, metastasis and decreased patient survival, but the signaling mechanisms mediated by Trop2 are still unknown. Here, we studied the effects murine Trop2 (mTrop2) exerted on tumor cellular functions and some of the signaling mechanisms activated by this oncogene.\nResults: mTrop2 expression significantly increased tumor cell proliferation at low serum concentration, migration, foci formation and anchorage-independent growth. These in vitro characteristics translated to increased tumor growth in both subcutaneous and orthotopic pancreatic cancer murine models and also led to increased liver metastasis. mTrop2 expression also increased the levels of phosphorylated ERK1/2 mediating cell cycle progression by increasing the levels of cyclin D1 and cyclin E as well as downregulating p27. The activation of ERK was also observed in human pancreatic ductal epithelial cells and colorectal adenocarcinoma cells overexpressing human Trop2.\nConclusions: These findings demonstrate some of the pathogenic effects mediated by mTrop2 expression on cancer cells and the importance of targeting this cell surface glycoprotein. This study also provides the first indication of a molecular signaling pathway activated by Trop2 which has important implications for cancer cell growth and survival.","container-title":"Molecular Cancer","DOI":"10.1186/1476-4598-9-253","ISSN":"1476-4598","issue":"1","journalAbbreviation":"Mol Cancer","language":"en","page":"253","source":"DOI.org (Crossref)","title":"Trop2 expression contributes to tumor pathogenesis by activating the ERK MAPK pathway","volume":"9","author":[{"family":"Cubas","given":"Rafael"},{"family":"Zhang","given":"Sheng"},{"family":"Li","given":"Min"},{"family":"Chen","given":"Changyi"},{"family":"Yao","given":"Qizhi"}],"issued":{"date-parts":[["2010",12]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170</w:t>
      </w:r>
      <w:r w:rsidRPr="00D74025">
        <w:rPr>
          <w:rFonts w:ascii="Arial" w:hAnsi="Arial" w:cs="Arial"/>
          <w:color w:val="000000" w:themeColor="text1"/>
        </w:rPr>
        <w:fldChar w:fldCharType="end"/>
      </w:r>
      <w:r w:rsidRPr="00D74025">
        <w:rPr>
          <w:rFonts w:ascii="Arial" w:hAnsi="Arial" w:cs="Arial"/>
          <w:color w:val="000000" w:themeColor="text1"/>
        </w:rPr>
        <w:t xml:space="preserve"> </w:t>
      </w:r>
      <w:r w:rsidRPr="00D74025">
        <w:rPr>
          <w:rFonts w:ascii="Arial" w:hAnsi="Arial" w:cs="Arial"/>
          <w:color w:val="000000" w:themeColor="text1"/>
        </w:rPr>
        <w:sym w:font="Symbol" w:char="F02D"/>
      </w:r>
      <w:r w:rsidRPr="00D74025">
        <w:rPr>
          <w:rFonts w:ascii="Arial" w:hAnsi="Arial" w:cs="Arial"/>
          <w:color w:val="000000" w:themeColor="text1"/>
        </w:rPr>
        <w:t xml:space="preserve"> linked to the drug SN-38, a DNA topoisomerase. It was approved as the third of the later line of treatment for patients with mTNBC</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{"citationID":"a2j4a9ap79t","properties":{"formattedCitation":"\\super 171\\nosupersub{}","plainCitation":"171","noteIndex":0},"citationItems":[{"id":253,"uris":["http://zotero.org/users/7661987/items/T55MMIY9"],"itemData":{"id":253,"type":"article-journal","abstract":"BACKGROUND Patients with metastatic triple-negative breast cancer have a poor prognosis. Sacituzumab govitecan is an antibody–drug conjugate composed of an antibody targeting the human trophoblast cell-surface antigen 2 (Trop-2), which is expressed in the majority of breast cancers, coupled to SN-38 (topoisomerase I inhibitor) through a proprietary hydrolyzable linker.\nMETHODS In this randomized, phase 3 trial, we evaluated sacituzumab govitecan as compared with single-agent chemotherapy of the physician’s choice (eribulin, vinorelbine, capecitabine, or gemcitabine) in patients with relapsed or refractory metastatic triple-negative breast cancer. The primary end point was progression-free survival (as determined by blinded independent central review) among patients without brain metastases. The authors’ full names, academic degrees, and affiliations are listed in the Appendix. Address reprint requests to Dr. Bardia at the Massachusetts General Hospital Cancer Center, BHX 237, 55 Fruit St., Boston, MA 02114, or at b­ ardia.­aditya@ ­mgh.­harvard.­edu. *A complete list of the ASCENT Clinical Trial Investigators is provided in the Supplementary Appendix, available at NEJM.org. N Engl J Med 2021;384:1529-41. DOI: 10.1056/NEJMoa2028485 Copyright © 2021 Massachusetts Medical Society.\nRESULTS A total of 468 patients without brain metastases were randomly assigned to receive sacituzumab govitecan (235 patients) or chemotherapy (233 patients). The median age was 54 years; all the patients had previous use of taxanes. The median progression-free survival was 5.6 months (95% confidence interval [CI], 4.3 to 6.3; 166 events) with sacituzumab govitecan and 1.7 months (95% CI, 1.5 to 2.6; 150 events) with chemotherapy (hazard ratio for disease progression or death, 0.41; 95% CI, 0.32 to 0.52; P&lt;0.001). The median overall survival was 12.1 months (95% CI, 10.7 to 14.0) with sacituzumab govitecan and 6.7 months (95% CI, 5.8 to 7.7) with chemotherapy (hazard ratio for death, 0.48; 95% CI, 0.38 to 0.59; P&lt;0.001). The percentage of patients with an objective response was 35% with sacituzumab govitecan and 5% with chemotherapy. The incidences of key treatment-related adverse events of grade 3 or higher were neutropenia (51% with sacituzumab govitecan and 33% with chemotherapy), leukopenia (10% and 5%), diarrhea (10% and &lt;1%), anemia (8% and 5%), and febrile neutropenia (6% and 2%). There were three deaths owing to adverse events in each group; no deaths were considered to be related to sacituzumab govitecan treatment.\nCONCLUSIONS Progression-free and overall survival were significantly longer with sacituzumab govitecan than with single-agent chemotherapy among patients with metastatic triple-negative breast cancer. Myelosuppression and diarrhea were more frequent with sacituzumab govitecan. (Funded by Immunomedics; ASCENT ClinicalTrials.gov number, NCT02574455; EudraCT number, 2017-­003019-­21.)","container-title":"New England Journal of Medicine","DOI":"10.1056/NEJMoa2028485","ISSN":"0028-4793, 1533-4406","issue":"16","journalAbbreviation":"N Engl J Med","language":"en","page":"1529-1541","source":"DOI.org (Crossref)","title":"Sacituzumab Govitecan in Metastatic Triple-Negative Breast Cancer","volume":"384","author":[{"family":"Bardia","given":"Aditya"},{"family":"Hurvitz","given":"Sara A."},{"family":"Tolaney","given":"Sara M."},{"family":"Loirat","given":"Delphine"},{"family":"Punie","given":"Kevin"},{"family":"Oliveira","given":"Mafalda"},{"family":"Brufsky","given":"Adam"},{"family":"Sardesai","given":"Sagar D."},{"family":"Kalinsky","given":"Kevin"},{"family":"Zelnak","given":"Amelia B."},{"family":"Weaver","given":"Robert"},{"family":"Traina","given":"Tiffany"},{"family":"Dalenc","given":"Florence"},{"family":"Aftimos","given":"Philippe"},{"family":"Lynce","given":"Filipa"},{"family":"Diab","given":"Sami"},{"family":"Cortés","given":"Javier"},{"family":"O’Shaughnessy","given":"Joyce"},{"family":"Diéras","given":"Véronique"},{"family":"Ferrario","given":"Cristiano"},{"family":"Schmid","given":"Peter"},{"family":"Carey","given":"Lisa A."},{"family":"Gianni","given":"Luca"},{"family":"Piccart","given":"Martine J."},{"family":"Loibl","given":"Sibylle"},{"family":"Goldenberg","given":"David M."},{"family":"Hong","given":"Quan"},{"family":"Olivo","given":"Martin S."},{"family":"Itri","given":"Loretta M."},{"family":"Rugo","given":"Hope S."}],"issued":{"date-parts":[["2021",4,22]]}}}],"schema":"https://github.com/citation-style-language/schema/raw/master/csl-citation.json"}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171</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5463BB8D" w14:textId="11CF04FE" w:rsidR="00E13C8E" w:rsidRPr="00D74025" w:rsidRDefault="00E13C8E" w:rsidP="00E13C8E">
      <w:pPr>
        <w:spacing w:line="360" w:lineRule="auto"/>
        <w:ind w:firstLine="1440"/>
        <w:contextualSpacing/>
        <w:jc w:val="both"/>
        <w:rPr>
          <w:rFonts w:ascii="Arial" w:hAnsi="Arial" w:cs="Arial"/>
          <w:color w:val="000000" w:themeColor="text1"/>
        </w:rPr>
      </w:pPr>
      <w:proofErr w:type="spellStart"/>
      <w:r w:rsidRPr="00D74025">
        <w:rPr>
          <w:rFonts w:ascii="Arial" w:hAnsi="Arial" w:cs="Arial"/>
          <w:color w:val="000000" w:themeColor="text1"/>
        </w:rPr>
        <w:t>Ladiratuzumab</w:t>
      </w:r>
      <w:proofErr w:type="spellEnd"/>
      <w:r w:rsidRPr="00D74025">
        <w:rPr>
          <w:rFonts w:ascii="Arial" w:hAnsi="Arial" w:cs="Arial"/>
          <w:color w:val="000000" w:themeColor="text1"/>
        </w:rPr>
        <w:t xml:space="preserve"> </w:t>
      </w:r>
      <w:proofErr w:type="spellStart"/>
      <w:r w:rsidRPr="00D74025">
        <w:rPr>
          <w:rFonts w:ascii="Arial" w:hAnsi="Arial" w:cs="Arial"/>
          <w:color w:val="000000" w:themeColor="text1"/>
        </w:rPr>
        <w:t>vedotin</w:t>
      </w:r>
      <w:proofErr w:type="spellEnd"/>
      <w:r w:rsidRPr="00D74025">
        <w:rPr>
          <w:rFonts w:ascii="Arial" w:hAnsi="Arial" w:cs="Arial"/>
          <w:color w:val="000000" w:themeColor="text1"/>
        </w:rPr>
        <w:t xml:space="preserve"> consists of an Ab that targets zinc transporter ZIP6, also known as LIV1, to a microtubule-disrupting agent called monomethyl auristatin E. LIV1, which is a transmembrane protein that is limitedly expressed in non-cancerous cells but is highly expressed in solid tumors, including in 70% of TNBC</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{"citationID":"a161235tut5","properties":{"formattedCitation":"\\super 172\\nosupersub{}","plainCitation":"172","noteIndex":0},"citationItems":[{"id":251,"uris":["http://zotero.org/users/7661987/items/877CDTI9"],"itemData":{"id":251,"type":"article-journal","container-title":"Molecular Medicine","DOI":"10.2119/2007-00040.Taylor","ISSN":"1076-1551, 1528-3658","issue":"7-8","journalAbbreviation":"Mol Med","language":"en","page":"396-406","source":"DOI.org (Crossref)","title":"The Emerging Role of the LIV-1 Subfamily of Zinc Transporters in Breast Cancer","volume":"13","author":[{"family":"Taylor","given":"Kathryn M."},{"family":"Morgan","given":"Helen E."},{"family":"Smart","given":"Kathryn"},{"family":"Zahari","given":"Normawati M."},{"family":"Pumford","given":"Sara"},{"family":"Ellis","given":"Ian O."},{"family":"Robertson","given":"John F. R."},{"family":"Nicholson","given":"Robert I."}],"issued":{"date-parts":[["2007",7]]}}}],"schema":"https://github.com/citation-style-language/schema/raw/master/csl-citation.json"}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172</w:t>
      </w:r>
      <w:r w:rsidRPr="00D74025">
        <w:rPr>
          <w:rFonts w:ascii="Arial" w:hAnsi="Arial" w:cs="Arial"/>
          <w:color w:val="000000" w:themeColor="text1"/>
        </w:rPr>
        <w:fldChar w:fldCharType="end"/>
      </w:r>
      <w:r w:rsidRPr="00D74025">
        <w:rPr>
          <w:rFonts w:ascii="Arial" w:hAnsi="Arial" w:cs="Arial"/>
          <w:color w:val="000000" w:themeColor="text1"/>
        </w:rPr>
        <w:t>. Although it has</w:t>
      </w:r>
      <w:r w:rsidR="00B41959">
        <w:rPr>
          <w:rFonts w:ascii="Arial" w:hAnsi="Arial" w:cs="Arial"/>
          <w:color w:val="000000" w:themeColor="text1"/>
        </w:rPr>
        <w:t xml:space="preserve"> not</w:t>
      </w:r>
      <w:r w:rsidRPr="00D74025">
        <w:rPr>
          <w:rFonts w:ascii="Arial" w:hAnsi="Arial" w:cs="Arial"/>
          <w:color w:val="000000" w:themeColor="text1"/>
        </w:rPr>
        <w:t xml:space="preserve"> yet been approved, it has shown remarkable results in the phase I trial for mTNBC</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{"citationID":"a1g3an63tv6","properties":{"formattedCitation":"\\super 173\\nosupersub{}","plainCitation":"173","noteIndex":0},"citationItems":[{"id":252,"uris":["http://zotero.org/users/7661987/items/A226G2E5"],"itemData":{"id":252,"type":"article-journal","container-title":"Expert Opinion on Investigational Drugs","DOI":"10.1080/13543784.2022.2042252","ISSN":"1354-3784, 1744-7658","issue":"6","journalAbbreviation":"Expert Opinion on Investigational Drugs","language":"en","page":"495-498","source":"DOI.org (Crossref)","title":"Ladiratuzumab vedotin for metastatic triple negative cancer: preliminary results, key challenges, and clinical potential","title-short":"Ladiratuzumab vedotin for metastatic triple negative cancer","volume":"31","author":[{"family":"Rizzo","given":"Alessandro"},{"family":"Cusmai","given":"Antonio"},{"family":"Acquafredda","given":"Silvana"},{"family":"Rinaldi","given":"Lucia"},{"family":"Palmiotti","given":"Gennaro"}],"issued":{"date-parts":[["2022",6,3]]}}}],"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173</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170D3B0A" w14:textId="36ED4D4E" w:rsidR="009D0B40" w:rsidRPr="00D74025" w:rsidRDefault="009D0B40" w:rsidP="009D0B40">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 xml:space="preserve">As shown in </w:t>
      </w:r>
      <w:r w:rsidR="009F2F83" w:rsidRPr="009F2F83">
        <w:rPr>
          <w:rFonts w:ascii="Arial" w:hAnsi="Arial" w:cs="Arial"/>
          <w:b/>
          <w:bCs/>
          <w:color w:val="000000" w:themeColor="text1"/>
        </w:rPr>
        <w:t>F</w:t>
      </w:r>
      <w:r w:rsidRPr="009F2F83">
        <w:rPr>
          <w:rFonts w:ascii="Arial" w:hAnsi="Arial" w:cs="Arial"/>
          <w:b/>
          <w:bCs/>
          <w:color w:val="000000" w:themeColor="text1"/>
        </w:rPr>
        <w:t>igure 1</w:t>
      </w:r>
      <w:r w:rsidR="009F2F83" w:rsidRPr="009F2F83">
        <w:rPr>
          <w:rFonts w:ascii="Arial" w:hAnsi="Arial" w:cs="Arial"/>
          <w:b/>
          <w:bCs/>
          <w:color w:val="000000" w:themeColor="text1"/>
        </w:rPr>
        <w:t>7</w:t>
      </w:r>
      <w:r w:rsidRPr="00D74025">
        <w:rPr>
          <w:rFonts w:ascii="Arial" w:hAnsi="Arial" w:cs="Arial"/>
          <w:color w:val="000000" w:themeColor="text1"/>
        </w:rPr>
        <w:t>, many other possible targeted treatments are currently being assessed in clinical trials for their efficacy against TNBC. PI3K-AKT pathways are related to many hallmarks of cancer. Its deregulation occurs in approximately 50% of TNBC, correlated to sensitivity to PI3K inhibition</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{"citationID":"a17ekuo9fqt","properties":{"formattedCitation":"\\super 174\\nosupersub{}","plainCitation":"174","noteIndex":0},"citationItems":[{"id":250,"uris":["http://zotero.org/users/7661987/items/NHSZQB3S"],"itemData":{"id":250,"type":"article-journal","container-title":"Annals of Oncology","DOI":"10.1093/annonc/mdz133","ISSN":"09237534","issue":"7","journalAbbreviation":"Annals of Oncology","language":"en","page":"1051-1060","source":"DOI.org (Crossref)","title":"Targeting the PI3-kinase pathway in triple-negative breast cancer","volume":"30","author":[{"family":"Pascual","given":"J."},{"family":"Turner","given":"N.C."}],"issued":{"date-parts":[["2019",7]]}}}],"schema":"https://github.com/citation-style-language/schema/raw/master/csl-citation.json"}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174</w:t>
      </w:r>
      <w:r w:rsidRPr="00D74025">
        <w:rPr>
          <w:rFonts w:ascii="Arial" w:hAnsi="Arial" w:cs="Arial"/>
          <w:color w:val="000000" w:themeColor="text1"/>
        </w:rPr>
        <w:fldChar w:fldCharType="end"/>
      </w:r>
      <w:r w:rsidRPr="00D74025">
        <w:rPr>
          <w:rFonts w:ascii="Arial" w:hAnsi="Arial" w:cs="Arial"/>
          <w:color w:val="000000" w:themeColor="text1"/>
        </w:rPr>
        <w:t xml:space="preserve">. Currently targeting this pathway in clinical trials are </w:t>
      </w:r>
      <w:proofErr w:type="spellStart"/>
      <w:r w:rsidRPr="00D74025">
        <w:rPr>
          <w:rFonts w:ascii="Arial" w:hAnsi="Arial" w:cs="Arial"/>
          <w:color w:val="000000" w:themeColor="text1"/>
        </w:rPr>
        <w:t>alpelisib</w:t>
      </w:r>
      <w:proofErr w:type="spellEnd"/>
      <w:r w:rsidRPr="00D74025">
        <w:rPr>
          <w:rFonts w:ascii="Arial" w:hAnsi="Arial" w:cs="Arial"/>
          <w:color w:val="000000" w:themeColor="text1"/>
        </w:rPr>
        <w:t xml:space="preserve">, </w:t>
      </w:r>
      <w:proofErr w:type="spellStart"/>
      <w:r w:rsidRPr="00D74025">
        <w:rPr>
          <w:rFonts w:ascii="Arial" w:hAnsi="Arial" w:cs="Arial"/>
          <w:color w:val="000000" w:themeColor="text1"/>
        </w:rPr>
        <w:t>ipatasertib</w:t>
      </w:r>
      <w:proofErr w:type="spellEnd"/>
      <w:r w:rsidRPr="00D74025">
        <w:rPr>
          <w:rFonts w:ascii="Arial" w:hAnsi="Arial" w:cs="Arial"/>
          <w:color w:val="000000" w:themeColor="text1"/>
        </w:rPr>
        <w:t xml:space="preserve">, and </w:t>
      </w:r>
      <w:proofErr w:type="spellStart"/>
      <w:r w:rsidRPr="00D74025">
        <w:rPr>
          <w:rFonts w:ascii="Arial" w:hAnsi="Arial" w:cs="Arial"/>
          <w:color w:val="000000" w:themeColor="text1"/>
        </w:rPr>
        <w:t>capivasertib</w:t>
      </w:r>
      <w:proofErr w:type="spellEnd"/>
      <w:r w:rsidRPr="00D74025">
        <w:rPr>
          <w:rFonts w:ascii="Arial" w:hAnsi="Arial" w:cs="Arial"/>
          <w:color w:val="000000" w:themeColor="text1"/>
        </w:rPr>
        <w:t>. Nonetheless, the strong pre-clinical rationale related to targeting these pathways has</w:t>
      </w:r>
      <w:r w:rsidR="00B41959">
        <w:rPr>
          <w:rFonts w:ascii="Arial" w:hAnsi="Arial" w:cs="Arial"/>
          <w:color w:val="000000" w:themeColor="text1"/>
        </w:rPr>
        <w:t xml:space="preserve"> not</w:t>
      </w:r>
      <w:r w:rsidRPr="00D74025">
        <w:rPr>
          <w:rFonts w:ascii="Arial" w:hAnsi="Arial" w:cs="Arial"/>
          <w:color w:val="000000" w:themeColor="text1"/>
        </w:rPr>
        <w:t xml:space="preserve"> resulted in encouraging results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{"citationID":"a1k339shoen","properties":{"formattedCitation":"\\super 164\\nosupersub{}","plainCitation":"164","noteIndex":0},"citationItems":[{"id":266,"uris":["http://zotero.org/users/7661987/items/7NUNM4II"],"itemData":{"id":266,"type":"article-journal","abstract":"Tumour heterogeneity and a long-standing paucity of effective therapies other than chemotherapy have contributed to triple-negative breast cancer (TNBC) being the subtype with the least favourable outcomes. In the past few years, advances in omics technologies have shed light on the relevance of the TNBC microenvironment heterogeneity, unveiling a close dynamic relationship with cancer cell features. An improved understanding of tumour–immune system co-evolution supports the need to adopt a more comprehensive view of TNBC as an ecosystem that encompasses the intrinsic and extrinsic features of cancer cells. This new appreciation of the biology of TNBC has already led to the development of novel targeted agents, including PARP inhibitors, antibody–drug conjugates and immune-checkpoint inhibitors, which are revolutionizing the therapeutic landscape and providing new opportunities both for patients with early-stage TNBC and for those with advanced-stage disease. The current therapeutic scenario is only the tip of the iceberg, as hundreds of new compounds and combinations are in development. The translation of these experimental therapies into clinical benefit is a welcome and ongoing challenge. In this Review, we describe the current and upcoming therapeutic landscape of TNBC and discuss how an integrated view of the TNBC ecosystem can define different levels of risk and provide improved opportunities for tailoring treatment.","container-title":"Nature Reviews Clinical Oncology","DOI":"10.1038/s41571-021-00565-2","ISSN":"1759-4774, 1759-4782","issue":"2","journalAbbreviation":"Nat Rev Clin Oncol","language":"en","page":"91-113","source":"DOI.org (Crossref)","title":"Treatment landscape of triple-negative breast cancer — expanded options, evolving needs","volume":"19","author":[{"family":"Bianchini","given":"Giampaolo"},{"family":"De Angelis","given":"Carmine"},{"family":"Licata","given":"Luca"},{"family":"Gianni","given":"Luca"}],"issued":{"date-parts":[["2022",2]]}}}],"schema":"https://github.com/citation-style-language/schema/raw/master/csl-citation.json"}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164</w:t>
      </w:r>
      <w:r w:rsidRPr="00D74025">
        <w:rPr>
          <w:rFonts w:ascii="Arial" w:hAnsi="Arial" w:cs="Arial"/>
          <w:color w:val="000000" w:themeColor="text1"/>
        </w:rPr>
        <w:fldChar w:fldCharType="end"/>
      </w:r>
      <w:r w:rsidRPr="00D74025">
        <w:rPr>
          <w:rFonts w:ascii="Arial" w:hAnsi="Arial" w:cs="Arial"/>
          <w:color w:val="000000" w:themeColor="text1"/>
        </w:rPr>
        <w:t>.</w:t>
      </w:r>
    </w:p>
    <w:p w14:paraId="695B0BDD" w14:textId="75037DFD" w:rsidR="0068432E" w:rsidRPr="00D74025" w:rsidRDefault="00B41959" w:rsidP="0068432E">
      <w:pPr>
        <w:spacing w:line="360" w:lineRule="auto"/>
        <w:ind w:firstLine="1440"/>
        <w:contextualSpacing/>
        <w:jc w:val="both"/>
        <w:rPr>
          <w:rFonts w:ascii="Arial" w:hAnsi="Arial" w:cs="Arial"/>
          <w:color w:val="000000" w:themeColor="text1"/>
        </w:rPr>
      </w:pPr>
      <w:r>
        <w:rPr>
          <w:rFonts w:ascii="Arial" w:hAnsi="Arial" w:cs="Arial"/>
          <w:color w:val="000000" w:themeColor="text1"/>
        </w:rPr>
        <w:t xml:space="preserve">The </w:t>
      </w:r>
      <w:r w:rsidR="0068432E" w:rsidRPr="00D74025">
        <w:rPr>
          <w:rFonts w:ascii="Arial" w:hAnsi="Arial" w:cs="Arial"/>
          <w:color w:val="000000" w:themeColor="text1"/>
        </w:rPr>
        <w:t>MAPK pathway is another oncogenic cascade possible to target for cancer</w:t>
      </w:r>
      <w:r w:rsidR="0068432E"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{"citationID":"a5jk14jff8","properties":{"formattedCitation":"\\super 175\\nosupersub{}","plainCitation":"175","noteIndex":0},"citationItems":[{"id":249,"uris":["http://zotero.org/users/7661987/items/8QLBM3MX"],"itemData":{"id":249,"type":"article-journal","abstract":"Abstract\n            The mitogen-activated protein kinase (MAPK) pathways are crucial regulators of the cellular processes that fuel the malignant transformation of normal cells. The molecular aberrations which lead to cancer involve mutations in, and transcription variations of, various MAPK pathway genes. Here, we examine the genome sequences of 40,848 patient-derived tumours representing 101 distinct human cancers to identify cancer-associated mutations in MAPK signalling pathway genes. We show that patients with tumours that have mutations within genes of the ERK-1/2 pathway, the p38 pathways, or multiple MAPK pathway modules, tend to have worse disease outcomes than patients with tumours that have no mutations within the MAPK pathways genes. Furthermore, by integrating information extracted from various large-scale molecular datasets, we expose the relationship between the fitness of cancer cells after CRISPR mediated gene knockout of MAPK pathway genes, and their dose-responses to MAPK pathway inhibitors. Besides providing new insights into MAPK pathways, we unearth vulnerabilities in specific pathway genes that are reflected in the re sponses of cancer cells to MAPK targeting drugs: a revelation with great potential for guiding the development of innovative therapies.","container-title":"Communications Biology","DOI":"10.1038/s42003-020-01552-6","ISSN":"2399-3642","issue":"1","journalAbbreviation":"Commun Biol","language":"en","page":"9","source":"DOI.org (Crossref)","title":"Integrated molecular characterisation of the MAPK pathways in human cancers reveals pharmacologically vulnerable mutations and gene dependencies","volume":"4","author":[{"family":"Sinkala","given":"Musalula"},{"family":"Nkhoma","given":"Panji"},{"family":"Mulder","given":"Nicola"},{"family":"Martin","given":"Darren Patrick"}],"issued":{"date-parts":[["2021",12]]}}}],"schema":"https://github.com/citation-style-language/schema/raw/master/csl-citation.json"} </w:instrText>
      </w:r>
      <w:r w:rsidR="0068432E" w:rsidRPr="00D74025">
        <w:rPr>
          <w:rFonts w:ascii="Arial" w:hAnsi="Arial" w:cs="Arial"/>
          <w:color w:val="000000" w:themeColor="text1"/>
        </w:rPr>
        <w:fldChar w:fldCharType="separate"/>
      </w:r>
      <w:r w:rsidR="000F4F53" w:rsidRPr="000F4F53">
        <w:rPr>
          <w:rFonts w:ascii="Arial" w:hAnsi="Arial" w:cs="Arial"/>
          <w:color w:val="000000"/>
          <w:vertAlign w:val="superscript"/>
        </w:rPr>
        <w:t>175</w:t>
      </w:r>
      <w:r w:rsidR="0068432E" w:rsidRPr="00D74025">
        <w:rPr>
          <w:rFonts w:ascii="Arial" w:hAnsi="Arial" w:cs="Arial"/>
          <w:color w:val="000000" w:themeColor="text1"/>
        </w:rPr>
        <w:fldChar w:fldCharType="end"/>
      </w:r>
      <w:r w:rsidR="0068432E" w:rsidRPr="00D74025">
        <w:rPr>
          <w:rFonts w:ascii="Arial" w:hAnsi="Arial" w:cs="Arial"/>
          <w:color w:val="000000" w:themeColor="text1"/>
        </w:rPr>
        <w:t>, although it is only seen in approximately 3% of TNBC</w:t>
      </w:r>
      <w:r w:rsidR="0068432E"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{"citationID":"avtk9uj0oe","properties":{"formattedCitation":"\\super 176\\nosupersub{}","plainCitation":"176","noteIndex":0},"citationItems":[{"id":248,"uris":["http://zotero.org/users/7661987/items/C3ICQBRN"],"itemData":{"id":248,"type":"article-journal","container-title":"Nature","DOI":"10.1038/s41586-019-1056-z","ISSN":"0028-0836, 1476-4687","issue":"7757","journalAbbreviation":"Nature","language":"en","page":"560-564","source":"DOI.org (Crossref)","title":"Genomic characterization of metastatic breast cancers","volume":"569","author":[{"family":"Bertucci","given":"François"},{"family":"Ng","given":"Charlotte K. Y."},{"family":"Patsouris","given":"Anne"},{"family":"Droin","given":"Nathalie"},{"family":"Piscuoglio","given":"Salvatore"},{"family":"Carbuccia","given":"Nadine"},{"family":"Soria","given":"Jean Charles"},{"family":"Dien","given":"Alicia Tran"},{"family":"Adnani","given":"Yahia"},{"family":"Kamal","given":"Maud"},{"family":"Garnier","given":"Séverine"},{"family":"Meurice","given":"Guillaume"},{"family":"Jimenez","given":"Marta"},{"family":"Dogan","given":"Semih"},{"family":"Verret","given":"Benjamin"},{"family":"Chaffanet","given":"Max"},{"family":"Bachelot","given":"Thomas"},{"family":"Campone","given":"Mario"},{"family":"Lefeuvre","given":"Claudia"},{"family":"Bonnefoi","given":"Herve"},{"family":"Dalenc","given":"Florence"},{"family":"Jacquet","given":"Alexandra"},{"family":"De Filippo","given":"Maria R."},{"family":"Babbar","given":"Naveen"},{"family":"Birnbaum","given":"Daniel"},{"family":"Filleron","given":"Thomas"},{"family":"Le Tourneau","given":"Christophe"},{"family":"André","given":"Fabrice"}],"issued":{"date-parts":[["2019",5]]}}}],"schema":"https://github.com/citation-style-language/schema/raw/master/csl-citation.json"} </w:instrText>
      </w:r>
      <w:r w:rsidR="0068432E" w:rsidRPr="00D74025">
        <w:rPr>
          <w:rFonts w:ascii="Arial" w:hAnsi="Arial" w:cs="Arial"/>
          <w:color w:val="000000" w:themeColor="text1"/>
        </w:rPr>
        <w:fldChar w:fldCharType="separate"/>
      </w:r>
      <w:r w:rsidR="000F4F53" w:rsidRPr="000F4F53">
        <w:rPr>
          <w:rFonts w:ascii="Arial" w:hAnsi="Arial" w:cs="Arial"/>
          <w:color w:val="000000"/>
          <w:vertAlign w:val="superscript"/>
        </w:rPr>
        <w:t>176</w:t>
      </w:r>
      <w:r w:rsidR="0068432E" w:rsidRPr="00D74025">
        <w:rPr>
          <w:rFonts w:ascii="Arial" w:hAnsi="Arial" w:cs="Arial"/>
          <w:color w:val="000000" w:themeColor="text1"/>
        </w:rPr>
        <w:fldChar w:fldCharType="end"/>
      </w:r>
      <w:r w:rsidR="0068432E" w:rsidRPr="00D74025">
        <w:rPr>
          <w:rFonts w:ascii="Arial" w:hAnsi="Arial" w:cs="Arial"/>
          <w:color w:val="000000" w:themeColor="text1"/>
        </w:rPr>
        <w:t xml:space="preserve">. Compensatory </w:t>
      </w:r>
      <w:r w:rsidR="0068432E" w:rsidRPr="00D74025">
        <w:rPr>
          <w:rFonts w:ascii="Arial" w:hAnsi="Arial" w:cs="Arial"/>
          <w:color w:val="000000" w:themeColor="text1"/>
        </w:rPr>
        <w:lastRenderedPageBreak/>
        <w:t>activation of alternative signaling pathways might hinder the effectiveness of this strategy. Therefore a dual inhibition might increase effectiveness</w:t>
      </w:r>
      <w:r w:rsidR="0068432E"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{"citationID":"a2h2pgfeti2","properties":{"formattedCitation":"\\super 177\\nosupersub{}","plainCitation":"177","noteIndex":0},"citationItems":[{"id":247,"uris":["http://zotero.org/users/7661987/items/E93PWWTA"],"itemData":{"id":247,"type":"article-journal","abstract":"Cancer often arises when normal cellular growth goes awry due to defects in critical signal transduction pathways. A growing number of inhibitors that target specific components of these pathways are in clinical use, but the success of these agents has been limited by the resistance to inhibitor therapy that ultimately develops. Studies have now shown that cancer cells respond to chronic drug treatment by adapting their signaling circuitry, taking advantage of pathway redundancy and routes of feedback and cross-talk to maintain their function. This review focuses on the compensatory signaling mechanisms highlighted by the use of targeted inhibitors in cancer therapy.","container-title":"Genes &amp; Development","DOI":"10.1101/gad.186965.112","ISSN":"0890-9369, 1549-5477","issue":"7","journalAbbreviation":"Genes Dev.","language":"en","page":"641-650","source":"DOI.org (Crossref)","title":"Complexity in the signaling network: insights from the use of targeted inhibitors in cancer therapy","title-short":"Complexity in the signaling network","volume":"26","author":[{"family":"Logue","given":"Jeremy S."},{"family":"Morrison","given":"Deborah K."}],"issued":{"date-parts":[["2012",4,1]]}}}],"schema":"https://github.com/citation-style-language/schema/raw/master/csl-citation.json"} </w:instrText>
      </w:r>
      <w:r w:rsidR="0068432E" w:rsidRPr="00D74025">
        <w:rPr>
          <w:rFonts w:ascii="Arial" w:hAnsi="Arial" w:cs="Arial"/>
          <w:color w:val="000000" w:themeColor="text1"/>
        </w:rPr>
        <w:fldChar w:fldCharType="separate"/>
      </w:r>
      <w:r w:rsidR="000F4F53" w:rsidRPr="000F4F53">
        <w:rPr>
          <w:rFonts w:ascii="Arial" w:hAnsi="Arial" w:cs="Arial"/>
          <w:color w:val="000000"/>
          <w:vertAlign w:val="superscript"/>
        </w:rPr>
        <w:t>177</w:t>
      </w:r>
      <w:r w:rsidR="0068432E" w:rsidRPr="00D74025">
        <w:rPr>
          <w:rFonts w:ascii="Arial" w:hAnsi="Arial" w:cs="Arial"/>
          <w:color w:val="000000" w:themeColor="text1"/>
        </w:rPr>
        <w:fldChar w:fldCharType="end"/>
      </w:r>
      <w:r w:rsidR="0068432E" w:rsidRPr="00D74025">
        <w:rPr>
          <w:rFonts w:ascii="Arial" w:hAnsi="Arial" w:cs="Arial"/>
          <w:color w:val="000000" w:themeColor="text1"/>
        </w:rPr>
        <w:t>. Additionally, clinical trials combining MEK inhibitors and chemotherapeutic agents will happen soon</w:t>
      </w:r>
      <w:r w:rsidR="0068432E"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{"citationID":"a27eouo3meh","properties":{"formattedCitation":"\\super 164\\nosupersub{}","plainCitation":"164","noteIndex":0},"citationItems":[{"id":266,"uris":["http://zotero.org/users/7661987/items/7NUNM4II"],"itemData":{"id":266,"type":"article-journal","abstract":"Tumour heterogeneity and a long-standing paucity of effective therapies other than chemotherapy have contributed to triple-negative breast cancer (TNBC) being the subtype with the least favourable outcomes. In the past few years, advances in omics technologies have shed light on the relevance of the TNBC microenvironment heterogeneity, unveiling a close dynamic relationship with cancer cell features. An improved understanding of tumour–immune system co-evolution supports the need to adopt a more comprehensive view of TNBC as an ecosystem that encompasses the intrinsic and extrinsic features of cancer cells. This new appreciation of the biology of TNBC has already led to the development of novel targeted agents, including PARP inhibitors, antibody–drug conjugates and immune-checkpoint inhibitors, which are revolutionizing the therapeutic landscape and providing new opportunities both for patients with early-stage TNBC and for those with advanced-stage disease. The current therapeutic scenario is only the tip of the iceberg, as hundreds of new compounds and combinations are in development. The translation of these experimental therapies into clinical benefit is a welcome and ongoing challenge. In this Review, we describe the current and upcoming therapeutic landscape of TNBC and discuss how an integrated view of the TNBC ecosystem can define different levels of risk and provide improved opportunities for tailoring treatment.","container-title":"Nature Reviews Clinical Oncology","DOI":"10.1038/s41571-021-00565-2","ISSN":"1759-4774, 1759-4782","issue":"2","journalAbbreviation":"Nat Rev Clin Oncol","language":"en","page":"91-113","source":"DOI.org (Crossref)","title":"Treatment landscape of triple-negative breast cancer — expanded options, evolving needs","volume":"19","author":[{"family":"Bianchini","given":"Giampaolo"},{"family":"De Angelis","given":"Carmine"},{"family":"Licata","given":"Luca"},{"family":"Gianni","given":"Luca"}],"issued":{"date-parts":[["2022",2]]}}}],"schema":"https://github.com/citation-style-language/schema/raw/master/csl-citation.json"} </w:instrText>
      </w:r>
      <w:r w:rsidR="0068432E" w:rsidRPr="00D74025">
        <w:rPr>
          <w:rFonts w:ascii="Arial" w:hAnsi="Arial" w:cs="Arial"/>
          <w:color w:val="000000" w:themeColor="text1"/>
        </w:rPr>
        <w:fldChar w:fldCharType="separate"/>
      </w:r>
      <w:r w:rsidR="000F4F53" w:rsidRPr="000F4F53">
        <w:rPr>
          <w:rFonts w:ascii="Arial" w:hAnsi="Arial" w:cs="Arial"/>
          <w:color w:val="000000"/>
          <w:vertAlign w:val="superscript"/>
        </w:rPr>
        <w:t>164</w:t>
      </w:r>
      <w:r w:rsidR="0068432E" w:rsidRPr="00D74025">
        <w:rPr>
          <w:rFonts w:ascii="Arial" w:hAnsi="Arial" w:cs="Arial"/>
          <w:color w:val="000000" w:themeColor="text1"/>
        </w:rPr>
        <w:fldChar w:fldCharType="end"/>
      </w:r>
      <w:r w:rsidR="0068432E" w:rsidRPr="00D74025">
        <w:rPr>
          <w:rFonts w:ascii="Arial" w:hAnsi="Arial" w:cs="Arial"/>
          <w:color w:val="000000" w:themeColor="text1"/>
        </w:rPr>
        <w:t>.</w:t>
      </w:r>
    </w:p>
    <w:p w14:paraId="4220F6E7" w14:textId="4130B5A9" w:rsidR="00C0680A" w:rsidRPr="00D74025" w:rsidRDefault="00C0680A" w:rsidP="00C0680A">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The LAR molecular subtype is characterized by elevated expression of the androgen receptor (AR). Bicalutamide</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{"citationID":"a5vtnu62ii","properties":{"formattedCitation":"\\super 178\\nosupersub{}","plainCitation":"178","noteIndex":0},"citationItems":[{"id":245,"uris":["http://zotero.org/users/7661987/items/4HP5H2YV"],"itemData":{"id":245,"type":"article-journal","abstract":"Background. Endocrine resistance is a major problem in clinical practice. Studies have shown that androgen receptor (AR) signaling activation may be one of the mechanisms, and targeting AR showed some promising results in AR-positive triple-negative breast cancer. The aim of this study was to assess the efﬁcacy and safety of bicalutamide plus another aromatase inhibitor in patients with nonsteroidal aromatase inhibitor (AI) or steroidal AI resistance and estrogen receptor (ER)-positive and AR-positive advanced breast cancer.","container-title":"The Oncologist","DOI":"10.1634/theoncologist.2019-0564","ISSN":"1083-7159, 1549-490X","issue":"1","language":"en","page":"21-e15","source":"DOI.org (Crossref)","title":"Bicalutamide plus Aromatase Inhibitor in Patients with Estrogen Receptor-Positive/Androgen Receptor-Positive Advanced Breast Cancer","volume":"25","author":[{"family":"Lu","given":"Qianyi"},{"family":"Xia","given":"Wen"},{"family":"Lee","given":"Kaping"},{"family":"Zhang","given":"Jingmin"},{"family":"Yuan","given":"Huimin"},{"family":"Yuan","given":"Zhongyu"},{"family":"Shi","given":"Yanxia"},{"family":"Wang","given":"Shusen"},{"family":"Xu","given":"Fei"}],"issued":{"date-parts":[["2020",1,1]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178</w:t>
      </w:r>
      <w:r w:rsidRPr="00D74025">
        <w:rPr>
          <w:rFonts w:ascii="Arial" w:hAnsi="Arial" w:cs="Arial"/>
          <w:color w:val="000000" w:themeColor="text1"/>
        </w:rPr>
        <w:fldChar w:fldCharType="end"/>
      </w:r>
      <w:r w:rsidRPr="00D74025">
        <w:rPr>
          <w:rFonts w:ascii="Arial" w:hAnsi="Arial" w:cs="Arial"/>
          <w:color w:val="000000" w:themeColor="text1"/>
        </w:rPr>
        <w:t xml:space="preserve"> and enzalutamide</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{"citationID":"a1foq7kuit3","properties":{"formattedCitation":"\\super 179\\nosupersub{}","plainCitation":"179","noteIndex":0},"citationItems":[{"id":246,"uris":["http://zotero.org/users/7661987/items/ULRN8QN6"],"itemData":{"id":246,"type":"article-journal","abstract":"Purpose Studies suggest that a subset of patients with triple-negative breast cancer (TNBC) have tumors that express the androgen receptor (AR) and may beneﬁt from an AR inhibitor. This phase II study evaluated the antitumor activity and safety of enzalutamide in patients with locally advanced or metastatic AR-positive TNBC. Patients and Methods Tumors were tested for AR with an immunohistochemistry assay optimized for breast cancer; nuclear AR staining . 0% was considered positive. Patients received enzalutamide 160 mg once per day until disease progression. The primary end point was clinical beneﬁt rate (CBR) at 16 weeks. Secondary end points included CBR at 24 weeks, progression-free survival, and safety. End points were analyzed in all enrolled patients (the intent-to-treat [ITT] population) and in patients with one or more postbaseline assessment whose tumor expressed $ 10% nuclear AR (the evaluable subgroup).\nResults Of 118 patients enrolled, 78 were evaluable. CBR at 16 weeks was 25% (95% CI, 17% to 33%) in the ITT population and 33% (95% CI, 23% to 45%) in the evaluable subgroup. Median progressionfree survival was 2.9 months (95% CI, 1.9 to 3.7 months) in the ITT population and 3.3 months (95% CI, 1.9 to 4.1 months) in the evaluable subgroup. Median overall survival was 12.7 months (95% CI, 8.5 months to not yet reached) in the ITT population and 17.6 months (95% CI, 11.6 months to not yet reached) in the evaluable subgroup. Fatigue was the only treatment-related grade 3 or higher adverse event with an incidence of . 2%.\nConclusion Enzalutamide demonstrated clinical activity and was well tolerated in patients with advanced AR-positive TNBC. Adverse events related to enzalutamide were consistent with its known safety proﬁle. This study supports additional development of enzalutamide in advanced TNBC.","container-title":"Journal of Clinical Oncology","DOI":"10.1200/JCO.2016.71.3495","ISSN":"0732-183X, 1527-7755","issue":"9","journalAbbreviation":"JCO","language":"en","page":"884-890","source":"DOI.org (Crossref)","title":"Enzalutamide for the Treatment of Androgen Receptor–Expressing Triple-Negative Breast Cancer","volume":"36","author":[{"family":"Traina","given":"Tiffany A."},{"family":"Miller","given":"Kathy"},{"family":"Yardley","given":"Denise A."},{"family":"Eakle","given":"Janice"},{"family":"Schwartzberg","given":"Lee S."},{"family":"O’Shaughnessy","given":"Joyce"},{"family":"Gradishar","given":"William"},{"family":"Schmid","given":"Peter"},{"family":"Winer","given":"Eric"},{"family":"Kelly","given":"Catherine"},{"family":"Nanda","given":"Rita"},{"family":"Gucalp","given":"Ayca"},{"family":"Awada","given":"Ahmad"},{"family":"Garcia-Estevez","given":"Laura"},{"family":"Trudeau","given":"Maureen E."},{"family":"Steinberg","given":"Joyce"},{"family":"Uppal","given":"Hirdesh"},{"family":"Tudor","given":"Iulia Cristina"},{"family":"Peterson","given":"Amy"},{"family":"Cortes","given":"Javier"}],"issued":{"date-parts":[["2018",3,20]]}}}],"schema":"https://github.com/citation-style-language/schema/raw/master/csl-citation.json"}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179</w:t>
      </w:r>
      <w:r w:rsidRPr="00D74025">
        <w:rPr>
          <w:rFonts w:ascii="Arial" w:hAnsi="Arial" w:cs="Arial"/>
          <w:color w:val="000000" w:themeColor="text1"/>
        </w:rPr>
        <w:fldChar w:fldCharType="end"/>
      </w:r>
      <w:r w:rsidRPr="00D74025">
        <w:rPr>
          <w:rFonts w:ascii="Arial" w:hAnsi="Arial" w:cs="Arial"/>
          <w:color w:val="000000" w:themeColor="text1"/>
        </w:rPr>
        <w:t xml:space="preserve"> are AR inhibitors that have shown relevant anticancer activity. The addition of PI3K inhibition might also be advantageous for LAR TNBC since LAR is also enriched with PIK3CA mutations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{"citationID":"pFwO46Z3","properties":{"formattedCitation":"\\super 180\\nosupersub{}","plainCitation":"180","noteIndex":0},"citationItems":[{"id":1053,"uris":["http://zotero.org/users/7661987/items/DZPQHUEQ"],"itemData":{"id":1053,"type":"article-journal","abstract":"Introduction: Triple negative breast cancer (TNBC) is a heterogeneous collection of biologically diverse cancers, which contributes to variable clinical outcomes. Previously, we identified a TNBC subtype that has a luminal phenotype and expresses the androgen receptor (AR+). TNBC cells derived from these luminal AR + tumors have high frequency phosphatidylinositol-4,5-bisphosphate 3-kinase catalytic subunit alpha (PIK3CA) mutations. The purpose of this study was to determine if targeting phosphoinositide 3-kinase (PI3K) alone or in combination with an AR antagonist is effective in AR + TNBC.\nMethods: We determined the frequency of activating PIK3CA mutations in AR + and AR- TNBC clinical cases. Using AR + TNBC cell line and xenograft models we evaluated the effectiveness of PI3K inhibitors, used alone or in combination with an AR antagonist, on tumor cell growth and viability.\nResults: PIK3CA kinase mutations were highly clonal, more frequent in AR + vs. AR- TNBC (40% vs. 4%), and often associated with concurrent amplification of the PIK3CA locus. PI3K/mTOR inhibitors had an additive growth inhibitory effect when combined with genetic or pharmacological AR targeting in AR + TNBC cells. We also analyzed the combination of bicalutamide +/- the pan-PI3K inhibitor GDC-0941 or the dual PI3K/mTOR inhibitor GDC-0980 in xenograft tumor studies and observed additive effects.\nConclusions: While approximately one third of TNBC patients respond to neoadjuvant/adjuvant chemotherapy, recent studies have shown that patients with AR + TNBC are far less likely to benefit from the current standard of care chemotherapy regimens and novel targeted approaches need to be investigated. In this study, we show that activating PIK3CA mutations are enriched in AR + TNBC; and, we show that the growth and viability of AR + TNBC cell line models is significantly reduced after treatment with PI3K inhibitors used in combination with an AR antagonist. These results provide rationale for pre-selection of TNBC patients with a biomarker (AR expression) to investigate the use of AR antagonists in combination with PI3K/mTOR inhibitors.","container-title":"Breast Cancer Research","DOI":"10.1186/s13058-014-0406-x","ISSN":"1465-542X","issue":"4","journalAbbreviation":"Breast Cancer Res","language":"en","page":"406","source":"DOI.org (Crossref)","title":"PIK3CA mutations in androgen receptor-positive triple negative breast cancer confer sensitivity to the combination of PI3K and androgen receptor inhibitors","volume":"16","author":[{"family":"Lehmann","given":"Brian D"},{"family":"Bauer","given":"Joshua A"},{"family":"Schafer","given":"Johanna M"},{"family":"Pendleton","given":"Christopher S"},{"family":"Tang","given":"Luojia"},{"family":"Johnson","given":"Kimberly C"},{"family":"Chen","given":"Xi"},{"family":"Balko","given":"Justin M"},{"family":"Gómez","given":"Henry"},{"family":"Arteaga","given":"Carlos L"},{"family":"Mills","given":"Gordon B"},{"family":"Sanders","given":"Melinda E"},{"family":"Pietenpol","given":"Jennifer A"}],"issued":{"date-parts":[["2014",8]]}}}],"schema":"https://github.com/citation-style-language/schema/raw/master/csl-citation.json"}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180</w:t>
      </w:r>
      <w:r w:rsidRPr="00D74025">
        <w:rPr>
          <w:rFonts w:ascii="Arial" w:hAnsi="Arial" w:cs="Arial"/>
          <w:color w:val="000000" w:themeColor="text1"/>
        </w:rPr>
        <w:fldChar w:fldCharType="end"/>
      </w:r>
      <w:r w:rsidRPr="00D74025">
        <w:rPr>
          <w:rFonts w:ascii="Arial" w:hAnsi="Arial" w:cs="Arial"/>
          <w:color w:val="000000" w:themeColor="text1"/>
        </w:rPr>
        <w:t>.</w:t>
      </w:r>
    </w:p>
    <w:p w14:paraId="201F1DB3" w14:textId="2B712E2F" w:rsidR="00F2252F" w:rsidRPr="00D74025" w:rsidRDefault="00FF3838" w:rsidP="00FF3838">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Immunotherapy is another strategy to target TNBC. Due to the importance of immune checkpoint inhibition in this work, immunotherapy in TNBC will be discussed later in this text (</w:t>
      </w:r>
      <w:r w:rsidRPr="0089722B">
        <w:rPr>
          <w:rFonts w:ascii="Arial" w:hAnsi="Arial" w:cs="Arial"/>
          <w:color w:val="000000" w:themeColor="text1"/>
        </w:rPr>
        <w:t>see section 1.4.2 – Immunotherapy</w:t>
      </w:r>
      <w:r w:rsidRPr="00D74025">
        <w:rPr>
          <w:rFonts w:ascii="Arial" w:hAnsi="Arial" w:cs="Arial"/>
          <w:color w:val="000000" w:themeColor="text1"/>
        </w:rPr>
        <w:t>).</w:t>
      </w:r>
    </w:p>
    <w:p w14:paraId="2766E2A5" w14:textId="2A10620D" w:rsidR="00386FDE" w:rsidRPr="00D74025" w:rsidRDefault="00386FDE" w:rsidP="00386FDE">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Even though tremendous improvements have been achieved in the last few years due to the development of new targeted strategies, a targeting strategy that would be effective for most TNBCs has</w:t>
      </w:r>
      <w:r w:rsidR="00CB50D0">
        <w:rPr>
          <w:rFonts w:ascii="Arial" w:hAnsi="Arial" w:cs="Arial"/>
          <w:color w:val="000000" w:themeColor="text1"/>
        </w:rPr>
        <w:t xml:space="preserve"> not</w:t>
      </w:r>
      <w:r w:rsidRPr="00D74025">
        <w:rPr>
          <w:rFonts w:ascii="Arial" w:hAnsi="Arial" w:cs="Arial"/>
          <w:color w:val="000000" w:themeColor="text1"/>
        </w:rPr>
        <w:t xml:space="preserve"> been developed. PS targeting is a promising approach since most of the cancer cells, tumor vasculature, and metastatic cancer cells in TNBC express PS on the outer leaflet of the plasma membrane.</w:t>
      </w:r>
    </w:p>
    <w:p w14:paraId="5EFFBA12" w14:textId="49B1D4B4" w:rsidR="00ED34E5" w:rsidRPr="00D74025" w:rsidRDefault="00ED34E5" w:rsidP="00ED34E5">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 xml:space="preserve">Accordingly, the alarming statistics related to triple-negative breast cancer give a tangible perspective on how the lack of targeted therapies forsakes the hope of patients diagnosed with this disease. It also strongly compels the urge for the development of targeted therapies. When triple-negative breast cancer </w:t>
      </w:r>
      <w:r w:rsidR="00CB50D0">
        <w:rPr>
          <w:rFonts w:ascii="Arial" w:hAnsi="Arial" w:cs="Arial"/>
          <w:color w:val="000000" w:themeColor="text1"/>
        </w:rPr>
        <w:t>has</w:t>
      </w:r>
      <w:r w:rsidRPr="00D74025">
        <w:rPr>
          <w:rFonts w:ascii="Arial" w:hAnsi="Arial" w:cs="Arial"/>
          <w:color w:val="000000" w:themeColor="text1"/>
        </w:rPr>
        <w:t xml:space="preserve"> metastasized, the chances of survival are even smaller. In this work, we studied a TNBC-targeted treatment that not only may be able to treat primary tumors but also generate a systemic immune response against metastatic breast cancer. The use of </w:t>
      </w:r>
      <w:r w:rsidR="00CB50D0">
        <w:rPr>
          <w:rFonts w:ascii="Arial" w:hAnsi="Arial" w:cs="Arial"/>
          <w:color w:val="000000" w:themeColor="text1"/>
        </w:rPr>
        <w:t>a</w:t>
      </w:r>
      <w:r w:rsidRPr="00D74025">
        <w:rPr>
          <w:rFonts w:ascii="Arial" w:hAnsi="Arial" w:cs="Arial"/>
          <w:color w:val="000000" w:themeColor="text1"/>
        </w:rPr>
        <w:t xml:space="preserve">nnexin A5 (ANXA5) as a targeting protein for TNBC is promising, and the use of ablation techniques in combination with immune system modulation molecules is favorable for a systemic anti-cancer response. </w:t>
      </w:r>
    </w:p>
    <w:p w14:paraId="7639AD6A" w14:textId="278AF9D7" w:rsidR="002E1122" w:rsidRDefault="002E1122" w:rsidP="00B55474">
      <w:pPr>
        <w:spacing w:line="360" w:lineRule="auto"/>
        <w:rPr>
          <w:rFonts w:ascii="Arial" w:hAnsi="Arial" w:cs="Arial"/>
          <w:color w:val="000000" w:themeColor="text1"/>
        </w:rPr>
      </w:pPr>
    </w:p>
    <w:p w14:paraId="199F7A36" w14:textId="16201993" w:rsidR="0089722B" w:rsidRDefault="0089722B" w:rsidP="00B55474">
      <w:pPr>
        <w:spacing w:line="360" w:lineRule="auto"/>
        <w:rPr>
          <w:rFonts w:ascii="Arial" w:hAnsi="Arial" w:cs="Arial"/>
          <w:color w:val="000000" w:themeColor="text1"/>
        </w:rPr>
      </w:pPr>
    </w:p>
    <w:p w14:paraId="6881D977" w14:textId="77777777" w:rsidR="0089722B" w:rsidRPr="00D74025" w:rsidRDefault="0089722B" w:rsidP="00B55474">
      <w:pPr>
        <w:spacing w:line="360" w:lineRule="auto"/>
        <w:rPr>
          <w:rFonts w:ascii="Arial" w:hAnsi="Arial" w:cs="Arial"/>
          <w:color w:val="000000" w:themeColor="text1"/>
        </w:rPr>
      </w:pPr>
    </w:p>
    <w:p w14:paraId="7948DEA2" w14:textId="59A119DC" w:rsidR="008658E4" w:rsidRPr="0064498B" w:rsidRDefault="008658E4" w:rsidP="0064498B">
      <w:pPr>
        <w:pStyle w:val="Heading2"/>
        <w:ind w:firstLine="0"/>
        <w:rPr>
          <w:rFonts w:ascii="Arial" w:eastAsiaTheme="minorHAnsi" w:hAnsi="Arial" w:cs="Arial"/>
          <w:b/>
          <w:bCs/>
          <w:color w:val="000000" w:themeColor="text1"/>
          <w:sz w:val="28"/>
          <w:szCs w:val="28"/>
          <w:u w:val="single"/>
        </w:rPr>
      </w:pPr>
      <w:bookmarkStart w:id="38" w:name="_Toc87466641"/>
      <w:bookmarkStart w:id="39" w:name="_Toc121217233"/>
      <w:r w:rsidRPr="00D74025">
        <w:rPr>
          <w:rFonts w:ascii="Arial" w:eastAsiaTheme="minorHAnsi" w:hAnsi="Arial" w:cs="Arial"/>
          <w:b/>
          <w:bCs/>
          <w:color w:val="000000" w:themeColor="text1"/>
          <w:sz w:val="28"/>
          <w:szCs w:val="28"/>
          <w:u w:val="single"/>
        </w:rPr>
        <w:lastRenderedPageBreak/>
        <w:t>1.4 N</w:t>
      </w:r>
      <w:r w:rsidR="00EF5169" w:rsidRPr="00D74025">
        <w:rPr>
          <w:rFonts w:ascii="Arial" w:eastAsiaTheme="minorHAnsi" w:hAnsi="Arial" w:cs="Arial"/>
          <w:b/>
          <w:bCs/>
          <w:color w:val="000000" w:themeColor="text1"/>
          <w:sz w:val="28"/>
          <w:szCs w:val="28"/>
          <w:u w:val="single"/>
        </w:rPr>
        <w:t xml:space="preserve">ovel strategies for </w:t>
      </w:r>
      <w:r w:rsidR="0081453F" w:rsidRPr="00D74025">
        <w:rPr>
          <w:rFonts w:ascii="Arial" w:eastAsiaTheme="minorHAnsi" w:hAnsi="Arial" w:cs="Arial"/>
          <w:b/>
          <w:bCs/>
          <w:color w:val="000000" w:themeColor="text1"/>
          <w:sz w:val="28"/>
          <w:szCs w:val="28"/>
          <w:u w:val="single"/>
        </w:rPr>
        <w:t>c</w:t>
      </w:r>
      <w:r w:rsidR="00EF5169" w:rsidRPr="00D74025">
        <w:rPr>
          <w:rFonts w:ascii="Arial" w:eastAsiaTheme="minorHAnsi" w:hAnsi="Arial" w:cs="Arial"/>
          <w:b/>
          <w:bCs/>
          <w:color w:val="000000" w:themeColor="text1"/>
          <w:sz w:val="28"/>
          <w:szCs w:val="28"/>
          <w:u w:val="single"/>
        </w:rPr>
        <w:t>ancer treatment</w:t>
      </w:r>
      <w:bookmarkEnd w:id="38"/>
      <w:bookmarkEnd w:id="39"/>
    </w:p>
    <w:p w14:paraId="63D61B35" w14:textId="4A5ACAB2" w:rsidR="00EF5169" w:rsidRPr="00D74025" w:rsidRDefault="00EF5169" w:rsidP="0062069B">
      <w:pPr>
        <w:pStyle w:val="Heading3"/>
        <w:ind w:firstLine="1440"/>
        <w:rPr>
          <w:rFonts w:ascii="Arial" w:hAnsi="Arial" w:cs="Arial"/>
          <w:b/>
          <w:bCs/>
          <w:color w:val="000000" w:themeColor="text1"/>
          <w:sz w:val="20"/>
          <w:szCs w:val="20"/>
        </w:rPr>
      </w:pPr>
      <w:bookmarkStart w:id="40" w:name="_Toc87466642"/>
      <w:bookmarkStart w:id="41" w:name="_Toc121217234"/>
      <w:r w:rsidRPr="00D74025">
        <w:rPr>
          <w:rFonts w:ascii="Arial" w:hAnsi="Arial" w:cs="Arial"/>
          <w:b/>
          <w:bCs/>
          <w:color w:val="000000" w:themeColor="text1"/>
        </w:rPr>
        <w:t>1</w:t>
      </w:r>
      <w:r w:rsidRPr="00D74025">
        <w:rPr>
          <w:rFonts w:ascii="Arial" w:hAnsi="Arial" w:cs="Arial"/>
          <w:b/>
          <w:bCs/>
          <w:color w:val="000000" w:themeColor="text1"/>
          <w:sz w:val="20"/>
          <w:szCs w:val="20"/>
        </w:rPr>
        <w:t>.</w:t>
      </w:r>
      <w:r w:rsidRPr="00D74025">
        <w:rPr>
          <w:rFonts w:ascii="Arial" w:hAnsi="Arial" w:cs="Arial"/>
          <w:b/>
          <w:bCs/>
          <w:color w:val="000000" w:themeColor="text1"/>
        </w:rPr>
        <w:t xml:space="preserve">4.1 Photothermal </w:t>
      </w:r>
      <w:r w:rsidR="000F4D52">
        <w:rPr>
          <w:rFonts w:ascii="Arial" w:hAnsi="Arial" w:cs="Arial"/>
          <w:b/>
          <w:bCs/>
          <w:color w:val="000000" w:themeColor="text1"/>
        </w:rPr>
        <w:t>t</w:t>
      </w:r>
      <w:r w:rsidRPr="00D74025">
        <w:rPr>
          <w:rFonts w:ascii="Arial" w:hAnsi="Arial" w:cs="Arial"/>
          <w:b/>
          <w:bCs/>
          <w:color w:val="000000" w:themeColor="text1"/>
        </w:rPr>
        <w:t>herapy</w:t>
      </w:r>
      <w:bookmarkEnd w:id="40"/>
      <w:bookmarkEnd w:id="41"/>
    </w:p>
    <w:p w14:paraId="21EC5640" w14:textId="6D57C506" w:rsidR="005046F4" w:rsidRPr="00D74025" w:rsidRDefault="005046F4" w:rsidP="005046F4">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 xml:space="preserve">The use of heat in cancer treatment, also called </w:t>
      </w:r>
      <w:proofErr w:type="spellStart"/>
      <w:r w:rsidRPr="00D74025">
        <w:rPr>
          <w:rFonts w:ascii="Arial" w:hAnsi="Arial" w:cs="Arial"/>
          <w:color w:val="000000" w:themeColor="text1"/>
        </w:rPr>
        <w:t>thermoablation</w:t>
      </w:r>
      <w:proofErr w:type="spellEnd"/>
      <w:r w:rsidRPr="00D74025">
        <w:rPr>
          <w:rFonts w:ascii="Arial" w:hAnsi="Arial" w:cs="Arial"/>
          <w:color w:val="000000" w:themeColor="text1"/>
        </w:rPr>
        <w:t>, has been explored extensively and aims at destroying the tumor without damage to the surrounding tissue</w:t>
      </w:r>
      <w:r w:rsidRPr="00D74025">
        <w:rPr>
          <w:rFonts w:ascii="Arial" w:hAnsi="Arial" w:cs="Arial"/>
          <w:color w:val="000000" w:themeColor="text1"/>
        </w:rPr>
        <w:fldChar w:fldCharType="begin" w:fldLock="1"/>
      </w:r>
      <w:r w:rsidR="000F4F53">
        <w:rPr>
          <w:rFonts w:ascii="Arial" w:hAnsi="Arial" w:cs="Arial"/>
          <w:color w:val="000000" w:themeColor="text1"/>
        </w:rPr>
        <w:instrText xml:space="preserve"> ADDIN ZOTERO_ITEM CSL_CITATION {"citationID":"s0pJJf1t","properties":{"formattedCitation":"\\super 181\\uc0\\u8211{}183\\nosupersub{}","plainCitation":"181–183","noteIndex":0},"citationItems":[{"id":"a7Mi7BUu/nEzZig8k","uris":["http://www.mendeley.com/documents/?uuid=82907c9c-7fac-478d-83e1-ad7b662d59cb"],"itemData":{"DOI":"10.1021/acsnano.5b02014","ISSN":"1936086X","abstract":"A dendritic cell (DC) vaccine, which is based on efficient antigen delivery into DCs and migration of antigen-pulsed DCs to draining lymph nodes after vaccination, is an effective strategy in initiating CD8&lt;sup&gt;+&lt;/sup&gt; T cell immunity for immunotherapy. Herein, antigen-loaded upconversion nanoparticles (UCNPs) are used to label and stimulate DCs, which could be precisely tracked after being injected into animals and induce an antigen-specific immune response. It is discovered that a model antigen, ovalbumin (OVA), could be adsorbed on the surface of dual-polymer-coated UCNPs via electrostatic interaction, forming nanoparticle-antigen complexes, which are efficiently engulfed by DCs and induce DC maturation and cytokine release. Highly sensitive in vivo upconversion luminescence (UCL) imaging of nanoparticle-labeled DCs is successfully carried out, observing the homing of DCs to draining lymph nodes after injection. In addition, strong antigen-specific immune responses including enhanced T cell proliferation, interferon gamma (IFN) production, and cytotoxic T lymphocyte (CTL)-mediated responses are induced by a nanoparticle-pulsed DC vaccine, which is promising for DC-based immunotherapy potentially against cancer.","author":[{"dropping-particle":"","family":"Xiang","given":"Jian","non-dropping-particle":"","parse-names":false,"suffix":""},{"dropping-particle":"","family":"Xu","given":"Ligeng","non-dropping-particle":"","parse-names":false,"suffix":""},{"dropping-particle":"","family":"Gong","given":"Hua","non-dropping-particle":"","parse-names":false,"suffix":""},{"dropping-particle":"","family":"Zhu","given":"Wenwen","non-dropping-particle":"","parse-names":false,"suffix":""},{"dropping-particle":"","family":"Wang","given":"Chao","non-dropping-particle":"","parse-names":false,"suffix":""},{"dropping-particle":"","family":"Xu","given":"Jun","non-dropping-particle":"","parse-names":false,"suffix":""},{"dropping-particle":"","family":"Feng","given":"Liangzhu","non-dropping-particle":"","parse-names":false,"suffix":""},{"dropping-particle":"","family":"Cheng","given":"Liang","non-dropping-particle":"","parse-names":false,"suffix":""},{"dropping-particle":"","family":"Peng","given":"Rui","non-dropping-particle":"","parse-names":false,"suffix":""},{"dropping-particle":"","family":"Liu","given":"Zhuang","non-dropping-particle":"","parse-names":false,"suffix":""}],"container-title":"ACS Nano","id":"ITEM-1","issue":"6","issued":{"date-parts":[["2015"]]},"page":"6401-6411","title":"Antigen-Loaded Upconversion Nanoparticles for Dendritic Cell Stimulation, Tracking, and Vaccination in Dendritic Cell-Based Immunotherapy","type":"article-journal","volume":"9"}},{"id":"a7Mi7BUu/NGc59Nfq","uris":["http://www.mendeley.com/documents/?uuid=12d91321-a356-40c4-8422-46c40f249d8a"],"itemData":{"DOI":"10.3390/ma12050779","ISSN":"19961944","abstract":"As a result of their unique compositions and properties, nanomaterials have recently seen a tremendous increase in use for novel cancer therapies. By taking advantage of the optical absorption of near-infrared light, researchers have utilized nanostructures such as carbon nanotubes, gold nanorods, and graphene oxide sheets to enhance photothermal therapies and target the effect on the tumor tissue. However, new uses for nanomaterials in targeted cancer therapy are coming to light, and the efficacy of photothermal therapy has increased dramatically. In this work, we review some of the current applications of nanomaterials to enhance photothermal therapy, specifically as photothermal absorbers, drug delivery vehicles, photoimmunological agents, and theranostic tools.","author":[{"dropping-particle":"","family":"Doughty","given":"Austin C.V.","non-dropping-particle":"","parse-names":false,"suffix":""},{"dropping-particle":"","family":"Hoover","given":"Ashley R.","non-dropping-particle":"","parse-names":false,"suffix":""},{"dropping-particle":"","family":"Layton","given":"Elivia","non-dropping-particle":"","parse-names":false,"suffix":""},{"dropping-particle":"","family":"Murray","given":"Cynthia K.","non-dropping-particle":"","parse-names":false,"suffix":""},{"dropping-particle":"","family":"Howard","given":"Eric W.","non-dropping-particle":"","parse-names":false,"suffix":""},{"dropping-particle":"","family":"Chen","given":"Wei R.","non-dropping-particle":"","parse-names":false,"suffix":""}],"container-title":"Materials","id":"ITEM-2","issue":"5","issued":{"date-parts":[["2019"]]},"title":"Nanomaterial applications in photothermal therapy for cancer","type":"article-journal","volume":"12"}},{"id":"a7Mi7BUu/RDDvw20s","uris":["http://www.mendeley.com/documents/?uuid=8875a8a2-d26a-4031-aeca-cc01431b752f"],"itemData":{"DOI":"10.1002/adhm.201700073","ISSN":"21922659","abstract":"The deployment of hyperthermia-based treatments for cancer therapy has captured the attention of different researchers worldwide. In particular, the application of light-responsive nanomaterials to mediate hyperthermia has revealed promising results in several pre-clinical assays. Unlike conventional therapies, these nanostructures can display a preferential tumor accumulation and thus mediate, upon irradiation with near-infrared light, a selective hyperthermic effect with temporal resolution. Different types of nanomaterials such as those based on gold, carbon, copper, molybdenum, tungsten, iron, palladium and conjugated polymers have been used for this photothermal modality. This progress report summarizes the different strategies that have been applied so far for increasing the efficacy of the photothermal therapeutic effect mediated by nanomaterials, namely those that improve the accumulation of nanomaterials in tumors (e.g. by changing the corona composition or through the functionalization with targeting ligands), increase nanomaterials' intrinsic capacity to generate photoinduced heat (e.g. by synthesizing new nanomaterials or assembling nanostructures) or by optimizing the parameters related to the laser light used in the irradiation process (e.g. by modulating the radiation wavelength). Overall, the development of new strategies or the optimization and combination of the existing ones will surely give a major contribution for the application of nanomaterials in cancer PTT.","author":[{"dropping-particle":"","family":"Melo-Diogo","given":"Duarte","non-dropping-particle":"de","parse-names":false,"suffix":""},{"dropping-particle":"","family":"Pais-Silva","given":"Cleide","non-dropping-particle":"","parse-names":false,"suffix":""},{"dropping-particle":"","family":"Dias","given":"Diana R.","non-dropping-particle":"","parse-names":false,"suffix":""},{"dropping-particle":"","family":"Moreira","given":"André F.","non-dropping-particle":"","parse-names":false,"suffix":""},{"dropping-particle":"","family":"Correia","given":"Ilídio J.","non-dropping-particle":"","parse-names":false,"suffix":""}],"container-title":"Advanced Healthcare Materials","id":"ITEM-3","issue":"10","issued":{"date-parts":[["2017"]]},"title":"Strategies to Improve Cancer Photothermal Therapy Mediated by Nanomaterials","type":"article-journal","volume":"6"}}],"schema":"https://github.com/citation-style-language/schema/raw/master/csl-citation.json"}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181–183</w:t>
      </w:r>
      <w:r w:rsidRPr="00D74025">
        <w:rPr>
          <w:rFonts w:ascii="Arial" w:hAnsi="Arial" w:cs="Arial"/>
          <w:color w:val="000000" w:themeColor="text1"/>
        </w:rPr>
        <w:fldChar w:fldCharType="end"/>
      </w:r>
      <w:r w:rsidRPr="00D74025">
        <w:rPr>
          <w:rFonts w:ascii="Arial" w:hAnsi="Arial" w:cs="Arial"/>
          <w:color w:val="000000" w:themeColor="text1"/>
        </w:rPr>
        <w:t xml:space="preserve">. Photothermal therapy (PTT) is an irradiation-based </w:t>
      </w:r>
      <w:proofErr w:type="spellStart"/>
      <w:r w:rsidRPr="00D74025">
        <w:rPr>
          <w:rFonts w:ascii="Arial" w:hAnsi="Arial" w:cs="Arial"/>
          <w:color w:val="000000" w:themeColor="text1"/>
        </w:rPr>
        <w:t>thermoablation</w:t>
      </w:r>
      <w:proofErr w:type="spellEnd"/>
      <w:r w:rsidRPr="00D74025">
        <w:rPr>
          <w:rFonts w:ascii="Arial" w:hAnsi="Arial" w:cs="Arial"/>
          <w:color w:val="000000" w:themeColor="text1"/>
        </w:rPr>
        <w:t xml:space="preserve">, using photons from the near-infrared range (750 – 1350 nm) to illuminate a pertinent area. The PTT-mediated hyperthermia induces tissue damage in temperatures </w:t>
      </w:r>
      <w:r w:rsidR="00CB50D0">
        <w:rPr>
          <w:rFonts w:ascii="Arial" w:hAnsi="Arial" w:cs="Arial"/>
          <w:color w:val="000000" w:themeColor="text1"/>
        </w:rPr>
        <w:t>greater than</w:t>
      </w:r>
      <w:r w:rsidRPr="00D74025">
        <w:rPr>
          <w:rFonts w:ascii="Arial" w:hAnsi="Arial" w:cs="Arial"/>
          <w:color w:val="000000" w:themeColor="text1"/>
        </w:rPr>
        <w:t xml:space="preserve"> to 41ºC </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{"citationID":"6srnNe4I","properties":{"formattedCitation":"\\super 184\\nosupersub{}","plainCitation":"184","noteIndex":0},"citationItems":[{"id":398,"uris":["http://zotero.org/users/7661987/items/STV9LYXE"],"itemData":{"id":398,"type":"article-journal","abstract":"The present study aimed to investigate heatinginduced alterations of breast cancer cell invasion abilities and the potential mechanisms associated with TGF-ß1 expression. MCF-7 cells were heated at 43, 45, 47 and 37˚C for 30 min. In vitro cell invasion ability was evaluated by matrigel invasion assay. The activity of matrix metalloproteinase (MMP)-2/9 was investigated by gelatin zymographic assays. Expression of vascular endothelial growth factor (VEGF) and transforming growth factor-ß1 (TGF-ß1) was investigated by immunocytochemistry and RT-PCR. Apoptosis was analysed by flowcytometry. The invasive potential of MCF-7 cells was reduced by heating, and MMP-2/9 secretion and enzymatic activity were suppressed. Furthermore, VEGF and TGF-ß1 mRNA and proteins were suppressed by hyperthermia. These results suggest that down-regulation of the expression of TGF-ß1, EGF and MMPs by hyperthermia probably accounts for the inhibition of the invasive abilities of MCF-7 cells.","container-title":"Oncology Reports","DOI":"10.3892/or.2011.1240","ISSN":"1021-335X, 1791-2431","journalAbbreviation":"Oncol Rep","language":"en","source":"DOI.org (Crossref)","title":"Effect of hyperthermia on invasion ability and TGF-β1 expression of breast carcinoma MCF-7 cells","URL":"http://www.spandidos-publications.com/10.3892/or.2011.1240","author":[{"family":"Tang","given":"Jintian"}],"accessed":{"date-parts":[["2021",11,4]]},"issued":{"date-parts":[["2011",3,29]]}}}],"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184</w:t>
      </w:r>
      <w:r w:rsidRPr="00D74025">
        <w:rPr>
          <w:rFonts w:ascii="Arial" w:hAnsi="Arial" w:cs="Arial"/>
          <w:color w:val="000000" w:themeColor="text1"/>
        </w:rPr>
        <w:fldChar w:fldCharType="end"/>
      </w:r>
      <w:r w:rsidRPr="00D74025">
        <w:rPr>
          <w:rFonts w:ascii="Arial" w:hAnsi="Arial" w:cs="Arial"/>
          <w:color w:val="000000" w:themeColor="text1"/>
        </w:rPr>
        <w:t>. Due to limitations of laser penetration and heat transfer, temperatures of 45–55ºC are necessary to ablate most of the tumor volume efficiently</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{"citationID":"BY3IAKND","properties":{"formattedCitation":"\\super 181,185\\nosupersub{}","plainCitation":"181,185","noteIndex":0},"citationItems":[{"id":"a7Mi7BUu/nEzZig8k","uris":["http://www.mendeley.com/documents/?uuid=82907c9c-7fac-478d-83e1-ad7b662d59cb"],"itemData":{"DOI":"10.1021/acsnano.5b02014","ISSN":"1936086X","abstract":"A dendritic cell (DC) vaccine, which is based on efficient antigen delivery into DCs and migration of antigen-pulsed DCs to draining lymph nodes after vaccination, is an effective strategy in initiating CD8&lt;sup&gt;+&lt;/sup&gt; T cell immunity for immunotherapy. Herein, antigen-loaded upconversion nanoparticles (UCNPs) are used to label and stimulate DCs, which could be precisely tracked after being injected into animals and induce an antigen-specific immune response. It is discovered that a model antigen, ovalbumin (OVA), could be adsorbed on the surface of dual-polymer-coated UCNPs via electrostatic interaction, forming nanoparticle-antigen complexes, which are efficiently engulfed by DCs and induce DC maturation and cytokine release. Highly sensitive in vivo upconversion luminescence (UCL) imaging of nanoparticle-labeled DCs is successfully carried out, observing the homing of DCs to draining lymph nodes after injection. In addition, strong antigen-specific immune responses including enhanced T cell proliferation, interferon gamma (IFN) production, and cytotoxic T lymphocyte (CTL)-mediated responses are induced by a nanoparticle-pulsed DC vaccine, which is promising for DC-based immunotherapy potentially against cancer.","author":[{"dropping-particle":"","family":"Xiang","given":"Jian","non-dropping-particle":"","parse-names":false,"suffix":""},{"dropping-particle":"","family":"Xu","given":"Ligeng","non-dropping-particle":"","parse-names":false,"suffix":""},{"dropping-particle":"","family":"Gong","given":"Hua","non-dropping-particle":"","parse-names":false,"suffix":""},{"dropping-particle":"","family":"Zhu","given":"Wenwen","non-dropping-particle":"","parse-names":false,"suffix":""},{"dropping-particle":"","family":"Wang","given":"Chao","non-dropping-particle":"","parse-names":false,"suffix":""},{"dropping-particle":"","family":"Xu","given":"Jun","non-dropping-particle":"","parse-names":false,"suffix":""},{"dropping-particle":"","family":"Feng","given":"Liangzhu","non-dropping-particle":"","parse-names":false,"suffix":""},{"dropping-particle":"","family":"Cheng","given":"Liang","non-dropping-particle":"","parse-names":false,"suffix":""},{"dropping-particle":"","family":"Peng","given":"Rui","non-dropping-particle":"","parse-names":false,"suffix":""},{"dropping-particle":"","family":"Liu","given":"Zhuang","non-dropping-particle":"","parse-names":false,"suffix":""}],"container-title":"ACS Nano","id":"U6R1CP1n/tqmJtOLc","issue":"6","issued":{"date-parts":[["2015"]]},"page":"6401-6411","title":"Antigen-Loaded Upconversion Nanoparticles for Dendritic Cell Stimulation, Tracking, and Vaccination in Dendritic Cell-Based Immunotherapy","type":"article-journal","volume":"9"}},{"id":399,"uris":["http://zotero.org/users/7661987/items/DP3R3X3R"],"itemData":{"id":399,"type":"article-journal","abstract":"Repeated cancer treatments are common, owing to the aggressive and resistant nature of tumors. This work presents a chitosan (CS) derivative that contains self-doped polyaniline (PANI) side chains, capable of self-assembling to form micelles and then transforming into hydrogels driven by a local change in pH. Analysis results of small-angle X-ray scattering indicate that the solegel transition of this CS derivative may provide the mechanical integrity to maintain its spatial stability in the microenvironment of solid tumors. The micelles formed in the CS hydrogel function as nanoscaled heating sources upon exposure to near-infrared light, thereby enabling the selective killing of cancer cells in a light-treated area. Additionally, photothermal efﬁcacy of the micellar hydrogel is evaluated using a tumor-bearing mouse model; hollow gold nanospheres (HGNs) are used for comparison. Given the ability of the micellar hydrogel to provide spatial stability within a solid tumor, which prevents its leakage from the injection site, the therapeutic efﬁcacy of this hydrogel, as a photothermal therapeutic agent for repeated treatments, exceeds that of nanosized HGNs. Results of this study demonstrate that this in situ-formed micellar hydrogel is a highly promising modality for repeated cancer treatments, providing a clinically viable, minimally invasive phototherapeutic option for therapeutic treatment.","container-title":"Biomaterials","DOI":"10.1016/j.biomaterials.2015.03.060","ISSN":"01429612","journalAbbreviation":"Biomaterials","language":"en","page":"26-35","source":"DOI.org (Crossref)","title":"Photothermal tumor ablation in mice with repeated therapy sessions using NIR-absorbing micellar hydrogels formed in situ","volume":"56","author":[{"family":"Hsiao","given":"Chun-Wen"},{"family":"Chuang","given":"Er-Yuan"},{"family":"Chen","given":"Hsin-Lung"},{"family":"Wan","given":"Dehui"},{"family":"Korupalli","given":"Chiranjeevi"},{"family":"Liao","given":"Zi-Xian"},{"family":"Chiu","given":"Ya-Ling"},{"family":"Chia","given":"Wei-Tso"},{"family":"Lin","given":"Kun-Ju"},{"family":"Sung","given":"Hsing-Wen"}],"issued":{"date-parts":[["2015",7]]}}}],"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181,185</w:t>
      </w:r>
      <w:r w:rsidRPr="00D74025">
        <w:rPr>
          <w:rFonts w:ascii="Arial" w:hAnsi="Arial" w:cs="Arial"/>
          <w:color w:val="000000" w:themeColor="text1"/>
        </w:rPr>
        <w:fldChar w:fldCharType="end"/>
      </w:r>
      <w:r w:rsidRPr="00D74025">
        <w:rPr>
          <w:rFonts w:ascii="Arial" w:hAnsi="Arial" w:cs="Arial"/>
          <w:color w:val="000000" w:themeColor="text1"/>
        </w:rPr>
        <w:t xml:space="preserve">. </w:t>
      </w:r>
      <w:r w:rsidRPr="00D74025">
        <w:rPr>
          <w:rFonts w:ascii="Calibri" w:hAnsi="Calibri" w:cs="Calibri"/>
          <w:color w:val="000000" w:themeColor="text1"/>
        </w:rPr>
        <w:t>﻿</w:t>
      </w:r>
      <w:r w:rsidRPr="00D74025">
        <w:rPr>
          <w:rFonts w:ascii="Arial" w:hAnsi="Arial" w:cs="Arial"/>
          <w:color w:val="000000" w:themeColor="text1"/>
        </w:rPr>
        <w:t>Temperatures around 41</w:t>
      </w:r>
      <w:r w:rsidRPr="00D74025">
        <w:rPr>
          <w:rFonts w:ascii="Arial" w:hAnsi="Arial" w:cs="Arial"/>
          <w:color w:val="000000" w:themeColor="text1"/>
        </w:rPr>
        <w:sym w:font="Symbol" w:char="F0B0"/>
      </w:r>
      <w:r w:rsidRPr="00D74025">
        <w:rPr>
          <w:rFonts w:ascii="Arial" w:hAnsi="Arial" w:cs="Arial"/>
          <w:color w:val="000000" w:themeColor="text1"/>
        </w:rPr>
        <w:t>C cause the production of heat-shock proteins, which have protective effects that alleviate the damage after thermal stress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{"citationID":"a22esjb5boi","properties":{"formattedCitation":"\\super 186\\nosupersub{}","plainCitation":"186","noteIndex":0},"citationItems":[{"id":242,"uris":["http://zotero.org/users/7661987/items/2EZND98J"],"itemData":{"id":242,"type":"article-journal","container-title":"Molecular Cell","DOI":"10.1016/j.molcel.2010.10.006","ISSN":"10972765","issue":"2","journalAbbreviation":"Molecular Cell","language":"en","page":"253-266","source":"DOI.org (Crossref)","title":"The Heat Shock Response: Life on the Verge of Death","title-short":"The Heat Shock Response","volume":"40","author":[{"family":"Richter","given":"Klaus"},{"family":"Haslbeck","given":"Martin"},{"family":"Buchner","given":"Johannes"}],"issued":{"date-parts":[["2010",10]]}}}],"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186</w:t>
      </w:r>
      <w:r w:rsidRPr="00D74025">
        <w:rPr>
          <w:rFonts w:ascii="Arial" w:hAnsi="Arial" w:cs="Arial"/>
          <w:color w:val="000000" w:themeColor="text1"/>
        </w:rPr>
        <w:fldChar w:fldCharType="end"/>
      </w:r>
      <w:r w:rsidRPr="00D74025">
        <w:rPr>
          <w:rFonts w:ascii="Arial" w:hAnsi="Arial" w:cs="Arial"/>
          <w:color w:val="000000" w:themeColor="text1"/>
        </w:rPr>
        <w:t>. The rising of tissue temperature above 42</w:t>
      </w:r>
      <w:r w:rsidRPr="00D74025">
        <w:rPr>
          <w:rFonts w:ascii="Arial" w:hAnsi="Arial" w:cs="Arial"/>
          <w:color w:val="000000" w:themeColor="text1"/>
        </w:rPr>
        <w:sym w:font="Symbol" w:char="F0B0"/>
      </w:r>
      <w:r w:rsidRPr="00D74025">
        <w:rPr>
          <w:rFonts w:ascii="Arial" w:hAnsi="Arial" w:cs="Arial"/>
          <w:color w:val="000000" w:themeColor="text1"/>
        </w:rPr>
        <w:t>C induces irreversible tissue damage. Cell necrosis happens when tissue is heated up in the range of 42-46</w:t>
      </w:r>
      <w:r w:rsidRPr="00D74025">
        <w:rPr>
          <w:rFonts w:ascii="Arial" w:hAnsi="Arial" w:cs="Arial"/>
          <w:color w:val="000000" w:themeColor="text1"/>
        </w:rPr>
        <w:sym w:font="Symbol" w:char="F0B0"/>
      </w:r>
      <w:r w:rsidRPr="00D74025">
        <w:rPr>
          <w:rFonts w:ascii="Arial" w:hAnsi="Arial" w:cs="Arial"/>
          <w:color w:val="000000" w:themeColor="text1"/>
        </w:rPr>
        <w:t xml:space="preserve"> for 10 min. Microvascular thrombosis and ischemia have resulted from temperatures between 46-52</w:t>
      </w:r>
      <w:r w:rsidRPr="00D74025">
        <w:rPr>
          <w:rFonts w:ascii="Arial" w:hAnsi="Arial" w:cs="Arial"/>
          <w:color w:val="000000" w:themeColor="text1"/>
        </w:rPr>
        <w:sym w:font="Symbol" w:char="F0B0"/>
      </w:r>
      <w:r w:rsidRPr="00D74025">
        <w:rPr>
          <w:rFonts w:ascii="Arial" w:hAnsi="Arial" w:cs="Arial"/>
          <w:color w:val="000000" w:themeColor="text1"/>
        </w:rPr>
        <w:t>C. Temperatures above 60</w:t>
      </w:r>
      <w:r w:rsidRPr="00D74025">
        <w:rPr>
          <w:rFonts w:ascii="Arial" w:hAnsi="Arial" w:cs="Arial"/>
          <w:color w:val="000000" w:themeColor="text1"/>
        </w:rPr>
        <w:sym w:font="Symbol" w:char="F0B0"/>
      </w:r>
      <w:r w:rsidRPr="00D74025">
        <w:rPr>
          <w:rFonts w:ascii="Arial" w:hAnsi="Arial" w:cs="Arial"/>
          <w:color w:val="000000" w:themeColor="text1"/>
        </w:rPr>
        <w:t>C induce protein denaturation and plasma membrane destruction, resulting in instantaneous cell death</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{"citationID":"a2l624ji8vp","properties":{"formattedCitation":"\\super 187\\nosupersub{}","plainCitation":"187","noteIndex":0},"citationItems":[{"id":243,"uris":["http://zotero.org/users/7661987/items/RR6GGUU7"],"itemData":{"id":243,"type":"article-journal","abstract":"Tumor ablation is a minimally invasive technique that is commonly used in the treatment of tumors of the liver, kidney, bone, and lung. During tumor ablation, thermal energy is used to heat or cool tissue to cytotoxic levels (less than −40°C or more than 60°C). An additional technique is being developed that targets the permeability of the cell membrane and is ostensibly nonthermal. Within the classification of tumor ablation, there are several modalities used worldwide: radiofrequency, microwave, laser, high-intensity focused ultrasound, cryoablation, and irreversible electroporation. Each technique, although similar in purpose, has specific and optimal indications. This review serves to discuss general principles and technique, reviews each modality, and discusses modality selection.","container-title":"Techniques in Vascular and Interventional Radiology","DOI":"10.1053/j.tvir.2013.08.002","ISSN":"10892516","issue":"4","journalAbbreviation":"Techniques in Vascular and Interventional Radiology","language":"en","page":"192-200","source":"DOI.org (Crossref)","title":"Tumor Ablation: Common Modalities and General Practices","title-short":"Tumor Ablation","volume":"16","author":[{"family":"Knavel","given":"Erica M."},{"family":"Brace","given":"Christopher L."}],"issued":{"date-parts":[["2013",12]]}}}],"schema":"https://github.com/citation-style-language/schema/raw/master/csl-citation.json"}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187</w:t>
      </w:r>
      <w:r w:rsidRPr="00D74025">
        <w:rPr>
          <w:rFonts w:ascii="Arial" w:hAnsi="Arial" w:cs="Arial"/>
          <w:color w:val="000000" w:themeColor="text1"/>
        </w:rPr>
        <w:fldChar w:fldCharType="end"/>
      </w:r>
      <w:r w:rsidRPr="00D74025">
        <w:rPr>
          <w:rFonts w:ascii="Arial" w:hAnsi="Arial" w:cs="Arial"/>
          <w:color w:val="000000" w:themeColor="text1"/>
        </w:rPr>
        <w:t>.</w:t>
      </w:r>
    </w:p>
    <w:p w14:paraId="1E61963E" w14:textId="688FBADD" w:rsidR="00735BA0" w:rsidRPr="00D74025" w:rsidRDefault="005B5FC7" w:rsidP="005B5FC7">
      <w:pPr>
        <w:spacing w:line="360" w:lineRule="auto"/>
        <w:ind w:firstLine="1440"/>
        <w:jc w:val="both"/>
        <w:rPr>
          <w:rFonts w:ascii="Arial" w:hAnsi="Arial" w:cs="Arial"/>
          <w:color w:val="000000" w:themeColor="text1"/>
        </w:rPr>
      </w:pPr>
      <w:r w:rsidRPr="00D74025">
        <w:rPr>
          <w:rFonts w:ascii="Arial" w:hAnsi="Arial" w:cs="Arial"/>
          <w:color w:val="000000" w:themeColor="text1"/>
        </w:rPr>
        <w:t>The adoption of laser therapy for the treatment of tumors has been reported since the decade of 1960</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{"citationID":"mVsDPjTx","properties":{"formattedCitation":"\\super 188\\nosupersub{}","plainCitation":"188","noteIndex":0},"citationItems":[{"id":402,"uris":["http://zotero.org/users/7661987/items/N5BNMKNK"],"itemData":{"id":402,"type":"article-journal","container-title":"International Journal of Cancer","DOI":"10.1002/ijc.2910010402","ISSN":"00207136, 10970215","issue":"4","journalAbbreviation":"Int. J. Cancer","language":"en","page":"309-318","source":"DOI.org (Crossref)","title":"A review: Applications of the laser beam in cancer biology","title-short":"A review","volume":"1","author":[{"family":"Goldman","given":"Leon"}],"issued":{"date-parts":[["1966",7,15]]}}}],"schema":"https://github.com/citation-style-language/schema/raw/master/csl-citation.json"}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188</w:t>
      </w:r>
      <w:r w:rsidRPr="00D74025">
        <w:rPr>
          <w:rFonts w:ascii="Arial" w:hAnsi="Arial" w:cs="Arial"/>
          <w:color w:val="000000" w:themeColor="text1"/>
        </w:rPr>
        <w:fldChar w:fldCharType="end"/>
      </w:r>
      <w:r w:rsidRPr="00D74025">
        <w:rPr>
          <w:rFonts w:ascii="Arial" w:hAnsi="Arial" w:cs="Arial"/>
          <w:color w:val="000000" w:themeColor="text1"/>
        </w:rPr>
        <w:t>, but the first attempts to use this therapy strategy suffered from non-selectivity and the requirement of exceedingly high power densities to promote therapeutic results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{"citationID":"zJyB9lTG","properties":{"formattedCitation":"\\super 189\\nosupersub{}","plainCitation":"189","noteIndex":0},"citationItems":[{"id":401,"uris":["http://zotero.org/users/7661987/items/6VKYHM24"],"itemData":{"id":401,"type":"article-journal","container-title":"Lasers in Medical Science","DOI":"10.1007/BF02031380","ISSN":"0268-8921, 1435-604X","issue":"2","journalAbbreviation":"Laser Med Sci","language":"en","page":"185-193","source":"DOI.org (Crossref)","title":"Tumour ablation by laser in general surgery","volume":"5","author":[{"family":"Sultan","given":"R. A."}],"issued":{"date-parts":[["1990",6]]}}}],"schema":"https://github.com/citation-style-language/schema/raw/master/csl-citation.json"}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189</w:t>
      </w:r>
      <w:r w:rsidRPr="00D74025">
        <w:rPr>
          <w:rFonts w:ascii="Arial" w:hAnsi="Arial" w:cs="Arial"/>
          <w:color w:val="000000" w:themeColor="text1"/>
        </w:rPr>
        <w:fldChar w:fldCharType="end"/>
      </w:r>
      <w:r w:rsidRPr="00D74025">
        <w:rPr>
          <w:rFonts w:ascii="Arial" w:hAnsi="Arial" w:cs="Arial"/>
          <w:color w:val="000000" w:themeColor="text1"/>
        </w:rPr>
        <w:t>. Subsequently, adding artificial photosensitizers to improve the efficiency of photothermal therapy decreased the energy levels required for ablation and improved the targeting of diseased areas.</w:t>
      </w:r>
      <w:r w:rsidR="00735BA0" w:rsidRPr="00D74025">
        <w:rPr>
          <w:rFonts w:ascii="Calibri" w:hAnsi="Calibri" w:cs="Calibri"/>
          <w:color w:val="000000" w:themeColor="text1"/>
        </w:rPr>
        <w:t>﻿</w:t>
      </w:r>
    </w:p>
    <w:p w14:paraId="2BF20CF6" w14:textId="77777777" w:rsidR="00003D10" w:rsidRPr="00D74025" w:rsidRDefault="00003D10" w:rsidP="00003D10">
      <w:pPr>
        <w:spacing w:line="360" w:lineRule="auto"/>
        <w:ind w:firstLine="1440"/>
        <w:jc w:val="both"/>
        <w:rPr>
          <w:rFonts w:ascii="Arial" w:hAnsi="Arial" w:cs="Arial"/>
          <w:color w:val="000000" w:themeColor="text1"/>
        </w:rPr>
      </w:pPr>
      <w:r w:rsidRPr="00D74025">
        <w:rPr>
          <w:rFonts w:ascii="Arial" w:hAnsi="Arial" w:cs="Arial"/>
          <w:color w:val="000000" w:themeColor="text1"/>
        </w:rPr>
        <w:t>Tumor ablation through laser irradiation has constraints that include low cancer selectivity due to natural chromophores in healthy tissue and the need for high power density. The selectivity is only achieved with precise control of the irradiation area, which might be hindered in deep tissue tumors, where imaging techniques are required for irradiation.</w:t>
      </w:r>
    </w:p>
    <w:p w14:paraId="5759AB98" w14:textId="1FC054EB" w:rsidR="00C1199B" w:rsidRPr="00D74025" w:rsidRDefault="00C1199B" w:rsidP="00C1199B">
      <w:pPr>
        <w:spacing w:line="360" w:lineRule="auto"/>
        <w:ind w:firstLine="1440"/>
        <w:jc w:val="both"/>
        <w:rPr>
          <w:rFonts w:ascii="Calibri" w:hAnsi="Calibri" w:cs="Calibri"/>
          <w:color w:val="000000" w:themeColor="text1"/>
        </w:rPr>
      </w:pPr>
      <w:r w:rsidRPr="00D74025">
        <w:rPr>
          <w:rFonts w:ascii="Arial" w:hAnsi="Arial" w:cs="Arial"/>
          <w:color w:val="000000" w:themeColor="text1"/>
        </w:rPr>
        <w:t>Photosensitizers, also called photothermal agents, intake electromagnetic radiation in the range between visible and infrared light and convert it to heat, promoting tissue damage</w:t>
      </w:r>
      <w:r w:rsidRPr="00D74025">
        <w:rPr>
          <w:rFonts w:ascii="Arial" w:hAnsi="Arial" w:cs="Arial"/>
          <w:color w:val="000000" w:themeColor="text1"/>
        </w:rPr>
        <w:fldChar w:fldCharType="begin" w:fldLock="1"/>
      </w:r>
      <w:r w:rsidR="000F4F53">
        <w:rPr>
          <w:rFonts w:ascii="Arial" w:hAnsi="Arial" w:cs="Arial"/>
          <w:color w:val="000000" w:themeColor="text1"/>
        </w:rPr>
        <w:instrText xml:space="preserve"> ADDIN ZOTERO_ITEM CSL_CITATION {"citationID":"L5Fvj3nq","properties":{"formattedCitation":"\\super 190\\uc0\\u8211{}192\\nosupersub{}","plainCitation":"190–192","noteIndex":0},"citationItems":[{"id":"a7Mi7BUu/saZzZ98L","uris":["http://www.mendeley.com/documents/?uuid=51fa4075-38b6-359e-8171-15b2408c398e"],"itemData":{"DOI":"10.1016/j.addr.2010.09.002","ISSN":"0169409X","abstract":"Theranostics, the fusion of therapy and diagnostics for optimizing efficacy and safety of therapeutic regimes, is a growing field that is paving the way towards the goal of personalized medicine for the benefit of patients. The use of light as a remote-activation mechanism for drug delivery has received increased attention due to its advantages in highly specific spatial and temporal control of compound release. Photo-triggered theranostic constructs could facilitate an entirely new category of clinical solutions which permit early recognition of the disease by enhancing contrast in various imaging modalities followed by the tailored guidance of therapy. Finally, such theranostic agents could aid imaging modalities in monitoring response to therapy. This article reviews recent developments in the use of light-triggered theranostic agents for simultaneous imaging and photoactivation of therapeutic agents. Specifically, we discuss recent developments in the use of theranostic agents for photodynamic-, photothermal- or photo-triggered chemotherapy for several diseases. © 2010.","author":[{"dropping-particle":"","family":"Rai","given":"Prakash","non-dropping-particle":"","parse-names":false,"suffix":""},{"dropping-particle":"","family":"Mallidi","given":"Srivalleesha","non-dropping-particle":"","parse-names":false,"suffix":""},{"dropping-particle":"","family":"Zheng","given":"Xiang","non-dropping-particle":"","parse-names":false,"suffix":""},{"dropping-particle":"","family":"Rahmanzadeh","given":"Ramtin","non-dropping-particle":"","parse-names":false,"suffix":""},{"dropping-particle":"","family":"Mir","given":"Youssef","non-dropping-particle":"","parse-names":false,"suffix":""},{"dropping-particle":"","family":"Elrington","given":"Stefan","non-dropping-particle":"","parse-names":false,"suffix":""},{"dropping-particle":"","family":"Khurshid","given":"Ahmat","non-dropping-particle":"","parse-names":false,"suffix":""},{"dropping-particle":"","family":"Hasan","given":"Tayyaba","non-dropping-particle":"","parse-names":false,"suffix":""}],"container-title":"Advanced Drug Delivery Reviews","id":"ITEM-1","issued":{"date-parts":[["2010"]]},"title":"Development and applications of photo-triggered theranostic agents","type":"article"}},{"id":"a7Mi7BUu/yLOIH1zu","uris":["http://www.mendeley.com/documents/?uuid=3e3f0998-1681-4925-a65d-79337131fdca"],"itemData":{"DOI":"10.1039/c8nr07627h","ISSN":"20403372","abstract":"Nowadays, photothermal therapy (PTT) utilizing photothermal conversion agents (PTAs) to generate sufficient heat under near-infrared (NIR) light irradiation for tumor ablation has attracted extensive research attention. Despite the great advancement, the therapeutic efficacy of PTT in tumor treatment is still compromised by several obstacles, such as low photothermal conversion efficiency, poor stability of PTAs, inadequate tumor accumulation and cellular uptake, and thermal-resistance of tumors, as well as tumor recurrence and metastasis. In this review, we highlight recent advances in nanomaterials that focus on overcoming the above obstacles and thus enhancing the therapeutic outcome of PTT. PTAs with improved photothermal performance and modification strategies for efficient PTT are summarized, which are further classified into three main types, utilizing activatable PTAs, improving the local concentration of PTAs, and overcoming intrinsic drawbacks of PTT (e.g., heat shock responses). Furthermore, the limitations and challenges of nanomaterials for enhanced PTT are also discussed.","author":[{"dropping-particle":"","family":"Hu","given":"Jing Jing","non-dropping-particle":"","parse-names":false,"suffix":""},{"dropping-particle":"","family":"Cheng","given":"Ying Jia","non-dropping-particle":"","parse-names":false,"suffix":""},{"dropping-particle":"","family":"Zhang","given":"Xian Zheng","non-dropping-particle":"","parse-names":false,"suffix":""}],"container-title":"Nanoscale","id":"ITEM-2","issue":"48","issued":{"date-parts":[["2018"]]},"page":"22657-22672","publisher":"Royal Society of Chemistry","title":"Recent advances in nanomaterials for enhanced photothermal therapy of tumors","type":"article-journal","volume":"10"}},{"id":"a7Mi7BUu/zLqdGpzL","uris":["http://www.mendeley.com/documents/?uuid=b723aafc-2e11-40ec-a7d3-75b3ca98364c"],"itemData":{"DOI":"10.2147/IJN.S161031","ISSN":"11782013","abstract":"Being a non-invasive and relatively safe technique, photothermal therapy has attracted a lot of interest in the cancer treatment field. Recently, nanostructure technology has entered the forefront of cancer therapy owing to its ability to absorb near-infrared radiation as well as efficient light to heat conversion. In this study, key nanostructures for cancer therapy including gold nanoparticles, magnetite iron oxide nanoparticles, organic nanomaterials, and novel two-dimensional nanoagents such as MXenes are discussed. Furthermore, we briefly discuss the characteristics of the nanostructures of these photothermal nanomaterial agents, while focusing on how nanostructures hold potential as cancer therapies. Finally, this review offers promising insight into new cancer therapy approaches, particularly in vivo and in vitro cancer treatments.","author":[{"dropping-particle":"","family":"Hussein","given":"Essraa A.","non-dropping-particle":"","parse-names":false,"suffix":""},{"dropping-particle":"","family":"Zagho","given":"Moustafa M.","non-dropping-particle":"","parse-names":false,"suffix":""},{"dropping-particle":"","family":"Nasrallah","given":"Gheyath K.","non-dropping-particle":"","parse-names":false,"suffix":""},{"dropping-particle":"","family":"Elzatahry","given":"Ahmed A.","non-dropping-particle":"","parse-names":false,"suffix":""}],"container-title":"International Journal of Nanomedicine","id":"ITEM-3","issued":{"date-parts":[["2018"]]},"page":"2897-2906","title":"Recent advances in functional nanostructures as cancer photothermal therapy","type":"article-journal","volume":"13"}}],"schema":"https://github.com/citation-style-language/schema/raw/master/csl-citation.json"}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190–192</w:t>
      </w:r>
      <w:r w:rsidRPr="00D74025">
        <w:rPr>
          <w:rFonts w:ascii="Arial" w:hAnsi="Arial" w:cs="Arial"/>
          <w:color w:val="000000" w:themeColor="text1"/>
        </w:rPr>
        <w:fldChar w:fldCharType="end"/>
      </w:r>
      <w:r w:rsidRPr="00D74025">
        <w:rPr>
          <w:rFonts w:ascii="Arial" w:hAnsi="Arial" w:cs="Arial"/>
          <w:color w:val="000000" w:themeColor="text1"/>
        </w:rPr>
        <w:t xml:space="preserve">. Many materials have been studied for their use as photothermal </w:t>
      </w:r>
      <w:r w:rsidRPr="00D74025">
        <w:rPr>
          <w:rFonts w:ascii="Arial" w:hAnsi="Arial" w:cs="Arial"/>
          <w:color w:val="000000" w:themeColor="text1"/>
        </w:rPr>
        <w:lastRenderedPageBreak/>
        <w:t>agents. Organic compounds, such as organic dyes, porphysomes, and polymeric materials, have excellent biocompatibility and quick clearance</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{"citationID":"B7E0JvMA","properties":{"formattedCitation":"\\super 193\\uc0\\u8211{}196\\nosupersub{}","plainCitation":"193–196","noteIndex":0},"citationItems":[{"id":374,"uris":["http://zotero.org/users/7661987/items/LYNU98GI"],"itemData":{"id":374,"type":"article-journal","abstract":"Purpose Indocyanine green (ICG), an FDA-approved near infrared (NIR) dye, has potential application as a contrast agent for tumor detection. Because ICG binds strongly to plasma proteins and exhibits aqueous, photo, and thermal instability, its current applications are largely limited to monitoring blood flow. To address these issues, ICG was encapsulated and stabilized within polymeric micelles formed from the thermosensitive block copolymer Pluronic F-127, poly(ethylene oxide)-poly(propylene oxide)-poly(ethylene oxide), to increase the stability and circulation time of ICG.","container-title":"Pharmaceutical Research","DOI":"10.1007/s11095-010-0190-y","ISSN":"0724-8741, 1573-904X","issue":"9","journalAbbreviation":"Pharm Res","language":"en","page":"1900-1913","source":"DOI.org (Crossref)","title":"Evaluation of Temperature-Sensitive, Indocyanine Green-Encapsulating Micelles for Noninvasive Near-Infrared Tumor Imaging","volume":"27","author":[{"family":"Kim","given":"Tae Hee"},{"family":"Chen","given":"Yongping"},{"family":"Mount","given":"Christopher W."},{"family":"Gombotz","given":"Wayne R."},{"family":"Li","given":"Xingde"},{"family":"Pun","given":"Suzie H."}],"issued":{"date-parts":[["2010",9]]}}},{"id":373,"uris":["http://zotero.org/users/7661987/items/IAL6BUAK"],"itemData":{"id":373,"type":"article-journal","abstract":"Developing a biocompatible and efﬁcient photothermal coupling agent with appropriate size is a prerequisite for the development of near-infrared (NIR) light-induced photothermal therapy (PTT). In the present study, polyaniline nanoparticles (PANPs) with a size of 48.5 Æ 1.5 nm were fabricated and exhibited excellent dispersibility in water by a hydrothermal method and further surface functionalization by capping with F127. The developed F127-modiﬁed PANPs (F-PANPs) had a high molar extinction coefﬁcient of 8.95 Â 108 MÀ1 cmÀ1, and high NIR photothermal conversion efﬁciency of 48.5%. Furthermore, combined with NIR irradiation at 808 nm and injection of F-PANP samples, in vivo photothermal ablation of tumor with excellent treatment efﬁcacy was achieved. In vitro transmission electron microscopy (TEM) images of cells, methyl thiazolyl tetrazolium (MTT) assay, histology, and hematology studies revealed that the F-PANPs exhibit low toxicity to living systems. Therefore, F-PANPs could be used as PTT agents for ablating cancer, and the concept of developing polyaniline-based nanoparticles can serve as a platform technology for the next generation of in vivo PTT agents.","container-title":"Biomaterials","DOI":"10.1016/j.biomaterials.2013.08.075","ISSN":"01429612","issue":"37","journalAbbreviation":"Biomaterials","language":"en","page":"9584-9592","source":"DOI.org (Crossref)","title":"NIR photothermal therapy using polyaniline nanoparticles","volume":"34","author":[{"family":"Zhou","given":"Jing"},{"family":"Lu","given":"Zhigao"},{"family":"Zhu","given":"Xingjun"},{"family":"Wang","given":"Xuejiao"},{"family":"Liao","given":"Yi"},{"family":"Ma","given":"Zhanfang"},{"family":"Li","given":"Fuyou"}],"issued":{"date-parts":[["2013",12]]}}},{"id":371,"uris":["http://zotero.org/users/7661987/items/HW58FF6M"],"itemData":{"id":371,"type":"article-journal","abstract":"In this study, we engineered liposomal indocyanine green (ICG) to maximize its photothermal e</w:instrText>
      </w:r>
      <w:r w:rsidR="000F4F53">
        <w:rPr>
          <w:rFonts w:ascii="Cambria Math" w:hAnsi="Cambria Math" w:cs="Cambria Math"/>
          <w:color w:val="000000" w:themeColor="text1"/>
        </w:rPr>
        <w:instrText>ﬀ</w:instrText>
      </w:r>
      <w:r w:rsidR="000F4F53">
        <w:rPr>
          <w:rFonts w:ascii="Arial" w:hAnsi="Arial" w:cs="Arial"/>
          <w:color w:val="000000" w:themeColor="text1"/>
        </w:rPr>
        <w:instrText>ects while maintaining the ﬂuorescence intensity. Various liposomal formulations of ICG were prepared by varying the lipid composition and the molar ratio between total lipid and ICG, and their photothermal characteristics were evaluated under near-infrared irradiation. We showed that the ICG dispersity in the liposomal membrane and its physical interaction with phospholipids were the main factors determining the photothermal conversion e</w:instrText>
      </w:r>
      <w:r w:rsidR="000F4F53">
        <w:rPr>
          <w:rFonts w:ascii="Cambria Math" w:hAnsi="Cambria Math" w:cs="Cambria Math"/>
          <w:color w:val="000000" w:themeColor="text1"/>
        </w:rPr>
        <w:instrText>ﬃ</w:instrText>
      </w:r>
      <w:r w:rsidR="000F4F53">
        <w:rPr>
          <w:rFonts w:ascii="Arial" w:hAnsi="Arial" w:cs="Arial"/>
          <w:color w:val="000000" w:themeColor="text1"/>
        </w:rPr>
        <w:instrText>ciency. In phototherapeutic studies, the optimized formulation of liposomal ICG showed greater anticancer e</w:instrText>
      </w:r>
      <w:r w:rsidR="000F4F53">
        <w:rPr>
          <w:rFonts w:ascii="Cambria Math" w:hAnsi="Cambria Math" w:cs="Cambria Math"/>
          <w:color w:val="000000" w:themeColor="text1"/>
        </w:rPr>
        <w:instrText>ﬀ</w:instrText>
      </w:r>
      <w:r w:rsidR="000F4F53">
        <w:rPr>
          <w:rFonts w:ascii="Arial" w:hAnsi="Arial" w:cs="Arial"/>
          <w:color w:val="000000" w:themeColor="text1"/>
        </w:rPr>
        <w:instrText>ects in a mouse tumor model compared with other liposomal formulations and the free form of ICG. Furthermore, we utilized liposomal ICG to visualize the metastatic lymph node around the primary tumor under ﬂuorescence imaging guidance and ablate the lymph node with the enhanced photothermal e</w:instrText>
      </w:r>
      <w:r w:rsidR="000F4F53">
        <w:rPr>
          <w:rFonts w:ascii="Cambria Math" w:hAnsi="Cambria Math" w:cs="Cambria Math"/>
          <w:color w:val="000000" w:themeColor="text1"/>
        </w:rPr>
        <w:instrText>ﬀ</w:instrText>
      </w:r>
      <w:r w:rsidR="000F4F53">
        <w:rPr>
          <w:rFonts w:ascii="Arial" w:hAnsi="Arial" w:cs="Arial"/>
          <w:color w:val="000000" w:themeColor="text1"/>
        </w:rPr>
        <w:instrText xml:space="preserve">ect, indicating the potential for selective treatment of metastatic lymph node.","container-title":"ACS Applied Materials &amp; Interfaces","DOI":"10.1021/acsami.6b16801","ISSN":"1944-8244, 1944-8252","issue":"7","journalAbbreviation":"ACS Appl. Mater. Interfaces","language":"en","page":"5683-5691","source":"DOI.org (Crossref)","title":"Liposomal Indocyanine Green for Enhanced Photothermal Therapy","volume":"9","author":[{"family":"Yoon","given":"Hwan-Jun"},{"family":"Lee","given":"Hye-Seong"},{"family":"Lim","given":"Ji-Young"},{"family":"Park","given":"Ji-Ho"}],"issued":{"date-parts":[["2017",2,22]]}}},{"id":366,"uris":["http://zotero.org/users/7661987/items/BKPKUHS4"],"itemData":{"id":366,"type":"article-journal","abstract":"Melanin-like, coordination polyphenols and NIR-II-responsive PTAs are introduced for PTT treatments with photodynamic, ferroptosis, and immune therapies for overcoming cancer multidrug resistance, metastasis and relapse. Mild/low-temperature PTT should be implemented with real clinical potentials.\n          , \n            \n              Over the past decades, near infrared light (NIR)-sensitive photothermal agents (PTAs) that can efficiently absorb light and generate heat have been investigated worldwide for cancer photothermal therapy (PTT) and the combination treatments, which have some peculiar advantages including spatiotemporal targeting, the ability-to-reverse multidrug resistance, the immunity-stimulating function, and the synergistic effect in combination treatments. In this review, we first focus on emerging melanin-like polymers and coordination polyphenol polymer-based PTAs that hold transition potential because of their facile synthesis and good biocompatibility/biodegradability. We briefly introduce polymeric PTAs for emerging NIR-II (1000–1700 nm) PTT in deep tumors to overcome shallow penetration depth and threshold irradiation intensity of NIR-I (700–900 nm). Then we discuss polymeric PTAs for combination PTT treatments with photodynamic therapy (PDT), ferroptosis therapy (ferrotherapy), and immunotherapy, which are intensively studied for achieving anticancer synergistic effects. Finally, we discuss those polymeric PTAs for reversing cancer multidrug resistance and for mild/low-temperature PTT (43 °C ≤\n              T\n              &lt; 50 °C) in contrast to conventional high-temperature PTT (&gt;50 °C). The polymeric PTA-based PTT and the combination treatments are still being developed in the early stage and need much more effort before potential clinical transitions and applications.","container-title":"Journal of Materials Chemistry B","DOI":"10.1039/D0TB02659J","ISSN":"2050-750X, 2050-7518","issue":"6","journalAbbreviation":"J. Mater. Chem. B","language":"en","page":"1478-1490","source":"DOI.org (Crossref)","title":"Polymeric photothermal agents for cancer therapy: recent progress and clinical potential","title-short":"Polymeric photothermal agents for cancer therapy","volume":"9","author":[{"family":"Du","given":"Chang"},{"family":"Wu","given":"Xingjie"},{"family":"He","given":"Meng"},{"family":"Zhang","given":"Yongming"},{"family":"Zhang","given":"Rong"},{"family":"Dong","given":"Chang-Ming"}],"issued":{"date-parts":[["2021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193–196</w:t>
      </w:r>
      <w:r w:rsidRPr="00D74025">
        <w:rPr>
          <w:rFonts w:ascii="Arial" w:hAnsi="Arial" w:cs="Arial"/>
          <w:color w:val="000000" w:themeColor="text1"/>
        </w:rPr>
        <w:fldChar w:fldCharType="end"/>
      </w:r>
      <w:r w:rsidRPr="00D74025">
        <w:rPr>
          <w:rFonts w:ascii="Arial" w:hAnsi="Arial" w:cs="Arial"/>
          <w:color w:val="000000" w:themeColor="text1"/>
        </w:rPr>
        <w:t>. Nonetheless, those compounds suffer from low efficiency in transforming light into heat and photobleaching before applying the NIR irradiation on the tumor. Inorganic photosensitizers, such as carbon, gold, phosphorus, and copper-based nanoparticles, have also been used as mediators of PTT</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{"citationID":"e3FlTRYB","properties":{"formattedCitation":"\\super 197\\uc0\\u8211{}200\\nosupersub{}","plainCitation":"197–200","noteIndex":0},"citationItems":[{"id":370,"uris":["http://zotero.org/users/7661987/items/GUS82NAJ"],"itemData":{"id":370,"type":"article-journal","abstract":"Aims: Copper sulfide (CuS) nanoparticles were developed as a new type of agent for photothermal ablation of cancer cells. Materials &amp; methods: CuS nanoparticles were synthesized by wet chemistry and their application in photothermal ablation of tumor cells was tested by irradiation using a near-infrared (NIR) laser beam at 808 nm to elevate the temperature of aqueous solutions of CuS nanoparticles as a function of exposure time and nanoparticle concentration. CuS nanoparticle-mediated photothermal destruction was evaluated using human cervical cancer HeLa cells with respect to laser dose and nanoparticle concentration. Their toxicity was evaluated by the 3-[4,5-dimethylthiazol-2-yl]-2,5-diphenyltetrazolium bromide (MTT) assay. Results: CuS nanoparticles have an optical absorption band in the NIR range with a maximum absorbance at 900 nm. Irradiation by a NIR laser beam at 808 nm resulted in an increase in the temperature of the CuS nanoparticle aqueous solution as a function of exposure time and nanoparticle concentration. CuS nanoparticle-induced photothermal destruction of HeLa cells occured in a laser dose- and nanoparticle concentration-dependent manner, and displayed minimal cytotoxic effects with a profile similar to that of gold nanoparticles. Conclusion: Owing to their unique optical property, small size, low cost of production and low cytotoxicity, CuS nanoparticles are promising new nanomaterials for cancer photothermal ablation therapy.","container-title":"Nanomedicine","DOI":"10.2217/nnm.10.85","ISSN":"1743-5889, 1748-6963","issue":"8","journalAbbreviation":"Nanomedicine","language":"en","page":"1161-1171","source":"DOI.org (Crossref)","title":"Copper sulfide nanoparticles for photothermal ablation of tumor cells","volume":"5","author":[{"family":"Li","given":"Yuebin"},{"family":"Lu","given":"Wei"},{"family":"Huang","given":"Qian"},{"family":"Li","given":"Chun"},{"family":"Chen","given":"Wei"}],"issued":{"date-parts":[["2010",10]]}}},{"id":369,"uris":["http://zotero.org/users/7661987/items/KQ93FSMA"],"itemData":{"id":369,"type":"article-journal","abstract":"Abstract\n            \n              Photothermal therapy (PTT) offers many advantages such as high efficiency and minimal invasiveness, but clinical adoption of PTT nanoagents have been stifled by unresolved concerns such as the biodegradability as well as long-term toxicity. Herein, poly (lactic-co-glycolic acid) (PLGA) loaded with black phosphorus quantum dots (BPQDs) is processed by an emulsion method to produce biodegradable BPQDs/PLGA nanospheres. The hydrophobic PLGA not only isolates the interior BPQDs from oxygen and water to enhance the photothermal stability, but also control the degradation rate of the BPQDs. The\n              in vitro\n              and\n              in vivo\n              experiments demonstrate that the BPQDs/PLGA nanospheres have inappreciable toxicity and good biocompatibility, and possess excellent PTT efficiency and tumour targeting ability as evidenced by highly efficient tumour ablation under near infrared (NIR) laser illumination. These BP-based nanospheres combine biodegradability and biocompatibility with high PTT efficiency, thus promising high clinical potential.","container-title":"Nature Communications","DOI":"10.1038/ncomms12967","ISSN":"2041-1723","issue":"1","journalAbbreviation":"Nat Commun","language":"en","page":"12967","source":"DOI.org (Crossref)","title":"Biodegradable black phosphorus-based nanospheres for in vivo photothermal cancer therapy","volume":"7","author":[{"family":"Shao","given":"Jundong"},{"family":"Xie","given":"Hanhan"},{"family":"Huang","given":"Hao"},{"family":"Li","given":"Zhibin"},{"family":"Sun","given":"Zhengbo"},{"family":"Xu","given":"Yanhua"},{"family":"Xiao","given":"Quanlan"},{"family":"Yu","given":"Xue-Feng"},{"family":"Zhao","given":"Yuetao"},{"family":"Zhang","given":"Han"},{"family":"Wang","given":"Huaiyu"},{"family":"Chu","given":"Paul K."}],"issued":{"date-parts":[["2016",12,23]]}}},{"id":368,"uris":["http://zotero.org/users/7661987/items/54BZJJFG"],"itemData":{"id":368,"type":"article-journal","abstract":"Cancer photothermal therapy (PTT) has captured the attention of researchers worldwide due to its localized and trigger-activated therapeutic effect.\n          , \n            Cancer photothermal therapy (PTT) has captured the attention of researchers worldwide due to its localized and trigger-activated therapeutic effect. In this field, nanomaterials capable of converting the energy of the irradiation light into heat have been showing promising results in several pre-clinical and clinical assays. Such a therapeutic modality takes advantage of the innate capacity of nanomaterials to accumulate in the tumor tissue and their capacity to interact with NIR laser irradiation to exert a therapeutic effect. Therefore, several nanostructures composed of different materials and organizations for mediating a photothermal effect have been developed. In this review, the most common inorganic nanomaterials, such as gold, carbon-based materials, tungsten, copper, molybdenum, and iron oxide, which have been explored for mediating a tumor-localized photothermal effect, are summarized. Moreover, the physicochemical parameters of nanoparticles that influence the PTT effectiveness are discussed and the recent clinical advances involving inorganic nanomaterial-mediated cancer photothermal therapy are also presented.","container-title":"Biomaterials Science","DOI":"10.1039/D0BM00222D","ISSN":"2047-4830, 2047-4849","issue":"11","journalAbbreviation":"Biomater. Sci.","language":"en","page":"2990-3020","source":"DOI.org (Crossref)","title":"Overview of the application of inorganic nanomaterials in cancer photothermal therapy","volume":"8","author":[{"family":"Fernandes","given":"Natanael"},{"family":"Rodrigues","given":"Carolina F."},{"family":"Moreira","given":"André F."},{"family":"Correia","given":"Ilídio J."}],"issued":{"date-parts":[["2020"]]}}},{"id":367,"uris":["http://zotero.org/users/7661987/items/UJEQ43IU"],"itemData":{"id":367,"type":"article-journal","abstract":"Gold is a multifunctional material that has been utilized in medicinal applications for centuries because it has been recognized for its bacteriostatic, anticorrosive, and antioxidative properties. Modern medicine makes routine, conventional use of gold and has even developed more advanced applications by taking advantage of its ability to be manufactured at the nanoscale and functionalized because of the presence of thiol and amine groups, allowing for the conjugation of various functional groups such as targeted antibodies or drug products. It has been shown that colloidal gold exhibits localized plasmon surface resonance (LPSR), meaning that gold nanoparticles can absorb light at speciﬁc wavelengths, resulting in photoacoustic and photothermal properties, making them potentially useful for hyperthermic cancer treatments and medical imaging applications. Modifying gold nanoparticle shape and size can change their LPSR photochemical activities, thereby also altering their photothermal and photoacoustic properties, allowing for the utilization of different wavelengths of light, such as light in the near-infrared spectrum. By manufacturing gold in a nanoscale format, it is possible to passively distribute the material through the body, where it can localize in tumors (which are characterized by leaky blood vessels) and be safely excreted through the urinary system. In this paper, we give a quick review of the structure, applications, recent advancements, and potential future directions for the utilization of gold nanoparticles in cancer therapeutics.","container-title":"Frontiers in Chemistry","DOI":"10.3389/fchem.2019.00167","ISSN":"2296-2646","journalAbbreviation":"Front. Chem.","language":"en","page":"167","source":"DOI.org (Crossref)","title":"Gold Nanoparticles for Photothermal Cancer Therapy","volume":"7","author":[{"family":"Vines","given":"Jeremy B."},{"family":"Yoon","given":"Jee-Hyun"},{"family":"Ryu","given":"Na-Eun"},{"family":"Lim","given":"Dong-Jin"},{"family":"Park","given":"Hansoo"}],"issued":{"date-parts":[["2019",4,5]]}}}],"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197–200</w:t>
      </w:r>
      <w:r w:rsidRPr="00D74025">
        <w:rPr>
          <w:rFonts w:ascii="Arial" w:hAnsi="Arial" w:cs="Arial"/>
          <w:color w:val="000000" w:themeColor="text1"/>
        </w:rPr>
        <w:fldChar w:fldCharType="end"/>
      </w:r>
      <w:r w:rsidRPr="00D74025">
        <w:rPr>
          <w:rFonts w:ascii="Arial" w:hAnsi="Arial" w:cs="Arial"/>
          <w:color w:val="000000" w:themeColor="text1"/>
        </w:rPr>
        <w:t xml:space="preserve">. Although they encounter poor biocompatibility compared to the organic ones, they have greater NIR absorption and high NIR-heat conversion efficiency. To overcome the biocompatibility issues, various research groups have performed modifications of the surface, size, and composition of those nanomaterials to promote faster clearance. Additionally, the attachment of targeting agents to nanoparticles has increased their </w:t>
      </w:r>
      <w:proofErr w:type="spellStart"/>
      <w:r w:rsidRPr="00D74025">
        <w:rPr>
          <w:rFonts w:ascii="Arial" w:hAnsi="Arial" w:cs="Arial"/>
          <w:color w:val="000000" w:themeColor="text1"/>
        </w:rPr>
        <w:t>intratumoral</w:t>
      </w:r>
      <w:proofErr w:type="spellEnd"/>
      <w:r w:rsidRPr="00D74025">
        <w:rPr>
          <w:rFonts w:ascii="Arial" w:hAnsi="Arial" w:cs="Arial"/>
          <w:color w:val="000000" w:themeColor="text1"/>
        </w:rPr>
        <w:t xml:space="preserve"> bioavailability</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{"citationID":"XcOXqtYL","properties":{"formattedCitation":"\\super 201,202\\nosupersub{}","plainCitation":"201,202","noteIndex":0},"citationItems":[{"id":365,"uris":["http://zotero.org/users/7661987/items/ZH8QRA5B"],"itemData":{"id":365,"type":"article-journal","abstract":"Nanoparticles (NPs) are, in general, colloidal particles, less than 1000 nm, that can be used for better drug delivery and prepared either by encapsulating the drug within a vesicle and or by dispersing the drug molecules within a matrix. Nanoparticulate drug delivery systems have been extensively studied in recent years for spatial and temporal delivery, especially in tumour and brain targeting. NPs have great promise for better drug delivery as found in both pharmaceutical and clinical research. As a drug carrier, NPs have signiﬁcant advantages like better bioavailability, systemic stability, high drug loading, long blood circulation time and selective distribution in the organs/tissues with longer half life. The selective targeting of NPs can be achieved by the enhanced permeability and retention effect (EPR-effect), attaching speciﬁc ligands, or by making selective distribution due to change of the physiological conditions of speciﬁc systems like nature, pH, temperature, etc. It has been observed that drug-loaded NPs can have selective distribution to organs/tissues using different types of and proportions of polymers. The current aim of researchers is to prepare NPs that are long-lived with and that demonstrate the appropriate selective distribution for better therapy and thus improved clinical outcomes. Nanoparticulate drug delivery systems have the potential to deliver a drug to the target site with speciﬁcity and to maintain the desired concentration at the site for the intended time without untoward effects. In this review article, the methods for the preparation of NPs, their characterization, biodistribution, and pharmacokinetic characteristics are discussed.","container-title":"Molecular Membrane Biology","DOI":"10.3109/09687688.2010.510804","ISSN":"0968-7688, 1464-5203","issue":"7","journalAbbreviation":"Molecular Membrane Biology","language":"en","page":"215-231","source":"DOI.org (Crossref)","title":"Nanoparticulate drug delivery systems for cancer chemotherapy","volume":"27","author":[{"family":"Saha","given":"Ranendra N."},{"family":"Vasanthakumar","given":"Sekar"},{"family":"Bende","given":"Girish"},{"family":"Snehalatha","given":"Movva"}],"issued":{"date-parts":[["2010",10]]}}},{"id":364,"uris":["http://zotero.org/users/7661987/items/HZPMG789"],"itemData":{"id":364,"type":"article-journal","abstract":"Efﬁcient and site-speciﬁc delivery of therapeutic drugs is a critical challenge in clinical treatment of cancer. Nano-sized carriers such as liposomes, micelles, and polymeric nanoparticles have been investigated for improving bioavailability and pharmacokinetic properties of therapeutics via various mechanisms, for example, the enhanced permeability and retention (EPR) effect. Further improvement can potentially be achieved by conjugation of targeting ligands onto nanocarriers to achieve selective delivery to the tumour cell or the tumour vasculature. Indeed, receptor-targeted nanocarrier delivery has been shown to improve therapeutic responses both in vitro and in vivo. A variety of ligands have been investigated including folate, transferrin, antibodies, peptides and aptamers. Multiple functionalities can be incorporated into the design of nanoparticles, e.g., to enable imaging and triggered intracellular drug release. In this review, we mainly focus on recent advances on the development of targeted nanocarriers and will introduce novel concepts such as multi-targeting and multi-functional nanoparticles.","container-title":"Molecular Membrane Biology","DOI":"10.3109/09687688.2010.521200","ISSN":"0968-7688, 1464-5203","issue":"7","journalAbbreviation":"Molecular Membrane Biology","language":"en","page":"286-298","source":"DOI.org (Crossref)","title":"Receptor-targeted nanocarriers for therapeutic delivery to cancer","volume":"27","author":[{"family":"Yu","given":"Bo"},{"family":"Tai","given":"Heng Chiat"},{"family":"Xue","given":"Weiming"},{"family":"Lee","given":"L. James"},{"family":"Lee","given":"Robert J."}],"issued":{"date-parts":[["2010",10]]}}}],"schema":"https://github.com/citation-style-language/schema/raw/master/csl-citation.json"}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201,202</w:t>
      </w:r>
      <w:r w:rsidRPr="00D74025">
        <w:rPr>
          <w:rFonts w:ascii="Arial" w:hAnsi="Arial" w:cs="Arial"/>
          <w:color w:val="000000" w:themeColor="text1"/>
        </w:rPr>
        <w:fldChar w:fldCharType="end"/>
      </w:r>
      <w:r w:rsidRPr="00D74025">
        <w:rPr>
          <w:rFonts w:ascii="Arial" w:hAnsi="Arial" w:cs="Arial"/>
          <w:color w:val="000000" w:themeColor="text1"/>
        </w:rPr>
        <w:t>.</w:t>
      </w:r>
      <w:r w:rsidRPr="00D74025">
        <w:rPr>
          <w:rFonts w:ascii="Calibri" w:hAnsi="Calibri" w:cs="Calibri"/>
          <w:color w:val="000000" w:themeColor="text1"/>
        </w:rPr>
        <w:t xml:space="preserve"> </w:t>
      </w:r>
    </w:p>
    <w:p w14:paraId="4AAECF03" w14:textId="1766A18D" w:rsidR="00C96163" w:rsidRPr="00D74025" w:rsidRDefault="00C96163" w:rsidP="00C96163">
      <w:pPr>
        <w:spacing w:line="360" w:lineRule="auto"/>
        <w:ind w:firstLine="1440"/>
        <w:jc w:val="both"/>
        <w:rPr>
          <w:rFonts w:ascii="Arial" w:hAnsi="Arial" w:cs="Arial"/>
          <w:color w:val="000000" w:themeColor="text1"/>
        </w:rPr>
      </w:pPr>
      <w:r w:rsidRPr="00D74025">
        <w:rPr>
          <w:rFonts w:ascii="Arial" w:hAnsi="Arial" w:cs="Arial"/>
          <w:color w:val="000000" w:themeColor="text1"/>
        </w:rPr>
        <w:t>The heating mechanism of photothermal therapy mediated by photosensitizers has been elucidated. The NIR-irradiation emits photons that, when absorbed by photosensitizers, excite their electrons from their ground state to an excited state. The electrons then decay non-radiatively by vibrational relaxation. Those vibrations promote collisions with the surrounding molecules, thus increasing the kinetic energy of the microenvironment</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{"citationID":"a1lbvl8mlr0","properties":{"formattedCitation":"\\super 203\\nosupersub{}","plainCitation":"203","noteIndex":0},"citationItems":[{"id":405,"uris":["http://zotero.org/users/7661987/items/HN629S7M"],"itemData":{"id":405,"type":"article-journal","abstract":"Light-activated, photosensitizer-based therapies have been established as safe modalities of tumour ablation for numerous cancer indications. Two main approaches are available: photodynamic therapy, which results in localized chemical damage in the target lesions, and photothermal therapy, which results in localized thermal damage. Whereas the administration of photosensitizers is a key component of photodynamic therapy, exogenous photothermal contrast agents are not required for photothermal therapy but can enhance the efficiency and efficacy of treatment. Over the past decades, great strides have been made in the development of phototherapeutic drugs and devices as cancer treatments, but key challenges have restricted their widespread clinical use outside of certain dermatological indications. Improvements in the tumour specificity of photosensitizers, achieved through targeting or localized activation, could provide better outcomes with fewer adverse effects, as could combinations with chemotherapies or immunotherapies. In this Review, we provide an overview of the current clinical progress of phototherapies for cancer and discuss the emerging preclinical bioengineering approaches that have the potential to overcome challenges in this area and thus improve the efficiency and utility of such treatments.","container-title":"Nature Reviews Clinical Oncology","DOI":"10.1038/s41571-020-0410-2","ISSN":"1759-4774, 1759-4782","issue":"11","journalAbbreviation":"Nat Rev Clin Oncol","language":"en","page":"657-674","source":"DOI.org (Crossref)","title":"Clinical development and potential of photothermal and photodynamic therapies for cancer","volume":"17","author":[{"family":"Li","given":"Xingshu"},{"family":"Lovell","given":"Jonathan F."},{"family":"Yoon","given":"Juyoung"},{"family":"Chen","given":"Xiaoyuan"}],"issued":{"date-parts":[["2020",11]]}}}],"schema":"https://github.com/citation-style-language/schema/raw/master/csl-citation.json"}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203</w:t>
      </w:r>
      <w:r w:rsidRPr="00D74025">
        <w:rPr>
          <w:rFonts w:ascii="Arial" w:hAnsi="Arial" w:cs="Arial"/>
          <w:color w:val="000000" w:themeColor="text1"/>
        </w:rPr>
        <w:fldChar w:fldCharType="end"/>
      </w:r>
      <w:r w:rsidR="0089722B">
        <w:rPr>
          <w:rFonts w:ascii="Arial" w:hAnsi="Arial" w:cs="Arial"/>
          <w:color w:val="000000" w:themeColor="text1"/>
        </w:rPr>
        <w:t xml:space="preserve"> (see </w:t>
      </w:r>
      <w:r w:rsidR="0089722B" w:rsidRPr="0089722B">
        <w:rPr>
          <w:rFonts w:ascii="Arial" w:hAnsi="Arial" w:cs="Arial"/>
          <w:b/>
          <w:bCs/>
          <w:color w:val="000000" w:themeColor="text1"/>
        </w:rPr>
        <w:t>Figure 18</w:t>
      </w:r>
      <w:r w:rsidR="0089722B">
        <w:rPr>
          <w:rFonts w:ascii="Arial" w:hAnsi="Arial" w:cs="Arial"/>
          <w:color w:val="000000" w:themeColor="text1"/>
        </w:rPr>
        <w:t>)</w:t>
      </w:r>
      <w:r w:rsidRPr="00D74025">
        <w:rPr>
          <w:rFonts w:ascii="Arial" w:hAnsi="Arial" w:cs="Arial"/>
          <w:color w:val="000000" w:themeColor="text1"/>
        </w:rPr>
        <w:t>.</w:t>
      </w:r>
    </w:p>
    <w:tbl>
      <w:tblPr>
        <w:tblStyle w:val="TableGrid"/>
        <w:tblW w:w="0" w:type="auto"/>
        <w:tblLook w:val="04A0" w:firstRow="1" w:lastRow="0" w:firstColumn="1" w:lastColumn="0" w:noHBand="0" w:noVBand="1"/>
      </w:tblPr>
      <w:tblGrid>
        <w:gridCol w:w="9350"/>
      </w:tblGrid>
      <w:tr w:rsidR="00D74025" w:rsidRPr="00D74025" w14:paraId="03799BEF" w14:textId="77777777" w:rsidTr="00806D0F">
        <w:tc>
          <w:tcPr>
            <w:tcW w:w="9350" w:type="dxa"/>
          </w:tcPr>
          <w:p w14:paraId="0D515013" w14:textId="7582CD2F" w:rsidR="00806D0F" w:rsidRPr="00D74025" w:rsidRDefault="00C60E30" w:rsidP="00395357">
            <w:pPr>
              <w:spacing w:before="120" w:beforeAutospacing="0" w:line="360" w:lineRule="auto"/>
              <w:ind w:firstLine="0"/>
              <w:jc w:val="center"/>
              <w:rPr>
                <w:rFonts w:ascii="Arial" w:hAnsi="Arial" w:cs="Arial"/>
                <w:color w:val="000000" w:themeColor="text1"/>
              </w:rPr>
            </w:pPr>
            <w:r w:rsidRPr="00D74025">
              <w:rPr>
                <w:rFonts w:ascii="Arial" w:hAnsi="Arial" w:cs="Arial"/>
                <w:noProof/>
                <w:color w:val="000000" w:themeColor="text1"/>
              </w:rPr>
              <w:lastRenderedPageBreak/>
              <w:drawing>
                <wp:inline distT="0" distB="0" distL="0" distR="0" wp14:anchorId="36067CDD" wp14:editId="4E3FC40E">
                  <wp:extent cx="2929466" cy="3887203"/>
                  <wp:effectExtent l="0" t="0" r="4445" b="0"/>
                  <wp:docPr id="51" name="Picture 5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iagram&#10;&#10;Description automatically generated"/>
                          <pic:cNvPicPr/>
                        </pic:nvPicPr>
                        <pic:blipFill rotWithShape="1">
                          <a:blip r:embed="rId33" cstate="print">
                            <a:extLst>
                              <a:ext uri="{28A0092B-C50C-407E-A947-70E740481C1C}">
                                <a14:useLocalDpi xmlns:a14="http://schemas.microsoft.com/office/drawing/2010/main" val="0"/>
                              </a:ext>
                            </a:extLst>
                          </a:blip>
                          <a:srcRect r="50708"/>
                          <a:stretch/>
                        </pic:blipFill>
                        <pic:spPr bwMode="auto">
                          <a:xfrm>
                            <a:off x="0" y="0"/>
                            <a:ext cx="2929668" cy="3887470"/>
                          </a:xfrm>
                          <a:prstGeom prst="rect">
                            <a:avLst/>
                          </a:prstGeom>
                          <a:ln>
                            <a:noFill/>
                          </a:ln>
                          <a:extLst>
                            <a:ext uri="{53640926-AAD7-44D8-BBD7-CCE9431645EC}">
                              <a14:shadowObscured xmlns:a14="http://schemas.microsoft.com/office/drawing/2010/main"/>
                            </a:ext>
                          </a:extLst>
                        </pic:spPr>
                      </pic:pic>
                    </a:graphicData>
                  </a:graphic>
                </wp:inline>
              </w:drawing>
            </w:r>
          </w:p>
        </w:tc>
      </w:tr>
      <w:tr w:rsidR="00806D0F" w:rsidRPr="00D74025" w14:paraId="547C76B0" w14:textId="77777777" w:rsidTr="00806D0F">
        <w:tc>
          <w:tcPr>
            <w:tcW w:w="9350" w:type="dxa"/>
          </w:tcPr>
          <w:p w14:paraId="6B5FC7AF" w14:textId="79A7C67C" w:rsidR="00806D0F" w:rsidRPr="00D74025" w:rsidRDefault="00F778B1" w:rsidP="00F738C4">
            <w:pPr>
              <w:spacing w:line="360" w:lineRule="auto"/>
              <w:ind w:firstLine="0"/>
              <w:rPr>
                <w:rFonts w:ascii="Arial" w:hAnsi="Arial" w:cs="Arial"/>
                <w:color w:val="000000" w:themeColor="text1"/>
              </w:rPr>
            </w:pPr>
            <w:bookmarkStart w:id="42" w:name="_Toc121217340"/>
            <w:r w:rsidRPr="00F778B1">
              <w:rPr>
                <w:rFonts w:ascii="Arial" w:hAnsi="Arial" w:cs="Arial"/>
                <w:b/>
                <w:bCs/>
                <w:color w:val="000000" w:themeColor="text1"/>
              </w:rPr>
              <w:t xml:space="preserve">Figure </w:t>
            </w:r>
            <w:r w:rsidRPr="00F778B1">
              <w:rPr>
                <w:rFonts w:ascii="Arial" w:hAnsi="Arial" w:cs="Arial"/>
                <w:b/>
                <w:bCs/>
                <w:color w:val="000000" w:themeColor="text1"/>
              </w:rPr>
              <w:fldChar w:fldCharType="begin"/>
            </w:r>
            <w:r w:rsidRPr="00F778B1">
              <w:rPr>
                <w:rFonts w:ascii="Arial" w:hAnsi="Arial" w:cs="Arial"/>
                <w:b/>
                <w:bCs/>
                <w:color w:val="000000" w:themeColor="text1"/>
              </w:rPr>
              <w:instrText xml:space="preserve"> SEQ Figure \* ARABIC </w:instrText>
            </w:r>
            <w:r w:rsidRPr="00F778B1">
              <w:rPr>
                <w:rFonts w:ascii="Arial" w:hAnsi="Arial" w:cs="Arial"/>
                <w:b/>
                <w:bCs/>
                <w:color w:val="000000" w:themeColor="text1"/>
              </w:rPr>
              <w:fldChar w:fldCharType="separate"/>
            </w:r>
            <w:r w:rsidR="002C4B25">
              <w:rPr>
                <w:rFonts w:ascii="Arial" w:hAnsi="Arial" w:cs="Arial"/>
                <w:b/>
                <w:bCs/>
                <w:noProof/>
                <w:color w:val="000000" w:themeColor="text1"/>
              </w:rPr>
              <w:t>18</w:t>
            </w:r>
            <w:r w:rsidRPr="00F778B1">
              <w:rPr>
                <w:rFonts w:ascii="Arial" w:hAnsi="Arial" w:cs="Arial"/>
                <w:b/>
                <w:bCs/>
                <w:color w:val="000000" w:themeColor="text1"/>
              </w:rPr>
              <w:fldChar w:fldCharType="end"/>
            </w:r>
            <w:r w:rsidR="00F738C4" w:rsidRPr="00D74025">
              <w:rPr>
                <w:rFonts w:ascii="Arial" w:hAnsi="Arial" w:cs="Arial"/>
                <w:b/>
                <w:bCs/>
                <w:color w:val="000000" w:themeColor="text1"/>
              </w:rPr>
              <w:t>: Mechanisms of photothermal effect during PTT</w:t>
            </w:r>
            <w:r w:rsidR="00F738C4" w:rsidRPr="00D74025">
              <w:rPr>
                <w:rFonts w:ascii="Arial" w:hAnsi="Arial" w:cs="Arial"/>
                <w:color w:val="000000" w:themeColor="text1"/>
              </w:rPr>
              <w:t>. Photosensitizers absorb photon energy from NIR, migrating from the ground singlet state (S</w:t>
            </w:r>
            <w:r w:rsidR="00F738C4" w:rsidRPr="00D74025">
              <w:rPr>
                <w:rFonts w:ascii="Arial" w:hAnsi="Arial" w:cs="Arial"/>
                <w:color w:val="000000" w:themeColor="text1"/>
                <w:vertAlign w:val="subscript"/>
              </w:rPr>
              <w:t>0</w:t>
            </w:r>
            <w:r w:rsidR="00F738C4" w:rsidRPr="00D74025">
              <w:rPr>
                <w:rFonts w:ascii="Arial" w:hAnsi="Arial" w:cs="Arial"/>
                <w:color w:val="000000" w:themeColor="text1"/>
              </w:rPr>
              <w:t>) to an excited singlet state (S</w:t>
            </w:r>
            <w:r w:rsidR="00F738C4" w:rsidRPr="00D74025">
              <w:rPr>
                <w:rFonts w:ascii="Arial" w:hAnsi="Arial" w:cs="Arial"/>
                <w:color w:val="000000" w:themeColor="text1"/>
                <w:vertAlign w:val="subscript"/>
              </w:rPr>
              <w:t>1</w:t>
            </w:r>
            <w:r w:rsidR="00F738C4" w:rsidRPr="00D74025">
              <w:rPr>
                <w:rFonts w:ascii="Arial" w:hAnsi="Arial" w:cs="Arial"/>
                <w:color w:val="000000" w:themeColor="text1"/>
              </w:rPr>
              <w:t xml:space="preserve">). When returning to the ground singlet state, they undergo nonradiative vibrational relaxation, increasing the surrounding microenvironment temperature and causing cell death. Image modified from Zhao </w:t>
            </w:r>
            <w:r w:rsidR="00F738C4" w:rsidRPr="00D74025">
              <w:rPr>
                <w:rFonts w:ascii="Arial" w:hAnsi="Arial" w:cs="Arial"/>
                <w:i/>
                <w:iCs/>
                <w:color w:val="000000" w:themeColor="text1"/>
              </w:rPr>
              <w:t>et al.,</w:t>
            </w:r>
            <w:r w:rsidR="00F738C4" w:rsidRPr="00D74025">
              <w:rPr>
                <w:rFonts w:ascii="Arial" w:hAnsi="Arial" w:cs="Arial"/>
                <w:color w:val="000000" w:themeColor="text1"/>
              </w:rPr>
              <w:t xml:space="preserve"> 2022</w:t>
            </w:r>
            <w:r w:rsidR="00F738C4"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{"citationID":"a2hmocpga18","properties":{"formattedCitation":"\\super 204\\nosupersub{}","plainCitation":"204","noteIndex":0},"citationItems":[{"id":235,"uris":["http://zotero.org/users/7661987/items/DA5CV4XP"],"itemData":{"id":235,"type":"article-journal","abstract":"Immune checkpoint blockade (ICB) therapy has evolved as a revolutionized therapeutic modality to eradicate tumor cells by releasing the brake of the antitumor immune response. However, only a subset of patients could benefit from ICB treatment currently. Phototherapy usually includes photothermal therapy (PTT) and photodynamic therapy (PDT). PTT exerts a local therapeutic effect by using photothermal agents to generate heat upon laser irradiation. PDT utilizes irradiated photosensitizers with a laser to produce reactive oxygen species to kill the target cells. Both PTT and PDT can induce immunogenic cell death in tumors to activate antigen-presenting cells and promote T cell infiltration. Therefore, combining ICB treatment with PTT/PDT can enhance the antitumor immune response and prevent tumor metastases and recurrence. In this review, we summarized the mechanism of phototherapy in cancer immunotherapy and discussed the recent advances in the development of phototherapy combined with ICB therapy to treat malignant tumors. Moreover, we also outlined the significant progress of phototherapy combined with targeted therapy or chemotherapy to improve ICB in preclinical and clinical studies. Finally, we analyzed the current challenges of this novel combination treatment regimen. We believe that the next-generation technology breakthrough in cancer treatment may come from this combinational win-win strategy of photoimmunotherapy.","container-title":"Frontiers in Immunology","DOI":"10.3389/fimmu.2022.955920","ISSN":"1664-3224","journalAbbreviation":"Front. Immunol.","language":"en","page":"955920","source":"DOI.org (Crossref)","title":"Combination of phototherapy with immune checkpoint blockade: Theory and practice in cancer","title-short":"Combination of phototherapy with immune checkpoint blockade","volume":"13","author":[{"family":"Zhao","given":"Yujie"},{"family":"Liu","given":"Xu"},{"family":"Liu","given":"Xinyu"},{"family":"Yu","given":"Jing"},{"family":"Bai","given":"Xin"},{"family":"Wu","given":"Xi"},{"family":"Guo","given":"Xinyu"},{"family":"Liu","given":"Zhihui"},{"family":"Liu","given":"Xiaowei"}],"issued":{"date-parts":[["2022",9,2]]}}}],"schema":"https://github.com/citation-style-language/schema/raw/master/csl-citation.json"} </w:instrText>
            </w:r>
            <w:r w:rsidR="00F738C4" w:rsidRPr="00D74025">
              <w:rPr>
                <w:rFonts w:ascii="Arial" w:hAnsi="Arial" w:cs="Arial"/>
                <w:color w:val="000000" w:themeColor="text1"/>
              </w:rPr>
              <w:fldChar w:fldCharType="separate"/>
            </w:r>
            <w:r w:rsidR="000F4F53" w:rsidRPr="000F4F53">
              <w:rPr>
                <w:rFonts w:ascii="Arial" w:hAnsi="Arial" w:cs="Arial"/>
                <w:color w:val="000000"/>
                <w:vertAlign w:val="superscript"/>
              </w:rPr>
              <w:t>204</w:t>
            </w:r>
            <w:bookmarkEnd w:id="42"/>
            <w:r w:rsidR="00F738C4" w:rsidRPr="00D74025">
              <w:rPr>
                <w:rFonts w:ascii="Arial" w:hAnsi="Arial" w:cs="Arial"/>
                <w:color w:val="000000" w:themeColor="text1"/>
              </w:rPr>
              <w:fldChar w:fldCharType="end"/>
            </w:r>
          </w:p>
        </w:tc>
      </w:tr>
    </w:tbl>
    <w:p w14:paraId="4EB3C14B" w14:textId="77777777" w:rsidR="00284DE3" w:rsidRPr="00D74025" w:rsidRDefault="00284DE3" w:rsidP="007150E7">
      <w:pPr>
        <w:spacing w:line="360" w:lineRule="auto"/>
        <w:jc w:val="both"/>
        <w:rPr>
          <w:rFonts w:ascii="Arial" w:hAnsi="Arial" w:cs="Arial"/>
          <w:color w:val="000000" w:themeColor="text1"/>
        </w:rPr>
      </w:pPr>
    </w:p>
    <w:p w14:paraId="40BAC5E7" w14:textId="7EDBF1A4" w:rsidR="00423DA2" w:rsidRPr="00D74025" w:rsidRDefault="00423DA2" w:rsidP="00423DA2">
      <w:pPr>
        <w:spacing w:line="360" w:lineRule="auto"/>
        <w:ind w:firstLine="1440"/>
        <w:jc w:val="both"/>
        <w:rPr>
          <w:rFonts w:ascii="Arial" w:hAnsi="Arial" w:cs="Arial"/>
          <w:color w:val="000000" w:themeColor="text1"/>
        </w:rPr>
      </w:pPr>
      <w:r w:rsidRPr="00D74025">
        <w:rPr>
          <w:rFonts w:ascii="Arial" w:hAnsi="Arial" w:cs="Arial"/>
          <w:color w:val="000000" w:themeColor="text1"/>
        </w:rPr>
        <w:t>Photothermal therapy mediated by photosensitizers is a highly targeted treatment option due to the dual selectivity strategies. First</w:t>
      </w:r>
      <w:r w:rsidR="00545142">
        <w:rPr>
          <w:rFonts w:ascii="Arial" w:hAnsi="Arial" w:cs="Arial"/>
          <w:color w:val="000000" w:themeColor="text1"/>
        </w:rPr>
        <w:t>,</w:t>
      </w:r>
      <w:r w:rsidRPr="00D74025">
        <w:rPr>
          <w:rFonts w:ascii="Arial" w:hAnsi="Arial" w:cs="Arial"/>
          <w:color w:val="000000" w:themeColor="text1"/>
        </w:rPr>
        <w:t xml:space="preserve"> the control of the region of irradiation aiming the laser in the desirable area (tumor) prevents damage to unwanted parts of the body. Second, the localization of photosensitizers in the affected regions provides another level of selectivity. Their linkage to targeting agents (such as annexin A5 in this work) can further increase the accumulation of photosensitizers in tumors. Invasive techniques, such as laparotomies and thoracotomies, can be avoided when treating deep-seated tumors using endoscopy and interventional procedures with optical fibers.</w:t>
      </w:r>
    </w:p>
    <w:p w14:paraId="08621682" w14:textId="3442279B" w:rsidR="006918A9" w:rsidRPr="00D74025" w:rsidRDefault="006918A9" w:rsidP="006918A9">
      <w:pPr>
        <w:spacing w:line="360" w:lineRule="auto"/>
        <w:ind w:firstLine="1440"/>
        <w:jc w:val="both"/>
        <w:rPr>
          <w:rFonts w:ascii="Arial" w:hAnsi="Arial" w:cs="Arial"/>
          <w:color w:val="000000" w:themeColor="text1"/>
        </w:rPr>
      </w:pPr>
      <w:r w:rsidRPr="00D74025">
        <w:rPr>
          <w:rFonts w:ascii="Arial" w:hAnsi="Arial" w:cs="Arial"/>
          <w:color w:val="000000" w:themeColor="text1"/>
        </w:rPr>
        <w:lastRenderedPageBreak/>
        <w:t xml:space="preserve">One of the most relevant challenges in tumor treatment is hypoxic regions in the primary tumor because of the lack </w:t>
      </w:r>
      <w:r w:rsidR="001B652A">
        <w:rPr>
          <w:rFonts w:ascii="Arial" w:hAnsi="Arial" w:cs="Arial"/>
          <w:color w:val="000000" w:themeColor="text1"/>
        </w:rPr>
        <w:t xml:space="preserve">or </w:t>
      </w:r>
      <w:r w:rsidRPr="00D74025">
        <w:rPr>
          <w:rFonts w:ascii="Arial" w:hAnsi="Arial" w:cs="Arial"/>
          <w:color w:val="000000" w:themeColor="text1"/>
        </w:rPr>
        <w:t>minimal blood flow that prevents the delivery of therapeutic agents. Hypoxia is characterized by oxygen levels below physiological requirements correlated to malignant proliferation and dysfunctional vascularization. Hypoxia induces activation of complex cell signaling pathways that lead to metabolism changes related to cell quiescence, ultimately leading to treatment resistance and selection of aggressive cancer cells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{"citationID":"a1nillnuto3","properties":{"formattedCitation":"\\super 205\\nosupersub{}","plainCitation":"205","noteIndex":0},"citationItems":[{"id":214,"uris":["http://zotero.org/users/7661987/items/G7CSNNS5"],"itemData":{"id":214,"type":"article-journal","abstract":"Hypoxia is a non-physiological level of oxygen tension, a phenomenon common in a majority of malignant tumors. Tumor-hypoxia leads to advanced but dysfunctional vascularization and acquisition of epithelial-to-mesenchymal transition phenotype resulting in cell mobility and metastasis. Hypoxia alters cancer cell metabolism and contributes to therapy resistance by inducing cell quiescence. Hypoxia stimulates a complex cell signaling network in cancer cells, including the HIF, PI3K, MAPK, and NFĸB pathways, which interact with each other causing positive and negative feedback loops and enhancing or diminishing hypoxic effects. This review provides background knowledge on the role of tumor hypoxia and the role of the HIF cell signaling involved in tumor blood vessel formation, metastasis, and development of the resistance to therapy. Better understanding of the role of hypoxia in cancer progression will open new windows for the discovery of new therapeutics targeting hypoxic tumor cells and hypoxic microenvironment.","container-title":"Hypoxia","DOI":"10.2147/HP.S93413","ISSN":"2324-1128","journalAbbreviation":"HP","language":"en","page":"83","source":"DOI.org (Crossref)","title":"The role of hypoxia in cancer progression, angiogenesis, metastasis, and resistance to therapy","author":[{"family":"Muz","given":"Barbara"},{"family":"Puente","given":"Pilar","non-dropping-particle":"de la"},{"family":"Azab","given":"Feda"},{"family":"Azab","given":"Abdel K."}],"issued":{"date-parts":[["2015",12]]}}}],"schema":"https://github.com/citation-style-language/schema/raw/master/csl-citation.json"}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205</w:t>
      </w:r>
      <w:r w:rsidRPr="00D74025">
        <w:rPr>
          <w:rFonts w:ascii="Arial" w:hAnsi="Arial" w:cs="Arial"/>
          <w:color w:val="000000" w:themeColor="text1"/>
        </w:rPr>
        <w:fldChar w:fldCharType="end"/>
      </w:r>
      <w:r w:rsidRPr="00D74025">
        <w:rPr>
          <w:rFonts w:ascii="Arial" w:hAnsi="Arial" w:cs="Arial"/>
          <w:color w:val="000000" w:themeColor="text1"/>
        </w:rPr>
        <w:t>. Tumor ablation is a very effective strategy for the treatment of hypoxic and drug-resistant cancers because the heat transfer in tissue, although ameliorated by vascularization, does not require blood flow to reach hypoxic areas of the tumor. Therefore, PTT can be an effective strategy to induce cell death in regions of tumors that were previously unreachable by common therapeutic approaches and prevent recurrence and metastasis related to untreated hypoxic areas of tumors</w:t>
      </w:r>
      <w:r w:rsidRPr="00D74025">
        <w:rPr>
          <w:rFonts w:ascii="Arial" w:hAnsi="Arial" w:cs="Arial"/>
          <w:color w:val="000000" w:themeColor="text1"/>
          <w:sz w:val="23"/>
          <w:szCs w:val="23"/>
        </w:rPr>
        <w:fldChar w:fldCharType="begin"/>
      </w:r>
      <w:r w:rsidR="000F4F53">
        <w:rPr>
          <w:rFonts w:ascii="Arial" w:hAnsi="Arial" w:cs="Arial"/>
          <w:color w:val="000000" w:themeColor="text1"/>
          <w:sz w:val="23"/>
          <w:szCs w:val="23"/>
        </w:rPr>
        <w:instrText xml:space="preserve"> ADDIN ZOTERO_ITEM CSL_CITATION {"citationID":"ao6lmp5m5d","properties":{"formattedCitation":"\\super 206\\nosupersub{}","plainCitation":"206","noteIndex":0},"citationItems":[{"id":234,"uris":["http://zotero.org/users/7661987/items/AKBB5AWD"],"itemData":{"id":234,"type":"article-journal","container-title":"Accounts of Chemical Research","DOI":"10.1021/ar800150g","ISSN":"0001-4842, 1520-4898","issue":"12","journalAbbreviation":"Acc. Chem. Res.","language":"en","page":"1842-1851","source":"DOI.org (Crossref)","title":"Nanoshell-Enabled Photothermal Cancer Therapy: Impending Clinical Impact","title-short":"Nanoshell-Enabled Photothermal Cancer Therapy","volume":"41","author":[{"family":"Lal","given":"Surbhi"},{"family":"Clare","given":"Susan E."},{"family":"Halas","given":"Naomi J."}],"issued":{"date-parts":[["2008",12,16]]}}}],"schema":"https://github.com/citation-style-language/schema/raw/master/csl-citation.json"} </w:instrText>
      </w:r>
      <w:r w:rsidRPr="00D74025">
        <w:rPr>
          <w:rFonts w:ascii="Arial" w:hAnsi="Arial" w:cs="Arial"/>
          <w:color w:val="000000" w:themeColor="text1"/>
          <w:sz w:val="23"/>
          <w:szCs w:val="23"/>
        </w:rPr>
        <w:fldChar w:fldCharType="separate"/>
      </w:r>
      <w:r w:rsidR="000F4F53" w:rsidRPr="000F4F53">
        <w:rPr>
          <w:rFonts w:ascii="Arial" w:hAnsi="Arial" w:cs="Arial"/>
          <w:color w:val="000000"/>
          <w:sz w:val="23"/>
          <w:vertAlign w:val="superscript"/>
        </w:rPr>
        <w:t>206</w:t>
      </w:r>
      <w:r w:rsidRPr="00D74025">
        <w:rPr>
          <w:rFonts w:ascii="Arial" w:hAnsi="Arial" w:cs="Arial"/>
          <w:color w:val="000000" w:themeColor="text1"/>
          <w:sz w:val="23"/>
          <w:szCs w:val="23"/>
        </w:rPr>
        <w:fldChar w:fldCharType="end"/>
      </w:r>
      <w:r w:rsidRPr="00D74025">
        <w:rPr>
          <w:rFonts w:ascii="Arial" w:hAnsi="Arial" w:cs="Arial"/>
          <w:color w:val="000000" w:themeColor="text1"/>
          <w:sz w:val="23"/>
          <w:szCs w:val="23"/>
        </w:rPr>
        <w:t xml:space="preserve">. This effect is further advanced </w:t>
      </w:r>
      <w:r w:rsidR="004625DA">
        <w:rPr>
          <w:rFonts w:ascii="Arial" w:hAnsi="Arial" w:cs="Arial"/>
          <w:color w:val="000000" w:themeColor="text1"/>
          <w:sz w:val="23"/>
          <w:szCs w:val="23"/>
        </w:rPr>
        <w:t>by</w:t>
      </w:r>
      <w:r w:rsidRPr="00D74025">
        <w:rPr>
          <w:rFonts w:ascii="Arial" w:hAnsi="Arial" w:cs="Arial"/>
          <w:color w:val="000000" w:themeColor="text1"/>
          <w:sz w:val="23"/>
          <w:szCs w:val="23"/>
        </w:rPr>
        <w:t xml:space="preserve"> photosensitizers because of the more efficient heating patterns seen in the tumor with the addition of those agents during photothermal therapy.</w:t>
      </w:r>
    </w:p>
    <w:p w14:paraId="34F147D1" w14:textId="458D24F9" w:rsidR="00D03078" w:rsidRPr="00D74025" w:rsidRDefault="00D03078" w:rsidP="00D03078">
      <w:pPr>
        <w:spacing w:line="360" w:lineRule="auto"/>
        <w:ind w:firstLine="1440"/>
        <w:jc w:val="both"/>
        <w:rPr>
          <w:rFonts w:ascii="Arial" w:hAnsi="Arial" w:cs="Arial"/>
          <w:color w:val="000000" w:themeColor="text1"/>
        </w:rPr>
      </w:pPr>
      <w:r w:rsidRPr="00D74025">
        <w:rPr>
          <w:rFonts w:ascii="Arial" w:hAnsi="Arial" w:cs="Arial"/>
          <w:color w:val="000000" w:themeColor="text1"/>
        </w:rPr>
        <w:t>Despite the improved aspects of photosensitizer-mediated PTT, the clinical development of photothermal therapy has been restricted to the approval of laser devices. Thriving pre-clinical research has shown encouraging results with the combination of laser and photosensitizer. Unfortunately, the aspects related to the approval of therapies in humans favor single-agent strategies, thus hindering the advance of photosensitizer-mediated PTT. Indeed, to date, only one pilot clinical trial has been done in the US that involves the laser and photosensitizer approach for the treatment of prostate cancer. In th</w:t>
      </w:r>
      <w:r w:rsidR="00023BFA">
        <w:rPr>
          <w:rFonts w:ascii="Arial" w:hAnsi="Arial" w:cs="Arial"/>
          <w:color w:val="000000" w:themeColor="text1"/>
        </w:rPr>
        <w:t>at</w:t>
      </w:r>
      <w:r w:rsidRPr="00D74025">
        <w:rPr>
          <w:rFonts w:ascii="Arial" w:hAnsi="Arial" w:cs="Arial"/>
          <w:color w:val="000000" w:themeColor="text1"/>
        </w:rPr>
        <w:t xml:space="preserve"> trial, gold silica </w:t>
      </w:r>
      <w:proofErr w:type="spellStart"/>
      <w:r w:rsidRPr="00D74025">
        <w:rPr>
          <w:rFonts w:ascii="Arial" w:hAnsi="Arial" w:cs="Arial"/>
          <w:color w:val="000000" w:themeColor="text1"/>
        </w:rPr>
        <w:t>nanoshells</w:t>
      </w:r>
      <w:proofErr w:type="spellEnd"/>
      <w:r w:rsidRPr="00D74025">
        <w:rPr>
          <w:rFonts w:ascii="Arial" w:hAnsi="Arial" w:cs="Arial"/>
          <w:color w:val="000000" w:themeColor="text1"/>
        </w:rPr>
        <w:t xml:space="preserve"> (</w:t>
      </w:r>
      <w:proofErr w:type="spellStart"/>
      <w:r w:rsidRPr="00D74025">
        <w:rPr>
          <w:rFonts w:ascii="Arial" w:hAnsi="Arial" w:cs="Arial"/>
          <w:color w:val="000000" w:themeColor="text1"/>
        </w:rPr>
        <w:t>AuroShells</w:t>
      </w:r>
      <w:proofErr w:type="spellEnd"/>
      <w:r w:rsidRPr="00D74025">
        <w:rPr>
          <w:rFonts w:ascii="Arial" w:hAnsi="Arial" w:cs="Arial"/>
          <w:color w:val="000000" w:themeColor="text1"/>
        </w:rPr>
        <w:t xml:space="preserve"> – 120 nm) were delivered intravenously and localized in the tumor due to leak</w:t>
      </w:r>
      <w:r w:rsidR="00744D8F">
        <w:rPr>
          <w:rFonts w:ascii="Arial" w:hAnsi="Arial" w:cs="Arial"/>
          <w:color w:val="000000" w:themeColor="text1"/>
        </w:rPr>
        <w:t>y</w:t>
      </w:r>
      <w:r w:rsidRPr="00D74025">
        <w:rPr>
          <w:rFonts w:ascii="Arial" w:hAnsi="Arial" w:cs="Arial"/>
          <w:color w:val="000000" w:themeColor="text1"/>
        </w:rPr>
        <w:t xml:space="preserve"> tumor vasculature and defective lymphatic drainage, also known as enhanced permeability and retention (EPR) effect</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{"citationID":"a1amjv0ujls","properties":{"formattedCitation":"\\super 207\\nosupersub{}","plainCitation":"207","noteIndex":0},"citationItems":[{"id":225,"uris":["http://zotero.org/users/7661987/items/EXHZHMXD"],"itemData":{"id":225,"type":"article-journal","abstract":"Significance\n            Prostate cancer is the most common nonskin cancer in the United States, where approximately 1 in 9 men will be diagnosed in their lifetime. The prostate is near several vital structures, such as the urethra and neurovascular bundle, and whole gland treatments for prostate cancer can disrupt normal urinary, bowel, and sexual functioning. Here we report the initial results of a clinical trial for nanoparticle-based photothermal cancer therapy. The trial was designed to perform ultrafocal photothermal ablation of cancerous tumors within the prostate. Gold-silica nanoparticles designed to absorb near-infrared light at wavelengths of high tissue transparency provide a highly localized light-based strategy for the treatment of prostate cancer, with substantially reduced risks for deleterious treatment-related side effects.\n          , \n            Biocompatible gold nanoparticles designed to absorb light at wavelengths of high tissue transparency have been of particular interest for biomedical applications. The ability of such nanoparticles to convert absorbed near-infrared light to heat and induce highly localized hyperthermia has been shown to be highly effective for photothermal cancer therapy, resulting in cell death and tumor remission in a multitude of preclinical animal models. Here we report the initial results of a clinical trial in which laser-excited gold-silica nanoshells (GSNs) were used in combination with magnetic resonance–ultrasound fusion imaging to focally ablate low-intermediate-grade tumors within the prostate. The overall goal is to provide highly localized regional control of prostate cancer that also results in greatly reduced patient morbidity and improved functional outcomes. This pilot device study reports feasibility and safety data from 16 cases of patients diagnosed with low- or intermediate-risk localized prostate cancer. After GSN infusion and high-precision laser ablation, patients underwent multiparametric MRI of the prostate at 48 to 72 h, followed by postprocedure mpMRI/ultrasound targeted fusion biopsies at 3 and 12 mo, as well as a standard 12-core systematic biopsy at 12 mo. GSN-mediated focal laser ablation was successfully achieved in 94% (15/16) of patients, with no significant difference in International Prostate Symptom Score or Sexual Health Inventory for Men observed after treatment. This treatment protocol appears to be feasible and safe in men with low- or intermediate-risk localized prostate cancer without serious complications or deleterious changes in genitourinary function.","container-title":"Proceedings of the National Academy of Sciences","DOI":"10.1073/pnas.1906929116","ISSN":"0027-8424, 1091-6490","issue":"37","journalAbbreviation":"Proc. Natl. Acad. Sci. U.S.A.","language":"en","page":"18590-18596","source":"DOI.org (Crossref)","title":"Gold nanoshell-localized photothermal ablation of prostate tumors in a clinical pilot device study","volume":"116","author":[{"family":"Rastinehad","given":"Ardeshir R."},{"family":"Anastos","given":"Harry"},{"family":"Wajswol","given":"Ethan"},{"family":"Winoker","given":"Jared S."},{"family":"Sfakianos","given":"John P."},{"family":"Doppalapudi","given":"Sai K."},{"family":"Carrick","given":"Michael R."},{"family":"Knauer","given":"Cynthia J."},{"family":"Taouli","given":"Bachir"},{"family":"Lewis","given":"Sara C."},{"family":"Tewari","given":"Ashutosh K."},{"family":"Schwartz","given":"Jon A."},{"family":"Canfield","given":"Steven E."},{"family":"George","given":"Arvin K."},{"family":"West","given":"Jennifer L."},{"family":"Halas","given":"Naomi J."}],"issued":{"date-parts":[["2019",9,10]]}}}],"schema":"https://github.com/citation-style-language/schema/raw/master/csl-citation.json"}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207</w:t>
      </w:r>
      <w:r w:rsidRPr="00D74025">
        <w:rPr>
          <w:rFonts w:ascii="Arial" w:hAnsi="Arial" w:cs="Arial"/>
          <w:color w:val="000000" w:themeColor="text1"/>
        </w:rPr>
        <w:fldChar w:fldCharType="end"/>
      </w:r>
      <w:r w:rsidRPr="00D74025">
        <w:rPr>
          <w:rFonts w:ascii="Arial" w:hAnsi="Arial" w:cs="Arial"/>
          <w:color w:val="000000" w:themeColor="text1"/>
        </w:rPr>
        <w:t>. The laser system was already preapproved by the time of clinical evaluation of the nanoparticle. It consists of an 810 nm laser (+/- 10 nm) coupled with a cooled laser applicator system (</w:t>
      </w:r>
      <w:proofErr w:type="spellStart"/>
      <w:r w:rsidRPr="00D74025">
        <w:rPr>
          <w:rFonts w:ascii="Arial" w:hAnsi="Arial" w:cs="Arial"/>
          <w:color w:val="000000" w:themeColor="text1"/>
        </w:rPr>
        <w:t>Visualase</w:t>
      </w:r>
      <w:proofErr w:type="spellEnd"/>
      <w:r w:rsidRPr="00D74025">
        <w:rPr>
          <w:rFonts w:ascii="Arial" w:hAnsi="Arial" w:cs="Arial"/>
          <w:color w:val="000000" w:themeColor="text1"/>
        </w:rPr>
        <w:t>, Inc, Houston, Texas). The optical fiber is localized inside a cooled catheter (16G Cooled Catheter System - CCS) that is cooled by circulating room temperature saline in the lumen of the catheter, and a peristaltic pump promotes the saline circulation. The peristaltic pump was also previously approved by the FDA</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{"citationID":"a1di9d0d9h3","properties":{"formattedCitation":"\\super 208\\nosupersub{}","plainCitation":"208","noteIndex":0},"citationItems":[{"id":222,"uris":["http://zotero.org/users/7661987/items/XUE6YSTD"],"itemData":{"id":222,"type":"article-journal","abstract":"To evaluate the clinical safety profile for the use of gold nanoshells in patients with human prostate cancer. This follows on the nonclinical safety assessment of the AuroShell particles reported previously. Twenty-two patients, with biopsy diagnosed prostate cancer, underwent nanoshell infusion and subsequent radical prostatectomy (RRP). Fifteen of these patients had prostates that were additionally irradiated by a single-fiber laser ablation in each prostate hemisphere prior to RRP. Patients in the study were assessed at 9 time points through 6 months postinfusion. Adverse events were recorded as reported by the patients and from clinical observation. Blood and urine samples were collected at each patient visit and subjected to chemical (16 tests), hematological (23 tests), immunological (3 tests, including total PSA), and urinalysis (8 tests) evaluation. Temperature of the anterior rectal wall at the level of the prostate was measured. The study, recorded 2 adverse events that were judged attributable to the nanoparticle infusion: (1) an allergic reaction resulting in itching, which resolved with intravenous antihistamines, and (2) in a separate patient, a transient burning sensation in the epigastrium. blood/hematology/urinalysis assays indicated no device-related changes. No change in temperature of the anterior rectal wall was recorded in any of the patients. The clinical safety profile of AuroShell particles is excellent, matching nonclinical findings. A recent consensus statement suggested that the published literature does not support a preference for any ablation technique over another.1 Now that clinical safety has been confirmed, treatment efficacy of the combined infusion plus laser ablation in prostate will be evaluated in future studies using imaging modalities directing the laser against identified prostate tumors.","container-title":"International Journal of Toxicology","DOI":"10.1177/1091581815600170","ISSN":"1091-5818, 1092-874X","issue":"1","journalAbbreviation":"Int J Toxicol","language":"en","page":"38-46","source":"DOI.org (Crossref)","title":"Initial Evaluation of the Safety of Nanoshell-Directed Photothermal Therapy in the Treatment of Prostate Disease","volume":"35","author":[{"family":"Stern","given":"Joshua M."},{"family":"Kibanov Solomonov","given":"Viktor V."},{"family":"Sazykina","given":"Elena"},{"family":"Schwartz","given":"Jon A."},{"family":"Gad","given":"Shayne C."},{"family":"Goodrich","given":"Glenn P."}],"issued":{"date-parts":[["2016",1]]}}}],"schema":"https://github.com/citation-style-language/schema/raw/master/csl-citation.json"}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208</w:t>
      </w:r>
      <w:r w:rsidRPr="00D74025">
        <w:rPr>
          <w:rFonts w:ascii="Arial" w:hAnsi="Arial" w:cs="Arial"/>
          <w:color w:val="000000" w:themeColor="text1"/>
        </w:rPr>
        <w:fldChar w:fldCharType="end"/>
      </w:r>
      <w:r w:rsidRPr="00D74025">
        <w:rPr>
          <w:rFonts w:ascii="Arial" w:hAnsi="Arial" w:cs="Arial"/>
          <w:color w:val="000000" w:themeColor="text1"/>
        </w:rPr>
        <w:t xml:space="preserve">. Ninety-four percent of patients had </w:t>
      </w:r>
      <w:r w:rsidRPr="00D74025">
        <w:rPr>
          <w:rFonts w:ascii="Arial" w:hAnsi="Arial" w:cs="Arial"/>
          <w:color w:val="000000" w:themeColor="text1"/>
        </w:rPr>
        <w:lastRenderedPageBreak/>
        <w:t>their tumors successfully removed, with no severe side effects or significant changes to their symptoms or sexual health scores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{"citationID":"akvr6v1gj0","properties":{"formattedCitation":"\\super 207\\nosupersub{}","plainCitation":"207","noteIndex":0},"citationItems":[{"id":225,"uris":["http://zotero.org/users/7661987/items/EXHZHMXD"],"itemData":{"id":225,"type":"article-journal","abstract":"Significance\n            Prostate cancer is the most common nonskin cancer in the United States, where approximately 1 in 9 men will be diagnosed in their lifetime. The prostate is near several vital structures, such as the urethra and neurovascular bundle, and whole gland treatments for prostate cancer can disrupt normal urinary, bowel, and sexual functioning. Here we report the initial results of a clinical trial for nanoparticle-based photothermal cancer therapy. The trial was designed to perform ultrafocal photothermal ablation of cancerous tumors within the prostate. Gold-silica nanoparticles designed to absorb near-infrared light at wavelengths of high tissue transparency provide a highly localized light-based strategy for the treatment of prostate cancer, with substantially reduced risks for deleterious treatment-related side effects.\n          , \n            Biocompatible gold nanoparticles designed to absorb light at wavelengths of high tissue transparency have been of particular interest for biomedical applications. The ability of such nanoparticles to convert absorbed near-infrared light to heat and induce highly localized hyperthermia has been shown to be highly effective for photothermal cancer therapy, resulting in cell death and tumor remission in a multitude of preclinical animal models. Here we report the initial results of a clinical trial in which laser-excited gold-silica nanoshells (GSNs) were used in combination with magnetic resonance–ultrasound fusion imaging to focally ablate low-intermediate-grade tumors within the prostate. The overall goal is to provide highly localized regional control of prostate cancer that also results in greatly reduced patient morbidity and improved functional outcomes. This pilot device study reports feasibility and safety data from 16 cases of patients diagnosed with low- or intermediate-risk localized prostate cancer. After GSN infusion and high-precision laser ablation, patients underwent multiparametric MRI of the prostate at 48 to 72 h, followed by postprocedure mpMRI/ultrasound targeted fusion biopsies at 3 and 12 mo, as well as a standard 12-core systematic biopsy at 12 mo. GSN-mediated focal laser ablation was successfully achieved in 94% (15/16) of patients, with no significant difference in International Prostate Symptom Score or Sexual Health Inventory for Men observed after treatment. This treatment protocol appears to be feasible and safe in men with low- or intermediate-risk localized prostate cancer without serious complications or deleterious changes in genitourinary function.","container-title":"Proceedings of the National Academy of Sciences","DOI":"10.1073/pnas.1906929116","ISSN":"0027-8424, 1091-6490","issue":"37","journalAbbreviation":"Proc. Natl. Acad. Sci. U.S.A.","language":"en","page":"18590-18596","source":"DOI.org (Crossref)","title":"Gold nanoshell-localized photothermal ablation of prostate tumors in a clinical pilot device study","volume":"116","author":[{"family":"Rastinehad","given":"Ardeshir R."},{"family":"Anastos","given":"Harry"},{"family":"Wajswol","given":"Ethan"},{"family":"Winoker","given":"Jared S."},{"family":"Sfakianos","given":"John P."},{"family":"Doppalapudi","given":"Sai K."},{"family":"Carrick","given":"Michael R."},{"family":"Knauer","given":"Cynthia J."},{"family":"Taouli","given":"Bachir"},{"family":"Lewis","given":"Sara C."},{"family":"Tewari","given":"Ashutosh K."},{"family":"Schwartz","given":"Jon A."},{"family":"Canfield","given":"Steven E."},{"family":"George","given":"Arvin K."},{"family":"West","given":"Jennifer L."},{"family":"Halas","given":"Naomi J."}],"issued":{"date-parts":[["2019",9,10]]}}}],"schema":"https://github.com/citation-style-language/schema/raw/master/csl-citation.json"}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207</w:t>
      </w:r>
      <w:r w:rsidRPr="00D74025">
        <w:rPr>
          <w:rFonts w:ascii="Arial" w:hAnsi="Arial" w:cs="Arial"/>
          <w:color w:val="000000" w:themeColor="text1"/>
        </w:rPr>
        <w:fldChar w:fldCharType="end"/>
      </w:r>
      <w:r w:rsidRPr="00D74025">
        <w:rPr>
          <w:rFonts w:ascii="Arial" w:hAnsi="Arial" w:cs="Arial"/>
          <w:color w:val="000000" w:themeColor="text1"/>
        </w:rPr>
        <w:t>.</w:t>
      </w:r>
    </w:p>
    <w:p w14:paraId="796786C5" w14:textId="7E6D504A" w:rsidR="00C74CB6" w:rsidRPr="00D74025" w:rsidRDefault="00C74CB6" w:rsidP="00C74CB6">
      <w:pPr>
        <w:spacing w:line="360" w:lineRule="auto"/>
        <w:ind w:firstLine="1440"/>
        <w:jc w:val="both"/>
        <w:rPr>
          <w:rFonts w:ascii="Arial" w:hAnsi="Arial" w:cs="Arial"/>
          <w:color w:val="000000" w:themeColor="text1"/>
        </w:rPr>
      </w:pPr>
      <w:r w:rsidRPr="00D74025">
        <w:rPr>
          <w:rFonts w:ascii="Arial" w:hAnsi="Arial" w:cs="Arial"/>
          <w:color w:val="000000" w:themeColor="text1"/>
        </w:rPr>
        <w:t>Other two clinical trials assessed the effect of this nano-shells mediated photothermal therapy on metastatic lung cancer and head and neck cancer (NCT01679470, NCT00848042). Still, the results were</w:t>
      </w:r>
      <w:r w:rsidR="00B90EAC">
        <w:rPr>
          <w:rFonts w:ascii="Arial" w:hAnsi="Arial" w:cs="Arial"/>
          <w:color w:val="000000" w:themeColor="text1"/>
        </w:rPr>
        <w:t xml:space="preserve"> not</w:t>
      </w:r>
      <w:r w:rsidRPr="00D74025">
        <w:rPr>
          <w:rFonts w:ascii="Arial" w:hAnsi="Arial" w:cs="Arial"/>
          <w:color w:val="000000" w:themeColor="text1"/>
        </w:rPr>
        <w:t xml:space="preserve"> conclusive in terms of the anticancer activity</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{"citationID":"a2ou41b7kj0","properties":{"formattedCitation":"\\super 209\\nosupersub{}","plainCitation":"209","noteIndex":0},"citationItems":[{"id":219,"uris":["http://zotero.org/users/7661987/items/92NL88PD"],"itemData":{"id":219,"type":"article-journal","abstract":"Among modalities of cancer immunotherapy, near-infrared photoimmunotherapy (NIR-PIT) has reached significant preclinical and clinical stages and quickly evolved over the last 5 years. NIR-PIT uses deep-penetrable NIR light to induce physicochemical changes in the antibody–photosensitizer conjugate (APC), leading to resultant necrosis and immunogenic cell death (ICD) of the cancer cells. Alternatively, other types of photomedicine use photosensitizers to convert absorbed light energy either into reactive oxygen species for photodynamic therapy (PDT) or into heat for photothermal therapy (PTT). ICD is a unique and relevant outcome of NIR-PIT because it induces long-lasting antitumor host immunity, which overcomes the immunosuppressive network of cancer. Due to its high specificity and durable antitumor effects, NIR-PIT is now considered a promising cancer therapy, and optimized NIR-PIT is readily expanding its applicability to many different types of cancer. Along with the traditional method of NIR-PIT, new avenues in its realm of treatment are currently being explored, such as the targeting of other immunosuppressive elements, delivery of NIR light through a catheter, real-time imaging for tumor detection, and the use of tumor-seeking small molecules for improved efficacy and safety. In addition, its effect on hyperpermeability has opened a door for a wide array of combination therapies with other modalities. This review summarizes the recent findings in clinical and preclinical studies of NIR-induced photomedicine and its future significance in the field of cancer research.","container-title":"VIEW","DOI":"10.1002/VIW.20200110","ISSN":"2688-268X, 2688-268X","issue":"3","journalAbbreviation":"VIEW","language":"en","page":"20200110","source":"DOI.org (Crossref)","title":"Quickly evolving near</w:instrText>
      </w:r>
      <w:r w:rsidR="000F4F53">
        <w:rPr>
          <w:rFonts w:ascii="Cambria Math" w:hAnsi="Cambria Math" w:cs="Cambria Math"/>
          <w:color w:val="000000" w:themeColor="text1"/>
        </w:rPr>
        <w:instrText>‐</w:instrText>
      </w:r>
      <w:r w:rsidR="000F4F53">
        <w:rPr>
          <w:rFonts w:ascii="Arial" w:hAnsi="Arial" w:cs="Arial"/>
          <w:color w:val="000000" w:themeColor="text1"/>
        </w:rPr>
        <w:instrText xml:space="preserve">infrared photoimmunotherapy provides multifaceted approach to modern cancer treatment","volume":"3","author":[{"family":"Monaco","given":"Hailey"},{"family":"Yokomizo","given":"Shinya"},{"family":"Choi","given":"Hak Soo"},{"family":"Kashiwagi","given":"Satoshi"}],"issued":{"date-parts":[["2022",5]]}}}],"schema":"https://github.com/citation-style-language/schema/raw/master/csl-citation.json"}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209</w:t>
      </w:r>
      <w:r w:rsidRPr="00D74025">
        <w:rPr>
          <w:rFonts w:ascii="Arial" w:hAnsi="Arial" w:cs="Arial"/>
          <w:color w:val="000000" w:themeColor="text1"/>
        </w:rPr>
        <w:fldChar w:fldCharType="end"/>
      </w:r>
      <w:r w:rsidRPr="00D74025">
        <w:rPr>
          <w:rFonts w:ascii="Arial" w:hAnsi="Arial" w:cs="Arial"/>
          <w:color w:val="000000" w:themeColor="text1"/>
        </w:rPr>
        <w:t>.</w:t>
      </w:r>
    </w:p>
    <w:p w14:paraId="19000ED4" w14:textId="2C160039" w:rsidR="002409DA" w:rsidRPr="00D74025" w:rsidRDefault="002409DA" w:rsidP="002409DA">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Other laser devices have been approved for the treatment of various cancer types. </w:t>
      </w:r>
      <w:r w:rsidR="00B90EAC">
        <w:rPr>
          <w:rFonts w:ascii="Arial" w:hAnsi="Arial" w:cs="Arial"/>
          <w:color w:val="000000" w:themeColor="text1"/>
        </w:rPr>
        <w:t xml:space="preserve">A </w:t>
      </w:r>
      <w:r w:rsidRPr="00D74025">
        <w:rPr>
          <w:rFonts w:ascii="Calibri" w:hAnsi="Calibri" w:cs="Calibri"/>
          <w:color w:val="000000" w:themeColor="text1"/>
        </w:rPr>
        <w:t>﻿</w:t>
      </w:r>
      <w:proofErr w:type="spellStart"/>
      <w:r w:rsidRPr="00D74025">
        <w:rPr>
          <w:rFonts w:ascii="Arial" w:hAnsi="Arial" w:cs="Arial"/>
          <w:color w:val="000000" w:themeColor="text1"/>
        </w:rPr>
        <w:t>Nd:YAG</w:t>
      </w:r>
      <w:proofErr w:type="spellEnd"/>
      <w:r w:rsidRPr="00D74025">
        <w:rPr>
          <w:rFonts w:ascii="Arial" w:hAnsi="Arial" w:cs="Arial"/>
          <w:color w:val="000000" w:themeColor="text1"/>
        </w:rPr>
        <w:t xml:space="preserve"> laser was approved for the irradiation of obstructing bronchial cancer via endoscopy</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{"citationID":"a2avp6jkkbt","properties":{"formattedCitation":"\\super 210\\nosupersub{}","plainCitation":"210","noteIndex":0},"citationItems":[{"id":226,"uris":["http://zotero.org/users/7661987/items/SPGU3A76"],"itemData":{"id":226,"type":"article-journal","abstract":"An overview is given over different methods for thermal ablation in central airways. The most widely used method, endoscopic laser photocoagulation (Nd:YAG laser) is described in some detail. Other methods are electrocautery, argon plasma coagulation, photodynamic treatment and cryotherapy. Thermal ablation is usually a palliative treatment, but is sometimes performed with a curative intent. Such treatment should be performed in specialized centres for interventional bronchoscopy, with a broad range of methods available.","container-title":"Minimally Invasive Therapy &amp; Allied Technologies","DOI":"10.1080/13645700500470041","ISSN":"1364-5706, 1365-2931","issue":"1","journalAbbreviation":"Minimally Invasive Therapy &amp; Allied Technologies","language":"en","page":"4-8","source":"DOI.org (Crossref)","title":"Transbronchial laser ablation of benign and malignant tumors","volume":"15","author":[{"family":"Hansen","given":"Gunnar"},{"family":"Sundset","given":"Arve"}],"issued":{"date-parts":[["2006",1]]}}}],"schema":"https://github.com/citation-style-language/schema/raw/master/csl-citation.json"}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210</w:t>
      </w:r>
      <w:r w:rsidRPr="00D74025">
        <w:rPr>
          <w:rFonts w:ascii="Arial" w:hAnsi="Arial" w:cs="Arial"/>
          <w:color w:val="000000" w:themeColor="text1"/>
        </w:rPr>
        <w:fldChar w:fldCharType="end"/>
      </w:r>
      <w:r w:rsidRPr="00D74025">
        <w:rPr>
          <w:rFonts w:ascii="Arial" w:hAnsi="Arial" w:cs="Arial"/>
          <w:color w:val="000000" w:themeColor="text1"/>
        </w:rPr>
        <w:t>. Laser interstitial therapy is approved for prostate cancer</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{"citationID":"a1g8es1i00n","properties":{"formattedCitation":"\\super 211\\nosupersub{}","plainCitation":"211","noteIndex":0},"citationItems":[{"id":227,"uris":["http://zotero.org/users/7661987/items/VAQ5ZW8M"],"itemData":{"id":227,"type":"article-journal","abstract":"Purpose of Review—Focal laser ablation is an emerging treatment paradigm for prostate cancer that aims to successfully eradicate disease while also reducing the risk of side effects compared to whole-gland therapies.","container-title":"Current Opinion in Urology","DOI":"10.1097/MOU.0000000000000044","ISSN":"0963-0643","issue":"3","language":"en","page":"236-240","source":"DOI.org (Crossref)","title":"Laser ablation as focal therapy for prostate cancer","volume":"24","author":[{"family":"Wenger","given":"Hannah"},{"family":"Yousuf","given":"Ambereen"},{"family":"Oto","given":"Aytekin"},{"family":"Eggener","given":"Scott"}],"issued":{"date-parts":[["2014",5]]}}}],"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211</w:t>
      </w:r>
      <w:r w:rsidRPr="00D74025">
        <w:rPr>
          <w:rFonts w:ascii="Arial" w:hAnsi="Arial" w:cs="Arial"/>
          <w:color w:val="000000" w:themeColor="text1"/>
        </w:rPr>
        <w:fldChar w:fldCharType="end"/>
      </w:r>
      <w:r w:rsidRPr="00D74025">
        <w:rPr>
          <w:rFonts w:ascii="Arial" w:hAnsi="Arial" w:cs="Arial"/>
          <w:color w:val="000000" w:themeColor="text1"/>
        </w:rPr>
        <w:t>, hepatocellular carcinomas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{"citationID":"a1jhaf3kpll","properties":{"formattedCitation":"\\super 212,213\\nosupersub{}","plainCitation":"212,213","noteIndex":0},"citationItems":[{"id":228,"uris":["http://zotero.org/users/7661987/items/435BQX8B"],"itemData":{"id":228,"type":"article-journal","abstract":"A wide range of local thermal ablative therapies have been developed in the treatment of non resectable hepatocellular carcinoma (HCC) in the last decade. Laser ablation (LA) and radiofrequency ablation (RFA) are the two most widely used of these. This article provides an up to date overview of the role of laser ablation in the local treatment of HCC. General principles, technique, image guidance and patient selection are discussed. A review of published data on treatment efficacy, long term outcome and complication rates of laser ablation is included and comparison with RFA made. The role of laser ablation in combination with transcatheter arterial chemoembolization is also discussed.","container-title":"World Journal of Gastroenterology","DOI":"10.3748/wjg.14.7170","ISSN":"1007-9327","issue":"47","journalAbbreviation":"WJG","language":"en","page":"7170","source":"DOI.org (Crossref)","title":"Laser ablation of hepatocellular carcinoma-A review","volume":"14","author":[{"family":"Gough-Palmer","given":"Antony Lawrence"},{"family":"Gedroyc","given":"Wladyslaw Michal Witold"}],"issued":{"date-parts":[["2008"]]}}},{"id":1052,"uris":["http://zotero.org/users/7661987/items/W77G4NEG"],"itemData":{"id":1052,"type":"article-journal","container-title":"Radiology","DOI":"10.1148/radiol.2463070390","ISSN":"0033-8419, 1527-1315","issue":"3","journalAbbreviation":"Radiology","language":"en","page":"947-955","source":"DOI.org (Crossref)","title":"Complications of Laser Ablation for Hepatocellular Carcinoma: A Multicenter Study","title-short":"Complications of Laser Ablation for Hepatocellular Carcinoma","volume":"246","author":[{"family":"Arienti","given":"Vincenzo"},{"family":"Pretolani","given":"Stefano"},{"family":"Pacella","given":"Claudio Maurizio"},{"family":"Magnolfi","given":"Fabrizio"},{"family":"Caspani","given":"Bruno"},{"family":"Francica","given":"Giampiero"},{"family":"Megna","given":"Angelo Salomone"},{"family":"Regine","given":"Renato"},{"family":"Sponza","given":"Massimo"},{"family":"Antico","given":"Ettore"},{"family":"Di Lascio","given":"Francesca Marta Lilja"}],"issued":{"date-parts":[["2008",3]]}}}],"schema":"https://github.com/citation-style-language/schema/raw/master/csl-citation.json"}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212,213</w:t>
      </w:r>
      <w:r w:rsidRPr="00D74025">
        <w:rPr>
          <w:rFonts w:ascii="Arial" w:hAnsi="Arial" w:cs="Arial"/>
          <w:color w:val="000000" w:themeColor="text1"/>
        </w:rPr>
        <w:fldChar w:fldCharType="end"/>
      </w:r>
      <w:r w:rsidRPr="00D74025">
        <w:rPr>
          <w:rFonts w:ascii="Arial" w:hAnsi="Arial" w:cs="Arial"/>
          <w:color w:val="000000" w:themeColor="text1"/>
        </w:rPr>
        <w:t>, liver metastasis of colorectal carcinoma via MRI guidance</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{"citationID":"a1ep019akao","properties":{"formattedCitation":"\\super 214\\nosupersub{}","plainCitation":"214","noteIndex":0},"citationItems":[{"id":229,"uris":["http://zotero.org/users/7661987/items/NUYC9WYI"],"itemData":{"id":229,"type":"article-journal","abstract":"PURPOSE: To evaluate the local tumor control and survival data for magnetic resonance (MR) imaging– guided laser-induced interstitial thermotherapy (LITT) of colorectal liver metastases. MATERIALS AND METHODS: MR imaging– guided LITT was performed in 603 patients (mean age, 61.2 years) with 1,801 liver metastases of colorectal cancer. Survival rates were calculated by means of the Kaplan-Meier method. Local tumor control and tumor volume were evaluated with nonenhanced and contrast material– enhanced MR imaging. Indications for the procedure were deﬁned for patients with ﬁve or fewer metastases, none of which were larger than 5 cm in diameter. The indications included recurrent liver metastases after partial liver resection in 37.6% of study patients, metastases in both liver lobes in 32.5%, locally nonresectable lesions in 11.3%, general contraindications for surgery in 4.6%, and refusal to undergo surgical resection in 13.9%.\nRESULTS: Local recurrence rate at 6-month follow-up was 1.9% (nine of 474) for metastases up to 2 cm in diameter, 2.4% (13 of 539) for metastases 2.1–3.0 cm in diameter, 1.2% (four of 327) for metastases 3.1– 4.0 cm in diameter, and 4.4% (13 of 294) for metastases larger than 4 cm in diameter. The mean survival rate for all treated patients, with calculation started on the date of diagnosis of the metastases (which were treated with LITT) was 4.4 years (95% CI: 4.0, 4.8) (1-year survival, 94%; 2-year survival, 77%; 3-year survival, 56%; 5-year survival, 37%). Median survival was 3.5 years (95% CI: 3.0, 3.9). Mean survival after the ﬁrst LITT treatment was 3.8 years (95% CI: 3.4, 4.2). Median survival was 2.9 years (95% CI: 2.4, 3.3).\nCONCLUSION: MR imaging– guided LITT yields high local tumor control and survival rates in well-selected patients with limited liver metastases of colorectal carcinoma.","container-title":"Radiology","DOI":"10.1148/radiol.2302020646","ISSN":"0033-8419, 1527-1315","issue":"2","journalAbbreviation":"Radiology","language":"en","page":"450-458","source":"DOI.org (Crossref)","title":"Colorectal Carcinoma Metastases in Liver: Laser-induced Interstitial Thermotherapy—Local Tumor Control Rate and Survival Data","title-short":"Colorectal Carcinoma Metastases in Liver","volume":"230","author":[{"family":"Vogl","given":"Thomas J."},{"family":"Straub","given":"Ralf"},{"family":"Eichler","given":"Katrin"},{"family":"Söllner","given":"Oliver"},{"family":"Mack","given":"Martin G."}],"issued":{"date-parts":[["2004",2]]}}}],"schema":"https://github.com/citation-style-language/schema/raw/master/csl-citation.json"}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214</w:t>
      </w:r>
      <w:r w:rsidRPr="00D74025">
        <w:rPr>
          <w:rFonts w:ascii="Arial" w:hAnsi="Arial" w:cs="Arial"/>
          <w:color w:val="000000" w:themeColor="text1"/>
        </w:rPr>
        <w:fldChar w:fldCharType="end"/>
      </w:r>
      <w:r w:rsidRPr="00D74025">
        <w:rPr>
          <w:rFonts w:ascii="Arial" w:hAnsi="Arial" w:cs="Arial"/>
          <w:color w:val="000000" w:themeColor="text1"/>
        </w:rPr>
        <w:t xml:space="preserve">, and </w:t>
      </w:r>
      <w:r w:rsidRPr="00D74025">
        <w:rPr>
          <w:rFonts w:ascii="Calibri" w:hAnsi="Calibri" w:cs="Calibri"/>
          <w:color w:val="000000" w:themeColor="text1"/>
        </w:rPr>
        <w:t>﻿</w:t>
      </w:r>
      <w:r w:rsidRPr="00D74025">
        <w:rPr>
          <w:rFonts w:ascii="Arial" w:hAnsi="Arial" w:cs="Arial"/>
          <w:color w:val="000000" w:themeColor="text1"/>
        </w:rPr>
        <w:t>MRI-guided laser interstitial irradiation therapy for brain tumors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{"citationID":"aehr3g7t6q","properties":{"formattedCitation":"\\super 215\\nosupersub{}","plainCitation":"215","noteIndex":0},"citationItems":[{"id":231,"uris":["http://zotero.org/users/7661987/items/93AEUSVF"],"itemData":{"id":231,"type":"article-journal","abstract":"Magnetic resonance-guided laser interstitial thermal therapy (MRgLITT) is a novel minimally invasive modality that uses heat from laser probes to destroy tissue. Advances in probe design, cooling mechanisms, and real-time MR thermography have increased laser utilization in neurosurgery. The authors perform a systematic analysis of two commercially available MRgLITT systems used in neurosurgery: the VisualaseÒ thermal therapy and NeuroBlateÒ Systems. Data extraction was performed in a blinded fashion. Twenty-two articles were included in the quantitative synthesis. A total of 223 patients were identiﬁed with the majority having undergone treatment with Visualase (n = 154, 69%). Epilepsy was the most common indication for Visualase therapy (n = 8 studies, 47%). Brain mass was the most common indication for NeuroBlate therapy (n = 3 studies, 60%). There were no signiﬁcant differences, except in age, wherein the NeuroBlate group was nearly twice as old as the Visualase group (p &lt; 0.001). Frame, total complications, and length-of-stay (LOS) were non-signiﬁcant when adjusted for age and number of patients. Laser neurosurgery has evolved over recent decades. Clinical indications are currently being deﬁned and will continue to emerge as laser technologies become more sophisticated. Head-to-head comparison of these systems was difﬁcult given the variance in indications (and therefore patient population) and disparate literature.","container-title":"Journal of Clinical Neuroscience","DOI":"10.1016/j.jocn.2016.10.019","ISSN":"09675868","journalAbbreviation":"Journal of Clinical Neuroscience","language":"en","page":"20-26","source":"DOI.org (Crossref)","title":"Laser neurosurgery: A systematic analysis of magnetic resonance-guided laser interstitial thermal therapies","title-short":"Laser neurosurgery","volume":"36","author":[{"family":"Lagman","given":"Carlito"},{"family":"Chung","given":"Lawrance K."},{"family":"Pelargos","given":"Panayiotis E."},{"family":"Ung","given":"Nolan"},{"family":"Bui","given":"Timothy T."},{"family":"Lee","given":"Seung J."},{"family":"Voth","given":"Brittany L."},{"family":"Yang","given":"Isaac"}],"issued":{"date-parts":[["2017",2]]}}}],"schema":"https://github.com/citation-style-language/schema/raw/master/csl-citation.json"}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215</w:t>
      </w:r>
      <w:r w:rsidRPr="00D74025">
        <w:rPr>
          <w:rFonts w:ascii="Arial" w:hAnsi="Arial" w:cs="Arial"/>
          <w:color w:val="000000" w:themeColor="text1"/>
        </w:rPr>
        <w:fldChar w:fldCharType="end"/>
      </w:r>
      <w:r w:rsidRPr="00D74025">
        <w:rPr>
          <w:rFonts w:ascii="Arial" w:hAnsi="Arial" w:cs="Arial"/>
          <w:color w:val="000000" w:themeColor="text1"/>
        </w:rPr>
        <w:t xml:space="preserve"> and benign mammary tumors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{"citationID":"a2eehlm4esr","properties":{"formattedCitation":"\\super 216\\nosupersub{}","plainCitation":"216","noteIndex":0},"citationItems":[{"id":220,"uris":["http://zotero.org/users/7661987/items/6LT2ZXMJ"],"itemData":{"id":220,"type":"article-journal","abstract":"METHODS: Using National Cancer Database, adult women ( 18 years old) diagnosed with ductal, lobular, or mixed invasive BC between 2004 and 2013 that were T1-T2 and N0-N1 stage at diagnosis, and underwent BCS alone, BCT, or mastectomy were identiﬁed. Multivariable generalized logistic regression was used to assess differences in the utilization of mastectomy and BCS alone, compared to BCT, across residential characteristics.\nRESULTS: Overall, 828,718 women were included; 46% underwent BCT, 15% BCS alone, and 39% mastectomy. Minimal differences in the likelihood of mastectomy were seen in patients residing in counties with median household income &lt;$63,000 (odds ratio [OR] 1.07, 95% CI 1.05, 1.08, p&lt;0.0001). Odds of undergoing BCS alone and mastectomy, compared to BCT, increased the further the woman lived from their treatment center. Women living &gt;15 miles away were over 30% more likely to receive both BCS alone and mastectomy (OR 1.37, 95% CI 1.34, 1.40, and OR 1.36 95% CI 1.34, 1.38, respectively).\nCONCLUSIONS: Increased travel distance to a treatment facility correlates with reduction in the proportion of patients receiving recommended standard therapy after BCS. Increasing access to radiation facilities and education regarding the importance of adjuvant therapy should be considered to reduce the disparities in care that can impact patient outcomes.","container-title":"Journal of the American College of Surgeons","DOI":"10.1016/j.jamcollsurg.2018.08.223","ISSN":"1072-7515","issue":"4","language":"en","page":"e83","source":"DOI.org (Crossref)","title":"Interstitial Laser Ablation as Alternative to Surgical Treatment of Benign Breast Tumors","volume":"227","author":[{"family":"Chen","given":"Margaret"},{"family":"Schwartzberg","given":"Barbara S."},{"family":"Lewin","given":"John"},{"family":"Taback","given":"Bret"},{"family":"Ishtihar","given":"Sherene"},{"family":"Maganini","given":"Robert"},{"family":"Mansfield","given":"William P."},{"family":"Gardner","given":"Robert"},{"family":"Del Toro","given":"Miguel H."},{"family":"Dowlatshahi","given":"Kambiz"}],"issued":{"date-parts":[["2018",10]]}}}],"schema":"https://github.com/citation-style-language/schema/raw/master/csl-citation.json"}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216</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7554BBDF" w14:textId="4E149480" w:rsidR="0076555F" w:rsidRPr="00D74025" w:rsidRDefault="0076555F" w:rsidP="0076555F">
      <w:pPr>
        <w:spacing w:line="360" w:lineRule="auto"/>
        <w:ind w:firstLine="1440"/>
        <w:jc w:val="both"/>
        <w:rPr>
          <w:rFonts w:ascii="Arial" w:hAnsi="Arial" w:cs="Arial"/>
          <w:color w:val="000000" w:themeColor="text1"/>
        </w:rPr>
      </w:pPr>
      <w:r w:rsidRPr="00D74025">
        <w:rPr>
          <w:rFonts w:ascii="Arial" w:hAnsi="Arial" w:cs="Arial"/>
          <w:color w:val="000000" w:themeColor="text1"/>
        </w:rPr>
        <w:t>A clinical trial is in progress to assess the use of an 805-nm laser diode system (</w:t>
      </w:r>
      <w:proofErr w:type="spellStart"/>
      <w:r w:rsidRPr="00D74025">
        <w:rPr>
          <w:rFonts w:ascii="Arial" w:hAnsi="Arial" w:cs="Arial"/>
          <w:color w:val="000000" w:themeColor="text1"/>
        </w:rPr>
        <w:t>Novilase</w:t>
      </w:r>
      <w:proofErr w:type="spellEnd"/>
      <w:r w:rsidRPr="00D74025">
        <w:rPr>
          <w:rFonts w:ascii="Arial" w:hAnsi="Arial" w:cs="Arial"/>
          <w:color w:val="000000" w:themeColor="text1"/>
        </w:rPr>
        <w:t xml:space="preserve">) guided by ultrasound or stereotactic image for the percutaneous laser photothermal therapy of early-stage BC. In this study, </w:t>
      </w:r>
      <w:r w:rsidRPr="00D74025">
        <w:rPr>
          <w:rFonts w:ascii="Calibri" w:hAnsi="Calibri" w:cs="Calibri"/>
          <w:color w:val="000000" w:themeColor="text1"/>
        </w:rPr>
        <w:t>﻿</w:t>
      </w:r>
      <w:r w:rsidRPr="00D74025">
        <w:rPr>
          <w:rFonts w:ascii="Arial" w:hAnsi="Arial" w:cs="Arial"/>
          <w:color w:val="000000" w:themeColor="text1"/>
        </w:rPr>
        <w:t xml:space="preserve">the laser fiber inside was coupled with thermal sensors. Photothermal therapy ended </w:t>
      </w:r>
      <w:r w:rsidR="009F73AE">
        <w:rPr>
          <w:rFonts w:ascii="Arial" w:hAnsi="Arial" w:cs="Arial"/>
          <w:color w:val="000000" w:themeColor="text1"/>
        </w:rPr>
        <w:t xml:space="preserve">immediately </w:t>
      </w:r>
      <w:r w:rsidRPr="00D74025">
        <w:rPr>
          <w:rFonts w:ascii="Arial" w:hAnsi="Arial" w:cs="Arial"/>
          <w:color w:val="000000" w:themeColor="text1"/>
        </w:rPr>
        <w:t>when temperature readings reached 60</w:t>
      </w:r>
      <w:r w:rsidRPr="00D74025">
        <w:rPr>
          <w:rFonts w:ascii="Arial" w:hAnsi="Arial" w:cs="Arial"/>
          <w:color w:val="000000" w:themeColor="text1"/>
        </w:rPr>
        <w:sym w:font="Symbol" w:char="F0B0"/>
      </w:r>
      <w:r w:rsidRPr="00D74025">
        <w:rPr>
          <w:rFonts w:ascii="Arial" w:hAnsi="Arial" w:cs="Arial"/>
          <w:color w:val="000000" w:themeColor="text1"/>
        </w:rPr>
        <w:t xml:space="preserve">C or </w:t>
      </w:r>
      <w:r w:rsidR="00B525A3">
        <w:rPr>
          <w:rFonts w:ascii="Arial" w:hAnsi="Arial" w:cs="Arial"/>
          <w:color w:val="000000" w:themeColor="text1"/>
        </w:rPr>
        <w:t>when it reached</w:t>
      </w:r>
      <w:r w:rsidR="00437943">
        <w:rPr>
          <w:rFonts w:ascii="Arial" w:hAnsi="Arial" w:cs="Arial"/>
          <w:color w:val="000000" w:themeColor="text1"/>
        </w:rPr>
        <w:t xml:space="preserve"> </w:t>
      </w:r>
      <w:r w:rsidRPr="00D74025">
        <w:rPr>
          <w:rFonts w:ascii="Arial" w:hAnsi="Arial" w:cs="Arial"/>
          <w:color w:val="000000" w:themeColor="text1"/>
        </w:rPr>
        <w:t>51</w:t>
      </w:r>
      <w:r w:rsidRPr="00D74025">
        <w:rPr>
          <w:rFonts w:ascii="Arial" w:hAnsi="Arial" w:cs="Arial"/>
          <w:color w:val="000000" w:themeColor="text1"/>
        </w:rPr>
        <w:sym w:font="Symbol" w:char="F0B0"/>
      </w:r>
      <w:r w:rsidRPr="00D74025">
        <w:rPr>
          <w:rFonts w:ascii="Arial" w:hAnsi="Arial" w:cs="Arial"/>
          <w:color w:val="000000" w:themeColor="text1"/>
        </w:rPr>
        <w:t>C for longer than</w:t>
      </w:r>
      <w:r w:rsidR="00B525A3">
        <w:rPr>
          <w:rFonts w:ascii="Arial" w:hAnsi="Arial" w:cs="Arial"/>
          <w:color w:val="000000" w:themeColor="text1"/>
        </w:rPr>
        <w:t xml:space="preserve"> 2 min</w:t>
      </w:r>
      <w:r w:rsidRPr="00D74025">
        <w:rPr>
          <w:rFonts w:ascii="Arial" w:hAnsi="Arial" w:cs="Arial"/>
          <w:color w:val="000000" w:themeColor="text1"/>
        </w:rPr>
        <w:t xml:space="preserve">. </w:t>
      </w:r>
      <w:r w:rsidR="00B90EAC">
        <w:rPr>
          <w:rFonts w:ascii="Arial" w:hAnsi="Arial" w:cs="Arial"/>
          <w:color w:val="000000" w:themeColor="text1"/>
        </w:rPr>
        <w:t>A high percentage (</w:t>
      </w:r>
      <w:r w:rsidRPr="00D74025">
        <w:rPr>
          <w:rFonts w:ascii="Arial" w:hAnsi="Arial" w:cs="Arial"/>
          <w:color w:val="000000" w:themeColor="text1"/>
        </w:rPr>
        <w:t>8</w:t>
      </w:r>
      <w:r w:rsidR="009F73AE">
        <w:rPr>
          <w:rFonts w:ascii="Arial" w:hAnsi="Arial" w:cs="Arial"/>
          <w:color w:val="000000" w:themeColor="text1"/>
        </w:rPr>
        <w:t>4</w:t>
      </w:r>
      <w:r w:rsidRPr="00D74025">
        <w:rPr>
          <w:rFonts w:ascii="Arial" w:hAnsi="Arial" w:cs="Arial"/>
          <w:color w:val="000000" w:themeColor="text1"/>
        </w:rPr>
        <w:t>%</w:t>
      </w:r>
      <w:r w:rsidR="00B90EAC">
        <w:rPr>
          <w:rFonts w:ascii="Arial" w:hAnsi="Arial" w:cs="Arial"/>
          <w:color w:val="000000" w:themeColor="text1"/>
        </w:rPr>
        <w:t>)</w:t>
      </w:r>
      <w:r w:rsidRPr="00D74025">
        <w:rPr>
          <w:rFonts w:ascii="Arial" w:hAnsi="Arial" w:cs="Arial"/>
          <w:color w:val="000000" w:themeColor="text1"/>
        </w:rPr>
        <w:t xml:space="preserve"> of the patients had complete tumor ablation assessed by pathology analysis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{"citationID":"aoe624rl4u","properties":{"formattedCitation":"\\super 217\\nosupersub{}","plainCitation":"217","noteIndex":0},"citationItems":[{"id":233,"uris":["http://zotero.org/users/7661987/items/JY73P2QY"],"itemData":{"id":233,"type":"article-journal","abstract":"Background. An institutional review board-approved, multicenter clinical trial was designed to determine the efﬁcacy and outcome of percutaneous laser ablation (PLA) in the treatment of invasive ductal breast carcinoma (IDC). Post-ablation magnetic resonance imaging (MRI) was compared with surgical pathology in evaluation of residual post-ablation IDC and ductal carcinoma in situ.","container-title":"Annals of Surgical Oncology","DOI":"10.1245/s10434-018-6623-2","ISSN":"1068-9265, 1534-4681","issue":"10","journalAbbreviation":"Ann Surg Oncol","language":"en","page":"2958-2964","source":"DOI.org (Crossref)","title":"Phase 2 Open-Label Trial Investigating Percutaneous Laser Ablation for Treatment of Early-Stage Breast Cancer: MRI, Pathology, and Outcome Correlations","title-short":"Phase 2 Open-Label Trial Investigating Percutaneous Laser Ablation for Treatment of Early-Stage Breast Cancer","volume":"25","author":[{"family":"Schwartzberg","given":"Barbara"},{"family":"Lewin","given":"John"},{"family":"Abdelatif","given":"Osama"},{"family":"Bernard","given":"Jacqueline"},{"family":"Bu-Ali","given":"Hanadi"},{"family":"Cawthorn","given":"Simon"},{"family":"Chen-Seetoo","given":"Margaret"},{"family":"Feldman","given":"Sheldon"},{"family":"Govindarajulu","given":"Sasirekha"},{"family":"Jones","given":"Lyn"},{"family":"Juette","given":"Arne"},{"family":"Kavia","given":"Sanjay"},{"family":"Maganini","given":"Robert"},{"family":"Pain","given":"Simon"},{"family":"Shere","given":"Mike"},{"family":"Shriver","given":"Craig"},{"family":"Smith","given":"Simon"},{"family":"Valencia","given":"Alexandra"},{"family":"Whitacre","given":"Eric"},{"family":"Whitney","given":"Roger"}],"issued":{"date-parts":[["2018",10]]}}}],"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217</w:t>
      </w:r>
      <w:r w:rsidRPr="00D74025">
        <w:rPr>
          <w:rFonts w:ascii="Arial" w:hAnsi="Arial" w:cs="Arial"/>
          <w:color w:val="000000" w:themeColor="text1"/>
        </w:rPr>
        <w:fldChar w:fldCharType="end"/>
      </w:r>
      <w:r w:rsidRPr="00D74025">
        <w:rPr>
          <w:rFonts w:ascii="Arial" w:hAnsi="Arial" w:cs="Arial"/>
          <w:color w:val="000000" w:themeColor="text1"/>
        </w:rPr>
        <w:t>.</w:t>
      </w:r>
    </w:p>
    <w:p w14:paraId="1D29B272" w14:textId="000DEA4C" w:rsidR="00B9495B" w:rsidRPr="00D74025" w:rsidRDefault="00B9495B" w:rsidP="00B9495B">
      <w:pPr>
        <w:spacing w:line="360" w:lineRule="auto"/>
        <w:ind w:firstLine="1440"/>
        <w:jc w:val="both"/>
        <w:rPr>
          <w:rFonts w:ascii="Arial" w:hAnsi="Arial" w:cs="Arial"/>
          <w:color w:val="000000" w:themeColor="text1"/>
        </w:rPr>
      </w:pPr>
      <w:r w:rsidRPr="00D74025">
        <w:rPr>
          <w:rFonts w:ascii="Arial" w:hAnsi="Arial" w:cs="Arial"/>
          <w:color w:val="000000" w:themeColor="text1"/>
        </w:rPr>
        <w:t>Another clinical trial in Peru was performed with the injection of indocyanine green and the immunoadjuvant glycated chitosan. The superficial breast cancer tumors were irradiated with an 805-nm laser at a power of 1</w:t>
      </w:r>
      <w:r w:rsidR="005854EB">
        <w:rPr>
          <w:rFonts w:ascii="Arial" w:hAnsi="Arial" w:cs="Arial"/>
          <w:color w:val="000000" w:themeColor="text1"/>
        </w:rPr>
        <w:t xml:space="preserve"> </w:t>
      </w:r>
      <w:r w:rsidRPr="00D74025">
        <w:rPr>
          <w:rFonts w:ascii="Arial" w:hAnsi="Arial" w:cs="Arial"/>
          <w:color w:val="000000" w:themeColor="text1"/>
        </w:rPr>
        <w:t>W/cm</w:t>
      </w:r>
      <w:r w:rsidRPr="00D74025">
        <w:rPr>
          <w:rFonts w:ascii="Arial" w:hAnsi="Arial" w:cs="Arial"/>
          <w:color w:val="000000" w:themeColor="text1"/>
          <w:vertAlign w:val="superscript"/>
        </w:rPr>
        <w:t>2</w:t>
      </w:r>
      <w:r w:rsidRPr="00D74025">
        <w:rPr>
          <w:rFonts w:ascii="Arial" w:hAnsi="Arial" w:cs="Arial"/>
          <w:color w:val="000000" w:themeColor="text1"/>
        </w:rPr>
        <w:t xml:space="preserve"> for 10 min. Clinical beneficial response rate from the treatment was 75%</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{"citationID":"a89oihqa8l","properties":{"formattedCitation":"\\super 218\\nosupersub{}","plainCitation":"218","noteIndex":0},"citationItems":[{"id":200,"uris":["http://zotero.org/users/7661987/items/TM7BZSL2"],"itemData":{"id":200,"type":"article-journal","container-title":"Photochemical &amp; Photobiological Sciences","DOI":"10.1039/c0pp00306a","ISSN":"1474-905X, 1474-9092","issue":"5","journalAbbreviation":"Photochem. Photobiol. Sci.","language":"en","page":"817","source":"DOI.org (Crossref)","title":"Preliminary safety and efficacy results of laser immunotherapy for the treatment of metastatic breast cancer patients","volume":"10","author":[{"family":"Li","given":"Xiaosong"},{"family":"Ferrel","given":"Gabriela L."},{"family":"Guerra","given":"Maria C."},{"family":"Hode","given":"Tomas"},{"family":"Lunn","given":"John A."},{"family":"Adalsteinsson","given":"Orn"},{"family":"Nordquist","given":"Robert E."},{"family":"Liu","given":"Hong"},{"family":"Chen","given":"Wei R."}],"issued":{"date-parts":[["2011"]]}}}],"schema":"https://github.com/citation-style-language/schema/raw/master/csl-citation.json"}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218</w:t>
      </w:r>
      <w:r w:rsidRPr="00D74025">
        <w:rPr>
          <w:rFonts w:ascii="Arial" w:hAnsi="Arial" w:cs="Arial"/>
          <w:color w:val="000000" w:themeColor="text1"/>
        </w:rPr>
        <w:fldChar w:fldCharType="end"/>
      </w:r>
      <w:r w:rsidRPr="00D74025">
        <w:rPr>
          <w:rFonts w:ascii="Arial" w:hAnsi="Arial" w:cs="Arial"/>
          <w:color w:val="000000" w:themeColor="text1"/>
        </w:rPr>
        <w:t>.</w:t>
      </w:r>
    </w:p>
    <w:p w14:paraId="7C0174FE" w14:textId="6CDDB32E" w:rsidR="003C7EBD" w:rsidRPr="00D74025" w:rsidRDefault="003C7EBD" w:rsidP="003C7EBD">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The addition of </w:t>
      </w:r>
      <w:r w:rsidR="006E7035">
        <w:rPr>
          <w:rFonts w:ascii="Arial" w:hAnsi="Arial" w:cs="Arial"/>
          <w:color w:val="000000" w:themeColor="text1"/>
        </w:rPr>
        <w:t xml:space="preserve">a </w:t>
      </w:r>
      <w:r w:rsidRPr="00D74025">
        <w:rPr>
          <w:rFonts w:ascii="Arial" w:hAnsi="Arial" w:cs="Arial"/>
          <w:color w:val="000000" w:themeColor="text1"/>
        </w:rPr>
        <w:t xml:space="preserve">photosensitizer to photothermal therapy can increase the selectivity of the target tissue and lower the power necessary for ablation, which might simplify the devices that usually require cooling systems. One type of material that can be used as a photosensitizer is </w:t>
      </w:r>
      <w:r w:rsidRPr="00D74025">
        <w:rPr>
          <w:rFonts w:ascii="Arial" w:hAnsi="Arial" w:cs="Arial"/>
          <w:color w:val="000000" w:themeColor="text1"/>
          <w:u w:val="single"/>
        </w:rPr>
        <w:t>carbon nanotubes</w:t>
      </w:r>
      <w:r w:rsidRPr="00D74025">
        <w:rPr>
          <w:rFonts w:ascii="Arial" w:hAnsi="Arial" w:cs="Arial"/>
          <w:color w:val="000000" w:themeColor="text1"/>
        </w:rPr>
        <w:t>. In cancer therapeutics, their ability to strongly absorb near-infrared light in the range at which water and hemoglobin have minimum absorption makes them suitable for the application in photothermal therapy</w:t>
      </w:r>
      <w:r w:rsidRPr="00D74025">
        <w:rPr>
          <w:rFonts w:ascii="Arial" w:hAnsi="Arial" w:cs="Arial"/>
          <w:color w:val="000000" w:themeColor="text1"/>
        </w:rPr>
        <w:fldChar w:fldCharType="begin" w:fldLock="1"/>
      </w:r>
      <w:r w:rsidR="000F4F53">
        <w:rPr>
          <w:rFonts w:ascii="Arial" w:hAnsi="Arial" w:cs="Arial"/>
          <w:color w:val="000000" w:themeColor="text1"/>
        </w:rPr>
        <w:instrText xml:space="preserve"> ADDIN ZOTERO_ITEM CSL_CITATION {"citationID":"h7YxaHSo","properties":{"formattedCitation":"\\super 219\\uc0\\u8211{}221\\nosupersub{}","plainCitation":"219–221","noteIndex":0},"citationItems":[{"id":"a7Mi7BUu/94XqXiCi","uris":["http://www.mendeley.com/documents/?uuid=616b85a3-4a5f-4192-8b23-79130de742fe"],"itemData":{"DOI":"10.1021/ed070p612","ISSN":"00219584","author":[{"dropping-particle":"","family":"Braun","given":"Charles L.","non-dropping-particle":"","parse-names":false,"suffix":""},{"dropping-particle":"","family":"Smirnov","given":"Sergei N.","non-dropping-particle":"","parse-names":false,"suffix":""}],"container-title":"Journal of Chemical Education","id":"ITEM-1","issue":"8","issued":{"date-parts":[["1993"]]},"page":"612-614","title":"Why is water blue?","type":"article-journal","volume":"70"}},{"id":"a7Mi7BUu/sctZz383","uris":["http://www.mendeley.com/documents/?uuid=9b95c313-8df0-467f-baf0-c59100292cf7"],"itemData":{"author":[{"dropping-particle":"","family":"Weissleder","given":"Ralph","non-dropping-particle":"","parse-names":false,"suffix":""}],"container-title":"Nature Biotechnology","id":"ITEM-2","issued":{"date-parts":[["2001"]]},"title":"A clearer vision for in vivo imaging","type":"article-journal","volume":"19"}},{"id":"a7Mi7BUu/Tw7G0J8z","uris":["http://www.mendeley.com/documents/?uuid=d7d3fa9a-9856-4d5b-8a8f-649eab93383d"],"itemData":{"DOI":"10.1016/0009-2614(94)87015-2","ISSN":"00092614","abstract":"We present a comparative analysis of the vibrational and structural properties of carbon nanotubes. The first-order Raman spectrum exhibits two lines at 1582 cm-1 and at 1350 cm-1. The observed ratio of the integrated intensity of these lines was found to be different as compared to polycrystalline graphite. The position and intensity of the line around 1350 cm-1 strongly depend on the energy of the exciting laser line. This dispersion effect is again different from the dispersion in nanocrystalline graphite. It is discussed in terms of a photoselective resonance process. Transmission infrared spectra of the nanotubes show one broad and asymmetric line at 1575 cm-1 and a weaker line at 868 cm-1. © 1994.","author":[{"dropping-particle":"","family":"Kastner","given":"J.","non-dropping-particle":"","parse-names":false,"suffix":""},{"dropping-particle":"","family":"Pichler","given":"T.","non-dropping-particle":"","parse-names":false,"suffix":""},{"dropping-particle":"","family":"Kuzmany","given":"H.","non-dropping-particle":"","parse-names":false,"suffix":""},{"dropping-particle":"","family":"Curran","given":"S.","non-dropping-particle":"","parse-names":false,"suffix":""},{"dropping-particle":"","family":"Blau","given":"W.","non-dropping-particle":"","parse-names":false,"suffix":""},{"dropping-particle":"","family":"Weldon","given":"D. N.","non-dropping-particle":"","parse-names":false,"suffix":""},{"dropping-particle":"","family":"Delamesiere","given":"M.","non-dropping-particle":"","parse-names":false,"suffix":""},{"dropping-particle":"","family":"Draper","given":"S.","non-dropping-particle":"","parse-names":false,"suffix":""},{"dropping-particle":"","family":"Zandbergen","given":"H.","non-dropping-particle":"","parse-names":false,"suffix":""}],"container-title":"Chemical Physics Letters","id":"ITEM-3","issue":"1-2","issued":{"date-parts":[["1994"]]},"page":"53-58","title":"Resonance Raman and infrared spectroscopy of carbon nanotubes","type":"article-journal","volume":"221"}}],"schema":"https://github.com/citation-style-language/schema/raw/master/csl-citation.json"}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219–221</w:t>
      </w:r>
      <w:r w:rsidRPr="00D74025">
        <w:rPr>
          <w:rFonts w:ascii="Arial" w:hAnsi="Arial" w:cs="Arial"/>
          <w:color w:val="000000" w:themeColor="text1"/>
        </w:rPr>
        <w:fldChar w:fldCharType="end"/>
      </w:r>
      <w:r w:rsidRPr="00D74025">
        <w:rPr>
          <w:rFonts w:ascii="Arial" w:hAnsi="Arial" w:cs="Arial"/>
          <w:color w:val="000000" w:themeColor="text1"/>
        </w:rPr>
        <w:t xml:space="preserve"> (see </w:t>
      </w:r>
      <w:r w:rsidR="009F387C" w:rsidRPr="009F387C">
        <w:rPr>
          <w:rFonts w:ascii="Arial" w:hAnsi="Arial" w:cs="Arial"/>
          <w:b/>
          <w:bCs/>
          <w:color w:val="000000" w:themeColor="text1"/>
        </w:rPr>
        <w:t>F</w:t>
      </w:r>
      <w:r w:rsidRPr="009F387C">
        <w:rPr>
          <w:rFonts w:ascii="Arial" w:hAnsi="Arial" w:cs="Arial"/>
          <w:b/>
          <w:bCs/>
          <w:color w:val="000000" w:themeColor="text1"/>
        </w:rPr>
        <w:t>igure 1</w:t>
      </w:r>
      <w:r w:rsidR="009F387C" w:rsidRPr="009F387C">
        <w:rPr>
          <w:rFonts w:ascii="Arial" w:hAnsi="Arial" w:cs="Arial"/>
          <w:b/>
          <w:bCs/>
          <w:color w:val="000000" w:themeColor="text1"/>
        </w:rPr>
        <w:t>9</w:t>
      </w:r>
      <w:r w:rsidRPr="00D74025">
        <w:rPr>
          <w:rFonts w:ascii="Arial" w:hAnsi="Arial" w:cs="Arial"/>
          <w:color w:val="000000" w:themeColor="text1"/>
        </w:rPr>
        <w:t>). Moreover, CNT has high photon-to-heat energy conversion efficiency and high cross-sectional energy absorption</w:t>
      </w:r>
      <w:r w:rsidRPr="00D74025">
        <w:rPr>
          <w:rFonts w:ascii="Arial" w:hAnsi="Arial" w:cs="Arial"/>
          <w:color w:val="000000" w:themeColor="text1"/>
        </w:rPr>
        <w:fldChar w:fldCharType="begin" w:fldLock="1"/>
      </w:r>
      <w:r w:rsidR="000F4F53">
        <w:rPr>
          <w:rFonts w:ascii="Arial" w:hAnsi="Arial" w:cs="Arial"/>
          <w:color w:val="000000" w:themeColor="text1"/>
        </w:rPr>
        <w:instrText xml:space="preserve"> ADDIN ZOTERO_ITEM CSL_CITATION {"citationID":"H5QZOtQF","properties":{"formattedCitation":"\\super 222\\nosupersub{}","plainCitation":"222","noteIndex":0},"citationItems":[{"id":"a7Mi7BUu/dwLz921g","uris":["http://www.mendeley.com/documents/?uuid=31f33b20-0442-4503-8453-e50f4f4a7e69"],"itemData":{"DOI":"10.1016/j.physbeh.2017.03.040","abstract":"Background and Aims—Cardiovascular disease (CVD) is among the leading causes of morbidity and mortality worldwide. Traditional risk factors predict 75-80% of an individual's risk of incident CVD. However, the role of early life experiences in future disease risk is gaining attention. The Barker hypothesis proposes fetal origins of adult disease, with consistent evidence demonstrating the deleterious consequences of birth weight outside the normal range. In this study, we investigate the role of birth weight in CVD risk prediction. Methods and Results—The Women's Health Initiative (WHI) represents a large national cohort of post-menopausal women with 63 815 participants included in this analysis. Univariable proportional hazards regression analyses evaluated the association of 4 self-reported birth weight categories against 3 CVD outcome definitions, which included indicators of coronary heart disease, ischemic stroke, coronary revascularization, carotid artery disease and peripheral arterial disease. The role of birth weight was also evaluated for prediction of CVD events in the presence of traditional risk factors using 3 existing CVD risk prediction equations: one body mass index (BMI)-based and two laboratory-based models. Low birth weight (LBW) (&lt; 6 lbs.) was significantly associated with all CVD outcome definitions in univariable analyses (HR=1.086, p=0.009). LBW was a significant covariate in the BMI-based model (HR=1.128, p&lt;0.0001) but not in the lipid-based models. Conclusion—LBW (&lt;6 lbs.) is independently associated with CVD outcomes in the WHI cohort. This finding supports the role of the prenatal and postnatal environment in contributing to the development of adult chronic disease.","author":[{"dropping-particle":"","family":"Hyochol Ahn, Michael Weaver, Debra Lyon, Eunyoung Choi","given":"RN","non-dropping-particle":"","parse-names":false,"suffix":""},{"dropping-particle":"","family":"Roger B. Fillingim","given":"","non-dropping-particle":"","parse-names":false,"suffix":""}],"container-title":"Lasers Surg Med","id":"ITEM-1","issue":"10","issued":{"date-parts":[["2017"]]},"page":"139-148","title":"Dual Wavelength Stimulation of Polymeric Nanoparticles for Photothermal Therapy","type":"article-journal","volume":"176"}}],"schema":"https://github.com/citation-style-language/schema/raw/master/csl-citation.json"}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222</w:t>
      </w:r>
      <w:r w:rsidRPr="00D74025">
        <w:rPr>
          <w:rFonts w:ascii="Arial" w:hAnsi="Arial" w:cs="Arial"/>
          <w:color w:val="000000" w:themeColor="text1"/>
        </w:rPr>
        <w:fldChar w:fldCharType="end"/>
      </w:r>
      <w:r w:rsidRPr="00D74025">
        <w:rPr>
          <w:rFonts w:ascii="Arial" w:hAnsi="Arial" w:cs="Arial"/>
          <w:color w:val="000000" w:themeColor="text1"/>
        </w:rPr>
        <w:t>.</w:t>
      </w:r>
    </w:p>
    <w:tbl>
      <w:tblPr>
        <w:tblStyle w:val="TableGrid"/>
        <w:tblW w:w="0" w:type="auto"/>
        <w:tblLook w:val="04A0" w:firstRow="1" w:lastRow="0" w:firstColumn="1" w:lastColumn="0" w:noHBand="0" w:noVBand="1"/>
      </w:tblPr>
      <w:tblGrid>
        <w:gridCol w:w="9350"/>
      </w:tblGrid>
      <w:tr w:rsidR="00D74025" w:rsidRPr="00D74025" w14:paraId="183AA668" w14:textId="77777777" w:rsidTr="00154D88">
        <w:tc>
          <w:tcPr>
            <w:tcW w:w="9350" w:type="dxa"/>
          </w:tcPr>
          <w:p w14:paraId="27C3A917" w14:textId="2AB2ACDA" w:rsidR="00154D88" w:rsidRPr="00D74025" w:rsidRDefault="00154D88" w:rsidP="00154D88">
            <w:pPr>
              <w:spacing w:beforeAutospacing="0" w:line="360" w:lineRule="auto"/>
              <w:ind w:hanging="19"/>
              <w:rPr>
                <w:rFonts w:ascii="Arial" w:hAnsi="Arial" w:cs="Arial"/>
                <w:color w:val="000000" w:themeColor="text1"/>
              </w:rPr>
            </w:pPr>
            <w:r w:rsidRPr="00D74025">
              <w:rPr>
                <w:noProof/>
                <w:color w:val="000000" w:themeColor="text1"/>
              </w:rPr>
              <w:lastRenderedPageBreak/>
              <w:drawing>
                <wp:inline distT="0" distB="0" distL="0" distR="0" wp14:anchorId="69B65D75" wp14:editId="142C47E5">
                  <wp:extent cx="2838005" cy="2305879"/>
                  <wp:effectExtent l="0" t="0" r="0" b="5715"/>
                  <wp:docPr id="30" name="Picture 3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histogram&#10;&#10;Description automatically generated"/>
                          <pic:cNvPicPr/>
                        </pic:nvPicPr>
                        <pic:blipFill>
                          <a:blip r:embed="rId34"/>
                          <a:stretch>
                            <a:fillRect/>
                          </a:stretch>
                        </pic:blipFill>
                        <pic:spPr>
                          <a:xfrm>
                            <a:off x="0" y="0"/>
                            <a:ext cx="2882202" cy="2341789"/>
                          </a:xfrm>
                          <a:prstGeom prst="rect">
                            <a:avLst/>
                          </a:prstGeom>
                        </pic:spPr>
                      </pic:pic>
                    </a:graphicData>
                  </a:graphic>
                </wp:inline>
              </w:drawing>
            </w:r>
            <w:r w:rsidRPr="00D74025">
              <w:rPr>
                <w:noProof/>
                <w:color w:val="000000" w:themeColor="text1"/>
              </w:rPr>
              <w:t xml:space="preserve"> </w:t>
            </w:r>
            <w:r w:rsidRPr="00D74025">
              <w:rPr>
                <w:noProof/>
                <w:color w:val="000000" w:themeColor="text1"/>
              </w:rPr>
              <w:drawing>
                <wp:inline distT="0" distB="0" distL="0" distR="0" wp14:anchorId="20BFCDB5" wp14:editId="79436CD2">
                  <wp:extent cx="2814761" cy="2273310"/>
                  <wp:effectExtent l="0" t="0" r="5080" b="0"/>
                  <wp:docPr id="23" name="Picture 16" descr="Chart, line chart, histogram&#10;&#10;Description automatically generated">
                    <a:extLst xmlns:a="http://schemas.openxmlformats.org/drawingml/2006/main">
                      <a:ext uri="{FF2B5EF4-FFF2-40B4-BE49-F238E27FC236}">
                        <a16:creationId xmlns:a16="http://schemas.microsoft.com/office/drawing/2014/main" id="{2BDFF549-3B3A-4C7F-AE46-B971E7B1E2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6" descr="Chart, line chart, histogram&#10;&#10;Description automatically generated">
                            <a:extLst>
                              <a:ext uri="{FF2B5EF4-FFF2-40B4-BE49-F238E27FC236}">
                                <a16:creationId xmlns:a16="http://schemas.microsoft.com/office/drawing/2014/main" id="{2BDFF549-3B3A-4C7F-AE46-B971E7B1E265}"/>
                              </a:ext>
                            </a:extLst>
                          </pic:cNvPr>
                          <pic:cNvPicPr>
                            <a:picLocks noChangeAspect="1"/>
                          </pic:cNvPicPr>
                        </pic:nvPicPr>
                        <pic:blipFill rotWithShape="1">
                          <a:blip r:embed="rId35"/>
                          <a:srcRect l="7009" r="3408"/>
                          <a:stretch/>
                        </pic:blipFill>
                        <pic:spPr bwMode="auto">
                          <a:xfrm>
                            <a:off x="0" y="0"/>
                            <a:ext cx="2857048" cy="2307462"/>
                          </a:xfrm>
                          <a:prstGeom prst="rect">
                            <a:avLst/>
                          </a:prstGeom>
                          <a:ln>
                            <a:noFill/>
                          </a:ln>
                          <a:extLst>
                            <a:ext uri="{53640926-AAD7-44D8-BBD7-CCE9431645EC}">
                              <a14:shadowObscured xmlns:a14="http://schemas.microsoft.com/office/drawing/2010/main"/>
                            </a:ext>
                          </a:extLst>
                        </pic:spPr>
                      </pic:pic>
                    </a:graphicData>
                  </a:graphic>
                </wp:inline>
              </w:drawing>
            </w:r>
          </w:p>
        </w:tc>
      </w:tr>
      <w:tr w:rsidR="00154D88" w:rsidRPr="00D74025" w14:paraId="576E06E0" w14:textId="77777777" w:rsidTr="00154D88">
        <w:tc>
          <w:tcPr>
            <w:tcW w:w="9350" w:type="dxa"/>
          </w:tcPr>
          <w:p w14:paraId="1D0EAF76" w14:textId="16E745F7" w:rsidR="00154D88" w:rsidRPr="00D74025" w:rsidRDefault="00F778B1" w:rsidP="00C37A3B">
            <w:pPr>
              <w:spacing w:before="120" w:beforeAutospacing="0" w:after="0" w:afterAutospacing="0" w:line="360" w:lineRule="auto"/>
              <w:ind w:firstLine="0"/>
              <w:jc w:val="left"/>
              <w:rPr>
                <w:rFonts w:ascii="Arial" w:hAnsi="Arial" w:cs="Arial"/>
                <w:color w:val="000000" w:themeColor="text1"/>
              </w:rPr>
            </w:pPr>
            <w:bookmarkStart w:id="43" w:name="_Toc121217341"/>
            <w:r w:rsidRPr="00F778B1">
              <w:rPr>
                <w:rFonts w:ascii="Arial" w:hAnsi="Arial" w:cs="Arial"/>
                <w:b/>
                <w:bCs/>
                <w:color w:val="000000" w:themeColor="text1"/>
              </w:rPr>
              <w:t xml:space="preserve">Figure </w:t>
            </w:r>
            <w:r w:rsidRPr="00F778B1">
              <w:rPr>
                <w:rFonts w:ascii="Arial" w:hAnsi="Arial" w:cs="Arial"/>
                <w:b/>
                <w:bCs/>
                <w:color w:val="000000" w:themeColor="text1"/>
              </w:rPr>
              <w:fldChar w:fldCharType="begin"/>
            </w:r>
            <w:r w:rsidRPr="00F778B1">
              <w:rPr>
                <w:rFonts w:ascii="Arial" w:hAnsi="Arial" w:cs="Arial"/>
                <w:b/>
                <w:bCs/>
                <w:color w:val="000000" w:themeColor="text1"/>
              </w:rPr>
              <w:instrText xml:space="preserve"> SEQ Figure \* ARABIC </w:instrText>
            </w:r>
            <w:r w:rsidRPr="00F778B1">
              <w:rPr>
                <w:rFonts w:ascii="Arial" w:hAnsi="Arial" w:cs="Arial"/>
                <w:b/>
                <w:bCs/>
                <w:color w:val="000000" w:themeColor="text1"/>
              </w:rPr>
              <w:fldChar w:fldCharType="separate"/>
            </w:r>
            <w:r w:rsidR="002C4B25">
              <w:rPr>
                <w:rFonts w:ascii="Arial" w:hAnsi="Arial" w:cs="Arial"/>
                <w:b/>
                <w:bCs/>
                <w:noProof/>
                <w:color w:val="000000" w:themeColor="text1"/>
              </w:rPr>
              <w:t>19</w:t>
            </w:r>
            <w:r w:rsidRPr="00F778B1">
              <w:rPr>
                <w:rFonts w:ascii="Arial" w:hAnsi="Arial" w:cs="Arial"/>
                <w:b/>
                <w:bCs/>
                <w:color w:val="000000" w:themeColor="text1"/>
              </w:rPr>
              <w:fldChar w:fldCharType="end"/>
            </w:r>
            <w:r w:rsidR="00C37A3B" w:rsidRPr="00D74025">
              <w:rPr>
                <w:rFonts w:ascii="Arial" w:hAnsi="Arial" w:cs="Arial"/>
                <w:b/>
                <w:bCs/>
                <w:color w:val="000000" w:themeColor="text1"/>
              </w:rPr>
              <w:t>: Comparison of water and hemoglobin absorbance to carbon nanotube</w:t>
            </w:r>
            <w:r w:rsidR="006E7035">
              <w:rPr>
                <w:rFonts w:ascii="Arial" w:hAnsi="Arial" w:cs="Arial"/>
                <w:b/>
                <w:bCs/>
                <w:color w:val="000000" w:themeColor="text1"/>
              </w:rPr>
              <w:t>s</w:t>
            </w:r>
            <w:r w:rsidR="00C37A3B" w:rsidRPr="00D74025">
              <w:rPr>
                <w:rFonts w:ascii="Arial" w:hAnsi="Arial" w:cs="Arial"/>
                <w:b/>
                <w:bCs/>
                <w:color w:val="000000" w:themeColor="text1"/>
              </w:rPr>
              <w:t>:</w:t>
            </w:r>
            <w:r w:rsidR="00C37A3B" w:rsidRPr="00D74025">
              <w:rPr>
                <w:rFonts w:ascii="Arial" w:hAnsi="Arial" w:cs="Arial"/>
                <w:color w:val="000000" w:themeColor="text1"/>
              </w:rPr>
              <w:t xml:space="preserve"> A) water and oxy and deoxyhemoglobin have similar absorbance in NIR range</w:t>
            </w:r>
            <w:r w:rsidR="00C37A3B" w:rsidRPr="00D74025">
              <w:rPr>
                <w:rFonts w:ascii="Arial" w:hAnsi="Arial" w:cs="Arial"/>
                <w:color w:val="000000" w:themeColor="text1"/>
              </w:rPr>
              <w:fldChar w:fldCharType="begin" w:fldLock="1"/>
            </w:r>
            <w:r w:rsidR="000F4F53">
              <w:rPr>
                <w:rFonts w:ascii="Arial" w:hAnsi="Arial" w:cs="Arial"/>
                <w:color w:val="000000" w:themeColor="text1"/>
              </w:rPr>
              <w:instrText xml:space="preserve"> ADDIN ZOTERO_ITEM CSL_CITATION {"citationID":"4n6yVzPR","properties":{"formattedCitation":"\\super 220\\nosupersub{}","plainCitation":"220","noteIndex":0},"citationItems":[{"id":"a7Mi7BUu/sctZz383","uris":["http://www.mendeley.com/documents/?uuid=9b95c313-8df0-467f-baf0-c59100292cf7"],"itemData":{"author":[{"dropping-particle":"","family":"Weissleder","given":"Ralph","non-dropping-particle":"","parse-names":false,"suffix":""}],"container-title":"Nature Biotechnology","id":"ITEM-1","issued":{"date-parts":[["2001"]]},"title":"A clearer vision for in vivo imaging","type":"article-journal","volume":"19"}}],"schema":"https://github.com/citation-style-language/schema/raw/master/csl-citation.json"} </w:instrText>
            </w:r>
            <w:r w:rsidR="00C37A3B" w:rsidRPr="00D74025">
              <w:rPr>
                <w:rFonts w:ascii="Arial" w:hAnsi="Arial" w:cs="Arial"/>
                <w:color w:val="000000" w:themeColor="text1"/>
              </w:rPr>
              <w:fldChar w:fldCharType="separate"/>
            </w:r>
            <w:r w:rsidR="000F4F53" w:rsidRPr="000F4F53">
              <w:rPr>
                <w:rFonts w:ascii="Arial" w:hAnsi="Arial" w:cs="Arial"/>
                <w:color w:val="000000"/>
                <w:vertAlign w:val="superscript"/>
              </w:rPr>
              <w:t>220</w:t>
            </w:r>
            <w:r w:rsidR="00C37A3B" w:rsidRPr="00D74025">
              <w:rPr>
                <w:rFonts w:ascii="Arial" w:hAnsi="Arial" w:cs="Arial"/>
                <w:color w:val="000000" w:themeColor="text1"/>
              </w:rPr>
              <w:fldChar w:fldCharType="end"/>
            </w:r>
            <w:r w:rsidR="00C37A3B" w:rsidRPr="00D74025">
              <w:rPr>
                <w:rFonts w:ascii="Arial" w:hAnsi="Arial" w:cs="Arial"/>
                <w:color w:val="000000" w:themeColor="text1"/>
              </w:rPr>
              <w:t>. B) absorption spectrum of (6,5)</w:t>
            </w:r>
            <w:r>
              <w:rPr>
                <w:rFonts w:ascii="Arial" w:hAnsi="Arial" w:cs="Arial"/>
                <w:color w:val="000000" w:themeColor="text1"/>
              </w:rPr>
              <w:t xml:space="preserve"> </w:t>
            </w:r>
            <w:r w:rsidR="00C37A3B" w:rsidRPr="00D74025">
              <w:rPr>
                <w:rFonts w:ascii="Arial" w:hAnsi="Arial" w:cs="Arial"/>
                <w:color w:val="000000" w:themeColor="text1"/>
              </w:rPr>
              <w:t>SWCNT in the near-infrared range.</w:t>
            </w:r>
            <w:bookmarkEnd w:id="43"/>
          </w:p>
        </w:tc>
      </w:tr>
    </w:tbl>
    <w:p w14:paraId="3D39BF4E" w14:textId="532F6D5E" w:rsidR="00F778B1" w:rsidRDefault="00F778B1" w:rsidP="00154D88">
      <w:pPr>
        <w:spacing w:line="360" w:lineRule="auto"/>
        <w:jc w:val="both"/>
        <w:rPr>
          <w:rFonts w:ascii="Arial" w:hAnsi="Arial" w:cs="Arial"/>
          <w:color w:val="000000" w:themeColor="text1"/>
        </w:rPr>
      </w:pPr>
    </w:p>
    <w:p w14:paraId="5D839859" w14:textId="77777777" w:rsidR="00F778B1" w:rsidRPr="00D74025" w:rsidRDefault="00F778B1" w:rsidP="00154D88">
      <w:pPr>
        <w:spacing w:line="360" w:lineRule="auto"/>
        <w:jc w:val="both"/>
        <w:rPr>
          <w:rFonts w:ascii="Arial" w:hAnsi="Arial" w:cs="Arial"/>
          <w:color w:val="000000" w:themeColor="text1"/>
        </w:rPr>
      </w:pPr>
    </w:p>
    <w:p w14:paraId="177D0340" w14:textId="391D9FEC" w:rsidR="009D60AE" w:rsidRPr="00D74025" w:rsidRDefault="009D60AE" w:rsidP="009D60AE">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 xml:space="preserve">The stress during photothermal therapy promotes </w:t>
      </w:r>
      <w:r w:rsidR="004B2247">
        <w:rPr>
          <w:rFonts w:ascii="Arial" w:hAnsi="Arial" w:cs="Arial"/>
          <w:color w:val="000000" w:themeColor="text1"/>
        </w:rPr>
        <w:t>a</w:t>
      </w:r>
      <w:r w:rsidR="00C26685">
        <w:rPr>
          <w:rFonts w:ascii="Arial" w:hAnsi="Arial" w:cs="Arial"/>
          <w:color w:val="000000" w:themeColor="text1"/>
        </w:rPr>
        <w:t>n</w:t>
      </w:r>
      <w:r w:rsidR="004B2247">
        <w:rPr>
          <w:rFonts w:ascii="Arial" w:hAnsi="Arial" w:cs="Arial"/>
          <w:color w:val="000000" w:themeColor="text1"/>
        </w:rPr>
        <w:t xml:space="preserve"> </w:t>
      </w:r>
      <w:r w:rsidRPr="00D74025">
        <w:rPr>
          <w:rFonts w:ascii="Arial" w:hAnsi="Arial" w:cs="Arial"/>
          <w:color w:val="000000" w:themeColor="text1"/>
        </w:rPr>
        <w:t xml:space="preserve">immune response, which is associated with a cellular mechanism known as </w:t>
      </w:r>
      <w:r w:rsidRPr="00D74025">
        <w:rPr>
          <w:rFonts w:ascii="Arial" w:hAnsi="Arial" w:cs="Arial"/>
          <w:color w:val="000000" w:themeColor="text1"/>
          <w:u w:val="single"/>
        </w:rPr>
        <w:t>immunogenic cell death</w:t>
      </w:r>
      <w:r w:rsidRPr="00D74025">
        <w:rPr>
          <w:rFonts w:ascii="Arial" w:hAnsi="Arial" w:cs="Arial"/>
          <w:color w:val="000000" w:themeColor="text1"/>
        </w:rPr>
        <w:t xml:space="preserve"> (ICD). As mentioned in </w:t>
      </w:r>
      <w:r w:rsidRPr="009F387C">
        <w:rPr>
          <w:rFonts w:ascii="Arial" w:hAnsi="Arial" w:cs="Arial"/>
          <w:color w:val="000000" w:themeColor="text1"/>
        </w:rPr>
        <w:t>se</w:t>
      </w:r>
      <w:r w:rsidR="004B2247">
        <w:rPr>
          <w:rFonts w:ascii="Arial" w:hAnsi="Arial" w:cs="Arial"/>
          <w:color w:val="000000" w:themeColor="text1"/>
        </w:rPr>
        <w:t>ct</w:t>
      </w:r>
      <w:r w:rsidRPr="009F387C">
        <w:rPr>
          <w:rFonts w:ascii="Arial" w:hAnsi="Arial" w:cs="Arial"/>
          <w:color w:val="000000" w:themeColor="text1"/>
        </w:rPr>
        <w:t>ion 1.1.2</w:t>
      </w:r>
      <w:r w:rsidRPr="00D74025">
        <w:rPr>
          <w:rFonts w:ascii="Arial" w:hAnsi="Arial" w:cs="Arial"/>
          <w:color w:val="000000" w:themeColor="text1"/>
        </w:rPr>
        <w:t xml:space="preserve"> (Scramblase </w:t>
      </w:r>
      <w:r w:rsidR="000640EA">
        <w:rPr>
          <w:rFonts w:ascii="Arial" w:hAnsi="Arial" w:cs="Arial"/>
          <w:color w:val="000000" w:themeColor="text1"/>
        </w:rPr>
        <w:t>a</w:t>
      </w:r>
      <w:r w:rsidRPr="00D74025">
        <w:rPr>
          <w:rFonts w:ascii="Arial" w:hAnsi="Arial" w:cs="Arial"/>
          <w:color w:val="000000" w:themeColor="text1"/>
        </w:rPr>
        <w:t xml:space="preserve">ctivation and </w:t>
      </w:r>
      <w:r w:rsidR="000640EA">
        <w:rPr>
          <w:rFonts w:ascii="Arial" w:hAnsi="Arial" w:cs="Arial"/>
          <w:color w:val="000000" w:themeColor="text1"/>
        </w:rPr>
        <w:t>p</w:t>
      </w:r>
      <w:r w:rsidRPr="00D74025">
        <w:rPr>
          <w:rFonts w:ascii="Arial" w:hAnsi="Arial" w:cs="Arial"/>
          <w:color w:val="000000" w:themeColor="text1"/>
        </w:rPr>
        <w:t xml:space="preserve">hosphatidylserine </w:t>
      </w:r>
      <w:r w:rsidR="000640EA">
        <w:rPr>
          <w:rFonts w:ascii="Arial" w:hAnsi="Arial" w:cs="Arial"/>
          <w:color w:val="000000" w:themeColor="text1"/>
        </w:rPr>
        <w:t>e</w:t>
      </w:r>
      <w:r w:rsidRPr="00D74025">
        <w:rPr>
          <w:rFonts w:ascii="Arial" w:hAnsi="Arial" w:cs="Arial"/>
          <w:color w:val="000000" w:themeColor="text1"/>
        </w:rPr>
        <w:t>xposure), apoptosis is deliberately immunogenic silent to prevent inflammatory response in tissue turnover and homeostasis. This type of cell death is classified as programmed cell death (PCD), where the molecular machinery is encoded and governed genetically</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{"citationID":"enqQmY9p","properties":{"formattedCitation":"\\super 223,224\\nosupersub{}","plainCitation":"223,224","noteIndex":0},"citationItems":[{"id":360,"uris":["http://zotero.org/users/7661987/items/XCQ59DKM"],"itemData":{"id":360,"type":"article-journal","container-title":"Cell","DOI":"10.1016/j.cell.2011.10.033","ISSN":"00928674","issue":"4","journalAbbreviation":"Cell","language":"en","page":"742-758","source":"DOI.org (Crossref)","title":"Programmed Cell Death in Animal Development and Disease","volume":"147","author":[{"family":"Fuchs","given":"Yaron"},{"family":"Steller","given":"Hermann"}],"issued":{"date-parts":[["2011",11]]}}},{"id":359,"uris":["http://zotero.org/users/7661987/items/PNTBZUJK"],"itemData":{"id":359,"type":"article-journal","container-title":"Cell Research","DOI":"10.1038/s41422-019-0164-5","ISSN":"1001-0602, 1748-7838","issue":"5","journalAbbreviation":"Cell Res","language":"en","page":"347-364","source":"DOI.org (Crossref)","title":"The molecular machinery of regulated cell death","volume":"29","author":[{"family":"Tang","given":"Daolin"},{"family":"Kang","given":"Rui"},{"family":"Berghe","given":"Tom Vanden"},{"family":"Vandenabeele","given":"Peter"},{"family":"Kroemer","given":"Guido"}],"issued":{"date-parts":[["2019",5]]}}}],"schema":"https://github.com/citation-style-language/schema/raw/master/csl-citation.json"}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223,224</w:t>
      </w:r>
      <w:r w:rsidRPr="00D74025">
        <w:rPr>
          <w:rFonts w:ascii="Arial" w:hAnsi="Arial" w:cs="Arial"/>
          <w:color w:val="000000" w:themeColor="text1"/>
        </w:rPr>
        <w:fldChar w:fldCharType="end"/>
      </w:r>
      <w:r w:rsidRPr="00D74025">
        <w:rPr>
          <w:rFonts w:ascii="Arial" w:hAnsi="Arial" w:cs="Arial"/>
          <w:color w:val="000000" w:themeColor="text1"/>
        </w:rPr>
        <w:t>. Nonetheless, when stress is applied to cells, PCD might generate inflammatory responses that can lead to the activation of cytotoxic T cells and, subsequently establishment of immunological memory. This process is referred to as ICD</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{"citationID":"VGQm0WqW","properties":{"formattedCitation":"\\super 225\\nosupersub{}","plainCitation":"225","noteIndex":0},"citationItems":[{"id":361,"uris":["http://zotero.org/users/7661987/items/2UYYLZWV"],"itemData":{"id":361,"type":"article-journal","abstract":"Immunogenicity depends on two key factors: antigenicity and adjuvanticity. The presence of exogenous or mutated antigens explains why infected cells and malignant cells can initiate an adaptive immune response provided that the cells also emit adjuvant signals as a consequence of cellular stress and death. Several infectious pathogens have devised strategies to control cell death and limit the emission of danger signals from dying cells, thereby avoiding immune recognition. Similarly, cancer cells often escape immunosurveillance owing to defects in the molecular machinery that underlies the release of endogenous adjuvants. Here, we review current knowledge on the mechanisms that underlie the activation of immune responses against dying cells and their pathophysiological relevance.","container-title":"Nature Reviews Immunology","DOI":"10.1038/nri.2016.107","ISSN":"1474-1733, 1474-1741","issue":"2","journalAbbreviation":"Nat Rev Immunol","language":"en","page":"97-111","source":"DOI.org (Crossref)","title":"Immunogenic cell death in cancer and infectious disease","volume":"17","author":[{"family":"Galluzzi","given":"Lorenzo"},{"family":"Buqué","given":"Aitziber"},{"family":"Kepp","given":"Oliver"},{"family":"Zitvogel","given":"Laurence"},{"family":"Kroemer","given":"Guido"}],"issued":{"date-parts":[["2017",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225</w:t>
      </w:r>
      <w:r w:rsidRPr="00D74025">
        <w:rPr>
          <w:rFonts w:ascii="Arial" w:hAnsi="Arial" w:cs="Arial"/>
          <w:color w:val="000000" w:themeColor="text1"/>
        </w:rPr>
        <w:fldChar w:fldCharType="end"/>
      </w:r>
      <w:r w:rsidRPr="00D74025">
        <w:rPr>
          <w:rFonts w:ascii="Arial" w:hAnsi="Arial" w:cs="Arial"/>
          <w:color w:val="000000" w:themeColor="text1"/>
        </w:rPr>
        <w:t>.</w:t>
      </w:r>
    </w:p>
    <w:p w14:paraId="61AC8879" w14:textId="59FD63F0" w:rsidR="00B45DF8" w:rsidRPr="00D74025" w:rsidRDefault="00B45DF8" w:rsidP="00B45DF8">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While cancers have as one of the hallmarks the ability to avoid immune destruction (</w:t>
      </w:r>
      <w:r w:rsidRPr="009F387C">
        <w:rPr>
          <w:rFonts w:ascii="Arial" w:hAnsi="Arial" w:cs="Arial"/>
          <w:color w:val="000000" w:themeColor="text1"/>
        </w:rPr>
        <w:t xml:space="preserve">see </w:t>
      </w:r>
      <w:r w:rsidR="009F387C" w:rsidRPr="009F387C">
        <w:rPr>
          <w:rFonts w:ascii="Arial" w:hAnsi="Arial" w:cs="Arial"/>
          <w:b/>
          <w:bCs/>
          <w:color w:val="000000" w:themeColor="text1"/>
        </w:rPr>
        <w:t>F</w:t>
      </w:r>
      <w:r w:rsidRPr="009F387C">
        <w:rPr>
          <w:rFonts w:ascii="Arial" w:hAnsi="Arial" w:cs="Arial"/>
          <w:b/>
          <w:bCs/>
          <w:color w:val="000000" w:themeColor="text1"/>
        </w:rPr>
        <w:t>igure 13</w:t>
      </w:r>
      <w:r w:rsidRPr="00D74025">
        <w:rPr>
          <w:rFonts w:ascii="Arial" w:hAnsi="Arial" w:cs="Arial"/>
          <w:color w:val="000000" w:themeColor="text1"/>
        </w:rPr>
        <w:t xml:space="preserve">: </w:t>
      </w:r>
      <w:r w:rsidR="009F387C">
        <w:rPr>
          <w:rFonts w:ascii="Arial" w:hAnsi="Arial" w:cs="Arial"/>
          <w:color w:val="000000" w:themeColor="text1"/>
        </w:rPr>
        <w:t xml:space="preserve">The </w:t>
      </w:r>
      <w:r w:rsidRPr="00D74025">
        <w:rPr>
          <w:rFonts w:ascii="Arial" w:hAnsi="Arial" w:cs="Arial"/>
          <w:color w:val="000000" w:themeColor="text1"/>
        </w:rPr>
        <w:t>hallmarks of cancer), ICD can establish an anticancer adaptive immune response that might counterbalance the equilibrium between cancer cells and immune cells towards the induction of antitumoral immunity</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{"citationID":"APFX6lEk","properties":{"formattedCitation":"\\super 226\\nosupersub{}","plainCitation":"226","noteIndex":0},"citationItems":[{"id":362,"uris":["http://zotero.org/users/7661987/items/LK686WKR"],"itemData":{"id":362,"type":"article-journal","container-title":"Immunity","DOI":"10.1016/j.immuni.2013.07.012","ISSN":"10747613","issue":"1","journalAbbreviation":"Immunity","language":"en","page":"1-10","source":"DOI.org (Crossref)","title":"Oncology Meets Immunology: The Cancer-Immunity Cycle","title-short":"Oncology Meets Immunology","volume":"39","author":[{"family":"Chen","given":"Daniel S."},{"family":"Mellman","given":"Ira"}],"issued":{"date-parts":[["2013",7]]}}}],"schema":"https://github.com/citation-style-language/schema/raw/master/csl-citation.json"}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226</w:t>
      </w:r>
      <w:r w:rsidRPr="00D74025">
        <w:rPr>
          <w:rFonts w:ascii="Arial" w:hAnsi="Arial" w:cs="Arial"/>
          <w:color w:val="000000" w:themeColor="text1"/>
        </w:rPr>
        <w:fldChar w:fldCharType="end"/>
      </w:r>
      <w:r w:rsidRPr="00D74025">
        <w:rPr>
          <w:rFonts w:ascii="Arial" w:hAnsi="Arial" w:cs="Arial"/>
          <w:color w:val="000000" w:themeColor="text1"/>
        </w:rPr>
        <w:t>. Indeed, during the oncogenic process, cancer develops mechanisms to avoid ICD to guarantee immune evasion</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{"citationID":"a1hocuskb73","properties":{"formattedCitation":"\\super 225\\nosupersub{}","plainCitation":"225","noteIndex":0},"citationItems":[{"id":361,"uris":["http://zotero.org/users/7661987/items/2UYYLZWV"],"itemData":{"id":361,"type":"article-journal","abstract":"Immunogenicity depends on two key factors: antigenicity and adjuvanticity. The presence of exogenous or mutated antigens explains why infected cells and malignant cells can initiate an adaptive immune response provided that the cells also emit adjuvant signals as a consequence of cellular stress and death. Several infectious pathogens have devised strategies to control cell death and limit the emission of danger signals from dying cells, thereby avoiding immune recognition. Similarly, cancer cells often escape immunosurveillance owing to defects in the molecular machinery that underlies the release of endogenous adjuvants. Here, we review current knowledge on the mechanisms that underlie the activation of immune responses against dying cells and their pathophysiological relevance.","container-title":"Nature Reviews Immunology","DOI":"10.1038/nri.2016.107","ISSN":"1474-1733, 1474-1741","issue":"2","journalAbbreviation":"Nat Rev Immunol","language":"en","page":"97-111","source":"DOI.org (Crossref)","title":"Immunogenic cell death in cancer and infectious disease","volume":"17","author":[{"family":"Galluzzi","given":"Lorenzo"},{"family":"Buqué","given":"Aitziber"},{"family":"Kepp","given":"Oliver"},{"family":"Zitvogel","given":"Laurence"},{"family":"Kroemer","given":"Guido"}],"issued":{"date-parts":[["2017",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225</w:t>
      </w:r>
      <w:r w:rsidRPr="00D74025">
        <w:rPr>
          <w:rFonts w:ascii="Arial" w:hAnsi="Arial" w:cs="Arial"/>
          <w:color w:val="000000" w:themeColor="text1"/>
        </w:rPr>
        <w:fldChar w:fldCharType="end"/>
      </w:r>
      <w:r w:rsidRPr="00D74025">
        <w:rPr>
          <w:rFonts w:ascii="Arial" w:hAnsi="Arial" w:cs="Arial"/>
          <w:color w:val="000000" w:themeColor="text1"/>
        </w:rPr>
        <w:t>.</w:t>
      </w:r>
    </w:p>
    <w:p w14:paraId="565EF389" w14:textId="7B7CA393" w:rsidR="00040A7D" w:rsidRDefault="00040A7D" w:rsidP="00040A7D">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lastRenderedPageBreak/>
        <w:t xml:space="preserve">As part of the definition of ICD, two mechanisms have been distinguished as ways to prove the induction of ICG: antigenicity and adjuvanticity. </w:t>
      </w:r>
      <w:r w:rsidRPr="00D74025">
        <w:rPr>
          <w:rFonts w:ascii="Arial" w:hAnsi="Arial" w:cs="Arial"/>
          <w:color w:val="000000" w:themeColor="text1"/>
          <w:u w:val="single"/>
        </w:rPr>
        <w:t>Antigenicity</w:t>
      </w:r>
      <w:r w:rsidRPr="00D74025">
        <w:rPr>
          <w:rFonts w:ascii="Arial" w:hAnsi="Arial" w:cs="Arial"/>
          <w:color w:val="000000" w:themeColor="text1"/>
        </w:rPr>
        <w:t xml:space="preserve"> is the expression and presentation of highly immunogenic antigens that can be recognized by naïve T cells (they are not shielded by central tolerance in the formation of T cells thymic selection that removes self-recognizing T cells)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{"citationID":"P0pJrKNg","properties":{"formattedCitation":"\\super 227\\nosupersub{}","plainCitation":"227","noteIndex":0},"citationItems":[{"id":356,"uris":["http://zotero.org/users/7661987/items/D9BLL2LK"],"itemData":{"id":356,"type":"article-journal","container-title":"Cell","DOI":"10.1016/j.cell.2016.01.049","ISSN":"00928674","issue":"6","journalAbbreviation":"Cell","language":"en","page":"1233-1247","source":"DOI.org (Crossref)","title":"The Basis of Oncoimmunology","volume":"164","author":[{"family":"Palucka","given":"A. Karolina"},{"family":"Coussens","given":"Lisa M."}],"issued":{"date-parts":[["2016",3]]}}}],"schema":"https://github.com/citation-style-language/schema/raw/master/csl-citation.json"}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227</w:t>
      </w:r>
      <w:r w:rsidRPr="00D74025">
        <w:rPr>
          <w:rFonts w:ascii="Arial" w:hAnsi="Arial" w:cs="Arial"/>
          <w:color w:val="000000" w:themeColor="text1"/>
        </w:rPr>
        <w:fldChar w:fldCharType="end"/>
      </w:r>
      <w:r w:rsidRPr="00D74025">
        <w:rPr>
          <w:rFonts w:ascii="Arial" w:hAnsi="Arial" w:cs="Arial"/>
          <w:color w:val="000000" w:themeColor="text1"/>
        </w:rPr>
        <w:t xml:space="preserve">. Two types of antigens are related to this mechanism: tumor neoantigens (TNAs), the ones that are not covered by central tolerance, and tumor-associated antigens (TAAs), the ones for which the central tolerance is faulty. Malignant cells' exposed TNAs may have low structural homology to self-epitopes; as a result, they may mimic microbial epitopes in part and effectively trigger </w:t>
      </w:r>
      <w:r w:rsidRPr="002B7706">
        <w:rPr>
          <w:rFonts w:ascii="Arial" w:hAnsi="Arial" w:cs="Arial"/>
          <w:i/>
          <w:iCs/>
          <w:color w:val="000000" w:themeColor="text1"/>
        </w:rPr>
        <w:t>de novo</w:t>
      </w:r>
      <w:r w:rsidRPr="00D74025">
        <w:rPr>
          <w:rFonts w:ascii="Arial" w:hAnsi="Arial" w:cs="Arial"/>
          <w:color w:val="000000" w:themeColor="text1"/>
        </w:rPr>
        <w:t xml:space="preserve"> immune responses. Conversely, TAAs are self-antigens that are not uniquely expressed in cancer tissue but are also found in healthy tissue. Nonetheless, TAAs are relevant in the activation of an antitumoral immune response, especially in the presence of high adjuvanticity</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{"citationID":"aq14pmshk9","properties":{"formattedCitation":"\\super 228\\nosupersub{}","plainCitation":"228","noteIndex":0},"citationItems":[{"id":363,"uris":["http://zotero.org/users/7661987/items/HR3E7LJF"],"itemData":{"id":363,"type":"article-journal","abstract":"Cells succumbing to stress via regulated cell death (RCD) can initiate an adaptive immune response associated with immunological memory, provided they display sufficient antigenicity and adjuvanticity. Moreover, multiple intracellular and microenvironmental features determine the propensity of RCD to drive adaptive immunity. Here, we provide an updated operational definition of immunogenic cell death (ICD), discuss the key factors that dictate the ability of dying cells to drive an adaptive immune response, summarize experimental assays that are currently available for the assessment of ICD in vitro and in vivo, and formulate guidelines for their interpretation.","container-title":"Journal for ImmunoTherapy of Cancer","DOI":"10.1136/jitc-2019-000337","ISSN":"2051-1426","issue":"1","journalAbbreviation":"J Immunother Cancer","language":"en","page":"e000337","source":"DOI.org (Crossref)","title":"Consensus guidelines for the definition, detection and interpretation of immunogenic cell death","volume":"8","author":[{"family":"Galluzzi","given":"Lorenzo"},{"family":"Vitale","given":"Ilio"},{"family":"Warren","given":"Sarah"},{"family":"Adjemian","given":"Sandy"},{"family":"Agostinis","given":"Patrizia"},{"family":"Martinez","given":"Aitziber Buqué"},{"family":"Chan","given":"Timothy A"},{"family":"Coukos","given":"George"},{"family":"Demaria","given":"Sandra"},{"family":"Deutsch","given":"Eric"},{"family":"Draganov","given":"Dobrin"},{"family":"Edelson","given":"Richard L"},{"family":"Formenti","given":"Silvia C"},{"family":"Fucikova","given":"Jitka"},{"family":"Gabriele","given":"Lucia"},{"family":"Gaipl","given":"Udo S"},{"family":"Gameiro","given":"Sofia R"},{"family":"Garg","given":"Abhishek D"},{"family":"Golden","given":"Encouse"},{"family":"Han","given":"Jian"},{"family":"Harrington","given":"Kevin J"},{"family":"Hemminki","given":"Akseli"},{"family":"Hodge","given":"James W"},{"family":"Hossain","given":"Dewan Md Sakib"},{"family":"Illidge","given":"Tim"},{"family":"Karin","given":"Michael"},{"family":"Kaufman","given":"Howard L"},{"family":"Kepp","given":"Oliver"},{"family":"Kroemer","given":"Guido"},{"family":"Lasarte","given":"Juan Jose"},{"family":"Loi","given":"Sherene"},{"family":"Lotze","given":"Michael T"},{"family":"Manic","given":"Gwenola"},{"family":"Merghoub","given":"Taha"},{"family":"Melcher","given":"Alan A"},{"family":"Mossman","given":"Karen L"},{"family":"Prosper","given":"Felipe"},{"family":"Rekdal","given":"Øystein"},{"family":"Rescigno","given":"Maria"},{"family":"Riganti","given":"Chiara"},{"family":"Sistigu","given":"Antonella"},{"family":"Smyth","given":"Mark J"},{"family":"Spisek","given":"Radek"},{"family":"Stagg","given":"John"},{"family":"Strauss","given":"Bryan E"},{"family":"Tang","given":"Daolin"},{"family":"Tatsuno","given":"Kazuki"},{"family":"Gool","given":"Stefaan W","non-dropping-particle":"van"},{"family":"Vandenabeele","given":"Peter"},{"family":"Yamazaki","given":"Takahiro"},{"family":"Zamarin","given":"Dmitriy"},{"family":"Zitvogel","given":"Laurence"},{"family":"Cesano","given":"Alessandra"},{"family":"Marincola","given":"Francesco M"}],"issued":{"date-parts":[["2020",3]]}}}],"schema":"https://github.com/citation-style-language/schema/raw/master/csl-citation.json"}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228</w:t>
      </w:r>
      <w:r w:rsidRPr="00D74025">
        <w:rPr>
          <w:rFonts w:ascii="Arial" w:hAnsi="Arial" w:cs="Arial"/>
          <w:color w:val="000000" w:themeColor="text1"/>
        </w:rPr>
        <w:fldChar w:fldCharType="end"/>
      </w:r>
      <w:r w:rsidRPr="00D74025">
        <w:rPr>
          <w:rFonts w:ascii="Arial" w:hAnsi="Arial" w:cs="Arial"/>
          <w:color w:val="000000" w:themeColor="text1"/>
        </w:rPr>
        <w:t xml:space="preserve">. </w:t>
      </w:r>
      <w:r w:rsidRPr="00D74025">
        <w:rPr>
          <w:rFonts w:ascii="Arial" w:hAnsi="Arial" w:cs="Arial"/>
          <w:color w:val="000000" w:themeColor="text1"/>
          <w:u w:val="single"/>
        </w:rPr>
        <w:t>Adjuvanticity</w:t>
      </w:r>
      <w:r w:rsidRPr="00D74025">
        <w:rPr>
          <w:rFonts w:ascii="Arial" w:hAnsi="Arial" w:cs="Arial"/>
          <w:color w:val="000000" w:themeColor="text1"/>
        </w:rPr>
        <w:t xml:space="preserve"> is the release of danger signals (damage-associated molecular patterns - DAMPs) that are responsible for the recruitment and maturation of antigen-presenting cells (APCs). The application of stressors on cells can induce an intense and kinetically suitable release of DAMPs that promote APCs recruitment and maturation</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{"citationID":"ld4LkmUo","properties":{"formattedCitation":"\\super 229,230\\nosupersub{}","plainCitation":"229,230","noteIndex":0},"citationItems":[{"id":358,"uris":["http://zotero.org/users/7661987/items/MCWTZSUG"],"itemData":{"id":358,"type":"article-journal","container-title":"Cell Death &amp; Disease","DOI":"10.1038/cddis.2013.493","ISSN":"2041-4889","issue":"12","journalAbbreviation":"Cell Death Dis","language":"en","page":"e966-e966","source":"DOI.org (Crossref)","title":"Strange attractors: DAMPs and autophagy link tumor cell death and immunity","title-short":"Strange attractors","volume":"4","author":[{"family":"Hou","given":"W"},{"family":"Zhang","given":"Q"},{"family":"Yan","given":"Z"},{"family":"Chen","given":"R"},{"family":"Zeh III","given":"H J"},{"family":"Kang","given":"R"},{"family":"Lotze","given":"M T"},{"family":"Tang","given":"D"}],"issued":{"date-parts":[["2013",12]]}}},{"id":357,"uris":["http://zotero.org/users/7661987/items/WBWYM3LC"],"itemData":{"id":357,"type":"article-journal","abstract":"Although it was thought that apoptotic cells, when rapidly phagocytosed, underwent a silent death that did not trigger an immune response, in recent years a new concept of immunogenic cell death (ICD) has emerged. The immunogenic characteristics of ICD are mainly mediated by damage-associated molecular patterns (DAMPs), which include surface-exposed calreticulin (CRT), secreted ATP and released high mobility group protein B1 (HMGB1). Most DAMPs can be recognized by pattern recognition receptors (PRRs). In this Review, we discuss the role of endoplasmic reticulum (ER) stress and reactive oxygen species (ROS) in regulating the immunogenicity of dying cancer cells and the effect of therapy-resistant cancer microevolution on ICD.","container-title":"Nature Reviews Cancer","DOI":"10.1038/nrc3380","ISSN":"1474-175X, 1474-1768","issue":"12","journalAbbreviation":"Nat Rev Cancer","language":"en","page":"860-875","source":"DOI.org (Crossref)","title":"Immunogenic cell death and DAMPs in cancer therapy","volume":"12","author":[{"family":"Krysko","given":"Dmitri V."},{"family":"Garg","given":"Abhishek D."},{"family":"Kaczmarek","given":"Agnieszka"},{"family":"Krysko","given":"Olga"},{"family":"Agostinis","given":"Patrizia"},{"family":"Vandenabeele","given":"Peter"}],"issued":{"date-parts":[["2012",12]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229,230</w:t>
      </w:r>
      <w:r w:rsidRPr="00D74025">
        <w:rPr>
          <w:rFonts w:ascii="Arial" w:hAnsi="Arial" w:cs="Arial"/>
          <w:color w:val="000000" w:themeColor="text1"/>
        </w:rPr>
        <w:fldChar w:fldCharType="end"/>
      </w:r>
      <w:r w:rsidRPr="00D74025">
        <w:rPr>
          <w:rFonts w:ascii="Arial" w:hAnsi="Arial" w:cs="Arial"/>
          <w:color w:val="000000" w:themeColor="text1"/>
        </w:rPr>
        <w:t xml:space="preserve">. In short, immunogenic cell death occurs when the cell stress releases both </w:t>
      </w:r>
      <w:r w:rsidR="0023728F">
        <w:rPr>
          <w:rFonts w:ascii="Arial" w:hAnsi="Arial" w:cs="Arial"/>
          <w:color w:val="000000" w:themeColor="text1"/>
        </w:rPr>
        <w:t xml:space="preserve">tumor </w:t>
      </w:r>
      <w:r w:rsidRPr="00D74025">
        <w:rPr>
          <w:rFonts w:ascii="Arial" w:hAnsi="Arial" w:cs="Arial"/>
          <w:color w:val="000000" w:themeColor="text1"/>
        </w:rPr>
        <w:t xml:space="preserve">antigens and DAMPs that prompt the activation of T cell-mediated immunogenicity. The mechanism is summarized in </w:t>
      </w:r>
      <w:r w:rsidR="0065746C">
        <w:rPr>
          <w:rFonts w:ascii="Arial" w:hAnsi="Arial" w:cs="Arial"/>
          <w:b/>
          <w:bCs/>
          <w:color w:val="000000" w:themeColor="text1"/>
        </w:rPr>
        <w:t>F</w:t>
      </w:r>
      <w:r w:rsidRPr="0065746C">
        <w:rPr>
          <w:rFonts w:ascii="Arial" w:hAnsi="Arial" w:cs="Arial"/>
          <w:b/>
          <w:bCs/>
          <w:color w:val="000000" w:themeColor="text1"/>
        </w:rPr>
        <w:t xml:space="preserve">igure </w:t>
      </w:r>
      <w:r w:rsidR="0065746C" w:rsidRPr="0065746C">
        <w:rPr>
          <w:rFonts w:ascii="Arial" w:hAnsi="Arial" w:cs="Arial"/>
          <w:b/>
          <w:bCs/>
          <w:color w:val="000000" w:themeColor="text1"/>
        </w:rPr>
        <w:t>20</w:t>
      </w:r>
      <w:r w:rsidRPr="00D74025">
        <w:rPr>
          <w:rFonts w:ascii="Arial" w:hAnsi="Arial" w:cs="Arial"/>
          <w:color w:val="000000" w:themeColor="text1"/>
        </w:rPr>
        <w:t>.</w:t>
      </w:r>
    </w:p>
    <w:p w14:paraId="5263B01A" w14:textId="77777777" w:rsidR="00F778B1" w:rsidRPr="00D74025" w:rsidRDefault="00F778B1" w:rsidP="00040A7D">
      <w:pPr>
        <w:spacing w:line="360" w:lineRule="auto"/>
        <w:ind w:firstLine="1440"/>
        <w:contextualSpacing/>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0A6F1C1B" w14:textId="77777777" w:rsidTr="006A5B02">
        <w:tc>
          <w:tcPr>
            <w:tcW w:w="9350" w:type="dxa"/>
          </w:tcPr>
          <w:p w14:paraId="57023319" w14:textId="1D584A58" w:rsidR="006A5B02" w:rsidRPr="00D74025" w:rsidRDefault="006A5B02" w:rsidP="00154D88">
            <w:pPr>
              <w:spacing w:before="120" w:beforeAutospacing="0" w:after="120" w:afterAutospacing="0" w:line="360" w:lineRule="auto"/>
              <w:ind w:firstLine="0"/>
              <w:rPr>
                <w:rFonts w:ascii="Arial" w:hAnsi="Arial" w:cs="Arial"/>
                <w:color w:val="000000" w:themeColor="text1"/>
              </w:rPr>
            </w:pPr>
            <w:r w:rsidRPr="00D74025">
              <w:rPr>
                <w:rFonts w:ascii="Arial" w:hAnsi="Arial" w:cs="Arial"/>
                <w:noProof/>
                <w:color w:val="000000" w:themeColor="text1"/>
                <w:sz w:val="20"/>
                <w:szCs w:val="20"/>
              </w:rPr>
              <w:lastRenderedPageBreak/>
              <w:drawing>
                <wp:inline distT="0" distB="0" distL="0" distR="0" wp14:anchorId="5F28E164" wp14:editId="562182B1">
                  <wp:extent cx="5824238" cy="3650105"/>
                  <wp:effectExtent l="0" t="0" r="5080" b="0"/>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pic:nvPicPr>
                        <pic:blipFill>
                          <a:blip r:embed="rId36"/>
                          <a:stretch>
                            <a:fillRect/>
                          </a:stretch>
                        </pic:blipFill>
                        <pic:spPr>
                          <a:xfrm>
                            <a:off x="0" y="0"/>
                            <a:ext cx="5829689" cy="3653521"/>
                          </a:xfrm>
                          <a:prstGeom prst="rect">
                            <a:avLst/>
                          </a:prstGeom>
                        </pic:spPr>
                      </pic:pic>
                    </a:graphicData>
                  </a:graphic>
                </wp:inline>
              </w:drawing>
            </w:r>
          </w:p>
        </w:tc>
      </w:tr>
      <w:tr w:rsidR="006A5B02" w:rsidRPr="00D74025" w14:paraId="08DAA7EC" w14:textId="77777777" w:rsidTr="006A5B02">
        <w:tc>
          <w:tcPr>
            <w:tcW w:w="9350" w:type="dxa"/>
          </w:tcPr>
          <w:p w14:paraId="6395E763" w14:textId="2EB5952A" w:rsidR="006A5B02" w:rsidRPr="00D74025" w:rsidRDefault="00F778B1" w:rsidP="00033391">
            <w:pPr>
              <w:spacing w:line="360" w:lineRule="auto"/>
              <w:ind w:firstLine="0"/>
              <w:rPr>
                <w:color w:val="000000" w:themeColor="text1"/>
              </w:rPr>
            </w:pPr>
            <w:bookmarkStart w:id="44" w:name="_Toc121217342"/>
            <w:r w:rsidRPr="00F778B1">
              <w:rPr>
                <w:rFonts w:ascii="Arial" w:hAnsi="Arial" w:cs="Arial"/>
                <w:b/>
                <w:bCs/>
                <w:color w:val="000000" w:themeColor="text1"/>
              </w:rPr>
              <w:t xml:space="preserve">Figure </w:t>
            </w:r>
            <w:r w:rsidRPr="00F778B1">
              <w:rPr>
                <w:rFonts w:ascii="Arial" w:hAnsi="Arial" w:cs="Arial"/>
                <w:b/>
                <w:bCs/>
                <w:color w:val="000000" w:themeColor="text1"/>
              </w:rPr>
              <w:fldChar w:fldCharType="begin"/>
            </w:r>
            <w:r w:rsidRPr="00F778B1">
              <w:rPr>
                <w:rFonts w:ascii="Arial" w:hAnsi="Arial" w:cs="Arial"/>
                <w:b/>
                <w:bCs/>
                <w:color w:val="000000" w:themeColor="text1"/>
              </w:rPr>
              <w:instrText xml:space="preserve"> SEQ Figure \* ARABIC </w:instrText>
            </w:r>
            <w:r w:rsidRPr="00F778B1">
              <w:rPr>
                <w:rFonts w:ascii="Arial" w:hAnsi="Arial" w:cs="Arial"/>
                <w:b/>
                <w:bCs/>
                <w:color w:val="000000" w:themeColor="text1"/>
              </w:rPr>
              <w:fldChar w:fldCharType="separate"/>
            </w:r>
            <w:r w:rsidR="002C4B25">
              <w:rPr>
                <w:rFonts w:ascii="Arial" w:hAnsi="Arial" w:cs="Arial"/>
                <w:b/>
                <w:bCs/>
                <w:noProof/>
                <w:color w:val="000000" w:themeColor="text1"/>
              </w:rPr>
              <w:t>20</w:t>
            </w:r>
            <w:r w:rsidRPr="00F778B1">
              <w:rPr>
                <w:rFonts w:ascii="Arial" w:hAnsi="Arial" w:cs="Arial"/>
                <w:b/>
                <w:bCs/>
                <w:color w:val="000000" w:themeColor="text1"/>
              </w:rPr>
              <w:fldChar w:fldCharType="end"/>
            </w:r>
            <w:r w:rsidR="00033391" w:rsidRPr="00D74025">
              <w:rPr>
                <w:rFonts w:ascii="Arial" w:hAnsi="Arial" w:cs="Arial"/>
                <w:b/>
                <w:bCs/>
                <w:color w:val="000000" w:themeColor="text1"/>
              </w:rPr>
              <w:t>: Immunogenicity of cell death</w:t>
            </w:r>
            <w:r w:rsidR="00033391" w:rsidRPr="00D74025">
              <w:rPr>
                <w:rFonts w:ascii="Arial" w:hAnsi="Arial" w:cs="Arial"/>
                <w:color w:val="000000" w:themeColor="text1"/>
              </w:rPr>
              <w:t xml:space="preserve">. Adaptive immune response against antigens from dead cells can be upregulated cell death caused by stress when two additional factors occur: 1) generated antigens are not recognized as central tolerance. 2) dying cells release DAMPs and cytokines in a favorable spatiotemporal pattern that promotes APCs' recruitment, maturation, and phagocytic activity. After collecting and presenting the anti-tumoral antigens, those APCs migrate to lymph nodes and induce the activation of cytotoxic T cells. Then, cancer cells expressing either tumor neoantigens or tumor-associated antigens </w:t>
            </w:r>
            <w:r w:rsidR="00761F08">
              <w:rPr>
                <w:rFonts w:ascii="Arial" w:hAnsi="Arial" w:cs="Arial"/>
                <w:color w:val="000000" w:themeColor="text1"/>
              </w:rPr>
              <w:t>are subjected to</w:t>
            </w:r>
            <w:r w:rsidR="00033391" w:rsidRPr="00D74025">
              <w:rPr>
                <w:rFonts w:ascii="Arial" w:hAnsi="Arial" w:cs="Arial"/>
                <w:color w:val="000000" w:themeColor="text1"/>
              </w:rPr>
              <w:t xml:space="preserve"> ICD when cytotoxic T-cells migrate back into the tumor site. The effectiveness of the cytotoxic T lymphocyte (CTL)-dependent immune response depends not only on the initial stress stimulus but also on the absence of a strong immunosuppressive tumor microenvironment that might prevent the initiation or execution of the whole process of immune activation.  Image from </w:t>
            </w:r>
            <w:proofErr w:type="spellStart"/>
            <w:r w:rsidR="00033391" w:rsidRPr="00D74025">
              <w:rPr>
                <w:rFonts w:ascii="Arial" w:hAnsi="Arial" w:cs="Arial"/>
                <w:color w:val="000000" w:themeColor="text1"/>
              </w:rPr>
              <w:t>Galluzzi</w:t>
            </w:r>
            <w:proofErr w:type="spellEnd"/>
            <w:r w:rsidR="00033391" w:rsidRPr="00D74025">
              <w:rPr>
                <w:rFonts w:ascii="Arial" w:hAnsi="Arial" w:cs="Arial"/>
                <w:color w:val="000000" w:themeColor="text1"/>
              </w:rPr>
              <w:t xml:space="preserve"> </w:t>
            </w:r>
            <w:r w:rsidR="00033391" w:rsidRPr="00D74025">
              <w:rPr>
                <w:rFonts w:ascii="Arial" w:hAnsi="Arial" w:cs="Arial"/>
                <w:i/>
                <w:iCs/>
                <w:color w:val="000000" w:themeColor="text1"/>
              </w:rPr>
              <w:t>et al</w:t>
            </w:r>
            <w:r w:rsidR="00033391" w:rsidRPr="00D74025">
              <w:rPr>
                <w:rFonts w:ascii="Arial" w:hAnsi="Arial" w:cs="Arial"/>
                <w:color w:val="000000" w:themeColor="text1"/>
              </w:rPr>
              <w:t>., 2020</w:t>
            </w:r>
            <w:r w:rsidR="00033391"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{"citationID":"Ec0blIsS","properties":{"formattedCitation":"\\super 228\\nosupersub{}","plainCitation":"228","noteIndex":0},"citationItems":[{"id":363,"uris":["http://zotero.org/users/7661987/items/HR3E7LJF"],"itemData":{"id":363,"type":"article-journal","abstract":"Cells succumbing to stress via regulated cell death (RCD) can initiate an adaptive immune response associated with immunological memory, provided they display sufficient antigenicity and adjuvanticity. Moreover, multiple intracellular and microenvironmental features determine the propensity of RCD to drive adaptive immunity. Here, we provide an updated operational definition of immunogenic cell death (ICD), discuss the key factors that dictate the ability of dying cells to drive an adaptive immune response, summarize experimental assays that are currently available for the assessment of ICD in vitro and in vivo, and formulate guidelines for their interpretation.","container-title":"Journal for ImmunoTherapy of Cancer","DOI":"10.1136/jitc-2019-000337","ISSN":"2051-1426","issue":"1","journalAbbreviation":"J Immunother Cancer","language":"en","page":"e000337","source":"DOI.org (Crossref)","title":"Consensus guidelines for the definition, detection and interpretation of immunogenic cell death","volume":"8","author":[{"family":"Galluzzi","given":"Lorenzo"},{"family":"Vitale","given":"Ilio"},{"family":"Warren","given":"Sarah"},{"family":"Adjemian","given":"Sandy"},{"family":"Agostinis","given":"Patrizia"},{"family":"Martinez","given":"Aitziber Buqué"},{"family":"Chan","given":"Timothy A"},{"family":"Coukos","given":"George"},{"family":"Demaria","given":"Sandra"},{"family":"Deutsch","given":"Eric"},{"family":"Draganov","given":"Dobrin"},{"family":"Edelson","given":"Richard L"},{"family":"Formenti","given":"Silvia C"},{"family":"Fucikova","given":"Jitka"},{"family":"Gabriele","given":"Lucia"},{"family":"Gaipl","given":"Udo S"},{"family":"Gameiro","given":"Sofia R"},{"family":"Garg","given":"Abhishek D"},{"family":"Golden","given":"Encouse"},{"family":"Han","given":"Jian"},{"family":"Harrington","given":"Kevin J"},{"family":"Hemminki","given":"Akseli"},{"family":"Hodge","given":"James W"},{"family":"Hossain","given":"Dewan Md Sakib"},{"family":"Illidge","given":"Tim"},{"family":"Karin","given":"Michael"},{"family":"Kaufman","given":"Howard L"},{"family":"Kepp","given":"Oliver"},{"family":"Kroemer","given":"Guido"},{"family":"Lasarte","given":"Juan Jose"},{"family":"Loi","given":"Sherene"},{"family":"Lotze","given":"Michael T"},{"family":"Manic","given":"Gwenola"},{"family":"Merghoub","given":"Taha"},{"family":"Melcher","given":"Alan A"},{"family":"Mossman","given":"Karen L"},{"family":"Prosper","given":"Felipe"},{"family":"Rekdal","given":"Øystein"},{"family":"Rescigno","given":"Maria"},{"family":"Riganti","given":"Chiara"},{"family":"Sistigu","given":"Antonella"},{"family":"Smyth","given":"Mark J"},{"family":"Spisek","given":"Radek"},{"family":"Stagg","given":"John"},{"family":"Strauss","given":"Bryan E"},{"family":"Tang","given":"Daolin"},{"family":"Tatsuno","given":"Kazuki"},{"family":"Gool","given":"Stefaan W","non-dropping-particle":"van"},{"family":"Vandenabeele","given":"Peter"},{"family":"Yamazaki","given":"Takahiro"},{"family":"Zamarin","given":"Dmitriy"},{"family":"Zitvogel","given":"Laurence"},{"family":"Cesano","given":"Alessandra"},{"family":"Marincola","given":"Francesco M"}],"issued":{"date-parts":[["2020",3]]}}}],"schema":"https://github.com/citation-style-language/schema/raw/master/csl-citation.json"} </w:instrText>
            </w:r>
            <w:r w:rsidR="00033391" w:rsidRPr="00D74025">
              <w:rPr>
                <w:rFonts w:ascii="Arial" w:hAnsi="Arial" w:cs="Arial"/>
                <w:color w:val="000000" w:themeColor="text1"/>
              </w:rPr>
              <w:fldChar w:fldCharType="separate"/>
            </w:r>
            <w:r w:rsidR="000F4F53" w:rsidRPr="000F4F53">
              <w:rPr>
                <w:rFonts w:ascii="Arial" w:hAnsi="Arial" w:cs="Arial"/>
                <w:color w:val="000000"/>
                <w:vertAlign w:val="superscript"/>
              </w:rPr>
              <w:t>228</w:t>
            </w:r>
            <w:bookmarkEnd w:id="44"/>
            <w:r w:rsidR="00033391" w:rsidRPr="00D74025">
              <w:rPr>
                <w:rFonts w:ascii="Arial" w:hAnsi="Arial" w:cs="Arial"/>
                <w:color w:val="000000" w:themeColor="text1"/>
              </w:rPr>
              <w:fldChar w:fldCharType="end"/>
            </w:r>
          </w:p>
        </w:tc>
      </w:tr>
    </w:tbl>
    <w:p w14:paraId="0076A2E8" w14:textId="77777777" w:rsidR="0065746C" w:rsidRDefault="0065746C" w:rsidP="00555BB7">
      <w:pPr>
        <w:spacing w:line="360" w:lineRule="auto"/>
        <w:ind w:firstLine="1440"/>
        <w:jc w:val="both"/>
        <w:rPr>
          <w:rFonts w:ascii="Arial" w:hAnsi="Arial" w:cs="Arial"/>
          <w:color w:val="000000" w:themeColor="text1"/>
        </w:rPr>
      </w:pPr>
    </w:p>
    <w:p w14:paraId="7834F352" w14:textId="700C6207" w:rsidR="00555BB7" w:rsidRPr="00D74025" w:rsidRDefault="00555BB7" w:rsidP="00555BB7">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The most common measurements to demonstrate the stimulation of ICG are the translocation of calreticulin to the surface of the cells and the release of adenosine </w:t>
      </w:r>
      <w:r w:rsidRPr="00D74025">
        <w:rPr>
          <w:rFonts w:ascii="Arial" w:hAnsi="Arial" w:cs="Arial"/>
          <w:color w:val="000000" w:themeColor="text1"/>
        </w:rPr>
        <w:lastRenderedPageBreak/>
        <w:t>triphosphate (ATP) and high-mobility group box-1 protein (HMGB1) to the extracellular environment since both result in the uptake by APCs that ultimately stimulate the antigen-specific antitumoral immune response</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{"citationID":"2GVhZuAK","properties":{"formattedCitation":"\\super 231\\nosupersub{}","plainCitation":"231","noteIndex":0},"citationItems":[{"id":404,"uris":["http://zotero.org/users/7661987/items/QB63ZIZ3"],"itemData":{"id":404,"type":"article-journal","abstract":"This review summarizes recent advances in utilizing nanomedicines for PTT-synergized immunotherapy to improve the outcome of cancer treatment.\n          , \n            The emerging anti-tumor immunotherapy has made significant progress in clinical application. However, single immunotherapy is not effective for all anti-tumor treatments, owing to the low objective response rate and the risk of immune-related side effects. Meanwhile, photothermal therapy (PTT) has attracted significant attention because of its non-invasiveness, spatiotemporal controllability and small side effects. Combining PTT with immunotherapy overcomes the issue that single photothermal therapy cannot eradicate tumors with metastasis and recurrence. However, it improves the therapeutic effect of immunotherapy, as the photothermal therapy usually promotes release of tumor-related antigens, triggers immune response by the immunogenic cell death (ICD), thereby, endowing unique synergistic mechanisms for cancer therapy. This review summarizes recent research advances in utilizing nanomedicines for PTT in combination with immunotherapy to improve the outcome of cancer treatment. The strategies include immunogenic cell death, immune agonists and cancer vaccines, immune checkpoint blockades and tumor specific monoclonal antibodies, and small-molecule immune inhibitors. The combination of synergized PTT-immunotherapy with other therapeutic strategies is also discussed.","container-title":"Biomaterials Science","DOI":"10.1039/D0BM01158D","ISSN":"2047-4830, 2047-4849","issue":"19","journalAbbreviation":"Biomater. Sci.","language":"en","page":"5241-5259","source":"DOI.org (Crossref)","title":"Nanomedicine-based tumor photothermal therapy synergized immunotherapy","volume":"8","author":[{"family":"Shang","given":"Tongyi"},{"family":"Yu","given":"Xinying"},{"family":"Han","given":"Shisong"},{"family":"Yang","given":"Bin"}],"issued":{"date-parts":[["2020"]]}}}],"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231</w:t>
      </w:r>
      <w:r w:rsidRPr="00D74025">
        <w:rPr>
          <w:rFonts w:ascii="Arial" w:hAnsi="Arial" w:cs="Arial"/>
          <w:color w:val="000000" w:themeColor="text1"/>
        </w:rPr>
        <w:fldChar w:fldCharType="end"/>
      </w:r>
      <w:r w:rsidRPr="00D74025">
        <w:rPr>
          <w:rFonts w:ascii="Arial" w:hAnsi="Arial" w:cs="Arial"/>
          <w:color w:val="000000" w:themeColor="text1"/>
        </w:rPr>
        <w:t xml:space="preserve">. Other immunostimulatory signals are, but are not limited to: cellular nucleic acids; </w:t>
      </w:r>
      <w:r w:rsidR="00761F08">
        <w:rPr>
          <w:rFonts w:ascii="Arial" w:hAnsi="Arial" w:cs="Arial"/>
          <w:color w:val="000000" w:themeColor="text1"/>
        </w:rPr>
        <w:t>a</w:t>
      </w:r>
      <w:r w:rsidRPr="00D74025">
        <w:rPr>
          <w:rFonts w:ascii="Arial" w:hAnsi="Arial" w:cs="Arial"/>
          <w:color w:val="000000" w:themeColor="text1"/>
        </w:rPr>
        <w:t>nnexin A1; cytokines like IFN, CCL2, CXCL1 CXCL10; heat shock proteins like HSP70 and HSP90; cytosolic components like F-actin; mitochondrial products such as DNA, reactive oxygen species (ROS), cardiolipin, TFAM</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{"citationID":"5pH67Pyy","properties":{"formattedCitation":"\\super 228\\nosupersub{}","plainCitation":"228","noteIndex":0},"citationItems":[{"id":363,"uris":["http://zotero.org/users/7661987/items/HR3E7LJF"],"itemData":{"id":363,"type":"article-journal","abstract":"Cells succumbing to stress via regulated cell death (RCD) can initiate an adaptive immune response associated with immunological memory, provided they display sufficient antigenicity and adjuvanticity. Moreover, multiple intracellular and microenvironmental features determine the propensity of RCD to drive adaptive immunity. Here, we provide an updated operational definition of immunogenic cell death (ICD), discuss the key factors that dictate the ability of dying cells to drive an adaptive immune response, summarize experimental assays that are currently available for the assessment of ICD in vitro and in vivo, and formulate guidelines for their interpretation.","container-title":"Journal for ImmunoTherapy of Cancer","DOI":"10.1136/jitc-2019-000337","ISSN":"2051-1426","issue":"1","journalAbbreviation":"J Immunother Cancer","language":"en","page":"e000337","source":"DOI.org (Crossref)","title":"Consensus guidelines for the definition, detection and interpretation of immunogenic cell death","volume":"8","author":[{"family":"Galluzzi","given":"Lorenzo"},{"family":"Vitale","given":"Ilio"},{"family":"Warren","given":"Sarah"},{"family":"Adjemian","given":"Sandy"},{"family":"Agostinis","given":"Patrizia"},{"family":"Martinez","given":"Aitziber Buqué"},{"family":"Chan","given":"Timothy A"},{"family":"Coukos","given":"George"},{"family":"Demaria","given":"Sandra"},{"family":"Deutsch","given":"Eric"},{"family":"Draganov","given":"Dobrin"},{"family":"Edelson","given":"Richard L"},{"family":"Formenti","given":"Silvia C"},{"family":"Fucikova","given":"Jitka"},{"family":"Gabriele","given":"Lucia"},{"family":"Gaipl","given":"Udo S"},{"family":"Gameiro","given":"Sofia R"},{"family":"Garg","given":"Abhishek D"},{"family":"Golden","given":"Encouse"},{"family":"Han","given":"Jian"},{"family":"Harrington","given":"Kevin J"},{"family":"Hemminki","given":"Akseli"},{"family":"Hodge","given":"James W"},{"family":"Hossain","given":"Dewan Md Sakib"},{"family":"Illidge","given":"Tim"},{"family":"Karin","given":"Michael"},{"family":"Kaufman","given":"Howard L"},{"family":"Kepp","given":"Oliver"},{"family":"Kroemer","given":"Guido"},{"family":"Lasarte","given":"Juan Jose"},{"family":"Loi","given":"Sherene"},{"family":"Lotze","given":"Michael T"},{"family":"Manic","given":"Gwenola"},{"family":"Merghoub","given":"Taha"},{"family":"Melcher","given":"Alan A"},{"family":"Mossman","given":"Karen L"},{"family":"Prosper","given":"Felipe"},{"family":"Rekdal","given":"Øystein"},{"family":"Rescigno","given":"Maria"},{"family":"Riganti","given":"Chiara"},{"family":"Sistigu","given":"Antonella"},{"family":"Smyth","given":"Mark J"},{"family":"Spisek","given":"Radek"},{"family":"Stagg","given":"John"},{"family":"Strauss","given":"Bryan E"},{"family":"Tang","given":"Daolin"},{"family":"Tatsuno","given":"Kazuki"},{"family":"Gool","given":"Stefaan W","non-dropping-particle":"van"},{"family":"Vandenabeele","given":"Peter"},{"family":"Yamazaki","given":"Takahiro"},{"family":"Zamarin","given":"Dmitriy"},{"family":"Zitvogel","given":"Laurence"},{"family":"Cesano","given":"Alessandra"},{"family":"Marincola","given":"Francesco M"}],"issued":{"date-parts":[["2020",3]]}}}],"schema":"https://github.com/citation-style-language/schema/raw/master/csl-citation.json"}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228</w:t>
      </w:r>
      <w:r w:rsidRPr="00D74025">
        <w:rPr>
          <w:rFonts w:ascii="Arial" w:hAnsi="Arial" w:cs="Arial"/>
          <w:color w:val="000000" w:themeColor="text1"/>
        </w:rPr>
        <w:fldChar w:fldCharType="end"/>
      </w:r>
      <w:r w:rsidRPr="00D74025">
        <w:rPr>
          <w:rFonts w:ascii="Arial" w:hAnsi="Arial" w:cs="Arial"/>
          <w:color w:val="000000" w:themeColor="text1"/>
        </w:rPr>
        <w:t xml:space="preserve">. </w:t>
      </w:r>
      <w:r w:rsidRPr="0015588E">
        <w:rPr>
          <w:rFonts w:ascii="Arial" w:hAnsi="Arial" w:cs="Arial"/>
          <w:color w:val="000000" w:themeColor="text1"/>
        </w:rPr>
        <w:t xml:space="preserve">There is </w:t>
      </w:r>
      <w:r w:rsidR="00DA468C">
        <w:rPr>
          <w:rFonts w:ascii="Arial" w:hAnsi="Arial" w:cs="Arial"/>
          <w:color w:val="000000" w:themeColor="text1"/>
        </w:rPr>
        <w:t xml:space="preserve">strong </w:t>
      </w:r>
      <w:r w:rsidRPr="0015588E">
        <w:rPr>
          <w:rFonts w:ascii="Arial" w:hAnsi="Arial" w:cs="Arial"/>
          <w:color w:val="000000" w:themeColor="text1"/>
        </w:rPr>
        <w:t>evidence that PTT cause immunogenic cell deat</w:t>
      </w:r>
      <w:r w:rsidR="00D5146E">
        <w:rPr>
          <w:rFonts w:ascii="Arial" w:hAnsi="Arial" w:cs="Arial"/>
          <w:color w:val="000000" w:themeColor="text1"/>
        </w:rPr>
        <w:t>h</w:t>
      </w:r>
      <w:r w:rsidR="00D5146E">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{"citationID":"a2id05jtc1g","properties":{"formattedCitation":"\\super 209,232,233\\nosupersub{}","plainCitation":"209,232,233","noteIndex":0},"citationItems":[{"id":216,"uris":["http://zotero.org/users/7661987/items/SCXUE464"],"itemData":{"id":216,"type":"article-journal","abstract":"Near-infrared photoimmunotherapy (NIR-PIT) is a newly-developed, highly-selective cancer treatment, which utilizes a monoclonal antibody conjugated to a photoabsorbing dye, IRDye700DX (IR700). The antibody conjugate is injected into the patient and accumulates in the tumour. Within 24 h of injection the tumour is exposed to NIR light which activates the conjugate and causes rapid, selective cancer cell death. A global phase III clinical trial of NIR-PIT in recurrent head and neck squamous cell cancer (HNSCC) patients is currently underway. Conditional clinical approval for NIR-PIT in recurrent HNSCC has been granted in Japan as of September 2020. Not only does NIR-PIT induce highly selective and immediate cancer cell killing, but it also stimulates highly active anti-tumour immunity. While monotherapy with NIR-PIT has proven effective it is likely that combinations with immune-checkpoint inhibitors or additional NIR-PIT targeting immune suppressive cells in the tumour microenvironment will further improve results. In this review, we discuss the translational aspects of NIR-PIT especially in HNSCC, and potential future applications.","container-title":"EBioMedicine","DOI":"10.1016/j.ebiom.2021.103501","ISSN":"23523964","journalAbbreviation":"EBioMedicine","language":"en","page":"103501","source":"DOI.org (Crossref)","title":"Near infrared photoimmunotherapy for cancers: A translational perspective","title-short":"Near infrared photoimmunotherapy for cancers","volume":"70","author":[{"family":"Maruoka","given":"Yasuhiro"},{"family":"Wakiyama","given":"Hiroaki"},{"family":"Choyke","given":"Peter L."},{"family":"Kobayashi","given":"Hisataka"}],"issued":{"date-parts":[["2021",8]]}}},{"id":321,"uris":["http://zotero.org/users/7661987/items/QFQ6Z2E2"],"itemData":{"id":321,"type":"article-journal","container-title":"Accounts of Chemical Research","DOI":"10.1021/acs.accounts.9b00273","ISSN":"0001-4842, 1520-4898","issue":"8","journalAbbreviation":"Acc. Chem. Res.","language":"en","page":"2332-2339","source":"DOI.org (Crossref)","title":"Near-Infrared Photoimmunotherapy of Cancer","volume":"52","author":[{"family":"Kobayashi","given":"Hisataka"},{"family":"Choyke","given":"Peter L."}],"issued":{"date-parts":[["2019",8,20]]}}},{"id":219,"uris":["http://zotero.org/users/7661987/items/92NL88PD"],"itemData":{"id":219,"type":"article-journal","abstract":"Among modalities of cancer immunotherapy, near-infrared photoimmunotherapy (NIR-PIT) has reached significant preclinical and clinical stages and quickly evolved over the last 5 years. NIR-PIT uses deep-penetrable NIR light to induce physicochemical changes in the antibody–photosensitizer conjugate (APC), leading to resultant necrosis and immunogenic cell death (ICD) of the cancer cells. Alternatively, other types of photomedicine use photosensitizers to convert absorbed light energy either into reactive oxygen species for photodynamic therapy (PDT) or into heat for photothermal therapy (PTT). ICD is a unique and relevant outcome of NIR-PIT because it induces long-lasting antitumor host immunity, which overcomes the immunosuppressive network of cancer. Due to its high specificity and durable antitumor effects, NIR-PIT is now considered a promising cancer therapy, and optimized NIR-PIT is readily expanding its applicability to many different types of cancer. Along with the traditional method of NIR-PIT, new avenues in its realm of treatment are currently being explored, such as the targeting of other immunosuppressive elements, delivery of NIR light through a catheter, real-time imaging for tumor detection, and the use of tumor-seeking small molecules for improved efficacy and safety. In addition, its effect on hyperpermeability has opened a door for a wide array of combination therapies with other modalities. This review summarizes the recent findings in clinical and preclinical studies of NIR-induced photomedicine and its future significance in the field of cancer research.","container-title":"VIEW","DOI":"10.1002/VIW.20200110","ISSN":"2688-268X, 2688-268X","issue":"3","journalAbbreviation":"VIEW","language":"en","page":"20200110","source":"DOI.org (Crossref)","title":"Quickly evolving near</w:instrText>
      </w:r>
      <w:r w:rsidR="000F4F53">
        <w:rPr>
          <w:rFonts w:ascii="Cambria Math" w:hAnsi="Cambria Math" w:cs="Cambria Math"/>
          <w:color w:val="000000" w:themeColor="text1"/>
        </w:rPr>
        <w:instrText>‐</w:instrText>
      </w:r>
      <w:r w:rsidR="000F4F53">
        <w:rPr>
          <w:rFonts w:ascii="Arial" w:hAnsi="Arial" w:cs="Arial"/>
          <w:color w:val="000000" w:themeColor="text1"/>
        </w:rPr>
        <w:instrText xml:space="preserve">infrared photoimmunotherapy provides multifaceted approach to modern cancer treatment","volume":"3","author":[{"family":"Monaco","given":"Hailey"},{"family":"Yokomizo","given":"Shinya"},{"family":"Choi","given":"Hak Soo"},{"family":"Kashiwagi","given":"Satoshi"}],"issued":{"date-parts":[["2022",5]]}}}],"schema":"https://github.com/citation-style-language/schema/raw/master/csl-citation.json"} </w:instrText>
      </w:r>
      <w:r w:rsidR="00D5146E">
        <w:rPr>
          <w:rFonts w:ascii="Arial" w:hAnsi="Arial" w:cs="Arial"/>
          <w:color w:val="000000" w:themeColor="text1"/>
        </w:rPr>
        <w:fldChar w:fldCharType="separate"/>
      </w:r>
      <w:r w:rsidR="000F4F53" w:rsidRPr="000F4F53">
        <w:rPr>
          <w:rFonts w:ascii="Arial" w:hAnsi="Arial" w:cs="Arial"/>
          <w:color w:val="000000"/>
          <w:vertAlign w:val="superscript"/>
        </w:rPr>
        <w:t>209,232,233</w:t>
      </w:r>
      <w:r w:rsidR="00D5146E">
        <w:rPr>
          <w:rFonts w:ascii="Arial" w:hAnsi="Arial" w:cs="Arial"/>
          <w:color w:val="000000" w:themeColor="text1"/>
        </w:rPr>
        <w:fldChar w:fldCharType="end"/>
      </w:r>
      <w:r w:rsidR="0083317E">
        <w:rPr>
          <w:rFonts w:ascii="Arial" w:hAnsi="Arial" w:cs="Arial"/>
          <w:color w:val="000000" w:themeColor="text1"/>
        </w:rPr>
        <w:t>.</w:t>
      </w:r>
    </w:p>
    <w:p w14:paraId="59ED085B" w14:textId="7A593BF6" w:rsidR="009C0DBB" w:rsidRPr="00D74025" w:rsidRDefault="001F1415" w:rsidP="009C0DBB">
      <w:pPr>
        <w:spacing w:line="360" w:lineRule="auto"/>
        <w:ind w:firstLine="1440"/>
        <w:jc w:val="both"/>
        <w:rPr>
          <w:rFonts w:ascii="Arial" w:hAnsi="Arial" w:cs="Arial"/>
          <w:color w:val="000000" w:themeColor="text1"/>
        </w:rPr>
      </w:pPr>
      <w:r w:rsidRPr="00D74025">
        <w:rPr>
          <w:rFonts w:ascii="Calibri" w:hAnsi="Calibri" w:cs="Calibri"/>
          <w:color w:val="000000" w:themeColor="text1"/>
        </w:rPr>
        <w:t>﻿</w:t>
      </w:r>
      <w:bookmarkStart w:id="45" w:name="_Toc87466643"/>
      <w:r w:rsidR="009C0DBB" w:rsidRPr="00D74025">
        <w:rPr>
          <w:rFonts w:ascii="Arial" w:hAnsi="Arial" w:cs="Arial"/>
          <w:color w:val="000000" w:themeColor="text1"/>
        </w:rPr>
        <w:t xml:space="preserve"> Moreover, growing clinical evidence shows that various ICD inducers frequently used to treat cancer patients work in conjunction with immune checkpoint blockade (ICB) therapy, also known as immunotherapy, as long as they do not interfere with immunostimulatory signals or the activity of lymphocytes infiltrating the tumor</w:t>
      </w:r>
      <w:r w:rsidR="009C0DBB"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{"citationID":"a2o4cicalbq","properties":{"formattedCitation":"\\super 230\\nosupersub{}","plainCitation":"230","noteIndex":0},"citationItems":[{"id":357,"uris":["http://zotero.org/users/7661987/items/WBWYM3LC"],"itemData":{"id":357,"type":"article-journal","abstract":"Although it was thought that apoptotic cells, when rapidly phagocytosed, underwent a silent death that did not trigger an immune response, in recent years a new concept of immunogenic cell death (ICD) has emerged. The immunogenic characteristics of ICD are mainly mediated by damage-associated molecular patterns (DAMPs), which include surface-exposed calreticulin (CRT), secreted ATP and released high mobility group protein B1 (HMGB1). Most DAMPs can be recognized by pattern recognition receptors (PRRs). In this Review, we discuss the role of endoplasmic reticulum (ER) stress and reactive oxygen species (ROS) in regulating the immunogenicity of dying cancer cells and the effect of therapy-resistant cancer microevolution on ICD.","container-title":"Nature Reviews Cancer","DOI":"10.1038/nrc3380","ISSN":"1474-175X, 1474-1768","issue":"12","journalAbbreviation":"Nat Rev Cancer","language":"en","page":"860-875","source":"DOI.org (Crossref)","title":"Immunogenic cell death and DAMPs in cancer therapy","volume":"12","author":[{"family":"Krysko","given":"Dmitri V."},{"family":"Garg","given":"Abhishek D."},{"family":"Kaczmarek","given":"Agnieszka"},{"family":"Krysko","given":"Olga"},{"family":"Agostinis","given":"Patrizia"},{"family":"Vandenabeele","given":"Peter"}],"issued":{"date-parts":[["2012",12]]}}}],"schema":"https://github.com/citation-style-language/schema/raw/master/csl-citation.json"} </w:instrText>
      </w:r>
      <w:r w:rsidR="009C0DBB" w:rsidRPr="00D74025">
        <w:rPr>
          <w:rFonts w:ascii="Arial" w:hAnsi="Arial" w:cs="Arial"/>
          <w:color w:val="000000" w:themeColor="text1"/>
        </w:rPr>
        <w:fldChar w:fldCharType="separate"/>
      </w:r>
      <w:r w:rsidR="000F4F53" w:rsidRPr="000F4F53">
        <w:rPr>
          <w:rFonts w:ascii="Arial" w:hAnsi="Arial" w:cs="Arial"/>
          <w:color w:val="000000"/>
          <w:vertAlign w:val="superscript"/>
        </w:rPr>
        <w:t>230</w:t>
      </w:r>
      <w:r w:rsidR="009C0DBB" w:rsidRPr="00D74025">
        <w:rPr>
          <w:rFonts w:ascii="Arial" w:hAnsi="Arial" w:cs="Arial"/>
          <w:color w:val="000000" w:themeColor="text1"/>
        </w:rPr>
        <w:fldChar w:fldCharType="end"/>
      </w:r>
      <w:r w:rsidR="009C0DBB" w:rsidRPr="00D74025">
        <w:rPr>
          <w:rFonts w:ascii="Arial" w:hAnsi="Arial" w:cs="Arial"/>
          <w:color w:val="000000" w:themeColor="text1"/>
        </w:rPr>
        <w:t>. Therefore, in the subsequent se</w:t>
      </w:r>
      <w:r w:rsidR="0083317E">
        <w:rPr>
          <w:rFonts w:ascii="Arial" w:hAnsi="Arial" w:cs="Arial"/>
          <w:color w:val="000000" w:themeColor="text1"/>
        </w:rPr>
        <w:t>ctions</w:t>
      </w:r>
      <w:r w:rsidR="009C0DBB" w:rsidRPr="00D74025">
        <w:rPr>
          <w:rFonts w:ascii="Arial" w:hAnsi="Arial" w:cs="Arial"/>
          <w:color w:val="000000" w:themeColor="text1"/>
        </w:rPr>
        <w:t>, immunotherapy will be presented</w:t>
      </w:r>
      <w:r w:rsidR="0083317E">
        <w:rPr>
          <w:rFonts w:ascii="Arial" w:hAnsi="Arial" w:cs="Arial"/>
          <w:color w:val="000000" w:themeColor="text1"/>
        </w:rPr>
        <w:t>,</w:t>
      </w:r>
      <w:r w:rsidR="009C0DBB" w:rsidRPr="00D74025">
        <w:rPr>
          <w:rFonts w:ascii="Arial" w:hAnsi="Arial" w:cs="Arial"/>
          <w:color w:val="000000" w:themeColor="text1"/>
        </w:rPr>
        <w:t xml:space="preserve"> and its combination with PTT for the generation of a systemic immune response is one of the main pillars of this work.</w:t>
      </w:r>
    </w:p>
    <w:p w14:paraId="7DEB1D37" w14:textId="756676BA" w:rsidR="00474503" w:rsidRPr="00D74025" w:rsidRDefault="00474503" w:rsidP="00474503">
      <w:pPr>
        <w:spacing w:line="360" w:lineRule="auto"/>
        <w:ind w:firstLine="1440"/>
        <w:jc w:val="both"/>
        <w:rPr>
          <w:rFonts w:ascii="Arial" w:hAnsi="Arial" w:cs="Arial"/>
          <w:color w:val="000000" w:themeColor="text1"/>
        </w:rPr>
      </w:pPr>
    </w:p>
    <w:p w14:paraId="62B7A5E1" w14:textId="45F2DEE9" w:rsidR="009A2373" w:rsidRPr="00D74025" w:rsidRDefault="00EF5169" w:rsidP="00A53A37">
      <w:pPr>
        <w:pStyle w:val="Heading3"/>
        <w:ind w:firstLine="1440"/>
        <w:rPr>
          <w:rFonts w:ascii="Arial" w:hAnsi="Arial" w:cs="Arial"/>
          <w:b/>
          <w:bCs/>
          <w:color w:val="000000" w:themeColor="text1"/>
        </w:rPr>
      </w:pPr>
      <w:bookmarkStart w:id="46" w:name="_Toc121217235"/>
      <w:r w:rsidRPr="00D74025">
        <w:rPr>
          <w:rFonts w:ascii="Arial" w:eastAsiaTheme="minorHAnsi" w:hAnsi="Arial" w:cs="Arial"/>
          <w:b/>
          <w:bCs/>
          <w:color w:val="000000" w:themeColor="text1"/>
        </w:rPr>
        <w:t xml:space="preserve">1.4.2 </w:t>
      </w:r>
      <w:r w:rsidR="00CF0B2F" w:rsidRPr="00D74025">
        <w:rPr>
          <w:rFonts w:ascii="Arial" w:eastAsiaTheme="minorHAnsi" w:hAnsi="Arial" w:cs="Arial"/>
          <w:b/>
          <w:bCs/>
          <w:color w:val="000000" w:themeColor="text1"/>
        </w:rPr>
        <w:t>I</w:t>
      </w:r>
      <w:r w:rsidRPr="00D74025">
        <w:rPr>
          <w:rFonts w:ascii="Arial" w:eastAsiaTheme="minorHAnsi" w:hAnsi="Arial" w:cs="Arial"/>
          <w:b/>
          <w:bCs/>
          <w:color w:val="000000" w:themeColor="text1"/>
        </w:rPr>
        <w:t>mmunotherapy</w:t>
      </w:r>
      <w:bookmarkEnd w:id="45"/>
      <w:bookmarkEnd w:id="46"/>
    </w:p>
    <w:p w14:paraId="00CAED0C" w14:textId="2E29E7FD" w:rsidR="007A56F8" w:rsidRPr="00D74025" w:rsidRDefault="007A56F8" w:rsidP="007A56F8">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 xml:space="preserve">The immune system is responsible for recognizing and eliminating threats. It is composed of white blood cells and tissue of the lymph system, which includes bone marrow, thymus, spleen, tonsils, lymph nodes, and lymph vessels. As part of this recognition mechanism, the immune system is trained to differentiate between self and non-self. The immune system is theoretically divided into innate immunity and adaptive immunity. Innate immunity is active since birth and is comprised of not only the physical barriers that separate us from the environment, such as skin and mucous membranes, but also an advanced system of cells: </w:t>
      </w:r>
      <w:r w:rsidRPr="00D74025">
        <w:rPr>
          <w:rFonts w:ascii="Calibri" w:hAnsi="Calibri" w:cs="Calibri"/>
          <w:color w:val="000000" w:themeColor="text1"/>
        </w:rPr>
        <w:t>﻿</w:t>
      </w:r>
      <w:r w:rsidRPr="00D74025">
        <w:rPr>
          <w:rFonts w:ascii="Arial" w:hAnsi="Arial" w:cs="Arial"/>
          <w:color w:val="000000" w:themeColor="text1"/>
        </w:rPr>
        <w:t xml:space="preserve">natural killer (NK) cells, eosinophils, basophils, and phagocytic cells, including mast cells, neutrophils, monocytes, macrophages, and dendritic cells (DCs). The innate immunity is non-specific but efficient at eliminating threats. When the innate immune response is insufficient to eliminate them, the adaptive immune response is mounted, which is antigen-specific but time-dependent. The adaptive immune response consists of lymphocytes, including B and T cells. It involves B-cell </w:t>
      </w:r>
      <w:r w:rsidRPr="00D74025">
        <w:rPr>
          <w:rFonts w:ascii="Arial" w:hAnsi="Arial" w:cs="Arial"/>
          <w:color w:val="000000" w:themeColor="text1"/>
        </w:rPr>
        <w:lastRenderedPageBreak/>
        <w:t>antibody production and activation of APCs to activate helper T-cells, which then stimulates the activation of cytotoxic T-cells. Eventually, immunological memory is achieved, which prevents the recurrence of the threat by rapid response triggered by an antigen that was previously recognized. Cytokines are generated by immune and nonimmune cells in response to cellular stressors such as infection, inflammation, and cancer, acting as messengers to coordinate cellular connections and communications of the immune system. This powerful machinery can attack and destroy non-</w:t>
      </w:r>
      <w:proofErr w:type="spellStart"/>
      <w:r w:rsidRPr="00D74025">
        <w:rPr>
          <w:rFonts w:ascii="Arial" w:hAnsi="Arial" w:cs="Arial"/>
          <w:color w:val="000000" w:themeColor="text1"/>
        </w:rPr>
        <w:t>self substances</w:t>
      </w:r>
      <w:proofErr w:type="spellEnd"/>
      <w:r w:rsidRPr="00D74025">
        <w:rPr>
          <w:rFonts w:ascii="Arial" w:hAnsi="Arial" w:cs="Arial"/>
          <w:color w:val="000000" w:themeColor="text1"/>
        </w:rPr>
        <w:t>, such as bacterial and viral infections. Another crucial role of the immune system is immunosurveillance, in which the cells from the immune system identify abnormal cells and clea</w:t>
      </w:r>
      <w:r w:rsidR="00C3412C">
        <w:rPr>
          <w:rFonts w:ascii="Arial" w:hAnsi="Arial" w:cs="Arial"/>
          <w:color w:val="000000" w:themeColor="text1"/>
        </w:rPr>
        <w:t>r</w:t>
      </w:r>
      <w:r w:rsidRPr="00D74025">
        <w:rPr>
          <w:rFonts w:ascii="Arial" w:hAnsi="Arial" w:cs="Arial"/>
          <w:color w:val="000000" w:themeColor="text1"/>
        </w:rPr>
        <w:t xml:space="preserve"> them (a mechanism related to apoptosis). As previously mentioned, one of the cancer hallmarks is the avoidance of immune destruction, which develops during tumor progression</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{"citationID":"a1url51pngh","properties":{"formattedCitation":"\\super 234\\nosupersub{}","plainCitation":"234","noteIndex":0},"citationItems":[{"id":212,"uris":["http://zotero.org/users/7661987/items/DUYAYQV6"],"itemData":{"id":212,"type":"article-journal","abstract":"Objective: This article will outline the link between the immune system and cancer, and provide a historical timeline of immunotherapy developmental milestones. Data Sources: Published data and peer reviewed publications/manuscripts, and textbook chapters. Conclusion: Science has provided a greater understanding of the interactions between cancer and the human immune system. As this knowledge has grown, there has been signiﬁcant progress in the development of clinically effective cancer immunotherapies.","container-title":"Seminars in Oncology Nursing","DOI":"10.1016/j.soncn.2019.08.002","ISSN":"07492081","issue":"5","journalAbbreviation":"Seminars in Oncology Nursing","language":"en","page":"150923","source":"DOI.org (Crossref)","title":"Cancer and the Immune System: The History and Background of Immunotherapy","title-short":"Cancer and the Immune System","volume":"35","author":[{"family":"Abbott","given":"Maura"},{"family":"Ustoyev","given":"Yelena"}],"issued":{"date-parts":[["2019",10]]}}}],"schema":"https://github.com/citation-style-language/schema/raw/master/csl-citation.json"}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234</w:t>
      </w:r>
      <w:r w:rsidRPr="00D74025">
        <w:rPr>
          <w:rFonts w:ascii="Arial" w:hAnsi="Arial" w:cs="Arial"/>
          <w:color w:val="000000" w:themeColor="text1"/>
        </w:rPr>
        <w:fldChar w:fldCharType="end"/>
      </w:r>
      <w:r w:rsidRPr="00D74025">
        <w:rPr>
          <w:rFonts w:ascii="Arial" w:hAnsi="Arial" w:cs="Arial"/>
          <w:color w:val="000000" w:themeColor="text1"/>
        </w:rPr>
        <w:t>. Cancer immunotherapy is the strategy of modulating the immune system to kill tumor cells.</w:t>
      </w:r>
    </w:p>
    <w:p w14:paraId="11285E32" w14:textId="61956C3F" w:rsidR="00521D5F" w:rsidRPr="00D74025" w:rsidRDefault="00C3412C" w:rsidP="00521D5F">
      <w:pPr>
        <w:spacing w:line="360" w:lineRule="auto"/>
        <w:ind w:firstLine="1440"/>
        <w:contextualSpacing/>
        <w:jc w:val="both"/>
        <w:rPr>
          <w:rFonts w:ascii="Arial" w:hAnsi="Arial" w:cs="Arial"/>
          <w:color w:val="000000" w:themeColor="text1"/>
        </w:rPr>
      </w:pPr>
      <w:r>
        <w:rPr>
          <w:rFonts w:ascii="Arial" w:hAnsi="Arial" w:cs="Arial"/>
          <w:color w:val="000000" w:themeColor="text1"/>
        </w:rPr>
        <w:t>The</w:t>
      </w:r>
      <w:r w:rsidR="009D5B13">
        <w:rPr>
          <w:rFonts w:ascii="Arial" w:hAnsi="Arial" w:cs="Arial"/>
          <w:color w:val="000000" w:themeColor="text1"/>
        </w:rPr>
        <w:t>re</w:t>
      </w:r>
      <w:r>
        <w:rPr>
          <w:rFonts w:ascii="Arial" w:hAnsi="Arial" w:cs="Arial"/>
          <w:color w:val="000000" w:themeColor="text1"/>
        </w:rPr>
        <w:t xml:space="preserve"> are several different types of </w:t>
      </w:r>
      <w:proofErr w:type="gramStart"/>
      <w:r>
        <w:rPr>
          <w:rFonts w:ascii="Arial" w:hAnsi="Arial" w:cs="Arial"/>
          <w:color w:val="000000" w:themeColor="text1"/>
        </w:rPr>
        <w:t>immunotherapy</w:t>
      </w:r>
      <w:proofErr w:type="gramEnd"/>
      <w:r w:rsidR="009D5B13">
        <w:rPr>
          <w:rFonts w:ascii="Arial" w:hAnsi="Arial" w:cs="Arial"/>
          <w:color w:val="000000" w:themeColor="text1"/>
        </w:rPr>
        <w:t>.</w:t>
      </w:r>
      <w:r w:rsidR="00521D5F" w:rsidRPr="00D74025">
        <w:rPr>
          <w:rFonts w:ascii="Arial" w:hAnsi="Arial" w:cs="Arial"/>
          <w:color w:val="000000" w:themeColor="text1"/>
        </w:rPr>
        <w:t xml:space="preserve"> </w:t>
      </w:r>
      <w:r w:rsidR="009D5B13">
        <w:rPr>
          <w:rFonts w:ascii="Arial" w:hAnsi="Arial" w:cs="Arial"/>
          <w:color w:val="000000" w:themeColor="text1"/>
          <w:u w:val="single"/>
        </w:rPr>
        <w:t>O</w:t>
      </w:r>
      <w:r w:rsidR="00521D5F" w:rsidRPr="00D74025">
        <w:rPr>
          <w:rFonts w:ascii="Arial" w:hAnsi="Arial" w:cs="Arial"/>
          <w:color w:val="000000" w:themeColor="text1"/>
          <w:u w:val="single"/>
        </w:rPr>
        <w:t>ncolytic virus therapy</w:t>
      </w:r>
      <w:r w:rsidR="00521D5F" w:rsidRPr="00D74025">
        <w:rPr>
          <w:rFonts w:ascii="Arial" w:hAnsi="Arial" w:cs="Arial"/>
          <w:color w:val="000000" w:themeColor="text1"/>
        </w:rPr>
        <w:t>, which uses genetically modified viruses to infect cancer cells and trigger a proinflammatory setting that culminates in a systemic antitumoral immune response</w:t>
      </w:r>
      <w:r w:rsidR="00521D5F"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{"citationID":"a2mgh8p72j7","properties":{"formattedCitation":"\\super 235\\nosupersub{}","plainCitation":"235","noteIndex":0},"citationItems":[{"id":1042,"uris":["http://zotero.org/users/7661987/items/QVSTLUKT"],"itemData":{"id":1042,"type":"article-journal","container-title":"Nature Biotechnology","DOI":"10.1038/nbt.2287","ISSN":"1087-0156, 1546-1696","issue":"7","journalAbbreviation":"Nat Biotechnol","language":"en","page":"658-670","source":"DOI.org (Crossref)","title":"Oncolytic virotherapy","volume":"30","author":[{"family":"Russell","given":"Stephen J"},{"family":"Peng","given":"Kah-Whye"},{"family":"Bell","given":"John C"}],"issued":{"date-parts":[["2012",7]]}}}],"schema":"https://github.com/citation-style-language/schema/raw/master/csl-citation.json"} </w:instrText>
      </w:r>
      <w:r w:rsidR="00521D5F" w:rsidRPr="00D74025">
        <w:rPr>
          <w:rFonts w:ascii="Arial" w:hAnsi="Arial" w:cs="Arial"/>
          <w:color w:val="000000" w:themeColor="text1"/>
        </w:rPr>
        <w:fldChar w:fldCharType="separate"/>
      </w:r>
      <w:r w:rsidR="000F4F53" w:rsidRPr="000F4F53">
        <w:rPr>
          <w:rFonts w:ascii="Arial" w:hAnsi="Arial" w:cs="Arial"/>
          <w:color w:val="000000"/>
          <w:vertAlign w:val="superscript"/>
        </w:rPr>
        <w:t>235</w:t>
      </w:r>
      <w:r w:rsidR="00521D5F" w:rsidRPr="00D74025">
        <w:rPr>
          <w:rFonts w:ascii="Arial" w:hAnsi="Arial" w:cs="Arial"/>
          <w:color w:val="000000" w:themeColor="text1"/>
        </w:rPr>
        <w:fldChar w:fldCharType="end"/>
      </w:r>
      <w:r w:rsidR="00521D5F" w:rsidRPr="00D74025">
        <w:rPr>
          <w:rFonts w:ascii="Arial" w:hAnsi="Arial" w:cs="Arial"/>
          <w:color w:val="000000" w:themeColor="text1"/>
        </w:rPr>
        <w:t xml:space="preserve">. </w:t>
      </w:r>
      <w:r w:rsidR="00521D5F" w:rsidRPr="00D74025">
        <w:rPr>
          <w:rFonts w:ascii="Arial" w:hAnsi="Arial" w:cs="Arial"/>
          <w:color w:val="000000" w:themeColor="text1"/>
          <w:u w:val="single"/>
        </w:rPr>
        <w:t>Cancer vaccines</w:t>
      </w:r>
      <w:r w:rsidR="00521D5F" w:rsidRPr="00D74025">
        <w:rPr>
          <w:rFonts w:ascii="Arial" w:hAnsi="Arial" w:cs="Arial"/>
          <w:color w:val="000000" w:themeColor="text1"/>
        </w:rPr>
        <w:t xml:space="preserve"> use tumor-specific antigens to activate an antitumoral cytotoxic T-cell response or isolated DCs. Those cells are pulsed with tumor cell lysates and antigens </w:t>
      </w:r>
      <w:r w:rsidR="00521D5F" w:rsidRPr="00D74025">
        <w:rPr>
          <w:rFonts w:ascii="Arial" w:hAnsi="Arial" w:cs="Arial"/>
          <w:i/>
          <w:iCs/>
          <w:color w:val="000000" w:themeColor="text1"/>
        </w:rPr>
        <w:t>ex vivo</w:t>
      </w:r>
      <w:r w:rsidR="00521D5F" w:rsidRPr="00D74025">
        <w:rPr>
          <w:rFonts w:ascii="Arial" w:hAnsi="Arial" w:cs="Arial"/>
          <w:color w:val="000000" w:themeColor="text1"/>
        </w:rPr>
        <w:t xml:space="preserve"> and then reinfused into the body</w:t>
      </w:r>
      <w:r w:rsidR="00521D5F"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{"citationID":"afaivjqfna","properties":{"formattedCitation":"\\super 236\\nosupersub{}","plainCitation":"236","noteIndex":0},"citationItems":[{"id":1046,"uris":["http://zotero.org/users/7661987/items/Z44AF2CA"],"itemData":{"id":1046,"type":"article-journal","abstract":"With the advent of combined immunotherapies, personalized dendritic cell (DC)-based vaccination could integrate the current standard of care for the treatment of a large variety of tumors. Due to their proﬁciency at antigen presentation, DC are key coordinators of the innate and adaptive immune system, and have critical roles in the induction of antitumor immunity. However, despite proven immunogenicity and favorable safety proﬁles, DC-based immunotherapies have not succeeded at inducing signiﬁcant objective clinical responses. Emerging data suggest that the combination of DC-based vaccination with other cancer therapies may fully unleash the potential of DC-based cancer vaccines and improve patient survival. In this review, we discuss the recent efforts to develop innovative personalized DC-based vaccines and their use in combined therapies, with a particular focus on ovarian cancer and the promising results of mutanome-based personalized immunotherapies.","container-title":"Frontiers in Immunology","DOI":"10.3389/fimmu.2019.00766","ISSN":"1664-3224","journalAbbreviation":"Front. Immunol.","language":"en","page":"766","source":"DOI.org (Crossref)","title":"Personalized Dendritic Cell Vaccines—Recent Breakthroughs and Encouraging Clinical Results","volume":"10","author":[{"family":"Mastelic-Gavillet","given":"Beatris"},{"family":"Balint","given":"Klara"},{"family":"Boudousquie","given":"Caroline"},{"family":"Gannon","given":"Philippe O."},{"family":"Kandalaft","given":"Lana E."}],"issued":{"date-parts":[["2019",4,11]]}}}],"schema":"https://github.com/citation-style-language/schema/raw/master/csl-citation.json"} </w:instrText>
      </w:r>
      <w:r w:rsidR="00521D5F" w:rsidRPr="00D74025">
        <w:rPr>
          <w:rFonts w:ascii="Arial" w:hAnsi="Arial" w:cs="Arial"/>
          <w:color w:val="000000" w:themeColor="text1"/>
        </w:rPr>
        <w:fldChar w:fldCharType="separate"/>
      </w:r>
      <w:r w:rsidR="000F4F53" w:rsidRPr="000F4F53">
        <w:rPr>
          <w:rFonts w:ascii="Arial" w:hAnsi="Arial" w:cs="Arial"/>
          <w:color w:val="000000"/>
          <w:vertAlign w:val="superscript"/>
        </w:rPr>
        <w:t>236</w:t>
      </w:r>
      <w:r w:rsidR="00521D5F" w:rsidRPr="00D74025">
        <w:rPr>
          <w:rFonts w:ascii="Arial" w:hAnsi="Arial" w:cs="Arial"/>
          <w:color w:val="000000" w:themeColor="text1"/>
        </w:rPr>
        <w:fldChar w:fldCharType="end"/>
      </w:r>
      <w:r w:rsidR="00521D5F" w:rsidRPr="00D74025">
        <w:rPr>
          <w:rFonts w:ascii="Arial" w:hAnsi="Arial" w:cs="Arial"/>
          <w:color w:val="000000" w:themeColor="text1"/>
        </w:rPr>
        <w:t>. Other strategies include genetic modification of tumor cells to immune cells stimulating factors</w:t>
      </w:r>
      <w:r w:rsidR="00521D5F"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{"citationID":"a1pkobcojr1","properties":{"formattedCitation":"\\super 237\\nosupersub{}","plainCitation":"237","noteIndex":0},"citationItems":[{"id":1045,"uris":["http://zotero.org/users/7661987/items/YWNLIVHX"],"itemData":{"id":1045,"type":"article-journal","abstract":"To compare the ability of different cytokines and other molecules to enhance the immunogenicity of tumor cells, we generated 10 retroviruses encoding potential immunomodulators and studied the vaccination properties of murine tumor cells transduced by the viruses. Using a B16 melanoma model, in which irradiated tumor cells alone do not stimulate significant anti-tumor immunity, we found that irradiated tumor cells expressing murine granulocyte-macrophage colony-stimulating factor (GM-CSF) stimulated potent, longlasting, and specific anti-tumor immunity, requiring both CD4+ and CD8+ cells. Irradiated cells expressing interleukins 4 and 6 also stimulated detectable, but weaker, activity. In contrast to the B16 system, we found that in a number of other tumor models, the levels of anti-tumor immunity reported previously in cytokine gene transfer studies involving live, transduced cells could be achieved through the use of irradiated cells alone. Nevertheless, manipulation of the vaccine or challenge doses made it possible to demonstrate the activity of murine GM-CSF in those systems as well. Overall, our results have important implications for the clinical use of genetically modified tumor cells as therapeutic cancer vaccines.","container-title":"Proceedings of the National Academy of Sciences","DOI":"10.1073/pnas.90.8.3539","ISSN":"0027-8424, 1091-6490","issue":"8","journalAbbreviation":"Proc. Natl. Acad. Sci. U.S.A.","language":"en","page":"3539-3543","source":"DOI.org (Crossref)","title":"Vaccination with irradiated tumor cells engineered to secrete murine granulocyte-macrophage colony-stimulating factor stimulates potent, specific, and long-lasting anti-tumor immunity.","volume":"90","author":[{"family":"Dranoff","given":"G"},{"family":"Jaffee","given":"E"},{"family":"Lazenby","given":"A"},{"family":"Golumbek","given":"P"},{"family":"Levitsky","given":"H"},{"family":"Brose","given":"K"},{"family":"Jackson","given":"V"},{"family":"Hamada","given":"H"},{"family":"Pardoll","given":"D"},{"family":"Mulligan","given":"R C"}],"issued":{"date-parts":[["1993",4,15]]}}}],"schema":"https://github.com/citation-style-language/schema/raw/master/csl-citation.json"} </w:instrText>
      </w:r>
      <w:r w:rsidR="00521D5F" w:rsidRPr="00D74025">
        <w:rPr>
          <w:rFonts w:ascii="Arial" w:hAnsi="Arial" w:cs="Arial"/>
          <w:color w:val="000000" w:themeColor="text1"/>
        </w:rPr>
        <w:fldChar w:fldCharType="separate"/>
      </w:r>
      <w:r w:rsidR="000F4F53" w:rsidRPr="000F4F53">
        <w:rPr>
          <w:rFonts w:ascii="Arial" w:hAnsi="Arial" w:cs="Arial"/>
          <w:color w:val="000000"/>
          <w:vertAlign w:val="superscript"/>
        </w:rPr>
        <w:t>237</w:t>
      </w:r>
      <w:r w:rsidR="00521D5F" w:rsidRPr="00D74025">
        <w:rPr>
          <w:rFonts w:ascii="Arial" w:hAnsi="Arial" w:cs="Arial"/>
          <w:color w:val="000000" w:themeColor="text1"/>
        </w:rPr>
        <w:fldChar w:fldCharType="end"/>
      </w:r>
      <w:r w:rsidR="00521D5F" w:rsidRPr="00D74025">
        <w:rPr>
          <w:rFonts w:ascii="Arial" w:hAnsi="Arial" w:cs="Arial"/>
          <w:color w:val="000000" w:themeColor="text1"/>
        </w:rPr>
        <w:t xml:space="preserve">. </w:t>
      </w:r>
      <w:r w:rsidR="00521D5F" w:rsidRPr="00D74025">
        <w:rPr>
          <w:rFonts w:ascii="Arial" w:hAnsi="Arial" w:cs="Arial"/>
          <w:color w:val="000000" w:themeColor="text1"/>
          <w:u w:val="single"/>
        </w:rPr>
        <w:t>Cytokine therapies</w:t>
      </w:r>
      <w:r w:rsidR="00521D5F" w:rsidRPr="00D74025">
        <w:rPr>
          <w:rFonts w:ascii="Arial" w:hAnsi="Arial" w:cs="Arial"/>
          <w:color w:val="000000" w:themeColor="text1"/>
        </w:rPr>
        <w:t>, such as IL-2 and IFN-</w:t>
      </w:r>
      <w:r w:rsidR="00521D5F" w:rsidRPr="00D74025">
        <w:rPr>
          <w:rFonts w:ascii="Arial" w:hAnsi="Arial" w:cs="Arial"/>
          <w:color w:val="000000" w:themeColor="text1"/>
        </w:rPr>
        <w:sym w:font="Symbol" w:char="F061"/>
      </w:r>
      <w:r w:rsidR="00521D5F" w:rsidRPr="00D74025">
        <w:rPr>
          <w:rFonts w:ascii="Arial" w:hAnsi="Arial" w:cs="Arial"/>
          <w:color w:val="000000" w:themeColor="text1"/>
        </w:rPr>
        <w:t>, consist of the injection of large doses of those molecules as immunostimulatory signals to promote tumor regression. The therapeutic benefits of those molecules were accompanied by poor tolerability and severe toxicity, so there are studies with them in combination with other immunotherapies</w:t>
      </w:r>
      <w:r w:rsidR="00521D5F"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{"citationID":"a1a5d5o3974","properties":{"formattedCitation":"\\super 238\\nosupersub{}","plainCitation":"238","noteIndex":0},"citationItems":[{"id":1048,"uris":["http://zotero.org/users/7661987/items/WFWA6YEQ"],"itemData":{"id":1048,"type":"article-journal","abstract":"Type I interferons (IFNs) are known for their key role in antiviral immune responses. In this Review, we discuss accumulating evidence indicating that type I IFNs produced by malignant cells or tumour-infiltrating dendritic cells also control the autocrine or paracrine circuits that underlie cancer immunosurveillance. Many conventional chemotherapeutics, targeted anticancer agents, immunological adjuvants and oncolytic viruses are only fully efficient in the presence of intact type I IFN signalling. Moreover, the intratumoural expression levels of type I IFNs or of IFN-stimulated genes correlate with favourable disease outcome in several cohorts of patients with cancer. Finally, new anticancer immunotherapies are being developed that are based on recombinant type I IFNs, type I IFN-encoding vectors and type I IFN-expressing cells.","container-title":"Nature Reviews Immunology","DOI":"10.1038/nri3845","ISSN":"1474-1733, 1474-1741","issue":"7","journalAbbreviation":"Nat Rev Immunol","language":"en","page":"405-414","source":"DOI.org (Crossref)","title":"Type I interferons in anticancer immunity","volume":"15","author":[{"family":"Zitvogel","given":"Laurence"},{"family":"Galluzzi","given":"Lorenzo"},{"family":"Kepp","given":"Oliver"},{"family":"Smyth","given":"Mark J."},{"family":"Kroemer","given":"Guido"}],"issued":{"date-parts":[["2015",7]]}}}],"schema":"https://github.com/citation-style-language/schema/raw/master/csl-citation.json"} </w:instrText>
      </w:r>
      <w:r w:rsidR="00521D5F" w:rsidRPr="00D74025">
        <w:rPr>
          <w:rFonts w:ascii="Arial" w:hAnsi="Arial" w:cs="Arial"/>
          <w:color w:val="000000" w:themeColor="text1"/>
        </w:rPr>
        <w:fldChar w:fldCharType="separate"/>
      </w:r>
      <w:r w:rsidR="000F4F53" w:rsidRPr="000F4F53">
        <w:rPr>
          <w:rFonts w:ascii="Arial" w:hAnsi="Arial" w:cs="Arial"/>
          <w:color w:val="000000"/>
          <w:vertAlign w:val="superscript"/>
        </w:rPr>
        <w:t>238</w:t>
      </w:r>
      <w:r w:rsidR="00521D5F" w:rsidRPr="00D74025">
        <w:rPr>
          <w:rFonts w:ascii="Arial" w:hAnsi="Arial" w:cs="Arial"/>
          <w:color w:val="000000" w:themeColor="text1"/>
        </w:rPr>
        <w:fldChar w:fldCharType="end"/>
      </w:r>
      <w:r w:rsidR="00521D5F" w:rsidRPr="00D74025">
        <w:rPr>
          <w:rFonts w:ascii="Arial" w:hAnsi="Arial" w:cs="Arial"/>
          <w:color w:val="000000" w:themeColor="text1"/>
        </w:rPr>
        <w:t xml:space="preserve">. </w:t>
      </w:r>
      <w:r w:rsidR="00521D5F" w:rsidRPr="00D74025">
        <w:rPr>
          <w:rFonts w:ascii="Arial" w:hAnsi="Arial" w:cs="Arial"/>
          <w:color w:val="000000" w:themeColor="text1"/>
          <w:u w:val="single"/>
        </w:rPr>
        <w:t>Adoptive cell transfer</w:t>
      </w:r>
      <w:r w:rsidR="00521D5F" w:rsidRPr="00D74025">
        <w:rPr>
          <w:rFonts w:ascii="Arial" w:hAnsi="Arial" w:cs="Arial"/>
          <w:color w:val="000000" w:themeColor="text1"/>
        </w:rPr>
        <w:t xml:space="preserve"> uses </w:t>
      </w:r>
      <w:proofErr w:type="gramStart"/>
      <w:r w:rsidR="00521D5F" w:rsidRPr="00D74025">
        <w:rPr>
          <w:rFonts w:ascii="Arial" w:hAnsi="Arial" w:cs="Arial"/>
          <w:color w:val="000000" w:themeColor="text1"/>
        </w:rPr>
        <w:t>isolated</w:t>
      </w:r>
      <w:proofErr w:type="gramEnd"/>
      <w:r w:rsidR="00521D5F" w:rsidRPr="00D74025">
        <w:rPr>
          <w:rFonts w:ascii="Arial" w:hAnsi="Arial" w:cs="Arial"/>
          <w:color w:val="000000" w:themeColor="text1"/>
        </w:rPr>
        <w:t xml:space="preserve"> and </w:t>
      </w:r>
      <w:r w:rsidR="00521D5F" w:rsidRPr="00D74025">
        <w:rPr>
          <w:rFonts w:ascii="Arial" w:hAnsi="Arial" w:cs="Arial"/>
          <w:i/>
          <w:iCs/>
          <w:color w:val="000000" w:themeColor="text1"/>
        </w:rPr>
        <w:t xml:space="preserve">ex vivo </w:t>
      </w:r>
      <w:r w:rsidR="00521D5F" w:rsidRPr="00D74025">
        <w:rPr>
          <w:rFonts w:ascii="Arial" w:hAnsi="Arial" w:cs="Arial"/>
          <w:color w:val="000000" w:themeColor="text1"/>
        </w:rPr>
        <w:t>genetically engineered immune cells that are reinjected into the patient. The most common types are chimeric antigen receptor (CAR)-T cells and T-cell receptor (TCR) engineered T cells</w:t>
      </w:r>
      <w:r w:rsidR="00521D5F"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{"citationID":"a1q4a2a3goq","properties":{"formattedCitation":"\\super 239\\nosupersub{}","plainCitation":"239","noteIndex":0},"citationItems":[{"id":1050,"uris":["http://zotero.org/users/7661987/items/P7AH29DK"],"itemData":{"id":1050,"type":"article-journal","abstract":"Abstract\n            Immunotherapy has revolutionized cancer treatment and rejuvenated the field of tumor immunology. Several types of immunotherapy, including adoptive cell transfer (ACT) and immune checkpoint inhibitors (ICIs), have obtained durable clinical responses, but their efficacies vary, and only subsets of cancer patients can benefit from them. Immune infiltrates in the tumor microenvironment (TME) have been shown to play a key role in tumor development and will affect the clinical outcomes of cancer patients. Comprehensive profiling of tumor-infiltrating immune cells would shed light on the mechanisms of cancer–immune evasion, thus providing opportunities for the development of novel therapeutic strategies. However, the highly heterogeneous and dynamic nature of the TME impedes the precise dissection of intratumoral immune cells. With recent advances in single-cell technologies such as single-cell RNA sequencing (scRNA-seq) and mass cytometry, systematic interrogation of the TME is feasible and will provide insights into the functional diversities of tumor-infiltrating immune cells. In this review, we outline the recent progress in cancer immunotherapy, particularly by focusing on landmark studies and the recent single-cell characterization of tumor-associated immune cells, and we summarize the phenotypic diversities of intratumoral immune cells and their connections with cancer immunotherapy. We believe such a review could strengthen our understanding of the progress in cancer immunotherapy, facilitate the elucidation of immune cell modulation in tumor progression, and thus guide the development of novel immunotherapies for cancer treatment.","container-title":"Cellular &amp; Molecular Immunology","DOI":"10.1038/s41423-020-0488-6","ISSN":"1672-7681, 2042-0226","issue":"8","journalAbbreviation":"Cell Mol Immunol","language":"en","page":"807-821","source":"DOI.org (Crossref)","title":"The history and advances in cancer immunotherapy: understanding the characteristics of tumor-infiltrating immune cells and their therapeutic implications","title-short":"The history and advances in cancer immunotherapy","volume":"17","author":[{"family":"Zhang","given":"Yuanyuan"},{"family":"Zhang","given":"Zemin"}],"issued":{"date-parts":[["2020",8]]}}}],"schema":"https://github.com/citation-style-language/schema/raw/master/csl-citation.json"} </w:instrText>
      </w:r>
      <w:r w:rsidR="00521D5F" w:rsidRPr="00D74025">
        <w:rPr>
          <w:rFonts w:ascii="Arial" w:hAnsi="Arial" w:cs="Arial"/>
          <w:color w:val="000000" w:themeColor="text1"/>
        </w:rPr>
        <w:fldChar w:fldCharType="separate"/>
      </w:r>
      <w:r w:rsidR="000F4F53" w:rsidRPr="000F4F53">
        <w:rPr>
          <w:rFonts w:ascii="Arial" w:hAnsi="Arial" w:cs="Arial"/>
          <w:color w:val="000000"/>
          <w:vertAlign w:val="superscript"/>
        </w:rPr>
        <w:t>239</w:t>
      </w:r>
      <w:r w:rsidR="00521D5F" w:rsidRPr="00D74025">
        <w:rPr>
          <w:rFonts w:ascii="Arial" w:hAnsi="Arial" w:cs="Arial"/>
          <w:color w:val="000000" w:themeColor="text1"/>
        </w:rPr>
        <w:fldChar w:fldCharType="end"/>
      </w:r>
      <w:r w:rsidR="00521D5F" w:rsidRPr="00D74025">
        <w:rPr>
          <w:rFonts w:ascii="Arial" w:hAnsi="Arial" w:cs="Arial"/>
          <w:color w:val="000000" w:themeColor="text1"/>
        </w:rPr>
        <w:t xml:space="preserve">. </w:t>
      </w:r>
      <w:r w:rsidR="00521D5F" w:rsidRPr="00D74025">
        <w:rPr>
          <w:rFonts w:ascii="Arial" w:hAnsi="Arial" w:cs="Arial"/>
          <w:color w:val="000000" w:themeColor="text1"/>
          <w:u w:val="single"/>
        </w:rPr>
        <w:t>Immune checkpoint inhibitors</w:t>
      </w:r>
      <w:r w:rsidR="00521D5F" w:rsidRPr="00D74025">
        <w:rPr>
          <w:rFonts w:ascii="Arial" w:hAnsi="Arial" w:cs="Arial"/>
          <w:color w:val="000000" w:themeColor="text1"/>
        </w:rPr>
        <w:t xml:space="preserve"> are another type of immunotherapy and will be discussed more thoroughly.</w:t>
      </w:r>
    </w:p>
    <w:p w14:paraId="16E3BF1F" w14:textId="48FDAED0" w:rsidR="00F73338" w:rsidRPr="00D74025" w:rsidRDefault="00F73338" w:rsidP="00F73338">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 xml:space="preserve">In 2018, the Nobel Prize in Physiology and Medicine was awarded to James P. Allison and </w:t>
      </w:r>
      <w:proofErr w:type="spellStart"/>
      <w:r w:rsidRPr="00D74025">
        <w:rPr>
          <w:rFonts w:ascii="Arial" w:hAnsi="Arial" w:cs="Arial"/>
          <w:color w:val="000000" w:themeColor="text1"/>
        </w:rPr>
        <w:t>Tasuku</w:t>
      </w:r>
      <w:proofErr w:type="spellEnd"/>
      <w:r w:rsidRPr="00D74025">
        <w:rPr>
          <w:rFonts w:ascii="Arial" w:hAnsi="Arial" w:cs="Arial"/>
          <w:color w:val="000000" w:themeColor="text1"/>
        </w:rPr>
        <w:t xml:space="preserve"> </w:t>
      </w:r>
      <w:proofErr w:type="spellStart"/>
      <w:r w:rsidRPr="00D74025">
        <w:rPr>
          <w:rFonts w:ascii="Arial" w:hAnsi="Arial" w:cs="Arial"/>
          <w:color w:val="000000" w:themeColor="text1"/>
        </w:rPr>
        <w:t>Honjo</w:t>
      </w:r>
      <w:proofErr w:type="spellEnd"/>
      <w:r w:rsidRPr="00D74025">
        <w:rPr>
          <w:rFonts w:ascii="Arial" w:hAnsi="Arial" w:cs="Arial"/>
          <w:color w:val="000000" w:themeColor="text1"/>
        </w:rPr>
        <w:t xml:space="preserve"> “for their discovery of cancer therapy by inhibiting negative immune regulation.” The molecules responsible for these results are immune checkpoint </w:t>
      </w:r>
      <w:r w:rsidRPr="00D74025">
        <w:rPr>
          <w:rFonts w:ascii="Arial" w:hAnsi="Arial" w:cs="Arial"/>
          <w:color w:val="000000" w:themeColor="text1"/>
        </w:rPr>
        <w:lastRenderedPageBreak/>
        <w:t>inhibitors (ICIs). The work from both Nobel Prize winners was crucial in discovering one of the mechanisms of cancer immune evasion: checkpoint inhibition. Cancer cells express immune inhibitory ligands that suppress the activation of T cells when they bind checkpoint proteins. Checkpoint inhibitors bind to either the checkpoint protein (receptor on the surface of the T cells) or the ligand on the surface of the tumor cells, therefore blocking the interaction receptor/ligand that allows the tumor to escape the killing of the cytotoxic T cells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{"citationID":"kgslp6rb","properties":{"formattedCitation":"\\super 240\\nosupersub{}","plainCitation":"240","noteIndex":0},"citationItems":[{"id":354,"uris":["http://zotero.org/users/7661987/items/SM2YD5WF"],"itemData":{"id":354,"type":"article-journal","abstract":"Among the most promising approaches to activating therapeutic antitumour immunity is the blockade of immune checkpoints. Immune checkpoints refer to a plethora of inhibitory pathways hardwired into the immune system that are crucial for maintaining self-tolerance and modulating the duration and amplitude of physiological immune responses in peripheral tissues in order to minimize collateral tissue damage. It is now clear that tumours co-opt certain immune-checkpoint pathways as a major mechanism of immune resistance, particularly against T cells that are specific for tumour antigens. Because many of the immune checkpoints are initiated by ligand–receptor interactions, they can be readily blocked by antibodies or modulated by recombinant forms of ligands or receptors. Cytotoxic T</w:instrText>
      </w:r>
      <w:r w:rsidR="000F4F53">
        <w:rPr>
          <w:rFonts w:ascii="Cambria Math" w:hAnsi="Cambria Math" w:cs="Cambria Math"/>
          <w:color w:val="000000" w:themeColor="text1"/>
        </w:rPr>
        <w:instrText>‑</w:instrText>
      </w:r>
      <w:r w:rsidR="000F4F53">
        <w:rPr>
          <w:rFonts w:ascii="Arial" w:hAnsi="Arial" w:cs="Arial"/>
          <w:color w:val="000000" w:themeColor="text1"/>
        </w:rPr>
        <w:instrText xml:space="preserve">lymphocyte-associated antigen 4 (CTLA4) antibodies were the first of this class of immunotherapeutics to achieve US Food and Drug Administration (FDA) approval. Preliminary clinical findings with blockers of additional immune-checkpoint proteins, such as programmed cell death protein 1 (PD1), indicate broad and diverse opportunities to enhance antitumour immunity with the potential to produce durable clinical responses.","container-title":"Nature Reviews Cancer","DOI":"10.1038/nrc3239","ISSN":"1474-175X, 1474-1768","issue":"4","journalAbbreviation":"Nat Rev Cancer","language":"en","page":"252-264","source":"DOI.org (Crossref)","title":"The blockade of immune checkpoints in cancer immunotherapy","volume":"12","author":[{"family":"Pardoll","given":"Drew M."}],"issued":{"date-parts":[["2012",4]]}}}],"schema":"https://github.com/citation-style-language/schema/raw/master/csl-citation.json"}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240</w:t>
      </w:r>
      <w:r w:rsidRPr="00D74025">
        <w:rPr>
          <w:rFonts w:ascii="Arial" w:hAnsi="Arial" w:cs="Arial"/>
          <w:color w:val="000000" w:themeColor="text1"/>
        </w:rPr>
        <w:fldChar w:fldCharType="end"/>
      </w:r>
      <w:r w:rsidRPr="00D74025">
        <w:rPr>
          <w:rFonts w:ascii="Arial" w:hAnsi="Arial" w:cs="Arial"/>
          <w:color w:val="000000" w:themeColor="text1"/>
        </w:rPr>
        <w:t>. One example of this interaction is the PD-1 (T cell receptor) and PD-L1 (tumor cell ligand). The binding of checkpoint inhibitor antibodies, either anti-PD-1 or anti-PD-L1, allows T cells to kill tumor cells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{"citationID":"oevzf6wC","properties":{"formattedCitation":"\\super 241\\nosupersub{}","plainCitation":"241","noteIndex":0},"citationItems":[{"id":353,"uris":["http://zotero.org/users/7661987/items/7BEVPQIF"],"itemData":{"id":353,"type":"article-journal","abstract":"Recent studies show that cancer cells are sometimes able to evade the host immunity in the tumor microenvironment. Cancer cells can express high levels of immune inhibitory signaling proteins. One of the most critical checkpoint pathways in this system is a tumor</w:instrText>
      </w:r>
      <w:r w:rsidR="000F4F53">
        <w:rPr>
          <w:rFonts w:ascii="Cambria Math" w:hAnsi="Cambria Math" w:cs="Cambria Math"/>
          <w:color w:val="000000" w:themeColor="text1"/>
        </w:rPr>
        <w:instrText>‐</w:instrText>
      </w:r>
      <w:r w:rsidR="000F4F53">
        <w:rPr>
          <w:rFonts w:ascii="Arial" w:hAnsi="Arial" w:cs="Arial"/>
          <w:color w:val="000000" w:themeColor="text1"/>
        </w:rPr>
        <w:instrText>induced immune suppression (immune checkpoint) mediated by the programmed cell death protein 1 (PD</w:instrText>
      </w:r>
      <w:r w:rsidR="000F4F53">
        <w:rPr>
          <w:rFonts w:ascii="Cambria Math" w:hAnsi="Cambria Math" w:cs="Cambria Math"/>
          <w:color w:val="000000" w:themeColor="text1"/>
        </w:rPr>
        <w:instrText>‐</w:instrText>
      </w:r>
      <w:r w:rsidR="000F4F53">
        <w:rPr>
          <w:rFonts w:ascii="Arial" w:hAnsi="Arial" w:cs="Arial"/>
          <w:color w:val="000000" w:themeColor="text1"/>
        </w:rPr>
        <w:instrText>1) and its ligand, programmed death ligand 1 (PD</w:instrText>
      </w:r>
      <w:r w:rsidR="000F4F53">
        <w:rPr>
          <w:rFonts w:ascii="Cambria Math" w:hAnsi="Cambria Math" w:cs="Cambria Math"/>
          <w:color w:val="000000" w:themeColor="text1"/>
        </w:rPr>
        <w:instrText>‐</w:instrText>
      </w:r>
      <w:r w:rsidR="000F4F53">
        <w:rPr>
          <w:rFonts w:ascii="Arial" w:hAnsi="Arial" w:cs="Arial"/>
          <w:color w:val="000000" w:themeColor="text1"/>
        </w:rPr>
        <w:instrText>L1). PD</w:instrText>
      </w:r>
      <w:r w:rsidR="000F4F53">
        <w:rPr>
          <w:rFonts w:ascii="Cambria Math" w:hAnsi="Cambria Math" w:cs="Cambria Math"/>
          <w:color w:val="000000" w:themeColor="text1"/>
        </w:rPr>
        <w:instrText>‐</w:instrText>
      </w:r>
      <w:r w:rsidR="000F4F53">
        <w:rPr>
          <w:rFonts w:ascii="Arial" w:hAnsi="Arial" w:cs="Arial"/>
          <w:color w:val="000000" w:themeColor="text1"/>
        </w:rPr>
        <w:instrText>1 is highly expressed by activated T cells, B cells, dendritic cells, and natural killer cells, whereas PD</w:instrText>
      </w:r>
      <w:r w:rsidR="000F4F53">
        <w:rPr>
          <w:rFonts w:ascii="Cambria Math" w:hAnsi="Cambria Math" w:cs="Cambria Math"/>
          <w:color w:val="000000" w:themeColor="text1"/>
        </w:rPr>
        <w:instrText>‐</w:instrText>
      </w:r>
      <w:r w:rsidR="000F4F53">
        <w:rPr>
          <w:rFonts w:ascii="Arial" w:hAnsi="Arial" w:cs="Arial"/>
          <w:color w:val="000000" w:themeColor="text1"/>
        </w:rPr>
        <w:instrText>L1 is expressed on several types of tumor cells. Many studies have shown that blocking the interaction between PD</w:instrText>
      </w:r>
      <w:r w:rsidR="000F4F53">
        <w:rPr>
          <w:rFonts w:ascii="Cambria Math" w:hAnsi="Cambria Math" w:cs="Cambria Math"/>
          <w:color w:val="000000" w:themeColor="text1"/>
        </w:rPr>
        <w:instrText>‐</w:instrText>
      </w:r>
      <w:r w:rsidR="000F4F53">
        <w:rPr>
          <w:rFonts w:ascii="Arial" w:hAnsi="Arial" w:cs="Arial"/>
          <w:color w:val="000000" w:themeColor="text1"/>
        </w:rPr>
        <w:instrText>1 and PD</w:instrText>
      </w:r>
      <w:r w:rsidR="000F4F53">
        <w:rPr>
          <w:rFonts w:ascii="Cambria Math" w:hAnsi="Cambria Math" w:cs="Cambria Math"/>
          <w:color w:val="000000" w:themeColor="text1"/>
        </w:rPr>
        <w:instrText>‐</w:instrText>
      </w:r>
      <w:r w:rsidR="000F4F53">
        <w:rPr>
          <w:rFonts w:ascii="Arial" w:hAnsi="Arial" w:cs="Arial"/>
          <w:color w:val="000000" w:themeColor="text1"/>
        </w:rPr>
        <w:instrText>L1 enhances the T</w:instrText>
      </w:r>
      <w:r w:rsidR="000F4F53">
        <w:rPr>
          <w:rFonts w:ascii="Cambria Math" w:hAnsi="Cambria Math" w:cs="Cambria Math"/>
          <w:color w:val="000000" w:themeColor="text1"/>
        </w:rPr>
        <w:instrText>‐</w:instrText>
      </w:r>
      <w:r w:rsidR="000F4F53">
        <w:rPr>
          <w:rFonts w:ascii="Arial" w:hAnsi="Arial" w:cs="Arial"/>
          <w:color w:val="000000" w:themeColor="text1"/>
        </w:rPr>
        <w:instrText>cell response and mediates antitumor activity. In this review, we highlight a brief overview of the molecular and biochemical events that are regulated by the PD</w:instrText>
      </w:r>
      <w:r w:rsidR="000F4F53">
        <w:rPr>
          <w:rFonts w:ascii="Cambria Math" w:hAnsi="Cambria Math" w:cs="Cambria Math"/>
          <w:color w:val="000000" w:themeColor="text1"/>
        </w:rPr>
        <w:instrText>‐</w:instrText>
      </w:r>
      <w:r w:rsidR="000F4F53">
        <w:rPr>
          <w:rFonts w:ascii="Arial" w:hAnsi="Arial" w:cs="Arial"/>
          <w:color w:val="000000" w:themeColor="text1"/>
        </w:rPr>
        <w:instrText>1 and PD</w:instrText>
      </w:r>
      <w:r w:rsidR="000F4F53">
        <w:rPr>
          <w:rFonts w:ascii="Cambria Math" w:hAnsi="Cambria Math" w:cs="Cambria Math"/>
          <w:color w:val="000000" w:themeColor="text1"/>
        </w:rPr>
        <w:instrText>‐</w:instrText>
      </w:r>
      <w:r w:rsidR="000F4F53">
        <w:rPr>
          <w:rFonts w:ascii="Arial" w:hAnsi="Arial" w:cs="Arial"/>
          <w:color w:val="000000" w:themeColor="text1"/>
        </w:rPr>
        <w:instrText>L1 interaction in various cancers.","container-title":"Journal of Cellular Physiology","DOI":"10.1002/jcp.27172","ISSN":"0021-9541, 1097-4652","issue":"2","journalAbbreviation":"J Cell Physiol","language":"en","page":"1313-1325","source":"DOI.org (Crossref)","title":"PD</w:instrText>
      </w:r>
      <w:r w:rsidR="000F4F53">
        <w:rPr>
          <w:rFonts w:ascii="Cambria Math" w:hAnsi="Cambria Math" w:cs="Cambria Math"/>
          <w:color w:val="000000" w:themeColor="text1"/>
        </w:rPr>
        <w:instrText>‐</w:instrText>
      </w:r>
      <w:r w:rsidR="000F4F53">
        <w:rPr>
          <w:rFonts w:ascii="Arial" w:hAnsi="Arial" w:cs="Arial"/>
          <w:color w:val="000000" w:themeColor="text1"/>
        </w:rPr>
        <w:instrText>1/PD</w:instrText>
      </w:r>
      <w:r w:rsidR="000F4F53">
        <w:rPr>
          <w:rFonts w:ascii="Cambria Math" w:hAnsi="Cambria Math" w:cs="Cambria Math"/>
          <w:color w:val="000000" w:themeColor="text1"/>
        </w:rPr>
        <w:instrText>‐</w:instrText>
      </w:r>
      <w:r w:rsidR="000F4F53">
        <w:rPr>
          <w:rFonts w:ascii="Arial" w:hAnsi="Arial" w:cs="Arial"/>
          <w:color w:val="000000" w:themeColor="text1"/>
        </w:rPr>
        <w:instrText>L1 immune checkpoint: Potential target for cancer therapy","title-short":"PD</w:instrText>
      </w:r>
      <w:r w:rsidR="000F4F53">
        <w:rPr>
          <w:rFonts w:ascii="Cambria Math" w:hAnsi="Cambria Math" w:cs="Cambria Math"/>
          <w:color w:val="000000" w:themeColor="text1"/>
        </w:rPr>
        <w:instrText>‐</w:instrText>
      </w:r>
      <w:r w:rsidR="000F4F53">
        <w:rPr>
          <w:rFonts w:ascii="Arial" w:hAnsi="Arial" w:cs="Arial"/>
          <w:color w:val="000000" w:themeColor="text1"/>
        </w:rPr>
        <w:instrText>1/PD</w:instrText>
      </w:r>
      <w:r w:rsidR="000F4F53">
        <w:rPr>
          <w:rFonts w:ascii="Cambria Math" w:hAnsi="Cambria Math" w:cs="Cambria Math"/>
          <w:color w:val="000000" w:themeColor="text1"/>
        </w:rPr>
        <w:instrText>‐</w:instrText>
      </w:r>
      <w:r w:rsidR="000F4F53">
        <w:rPr>
          <w:rFonts w:ascii="Arial" w:hAnsi="Arial" w:cs="Arial"/>
          <w:color w:val="000000" w:themeColor="text1"/>
        </w:rPr>
        <w:instrText xml:space="preserve">L1 immune checkpoint","volume":"234","author":[{"family":"Dermani","given":"Fatemeh K."},{"family":"Samadi","given":"Pouria"},{"family":"Rahmani","given":"Golebagh"},{"family":"Kohlan","given":"Alisa K."},{"family":"Najafi","given":"Rezvan"}],"issued":{"date-parts":[["2019",2]]}}}],"schema":"https://github.com/citation-style-language/schema/raw/master/csl-citation.json"}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241</w:t>
      </w:r>
      <w:r w:rsidRPr="00D74025">
        <w:rPr>
          <w:rFonts w:ascii="Arial" w:hAnsi="Arial" w:cs="Arial"/>
          <w:color w:val="000000" w:themeColor="text1"/>
        </w:rPr>
        <w:fldChar w:fldCharType="end"/>
      </w:r>
      <w:r w:rsidRPr="00D74025">
        <w:rPr>
          <w:rFonts w:ascii="Arial" w:hAnsi="Arial" w:cs="Arial"/>
          <w:color w:val="000000" w:themeColor="text1"/>
        </w:rPr>
        <w:t xml:space="preserve"> (see </w:t>
      </w:r>
      <w:r w:rsidR="005D04FF" w:rsidRPr="005D04FF">
        <w:rPr>
          <w:rFonts w:ascii="Arial" w:hAnsi="Arial" w:cs="Arial"/>
          <w:b/>
          <w:bCs/>
          <w:color w:val="000000" w:themeColor="text1"/>
        </w:rPr>
        <w:t>F</w:t>
      </w:r>
      <w:r w:rsidRPr="005D04FF">
        <w:rPr>
          <w:rFonts w:ascii="Arial" w:hAnsi="Arial" w:cs="Arial"/>
          <w:b/>
          <w:bCs/>
          <w:color w:val="000000" w:themeColor="text1"/>
        </w:rPr>
        <w:t xml:space="preserve">igure </w:t>
      </w:r>
      <w:r w:rsidR="004B1BCE" w:rsidRPr="005D04FF">
        <w:rPr>
          <w:rFonts w:ascii="Arial" w:hAnsi="Arial" w:cs="Arial"/>
          <w:b/>
          <w:bCs/>
          <w:color w:val="000000" w:themeColor="text1"/>
        </w:rPr>
        <w:t>21</w:t>
      </w:r>
      <w:r w:rsidRPr="00D74025">
        <w:rPr>
          <w:rFonts w:ascii="Arial" w:hAnsi="Arial" w:cs="Arial"/>
          <w:color w:val="000000" w:themeColor="text1"/>
        </w:rPr>
        <w:t>). Another well-studied checkpoint antibody used in this work is anti-CTLA-4, which blocks the interaction of the checkpoint protein CTLA-4 on T cells to the B7 protein on tumor cells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{"citationID":"ligHkdlU","properties":{"formattedCitation":"\\super 242\\nosupersub{}","plainCitation":"242","noteIndex":0},"citationItems":[{"id":355,"uris":["http://zotero.org/users/7661987/items/QLC5VG6E"],"itemData":{"id":355,"type":"article-journal","container-title":"Trends in Immunology","DOI":"10.1016/j.it.2018.10.009","ISSN":"14714906","issue":"12","journalAbbreviation":"Trends in Immunology","language":"en","page":"953-956","source":"DOI.org (Crossref)","title":"How Does an Anti-CTLA-4 Antibody Promote Cancer Immunity?","volume":"39","author":[{"family":"Liu","given":"Yang"},{"family":"Zheng","given":"Pan"}],"issued":{"date-parts":[["2018",12]]}}}],"schema":"https://github.com/citation-style-language/schema/raw/master/csl-citation.json"}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242</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1AE8F8FA" w14:textId="37C1C20A" w:rsidR="00753C52" w:rsidRPr="00D74025" w:rsidRDefault="00753C52" w:rsidP="00753C52">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In short, the upregulation of immune checkpoint molecules on tumor cells obstructs T cells' ability to perform their immune surveillance functions. When another molecule (</w:t>
      </w:r>
      <w:r w:rsidR="00C214AD">
        <w:rPr>
          <w:rFonts w:ascii="Arial" w:hAnsi="Arial" w:cs="Arial"/>
          <w:color w:val="000000" w:themeColor="text1"/>
        </w:rPr>
        <w:t xml:space="preserve">an </w:t>
      </w:r>
      <w:r w:rsidRPr="00D74025">
        <w:rPr>
          <w:rFonts w:ascii="Arial" w:hAnsi="Arial" w:cs="Arial"/>
          <w:color w:val="000000" w:themeColor="text1"/>
        </w:rPr>
        <w:t>ICI) bind</w:t>
      </w:r>
      <w:r w:rsidR="000D4C50">
        <w:rPr>
          <w:rFonts w:ascii="Arial" w:hAnsi="Arial" w:cs="Arial"/>
          <w:color w:val="000000" w:themeColor="text1"/>
        </w:rPr>
        <w:t>s</w:t>
      </w:r>
      <w:r w:rsidRPr="00D74025">
        <w:rPr>
          <w:rFonts w:ascii="Arial" w:hAnsi="Arial" w:cs="Arial"/>
          <w:color w:val="000000" w:themeColor="text1"/>
        </w:rPr>
        <w:t xml:space="preserve"> to either the receptor on T-cells or the ligand on tumor cells, that obstruction is canceled, which promotes T-cell-mediated antitumor immunity (</w:t>
      </w:r>
      <w:r w:rsidR="005C4FEC">
        <w:rPr>
          <w:rFonts w:ascii="Arial" w:hAnsi="Arial" w:cs="Arial"/>
          <w:b/>
          <w:bCs/>
          <w:color w:val="000000" w:themeColor="text1"/>
        </w:rPr>
        <w:t>F</w:t>
      </w:r>
      <w:r w:rsidRPr="005C4FEC">
        <w:rPr>
          <w:rFonts w:ascii="Arial" w:hAnsi="Arial" w:cs="Arial"/>
          <w:b/>
          <w:bCs/>
          <w:color w:val="000000" w:themeColor="text1"/>
        </w:rPr>
        <w:t xml:space="preserve">igure </w:t>
      </w:r>
      <w:r w:rsidR="005C4FEC">
        <w:rPr>
          <w:rFonts w:ascii="Arial" w:hAnsi="Arial" w:cs="Arial"/>
          <w:b/>
          <w:bCs/>
          <w:color w:val="000000" w:themeColor="text1"/>
        </w:rPr>
        <w:t>21</w:t>
      </w:r>
      <w:r w:rsidRPr="00D74025">
        <w:rPr>
          <w:rFonts w:ascii="Arial" w:hAnsi="Arial" w:cs="Arial"/>
          <w:color w:val="000000" w:themeColor="text1"/>
        </w:rPr>
        <w:t>).</w:t>
      </w:r>
    </w:p>
    <w:p w14:paraId="67DECF0F" w14:textId="3764DF21" w:rsidR="00EF5169" w:rsidRPr="00D74025" w:rsidRDefault="00EF5169" w:rsidP="00EF5169">
      <w:pPr>
        <w:contextualSpacing/>
        <w:rPr>
          <w:color w:val="000000" w:themeColor="text1"/>
        </w:rPr>
      </w:pPr>
    </w:p>
    <w:p w14:paraId="69BA5FFE" w14:textId="73EC6CF8" w:rsidR="00EF5169" w:rsidRPr="00D74025" w:rsidRDefault="00EF5169" w:rsidP="00DA1FFD">
      <w:pPr>
        <w:autoSpaceDE w:val="0"/>
        <w:autoSpaceDN w:val="0"/>
        <w:adjustRightInd w:val="0"/>
        <w:spacing w:line="360" w:lineRule="auto"/>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7224C423" w14:textId="77777777" w:rsidTr="00154D88">
        <w:tc>
          <w:tcPr>
            <w:tcW w:w="9350" w:type="dxa"/>
          </w:tcPr>
          <w:p w14:paraId="0574EFEB" w14:textId="33D0C4A3" w:rsidR="00154D88" w:rsidRPr="00D74025" w:rsidRDefault="00760BC1" w:rsidP="00AC7E8F">
            <w:pPr>
              <w:spacing w:beforeAutospacing="0" w:line="360" w:lineRule="auto"/>
              <w:ind w:firstLine="0"/>
              <w:rPr>
                <w:rFonts w:ascii="Arial" w:hAnsi="Arial" w:cs="Arial"/>
                <w:color w:val="000000" w:themeColor="text1"/>
              </w:rPr>
            </w:pPr>
            <w:r w:rsidRPr="00D74025">
              <w:rPr>
                <w:color w:val="000000" w:themeColor="text1"/>
              </w:rPr>
              <w:lastRenderedPageBreak/>
              <w:fldChar w:fldCharType="begin"/>
            </w:r>
            <w:r w:rsidRPr="00D74025">
              <w:rPr>
                <w:color w:val="000000" w:themeColor="text1"/>
              </w:rPr>
              <w:instrText xml:space="preserve"> INCLUDEPICTURE "https://www.cancer.gov/sites/g/files/xnrzdm211/files/styles/cgov_article/public/cgov_image/media_image/2019-09/nci-vol-10396-150.jpg?h=30063a04&amp;itok=_U-8LP1n" \* MERGEFORMATINET </w:instrText>
            </w:r>
            <w:r w:rsidRPr="00D74025">
              <w:rPr>
                <w:color w:val="000000" w:themeColor="text1"/>
              </w:rPr>
              <w:fldChar w:fldCharType="separate"/>
            </w:r>
            <w:r w:rsidRPr="00D74025">
              <w:rPr>
                <w:noProof/>
                <w:color w:val="000000" w:themeColor="text1"/>
              </w:rPr>
              <w:drawing>
                <wp:inline distT="0" distB="0" distL="0" distR="0" wp14:anchorId="6B147E46" wp14:editId="4B8B09CE">
                  <wp:extent cx="5831457" cy="4452993"/>
                  <wp:effectExtent l="0" t="0" r="0" b="5080"/>
                  <wp:docPr id="29" name="Picture 29" descr="Immune Checkpoint Inhibitors - National Cancer Instit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une Checkpoint Inhibitors - National Cancer Institute"/>
                          <pic:cNvPicPr>
                            <a:picLocks noChangeAspect="1" noChangeArrowheads="1"/>
                          </pic:cNvPicPr>
                        </pic:nvPicPr>
                        <pic:blipFill rotWithShape="1">
                          <a:blip r:embed="rId37">
                            <a:extLst>
                              <a:ext uri="{28A0092B-C50C-407E-A947-70E740481C1C}">
                                <a14:useLocalDpi xmlns:a14="http://schemas.microsoft.com/office/drawing/2010/main" val="0"/>
                              </a:ext>
                            </a:extLst>
                          </a:blip>
                          <a:srcRect b="4612"/>
                          <a:stretch/>
                        </pic:blipFill>
                        <pic:spPr bwMode="auto">
                          <a:xfrm>
                            <a:off x="0" y="0"/>
                            <a:ext cx="5851444" cy="4468255"/>
                          </a:xfrm>
                          <a:prstGeom prst="rect">
                            <a:avLst/>
                          </a:prstGeom>
                          <a:noFill/>
                          <a:ln>
                            <a:noFill/>
                          </a:ln>
                          <a:extLst>
                            <a:ext uri="{53640926-AAD7-44D8-BBD7-CCE9431645EC}">
                              <a14:shadowObscured xmlns:a14="http://schemas.microsoft.com/office/drawing/2010/main"/>
                            </a:ext>
                          </a:extLst>
                        </pic:spPr>
                      </pic:pic>
                    </a:graphicData>
                  </a:graphic>
                </wp:inline>
              </w:drawing>
            </w:r>
            <w:r w:rsidRPr="00D74025">
              <w:rPr>
                <w:color w:val="000000" w:themeColor="text1"/>
              </w:rPr>
              <w:fldChar w:fldCharType="end"/>
            </w:r>
          </w:p>
        </w:tc>
      </w:tr>
      <w:tr w:rsidR="00154D88" w:rsidRPr="00D74025" w14:paraId="25D89038" w14:textId="77777777" w:rsidTr="00154D88">
        <w:tc>
          <w:tcPr>
            <w:tcW w:w="9350" w:type="dxa"/>
          </w:tcPr>
          <w:p w14:paraId="078574A5" w14:textId="6CF04C1D" w:rsidR="00154D88" w:rsidRPr="00D74025" w:rsidRDefault="00F778B1" w:rsidP="008E2E8F">
            <w:pPr>
              <w:spacing w:beforeAutospacing="0" w:line="360" w:lineRule="auto"/>
              <w:ind w:firstLine="0"/>
              <w:rPr>
                <w:rFonts w:ascii="Arial" w:hAnsi="Arial" w:cs="Arial"/>
                <w:color w:val="000000" w:themeColor="text1"/>
              </w:rPr>
            </w:pPr>
            <w:bookmarkStart w:id="47" w:name="_Toc121217343"/>
            <w:r w:rsidRPr="00F778B1">
              <w:rPr>
                <w:rFonts w:ascii="Arial" w:hAnsi="Arial" w:cs="Arial"/>
                <w:b/>
                <w:bCs/>
                <w:color w:val="000000" w:themeColor="text1"/>
              </w:rPr>
              <w:t xml:space="preserve">Figure </w:t>
            </w:r>
            <w:r w:rsidRPr="00F778B1">
              <w:rPr>
                <w:rFonts w:ascii="Arial" w:hAnsi="Arial" w:cs="Arial"/>
                <w:b/>
                <w:bCs/>
                <w:color w:val="000000" w:themeColor="text1"/>
              </w:rPr>
              <w:fldChar w:fldCharType="begin"/>
            </w:r>
            <w:r w:rsidRPr="00F778B1">
              <w:rPr>
                <w:rFonts w:ascii="Arial" w:hAnsi="Arial" w:cs="Arial"/>
                <w:b/>
                <w:bCs/>
                <w:color w:val="000000" w:themeColor="text1"/>
              </w:rPr>
              <w:instrText xml:space="preserve"> SEQ Figure \* ARABIC </w:instrText>
            </w:r>
            <w:r w:rsidRPr="00F778B1">
              <w:rPr>
                <w:rFonts w:ascii="Arial" w:hAnsi="Arial" w:cs="Arial"/>
                <w:b/>
                <w:bCs/>
                <w:color w:val="000000" w:themeColor="text1"/>
              </w:rPr>
              <w:fldChar w:fldCharType="separate"/>
            </w:r>
            <w:r w:rsidR="002C4B25">
              <w:rPr>
                <w:rFonts w:ascii="Arial" w:hAnsi="Arial" w:cs="Arial"/>
                <w:b/>
                <w:bCs/>
                <w:noProof/>
                <w:color w:val="000000" w:themeColor="text1"/>
              </w:rPr>
              <w:t>21</w:t>
            </w:r>
            <w:r w:rsidRPr="00F778B1">
              <w:rPr>
                <w:rFonts w:ascii="Arial" w:hAnsi="Arial" w:cs="Arial"/>
                <w:b/>
                <w:bCs/>
                <w:color w:val="000000" w:themeColor="text1"/>
              </w:rPr>
              <w:fldChar w:fldCharType="end"/>
            </w:r>
            <w:r w:rsidR="00731D0C" w:rsidRPr="00D74025">
              <w:rPr>
                <w:rFonts w:ascii="Arial" w:hAnsi="Arial" w:cs="Arial"/>
                <w:b/>
                <w:bCs/>
                <w:color w:val="000000" w:themeColor="text1"/>
              </w:rPr>
              <w:t xml:space="preserve">: Interactions between PD-1 and PD-L1 on T cells and cancer cells and checkpoint inhibition. </w:t>
            </w:r>
            <w:r w:rsidR="00731D0C" w:rsidRPr="00D74025">
              <w:rPr>
                <w:rFonts w:ascii="Arial" w:hAnsi="Arial" w:cs="Arial"/>
                <w:color w:val="000000" w:themeColor="text1"/>
              </w:rPr>
              <w:t>Image from: https://nci-media.cancer.gov/pdq/media/images</w:t>
            </w:r>
            <w:r w:rsidR="005155ED">
              <w:rPr>
                <w:rFonts w:ascii="Arial" w:hAnsi="Arial" w:cs="Arial"/>
                <w:color w:val="000000" w:themeColor="text1"/>
              </w:rPr>
              <w:t xml:space="preserve"> </w:t>
            </w:r>
            <w:r w:rsidR="00731D0C" w:rsidRPr="00D74025">
              <w:rPr>
                <w:rFonts w:ascii="Arial" w:hAnsi="Arial" w:cs="Arial"/>
                <w:color w:val="000000" w:themeColor="text1"/>
              </w:rPr>
              <w:t>/774646.jpg</w:t>
            </w:r>
            <w:bookmarkEnd w:id="47"/>
          </w:p>
        </w:tc>
      </w:tr>
    </w:tbl>
    <w:p w14:paraId="5DBFADB5" w14:textId="77777777" w:rsidR="00F778B1" w:rsidRPr="00D74025" w:rsidRDefault="00F778B1" w:rsidP="00154D88">
      <w:pPr>
        <w:spacing w:line="360" w:lineRule="auto"/>
        <w:jc w:val="both"/>
        <w:rPr>
          <w:rFonts w:ascii="Arial" w:hAnsi="Arial" w:cs="Arial"/>
          <w:color w:val="000000" w:themeColor="text1"/>
        </w:rPr>
      </w:pPr>
    </w:p>
    <w:p w14:paraId="5408F110" w14:textId="24CB5B72" w:rsidR="00044834" w:rsidRPr="00D74025" w:rsidRDefault="00044834" w:rsidP="0011471C">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Immunotherapy through checkpoint inhibition has arisen as the primary treatment of multiple cancers, including metastatic melanoma, non-small cell lung cancer (NSCLC), renal cell carcinoma (RCCs), and bladder or urothelial cancer</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{"citationID":"a1u04c27n43","properties":{"formattedCitation":"\\super 243\\nosupersub{}","plainCitation":"243","noteIndex":0},"citationItems":[{"id":471,"uris":["http://zotero.org/users/7661987/items/LD4X35H2"],"itemData":{"id":471,"type":"article-journal","abstract":"Several cancers are highly refractory to conventional chemotherapy. The survival of tumors in several cases is assisted by checkpoint immunomodulation to maintain the imbalance between immune surveillance and cancer cell proliferation. Check point antibody inhibitors, such as anti-PD-1/PD-L1, are a novel class of inhibitors that function as a tumor suppressing factor via modulation of immune cell-tumor cell interaction. These checkpoint blockers are rapidly becoming a highly promising cancer therapeutic approach that yields remarkable antitumor responses with limited side effects. In recent times, more than four check point antibody inhibitors have been commercialized for targeting PD-1, PDL-1, and CTLA-4. Despite the huge success and efﬁcacy of the anti-PD therapy response, it is limited to speciﬁc types of cancers, which attributes to the insufﬁcient and heterogeneous expression of PD-1 in the tumor microenvironment. Herein, we review the current landscape of the PD-1/PD-L1 mechanistic role in tumor immune evasion and therapeutic outcome for cancer treatment. We also review the current progress in clinical trials, combination of drug therapy with immunotherapy, safety, and future of check point inhibitors for multiple types of cancer.","container-title":"Frontiers in Pharmacology","DOI":"10.3389/fphar.2017.00561","ISSN":"1663-9812","journalAbbreviation":"Front. Pharmacol.","language":"en","page":"561","source":"DOI.org (Crossref)","title":"PD-1 and PD-L1 Checkpoint Signaling Inhibition for Cancer Immunotherapy: Mechanism, Combinations, and Clinical Outcome","title-short":"PD-1 and PD-L1 Checkpoint Signaling Inhibition for Cancer Immunotherapy","volume":"8","author":[{"family":"Alsaab","given":"Hashem O."},{"family":"Sau","given":"Samaresh"},{"family":"Alzhrani","given":"Rami"},{"family":"Tatiparti","given":"Katyayani"},{"family":"Bhise","given":"Ketki"},{"family":"Kashaw","given":"Sushil K."},{"family":"Iyer","given":"Arun K."}],"issued":{"date-parts":[["2017",8,23]]}}}],"schema":"https://github.com/citation-style-language/schema/raw/master/csl-citation.json"}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243</w:t>
      </w:r>
      <w:r w:rsidRPr="00D74025">
        <w:rPr>
          <w:rFonts w:ascii="Arial" w:hAnsi="Arial" w:cs="Arial"/>
          <w:color w:val="000000" w:themeColor="text1"/>
        </w:rPr>
        <w:fldChar w:fldCharType="end"/>
      </w:r>
      <w:r w:rsidRPr="00D74025">
        <w:rPr>
          <w:rFonts w:ascii="Arial" w:hAnsi="Arial" w:cs="Arial"/>
          <w:color w:val="000000" w:themeColor="text1"/>
        </w:rPr>
        <w:t xml:space="preserve">. </w:t>
      </w:r>
      <w:r w:rsidR="0011471C" w:rsidRPr="00D74025">
        <w:rPr>
          <w:rFonts w:ascii="Arial" w:hAnsi="Arial" w:cs="Arial"/>
          <w:color w:val="000000" w:themeColor="text1"/>
        </w:rPr>
        <w:t xml:space="preserve">Nonetheless, some tumor types are not very responsive to immunotherapies, which has been associated with the low density of tumor-infiltrating lymphocytes. More specifically, patients with high densities of CD8+ </w:t>
      </w:r>
      <w:r w:rsidR="005155ED">
        <w:rPr>
          <w:rFonts w:ascii="Arial" w:hAnsi="Arial" w:cs="Arial"/>
          <w:color w:val="000000" w:themeColor="text1"/>
        </w:rPr>
        <w:t xml:space="preserve">T cells </w:t>
      </w:r>
      <w:r w:rsidR="0011471C" w:rsidRPr="00D74025">
        <w:rPr>
          <w:rFonts w:ascii="Arial" w:hAnsi="Arial" w:cs="Arial"/>
          <w:color w:val="000000" w:themeColor="text1"/>
        </w:rPr>
        <w:t>at the tumor margin present a better response to immunotherapy</w:t>
      </w:r>
      <w:r w:rsidR="0011471C"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{"citationID":"avbv1770om","properties":{"formattedCitation":"\\super 244\\nosupersub{}","plainCitation":"244","noteIndex":0},"citationItems":[{"id":470,"uris":["http://zotero.org/users/7661987/items/AK56BT57"],"itemData":{"id":470,"type":"article-journal","abstract":"Purpose of Review Checkpoint inhibitors block co-inhibitory signals which serves to promote T cell activation/reinvigoration in the periphery and tumor microenvironment. A brief historical background as well as a summary of key observations related to the composition and prognostic value of tumor-infiltrating lymphocytes (TILs) is discussed.","container-title":"Current Hematologic Malignancy Reports","DOI":"10.1007/s11899-019-00523-x","ISSN":"1558-8211, 1558-822X","issue":"4","journalAbbreviation":"Curr Hematol Malig Rep","language":"en","page":"286-291","source":"DOI.org (Crossref)","title":"Tumor-Infiltrating Lymphocytes in the Checkpoint Inhibitor Era","volume":"14","author":[{"family":"Linette","given":"Gerald P."},{"family":"Carreno","given":"Beatriz M."}],"issued":{"date-parts":[["2019",8]]}}}],"schema":"https://github.com/citation-style-language/schema/raw/master/csl-citation.json"} </w:instrText>
      </w:r>
      <w:r w:rsidR="0011471C" w:rsidRPr="00D74025">
        <w:rPr>
          <w:rFonts w:ascii="Arial" w:hAnsi="Arial" w:cs="Arial"/>
          <w:color w:val="000000" w:themeColor="text1"/>
        </w:rPr>
        <w:fldChar w:fldCharType="separate"/>
      </w:r>
      <w:r w:rsidR="000F4F53" w:rsidRPr="000F4F53">
        <w:rPr>
          <w:rFonts w:ascii="Arial" w:hAnsi="Arial" w:cs="Arial"/>
          <w:color w:val="000000"/>
          <w:vertAlign w:val="superscript"/>
        </w:rPr>
        <w:t>244</w:t>
      </w:r>
      <w:r w:rsidR="0011471C" w:rsidRPr="00D74025">
        <w:rPr>
          <w:rFonts w:ascii="Arial" w:hAnsi="Arial" w:cs="Arial"/>
          <w:color w:val="000000" w:themeColor="text1"/>
        </w:rPr>
        <w:fldChar w:fldCharType="end"/>
      </w:r>
      <w:r w:rsidR="0011471C" w:rsidRPr="00D74025">
        <w:rPr>
          <w:rFonts w:ascii="Arial" w:hAnsi="Arial" w:cs="Arial"/>
          <w:color w:val="000000" w:themeColor="text1"/>
        </w:rPr>
        <w:t xml:space="preserve">. </w:t>
      </w:r>
    </w:p>
    <w:p w14:paraId="168956CF" w14:textId="40EB5ADF" w:rsidR="004F201E" w:rsidRPr="00D74025" w:rsidRDefault="004F201E" w:rsidP="004F201E">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Breast cancer is one of the types of tumors that ha</w:t>
      </w:r>
      <w:r w:rsidR="00E80740">
        <w:rPr>
          <w:rFonts w:ascii="Arial" w:hAnsi="Arial" w:cs="Arial"/>
          <w:color w:val="000000" w:themeColor="text1"/>
        </w:rPr>
        <w:t>s</w:t>
      </w:r>
      <w:r w:rsidRPr="00D74025">
        <w:rPr>
          <w:rFonts w:ascii="Arial" w:hAnsi="Arial" w:cs="Arial"/>
          <w:color w:val="000000" w:themeColor="text1"/>
        </w:rPr>
        <w:t xml:space="preserve"> been considered immunologically cold. The first immunotherapy approved for breast cancer was in </w:t>
      </w:r>
      <w:r w:rsidRPr="00D74025">
        <w:rPr>
          <w:rFonts w:ascii="Arial" w:hAnsi="Arial" w:cs="Arial"/>
          <w:color w:val="000000" w:themeColor="text1"/>
        </w:rPr>
        <w:lastRenderedPageBreak/>
        <w:t>combination with the chemotherapy of paclitaxel for triple-negative breast cancer. Other combinations of chemotherapy and checkpoint inhibition have been studied in clinical trials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{"citationID":"a201js7dsfs","properties":{"formattedCitation":"\\super 245\\nosupersub{}","plainCitation":"245","noteIndex":0},"citationItems":[{"id":469,"uris":["http://zotero.org/users/7661987/items/M26ULM7A"],"itemData":{"id":469,"type":"article-journal","abstract":"Over the past 10 years, immunotherapy with immune checkpoint inhibitors has revolutionized the management of various cancers. However, immunotherapy in breast cancer has not been successful. Breast cancer has long been recognized as an immunologically ‘cold’ tumor, although a higher frequency of tumor-inﬁltrating lymphocytes present in certain subtypes and an association between tumor-inﬁltrating lymphocytes and favorable prognosis have been reported. In March 2019, the combination of atezolizumab and nanoparticle albumin-bound paclitaxel was granted accelerated approval in the United States for the treatment of programmed death-ligand 1-positive advanced or metastatic triple-negative breast cancer. This ﬁnally opened the door for immune checkpoint blockade therapy for breast cancer. Several clinical trials have been conducted using different combinations of immune checkpoint inhibitors and chemotherapy or targeted agents in various treatment settings for metastatic breast cancer and early-stage breast cancer. In this review, we summarize recent advances in immune checkpoint blockade therapy and predictive biomarkers in breast cancer.","container-title":"Japanese Journal of Clinical Oncology","DOI":"10.1093/jjco/hyaa230","ISSN":"1465-3621","issue":"3","language":"en","page":"321-332","source":"DOI.org (Crossref)","title":"Current status of PD-1/PD-L1 blockade immunotherapy in breast cancer","volume":"51","author":[{"family":"Noguchi","given":"Emi"},{"family":"Shien","given":"Tadahiko"},{"family":"Iwata","given":"Hiroji"}],"issued":{"date-parts":[["2021",3,3]]}}}],"schema":"https://github.com/citation-style-language/schema/raw/master/csl-citation.json"}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245</w:t>
      </w:r>
      <w:r w:rsidRPr="00D74025">
        <w:rPr>
          <w:rFonts w:ascii="Arial" w:hAnsi="Arial" w:cs="Arial"/>
          <w:color w:val="000000" w:themeColor="text1"/>
        </w:rPr>
        <w:fldChar w:fldCharType="end"/>
      </w:r>
      <w:r w:rsidRPr="00D74025">
        <w:rPr>
          <w:rFonts w:ascii="Arial" w:hAnsi="Arial" w:cs="Arial"/>
          <w:color w:val="000000" w:themeColor="text1"/>
        </w:rPr>
        <w:t xml:space="preserve">. Even though immunotherapy is effective in some breast cancer patients, more studies are necessary to improve safety and efficacy. </w:t>
      </w:r>
    </w:p>
    <w:p w14:paraId="5F383206" w14:textId="42EECC85" w:rsidR="00F76965" w:rsidRPr="00D74025" w:rsidRDefault="00315901" w:rsidP="00E80740">
      <w:pPr>
        <w:spacing w:line="360" w:lineRule="auto"/>
        <w:ind w:firstLine="1440"/>
        <w:jc w:val="both"/>
        <w:rPr>
          <w:rFonts w:ascii="Arial" w:hAnsi="Arial" w:cs="Arial"/>
          <w:color w:val="000000" w:themeColor="text1"/>
        </w:rPr>
      </w:pPr>
      <w:r w:rsidRPr="00D74025">
        <w:rPr>
          <w:rFonts w:ascii="Arial" w:hAnsi="Arial" w:cs="Arial"/>
          <w:color w:val="000000" w:themeColor="text1"/>
        </w:rPr>
        <w:t>Due to the very localized destruction of tumor cells induced by photothermal therapy and the induction of immunogenic cell death, it is believed that combining immunotherapy with photothermal therapy creates a synergistic effect efficient in the treatment of cold tumors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{"citationID":"a13brsci52","properties":{"formattedCitation":"\\super 204\\nosupersub{}","plainCitation":"204","noteIndex":0},"citationItems":[{"id":235,"uris":["http://zotero.org/users/7661987/items/DA5CV4XP"],"itemData":{"id":235,"type":"article-journal","abstract":"Immune checkpoint blockade (ICB) therapy has evolved as a revolutionized therapeutic modality to eradicate tumor cells by releasing the brake of the antitumor immune response. However, only a subset of patients could benefit from ICB treatment currently. Phototherapy usually includes photothermal therapy (PTT) and photodynamic therapy (PDT). PTT exerts a local therapeutic effect by using photothermal agents to generate heat upon laser irradiation. PDT utilizes irradiated photosensitizers with a laser to produce reactive oxygen species to kill the target cells. Both PTT and PDT can induce immunogenic cell death in tumors to activate antigen-presenting cells and promote T cell infiltration. Therefore, combining ICB treatment with PTT/PDT can enhance the antitumor immune response and prevent tumor metastases and recurrence. In this review, we summarized the mechanism of phototherapy in cancer immunotherapy and discussed the recent advances in the development of phototherapy combined with ICB therapy to treat malignant tumors. Moreover, we also outlined the significant progress of phototherapy combined with targeted therapy or chemotherapy to improve ICB in preclinical and clinical studies. Finally, we analyzed the current challenges of this novel combination treatment regimen. We believe that the next-generation technology breakthrough in cancer treatment may come from this combinational win-win strategy of photoimmunotherapy.","container-title":"Frontiers in Immunology","DOI":"10.3389/fimmu.2022.955920","ISSN":"1664-3224","journalAbbreviation":"Front. Immunol.","language":"en","page":"955920","source":"DOI.org (Crossref)","title":"Combination of phototherapy with immune checkpoint blockade: Theory and practice in cancer","title-short":"Combination of phototherapy with immune checkpoint blockade","volume":"13","author":[{"family":"Zhao","given":"Yujie"},{"family":"Liu","given":"Xu"},{"family":"Liu","given":"Xinyu"},{"family":"Yu","given":"Jing"},{"family":"Bai","given":"Xin"},{"family":"Wu","given":"Xi"},{"family":"Guo","given":"Xinyu"},{"family":"Liu","given":"Zhihui"},{"family":"Liu","given":"Xiaowei"}],"issued":{"date-parts":[["2022",9,2]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204</w:t>
      </w:r>
      <w:r w:rsidRPr="00D74025">
        <w:rPr>
          <w:rFonts w:ascii="Arial" w:hAnsi="Arial" w:cs="Arial"/>
          <w:color w:val="000000" w:themeColor="text1"/>
        </w:rPr>
        <w:fldChar w:fldCharType="end"/>
      </w:r>
      <w:r w:rsidRPr="00D74025">
        <w:rPr>
          <w:rFonts w:ascii="Arial" w:hAnsi="Arial" w:cs="Arial"/>
          <w:color w:val="000000" w:themeColor="text1"/>
        </w:rPr>
        <w:t>.</w:t>
      </w:r>
      <w:r w:rsidR="00E80740">
        <w:rPr>
          <w:rFonts w:ascii="Arial" w:hAnsi="Arial" w:cs="Arial"/>
          <w:color w:val="000000" w:themeColor="text1"/>
        </w:rPr>
        <w:t xml:space="preserve"> </w:t>
      </w:r>
      <w:r w:rsidR="00F76965" w:rsidRPr="00D74025">
        <w:rPr>
          <w:rFonts w:ascii="Arial" w:hAnsi="Arial" w:cs="Arial"/>
          <w:color w:val="000000" w:themeColor="text1"/>
        </w:rPr>
        <w:t xml:space="preserve">The benefits of exploiting PTT-induced ICD to enhance immunotherapy are remarkable. ICD generated by PTT allows for the successful removal of the treated tumor with the assistance of surrounding immune cells. At the same time, the tumor-specific antigens can function as an </w:t>
      </w:r>
      <w:r w:rsidR="00F76965" w:rsidRPr="00D74025">
        <w:rPr>
          <w:rFonts w:ascii="Arial" w:hAnsi="Arial" w:cs="Arial"/>
          <w:i/>
          <w:iCs/>
          <w:color w:val="000000" w:themeColor="text1"/>
        </w:rPr>
        <w:t>in situ</w:t>
      </w:r>
      <w:r w:rsidR="00F76965" w:rsidRPr="00D74025">
        <w:rPr>
          <w:rFonts w:ascii="Arial" w:hAnsi="Arial" w:cs="Arial"/>
          <w:color w:val="000000" w:themeColor="text1"/>
        </w:rPr>
        <w:t xml:space="preserve"> anti-cancer vaccination</w:t>
      </w:r>
      <w:r w:rsidR="00F76965"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{"citationID":"akcj3letgu","properties":{"formattedCitation":"\\super 246\\nosupersub{}","plainCitation":"246","noteIndex":0},"citationItems":[{"id":215,"uris":["http://zotero.org/users/7661987/items/S73BHQHR"],"itemData":{"id":215,"type":"article-journal","container-title":"British Journal of Dermatology","DOI":"10.1111/j.1365-2133.2006.07514.x","ISSN":"00070963","issue":"6","language":"en","page":"1287-1292","source":"DOI.org (Crossref)","title":"&lt;i&gt;In situ&lt;/i&gt; photoimmunotherapy: a tumour-directed treatment for melanoma: ISPI: a tumour-directed treatment for melanoma","title-short":"&lt;i&gt;In situ&lt;/i&gt; photoimmunotherapy","volume":"155","author":[{"family":"Naylor","given":"M.F."},{"family":"Chen","given":"W.R."},{"family":"Teague","given":"T.K."},{"family":"Perry","given":"L.A."},{"family":"Nordquist","given":"R.E."}],"issued":{"date-parts":[["2006",12]]}}}],"schema":"https://github.com/citation-style-language/schema/raw/master/csl-citation.json"} </w:instrText>
      </w:r>
      <w:r w:rsidR="00F76965" w:rsidRPr="00D74025">
        <w:rPr>
          <w:rFonts w:ascii="Arial" w:hAnsi="Arial" w:cs="Arial"/>
          <w:color w:val="000000" w:themeColor="text1"/>
        </w:rPr>
        <w:fldChar w:fldCharType="separate"/>
      </w:r>
      <w:r w:rsidR="000F4F53" w:rsidRPr="000F4F53">
        <w:rPr>
          <w:rFonts w:ascii="Arial" w:hAnsi="Arial" w:cs="Arial"/>
          <w:color w:val="000000"/>
          <w:vertAlign w:val="superscript"/>
        </w:rPr>
        <w:t>246</w:t>
      </w:r>
      <w:r w:rsidR="00F76965" w:rsidRPr="00D74025">
        <w:rPr>
          <w:rFonts w:ascii="Arial" w:hAnsi="Arial" w:cs="Arial"/>
          <w:color w:val="000000" w:themeColor="text1"/>
        </w:rPr>
        <w:fldChar w:fldCharType="end"/>
      </w:r>
      <w:r w:rsidR="00F76965" w:rsidRPr="00D74025">
        <w:rPr>
          <w:rFonts w:ascii="Arial" w:hAnsi="Arial" w:cs="Arial"/>
          <w:color w:val="000000" w:themeColor="text1"/>
        </w:rPr>
        <w:t>. While the native tumor antigens are weak at activating the immune response, their immunogenicity can be enhanced by the release of DAMPs during PTT</w:t>
      </w:r>
      <w:r w:rsidR="00F76965"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{"citationID":"alh3naehh7","properties":{"formattedCitation":"\\super 247\\nosupersub{}","plainCitation":"247","noteIndex":0},"citationItems":[{"id":315,"uris":["http://zotero.org/users/7661987/items/249S5HW6"],"itemData":{"id":315,"type":"article-journal","abstract":"Near-infrared photoimmunotherapy (NIR-PIT) is a newly-developed, highly-selective cancer treatment, which utilizes a monoclonal antibody conjugated to a photoabsorbing dye, IRDye700DX (IR700). The antibody conjugate is injected into the patient and accumulates in the tumour. Within 24 h of injection the tumour is exposed to NIR light which activates the conjugate and causes rapid, selective cancer cell death. A global phase III clinical trial of NIR-PIT in recurrent head and neck squamous cell cancer (HNSCC) patients is currently underway. Conditional clinical approval for NIR-PIT in recurrent HNSCC has been granted in Japan as of September 2020. Not only does NIR-PIT induce highly selective and immediate cancer cell killing, but it also stimulates highly active anti-tumour immunity. While monotherapy with NIR-PIT has proven effective it is likely that combinations with immune-checkpoint inhibitors or additional NIR-PIT targeting immune suppressive cells in the tumour microenvironment will further improve results. In this review, we discuss the translational aspects of NIR-PIT especially in HNSCC, and potential future applications.","container-title":"EBioMedicine","DOI":"10.1016/j.ebiom.2021.103501","ISSN":"23523964","journalAbbreviation":"EBioMedicine","language":"en","page":"103501","source":"DOI.org (Crossref)","title":"Near infrared photoimmunotherapy for cancers: A translational perspective","title-short":"Near infrared photoimmunotherapy for cancers","volume":"70","author":[{"family":"Maruoka","given":"Yasuhiro"},{"family":"Wakiyama","given":"Hiroaki"},{"family":"Choyke","given":"Peter L."},{"family":"Kobayashi","given":"Hisataka"}],"issued":{"date-parts":[["2021",8]]}}}],"schema":"https://github.com/citation-style-language/schema/raw/master/csl-citation.json"} </w:instrText>
      </w:r>
      <w:r w:rsidR="00F76965" w:rsidRPr="00D74025">
        <w:rPr>
          <w:rFonts w:ascii="Arial" w:hAnsi="Arial" w:cs="Arial"/>
          <w:color w:val="000000" w:themeColor="text1"/>
        </w:rPr>
        <w:fldChar w:fldCharType="separate"/>
      </w:r>
      <w:r w:rsidR="000F4F53" w:rsidRPr="000F4F53">
        <w:rPr>
          <w:rFonts w:ascii="Arial" w:hAnsi="Arial" w:cs="Arial"/>
          <w:color w:val="000000"/>
          <w:vertAlign w:val="superscript"/>
        </w:rPr>
        <w:t>247</w:t>
      </w:r>
      <w:r w:rsidR="00F76965" w:rsidRPr="00D74025">
        <w:rPr>
          <w:rFonts w:ascii="Arial" w:hAnsi="Arial" w:cs="Arial"/>
          <w:color w:val="000000" w:themeColor="text1"/>
        </w:rPr>
        <w:fldChar w:fldCharType="end"/>
      </w:r>
      <w:r w:rsidR="00F76965" w:rsidRPr="00D74025">
        <w:rPr>
          <w:rFonts w:ascii="Arial" w:hAnsi="Arial" w:cs="Arial"/>
          <w:color w:val="000000" w:themeColor="text1"/>
        </w:rPr>
        <w:t>. Tumor ablation is also accompanied by the release of pro-inflammatory cytokines that promote the attraction and activation of immune system cells</w:t>
      </w:r>
      <w:r w:rsidR="00F76965"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{"citationID":"aabq61t3vn","properties":{"formattedCitation":"\\super 203\\nosupersub{}","plainCitation":"203","noteIndex":0},"citationItems":[{"id":405,"uris":["http://zotero.org/users/7661987/items/HN629S7M"],"itemData":{"id":405,"type":"article-journal","abstract":"Light-activated, photosensitizer-based therapies have been established as safe modalities of tumour ablation for numerous cancer indications. Two main approaches are available: photodynamic therapy, which results in localized chemical damage in the target lesions, and photothermal therapy, which results in localized thermal damage. Whereas the administration of photosensitizers is a key component of photodynamic therapy, exogenous photothermal contrast agents are not required for photothermal therapy but can enhance the efficiency and efficacy of treatment. Over the past decades, great strides have been made in the development of phototherapeutic drugs and devices as cancer treatments, but key challenges have restricted their widespread clinical use outside of certain dermatological indications. Improvements in the tumour specificity of photosensitizers, achieved through targeting or localized activation, could provide better outcomes with fewer adverse effects, as could combinations with chemotherapies or immunotherapies. In this Review, we provide an overview of the current clinical progress of phototherapies for cancer and discuss the emerging preclinical bioengineering approaches that have the potential to overcome challenges in this area and thus improve the efficiency and utility of such treatments.","container-title":"Nature Reviews Clinical Oncology","DOI":"10.1038/s41571-020-0410-2","ISSN":"1759-4774, 1759-4782","issue":"11","journalAbbreviation":"Nat Rev Clin Oncol","language":"en","page":"657-674","source":"DOI.org (Crossref)","title":"Clinical development and potential of photothermal and photodynamic therapies for cancer","volume":"17","author":[{"family":"Li","given":"Xingshu"},{"family":"Lovell","given":"Jonathan F."},{"family":"Yoon","given":"Juyoung"},{"family":"Chen","given":"Xiaoyuan"}],"issued":{"date-parts":[["2020",11]]}}}],"schema":"https://github.com/citation-style-language/schema/raw/master/csl-citation.json"} </w:instrText>
      </w:r>
      <w:r w:rsidR="00F76965" w:rsidRPr="00D74025">
        <w:rPr>
          <w:rFonts w:ascii="Arial" w:hAnsi="Arial" w:cs="Arial"/>
          <w:color w:val="000000" w:themeColor="text1"/>
        </w:rPr>
        <w:fldChar w:fldCharType="separate"/>
      </w:r>
      <w:r w:rsidR="000F4F53" w:rsidRPr="000F4F53">
        <w:rPr>
          <w:rFonts w:ascii="Arial" w:hAnsi="Arial" w:cs="Arial"/>
          <w:color w:val="000000"/>
          <w:vertAlign w:val="superscript"/>
        </w:rPr>
        <w:t>203</w:t>
      </w:r>
      <w:r w:rsidR="00F76965" w:rsidRPr="00D74025">
        <w:rPr>
          <w:rFonts w:ascii="Arial" w:hAnsi="Arial" w:cs="Arial"/>
          <w:color w:val="000000" w:themeColor="text1"/>
        </w:rPr>
        <w:fldChar w:fldCharType="end"/>
      </w:r>
      <w:r w:rsidR="00F76965" w:rsidRPr="00D74025">
        <w:rPr>
          <w:rFonts w:ascii="Arial" w:hAnsi="Arial" w:cs="Arial"/>
          <w:color w:val="000000" w:themeColor="text1"/>
        </w:rPr>
        <w:t>.</w:t>
      </w:r>
    </w:p>
    <w:p w14:paraId="06C72027" w14:textId="77777777" w:rsidR="00FF21BB" w:rsidRPr="00D74025" w:rsidRDefault="00FF21BB" w:rsidP="00FF21BB">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Therefore, in this work, we studied the combination of SWCNT-mediated photothermal therapy and checkpoint inhibition to induce a systemic anti-cancerous immune response.</w:t>
      </w:r>
    </w:p>
    <w:p w14:paraId="69C40418" w14:textId="77777777" w:rsidR="00EF5169" w:rsidRPr="00D74025" w:rsidRDefault="00EF5169" w:rsidP="000B421E">
      <w:pPr>
        <w:spacing w:line="360" w:lineRule="auto"/>
        <w:ind w:firstLine="1440"/>
        <w:contextualSpacing/>
        <w:jc w:val="both"/>
        <w:rPr>
          <w:rFonts w:ascii="Arial" w:hAnsi="Arial" w:cs="Arial"/>
          <w:b/>
          <w:bCs/>
          <w:color w:val="000000" w:themeColor="text1"/>
        </w:rPr>
      </w:pPr>
    </w:p>
    <w:p w14:paraId="1FDDEC41" w14:textId="72B0E6B7" w:rsidR="00EF5169" w:rsidRPr="00D74025" w:rsidRDefault="00EF5169" w:rsidP="000B421E">
      <w:pPr>
        <w:pStyle w:val="Heading3"/>
        <w:spacing w:line="360" w:lineRule="auto"/>
        <w:ind w:firstLine="1440"/>
        <w:rPr>
          <w:rFonts w:ascii="Arial" w:hAnsi="Arial" w:cs="Arial"/>
          <w:b/>
          <w:bCs/>
          <w:color w:val="000000" w:themeColor="text1"/>
        </w:rPr>
      </w:pPr>
      <w:bookmarkStart w:id="48" w:name="_Toc87466644"/>
      <w:bookmarkStart w:id="49" w:name="_Toc121217236"/>
      <w:r w:rsidRPr="00D74025">
        <w:rPr>
          <w:rFonts w:ascii="Arial" w:hAnsi="Arial" w:cs="Arial"/>
          <w:b/>
          <w:bCs/>
          <w:color w:val="000000" w:themeColor="text1"/>
        </w:rPr>
        <w:t xml:space="preserve">1.4.4 Radiofrequency </w:t>
      </w:r>
      <w:r w:rsidR="000F4D52">
        <w:rPr>
          <w:rFonts w:ascii="Arial" w:hAnsi="Arial" w:cs="Arial"/>
          <w:b/>
          <w:bCs/>
          <w:color w:val="000000" w:themeColor="text1"/>
        </w:rPr>
        <w:t>a</w:t>
      </w:r>
      <w:r w:rsidRPr="00D74025">
        <w:rPr>
          <w:rFonts w:ascii="Arial" w:hAnsi="Arial" w:cs="Arial"/>
          <w:b/>
          <w:bCs/>
          <w:color w:val="000000" w:themeColor="text1"/>
        </w:rPr>
        <w:t>blation</w:t>
      </w:r>
      <w:bookmarkEnd w:id="48"/>
      <w:bookmarkEnd w:id="49"/>
    </w:p>
    <w:p w14:paraId="6C62C07E" w14:textId="056EFE59" w:rsidR="006552FC" w:rsidRPr="005C4FEC" w:rsidRDefault="006552FC" w:rsidP="006552FC">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 xml:space="preserve">Radiofrequency ablation (RFA) is another method for treating malignant diseases that utilizes radiofrequency waves in the range of 10 kHz to 900 MHz to generate heat and consequently induce tissue damage. This therapeutic strategy is currently used in clinical settings to treat deep-rooted </w:t>
      </w:r>
      <w:r w:rsidRPr="005C4FEC">
        <w:rPr>
          <w:rFonts w:ascii="Arial" w:hAnsi="Arial" w:cs="Arial"/>
          <w:color w:val="000000" w:themeColor="text1"/>
        </w:rPr>
        <w:t>cancers such as liver, kidney, adrenal gland,  bone, lung, and breast</w:t>
      </w:r>
      <w:r w:rsidRPr="005C4FEC">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{"citationID":"a1p7ar2a3b5","properties":{"formattedCitation":"\\super 248\\nosupersub{}","plainCitation":"248","noteIndex":0},"citationItems":[{"id":1166,"uris":["http://zotero.org/users/7661987/items/EVGB88X3"],"itemData":{"id":1166,"type":"article-journal","abstract":"Radiofrequency ablation (RFA) has been used for over 18 years for treatment of nerve-related chronic pain and cardiac arrhythmias. In the last 10 years, technical developments have increased ablation volumes in a controllable, versatile, and relatively inexpensive manner. The host of clinical applications for RFA have similarly expanded. Current RFA equipment, techniques, applications, results, complications, and research avenues for local tumor ablation are summarized.","container-title":"CardioVascular and Interventional Radiology","DOI":"10.1007/s00270-004-0062-0","ISSN":"0174-1551, 1432-086X","issue":"5","journalAbbreviation":"CVIR","language":"en","source":"DOI.org (Crossref)","title":"Radiofrequency Ablation of Cancer","URL":"http://link.springer.com/10.1007/s00270-004-0062-0","volume":"27","author":[{"family":"Friedman","given":"Marc"},{"family":"Mikityansky","given":"Igor"},{"family":"Kam","given":"Anthony"},{"family":"Libutti","given":"Steven K."},{"family":"Walther","given":"McClellan M."},{"family":"Neeman","given":"Ziv"},{"family":"Locklin","given":"Julia K."},{"family":"Wood","given":"Bradford J."}],"accessed":{"date-parts":[["2022",10,24]]},"issued":{"date-parts":[["2004",9]]}}}],"schema":"https://github.com/citation-style-language/schema/raw/master/csl-citation.json"} </w:instrText>
      </w:r>
      <w:r w:rsidRPr="005C4FEC">
        <w:rPr>
          <w:rFonts w:ascii="Arial" w:hAnsi="Arial" w:cs="Arial"/>
          <w:color w:val="000000" w:themeColor="text1"/>
        </w:rPr>
        <w:fldChar w:fldCharType="separate"/>
      </w:r>
      <w:r w:rsidR="000F4F53" w:rsidRPr="000F4F53">
        <w:rPr>
          <w:rFonts w:ascii="Arial" w:hAnsi="Arial" w:cs="Arial"/>
          <w:color w:val="000000"/>
          <w:vertAlign w:val="superscript"/>
        </w:rPr>
        <w:t>248</w:t>
      </w:r>
      <w:r w:rsidRPr="005C4FEC">
        <w:rPr>
          <w:rFonts w:ascii="Arial" w:hAnsi="Arial" w:cs="Arial"/>
          <w:color w:val="000000" w:themeColor="text1"/>
        </w:rPr>
        <w:fldChar w:fldCharType="end"/>
      </w:r>
      <w:r w:rsidRPr="005C4FEC">
        <w:rPr>
          <w:rFonts w:ascii="Arial" w:hAnsi="Arial" w:cs="Arial"/>
          <w:color w:val="000000" w:themeColor="text1"/>
        </w:rPr>
        <w:t>.</w:t>
      </w:r>
    </w:p>
    <w:p w14:paraId="502E69A3" w14:textId="0FA6A6FE" w:rsidR="00CA24A3" w:rsidRPr="00D74025" w:rsidRDefault="00CA24A3" w:rsidP="00CA24A3">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 xml:space="preserve">Radiofrequency waves are considered safe compared to other types of radiation used in clinics because they are in the low energy range of the electromagnetic spectrum.  Consequently, RF radiation is non-ionizing, meaning it does not have sufficient energy to detach electrons from atoms and molecules, producing free radicals.  While ionizing radiation ultimately promotes tissue damage and cancer due to damage to the </w:t>
      </w:r>
      <w:r w:rsidRPr="00D74025">
        <w:rPr>
          <w:rFonts w:ascii="Arial" w:hAnsi="Arial" w:cs="Arial"/>
          <w:color w:val="000000" w:themeColor="text1"/>
        </w:rPr>
        <w:lastRenderedPageBreak/>
        <w:t>genetic material in cells, RF radiation can only cause damage by the induction of heating in the system, which can be controlled in the clinical setting.  The sizable length of the RF waves leads to high penetration in live tissue, which is the primary reason for their use in deep-rooted cancers.</w:t>
      </w:r>
    </w:p>
    <w:p w14:paraId="1E007394" w14:textId="2C781AAA" w:rsidR="00D72D26" w:rsidRPr="00D74025" w:rsidRDefault="00D72D26" w:rsidP="00D72D26">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The prevailing method of concentration of the radiofrequency (RF) waves is the introduction into the diseased tissue of a needle-like electrode directly connected to the RF generator. The RF radiation prompts the heating of the surrounding volume. The Food and Drug Administration (FDA – the American agency responsible for the regulation of products related to public health) approved a procedure for the treatment of hepatocarcinoma with RFA that requires the use of imaging techniques, such as ultrasound, a computerized tomography (CT) scan, or magnetic resonance imaging (MRI), to guide the position of the electrode into the tumor. In this context, highly efficient treatment, meaning low local tumor recurrence, is achieved when complete ablation occurs during a treatment session, including all tumor margins. The recurrence rate can reach 60% when there is incomplete ablation. The inefficient ablation might happen due to difficulty localizing the tumor with available imaging techniques, heat transfer limitations, and heat dissipation through the bloodstream. Those factors lead to the heterogeneous heat of cancer, impeding the temperature rise to cytotoxic levels in the whole tumor volume. Other drawbacks of the RFA ablation are the invasiveness of probe-needle insertion and the non-selectiveness of the heating, which damages non-cancerous zones and surrounding tissue</w:t>
      </w:r>
      <w:r w:rsidR="009427CD">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{"citationID":"ak1eg3u0t5","properties":{"formattedCitation":"\\super 249\\uc0\\u8211{}251\\nosupersub{}","plainCitation":"249–251","noteIndex":0},"citationItems":[{"id":1253,"uris":["http://zotero.org/users/7661987/items/8B4DDMND"],"itemData":{"id":1253,"type":"article-journal","container-title":"Journal of Biomedical Optics","DOI":"10.1117/1.JBO.19.9.097004","ISSN":"1083-3668","issue":"9","journalAbbreviation":"J. Biomed. Opt","language":"en","page":"097004","source":"DOI.org (Crossref)","title":"Monitoring of tumor radio frequency ablation using derivative spectroscopy","volume":"19","author":[{"family":"Spliethoff","given":"Jarich W."},{"family":"Tanis","given":"Erik"},{"family":"Evers","given":"Daniel J."},{"family":"Hendriks","given":"Benno H. W."},{"family":"Prevoo","given":"Warner"},{"family":"Ruers","given":"Theo J. M."}],"issued":{"date-parts":[["2014",9,19]]}}},{"id":394,"uris":["http://zotero.org/users/7661987/items/9TH75G36"],"itemData":{"id":394,"type":"article-journal","container-title":"The Oncologist","DOI":"10.1634/theoncologist.2018-0337","ISSN":"1083-7159, 1549-490X","issue":"10","journalAbbreviation":"The Oncol","language":"en","source":"DOI.org (Crossref)","title":"Radiofrequency Ablation and Microwave Ablation in Liver Tumors: An Update","title-short":"Radiofrequency Ablation and Microwave Ablation in Liver Tumors","URL":"https://onlinelibrary.wiley.com/doi/abs/10.1634/theoncologist.2018-0337","volume":"24","author":[{"family":"Izzo","given":"Francesco"},{"family":"Granata","given":"Vincenza"},{"family":"Grassi","given":"Roberto"},{"family":"Fusco","given":"Roberta"},{"family":"Palaia","given":"Raffaele"},{"family":"Delrio","given":"Paolo"},{"family":"Carrafiello","given":"Gianpaolo"},{"family":"Azoulay","given":"Daniel"},{"family":"Petrillo","given":"Antonella"},{"family":"Curley","given":"Steven A"}],"accessed":{"date-parts":[["2021",11,5]]},"issued":{"date-parts":[["2019",10]]}}},{"id":393,"uris":["http://zotero.org/users/7661987/items/TU7UWJDS"],"itemData":{"id":393,"type":"article-journal","abstract":"Osteoid osteoma is a benign bone neoplasm with a reported incidence of 2-3% among all bone primary tumors. Although it is a small and benign lesion, it is often cause of patient complaint and discomfort. It is generally characterized by a long lasting, unremitting pain that typically exacerbates at night, often leading to sleep deprivation and functional limitation of the skeletal segment involved, with a significant reduction of patient daily life activities and consequent worsening of the overall quality of life. Over decades, complete surgical resection has represented the only curative treatment for symptomatic patients. In the last years, new percutaneous ablation techniques, especially radiofrequency ablation, have been reported to be a safe and effective alternative to classical surgery, with a low complication and recurrence rate, and a significant reduction in hospitalization cost and duration. The aim of this article is to provide an overview about the radiofrequency thermal ablation procedure in the treatment of osteoid osteoma.","container-title":"Acta Biomedica Atenei Parmensis","DOI":"10.23750/abm.v89i1-S.7021","ISSN":"2531-6745, 0392-4203","issue":"1-S","language":"en","page":"175-185","source":"DOI.org (CSL JSON)","title":"Radiofrequency ablation of osteoid osteoma","volume":"89","author":[{"family":"De Filippo","given":"Massimo"},{"family":"Russo","given":"Umberto"},{"family":"Papapietro","given":"Vito Roberto"},{"family":"Ceccarelli","given":"Francesco"},{"family":"Pogliacomi","given":"Francesco"},{"family":"Vaienti","given":"Enrico"},{"family":"Piccolo","given":"Claudia"},{"family":"Capasso","given":"Raffaella"},{"family":"Sica","given":"Assunta"},{"family":"Cioce","given":"Fabrizio"},{"family":"Carbone","given":"Mattia"},{"family":"Bruno","given":"Federico"},{"family":"Masciocchi","given":"Carlo"},{"family":"Miele","given":"Vittorio"}],"issued":{"date-parts":[["2018",1,19]]}}}],"schema":"https://github.com/citation-style-language/schema/raw/master/csl-citation.json"} </w:instrText>
      </w:r>
      <w:r w:rsidR="009427CD">
        <w:rPr>
          <w:rFonts w:ascii="Arial" w:hAnsi="Arial" w:cs="Arial"/>
          <w:color w:val="000000" w:themeColor="text1"/>
        </w:rPr>
        <w:fldChar w:fldCharType="separate"/>
      </w:r>
      <w:r w:rsidR="000F4F53" w:rsidRPr="000F4F53">
        <w:rPr>
          <w:rFonts w:ascii="Arial" w:hAnsi="Arial" w:cs="Arial"/>
          <w:color w:val="000000"/>
          <w:vertAlign w:val="superscript"/>
        </w:rPr>
        <w:t>249–251</w:t>
      </w:r>
      <w:r w:rsidR="009427CD">
        <w:rPr>
          <w:rFonts w:ascii="Arial" w:hAnsi="Arial" w:cs="Arial"/>
          <w:color w:val="000000" w:themeColor="text1"/>
        </w:rPr>
        <w:fldChar w:fldCharType="end"/>
      </w:r>
      <w:r w:rsidRPr="00D74025">
        <w:rPr>
          <w:rFonts w:ascii="Arial" w:hAnsi="Arial" w:cs="Arial"/>
          <w:color w:val="000000" w:themeColor="text1"/>
        </w:rPr>
        <w:t>.</w:t>
      </w:r>
    </w:p>
    <w:p w14:paraId="2DFE6778" w14:textId="1ED948D2" w:rsidR="002C3B2A" w:rsidRPr="00D74025" w:rsidRDefault="002C3B2A" w:rsidP="002C3B2A">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 xml:space="preserve">One of the ways to reduce invasiveness and increase tissue selectiveness is the utilization of RF-responsive materials allied to the application of an external RF generator. Various nanomaterials have shown responsiveness to heating </w:t>
      </w:r>
      <w:r w:rsidRPr="00332644">
        <w:rPr>
          <w:rFonts w:ascii="Arial" w:hAnsi="Arial" w:cs="Arial"/>
          <w:i/>
          <w:iCs/>
          <w:color w:val="000000" w:themeColor="text1"/>
        </w:rPr>
        <w:t>in vitro</w:t>
      </w:r>
      <w:r w:rsidRPr="00D74025">
        <w:rPr>
          <w:rFonts w:ascii="Arial" w:hAnsi="Arial" w:cs="Arial"/>
          <w:color w:val="000000" w:themeColor="text1"/>
        </w:rPr>
        <w:t xml:space="preserve"> in the RF field, such as gold, iron oxide, cobalt, quantum dots, and carbon-based nanomaterials</w:t>
      </w:r>
      <w:r w:rsidR="00B8535B">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{"citationID":"a2c5g3mqvqt","properties":{"formattedCitation":"\\super 252\\uc0\\u8211{}254\\nosupersub{}","plainCitation":"252–254","noteIndex":0},"citationItems":[{"id":1235,"uris":["http://zotero.org/users/7661987/items/KKPN8JW8"],"itemData":{"id":1235,"type":"article-journal","abstract":"Purpose: Pancreatic carcinoma is one of the deadliest cancers with few effective treatments. Gold nanoparticles (AuNP) are potentially therapeutic because of the safety demonstrated thus far and their physiochemical characteristics. We used the astounding heating rates of AuNPs in nonionizing radiofrequency (RF) radiation to investigate human pancreatic xenograft destruction in a murine model. Experimental Design: Weekly, Panc-1 and Capan-1 human pancreatic carcinoma xenografts in immunocompromised mice were exposed to an RF field 36 hours after treatment (intraperitoneal) with cetuximab- or PAM4 antibody–conjugated AuNPs, respectively. Tumor sizes were measured weekly, whereas necrosis and cleaved caspase-3 were investigated with hematoxylin–eosin staining and immunofluorescence, respectively. In addition, AuNP internalization and cytotoxicity were investigated in vitro with confocal microscopy and flow cytometry, respectively.\nResults: Panc-1 cells demonstrated increased apoptosis with decreased viability after treatment with cetuximab-conjugated AuNPs and RF field exposure (P ¼ 0.00005). Differences in xenograft volumes were observed within 2 weeks of initiating therapy. Cetuximab- and PAM4-conjugated AuNPs demonstrated RF field–induced destruction of Panc-1 and Capan-1 pancreatic carcinoma xenografts after 6 weeks of weekly treatment (P ¼ 0.004 and P ¼ 0.035, respectively). There was no evidence of injury to murine organs. Cleaved caspase-3 and necrosis were both increased in treated tumors.\nConclusions: This study demonstrates a potentially novel cancer therapy by noninvasively inducing intracellular hyperthermia with targeted AuNPs in an RF field. While the therapy is dependent on the specificity of the targeting antibody, normal tissues were without toxicity despite systemic therapy and whole-body RF field exposure. Clin Cancer Res; 16(23); 5712–21. Ó2010 AACR.","container-title":"Clinical Cancer Research","DOI":"10.1158/1078-0432.CCR-10-2055","ISSN":"1078-0432, 1557-3265","issue":"23","language":"en","page":"5712-5721","source":"DOI.org (Crossref)","title":"Noninvasive Radiofrequency Field Destruction of Pancreatic Adenocarcinoma Xenografts Treated with Targeted Gold Nanoparticles","volume":"16","author":[{"family":"Glazer","given":"Evan S."},{"family":"Zhu","given":"Cihui"},{"family":"Massey","given":"Katheryn L."},{"family":"Thompson","given":"C. Shea"},{"family":"Kaluarachchi","given":"Warna D."},{"family":"Hamir","given":"Amir N."},{"family":"Curley","given":"Steven A."}],"issued":{"date-parts":[["2010",12,1]]}}},{"id":395,"uris":["http://zotero.org/users/7661987/items/99FTBDND"],"itemData":{"id":395,"type":"article-journal","abstract":"Radiofrequency (RF)-assisted cancer therapy is well-known in the medical ﬁeld as it is non-hazardous and can penetrate tissues, enabling a deeply rooted cancer treatment. However, the current treatment regimen is nonspeciﬁc and invasive, making it difﬁcult for patients to undergo the RF ablation procedure. Recently, there has been tremendous attention given on replacing RF probes (through which the RF current passes into the tumors) with metallic nanoparticles (NPs) such as gold and iron oxide. These metallic NPs can be combined with stimuli responsive polymers to have a simultaneous drug delivery to tumors and better thermal ablation. This review will give a brief overview on the various nanobiomaterials based on metals and polymers and their composites in RF-assisted cancer therapy. Special attention has been given on RF responsive composite nanomaterials. Besides these, the importance of RF-assisted drug delivery using the nanobiomaterials for cancer therapy, as well as the advantages and future perspectives of these materials are discussed in detail.","container-title":"Journal of Controlled Release","DOI":"10.1016/j.jconrel.2015.02.036","ISSN":"01683659","journalAbbreviation":"Journal of Controlled Release","language":"en","page":"85-97","source":"DOI.org (Crossref)","title":"Radio frequency responsive nano-biomaterials for cancer therapy","volume":"204","author":[{"family":"Rejinold","given":"N. Sanoj"},{"family":"Jayakumar","given":"R."},{"family":"Kim","given":"Yeu-Chun"}],"issued":{"date-parts":[["2015",4]]}}},{"id":1251,"uris":["http://zotero.org/users/7661987/items/56NIMMCG"],"itemData":{"id":1251,"type":"article-journal","abstract":"Despite the use of hyperthermia to treat cancer for thousands of years, the challenge of only heating malignant cells remains daunting. In pre-clinical and early clinical trials, metal nanoparticles induce hyperthermic cytotoxicity when exposed to near-infrared radiation or radiofrequency ﬁelds. We discuss the emerging roles of nanoparticles, especially gold, in the hyperthermic treatment of cancer. In addition, we discuss the similarities of radiofrequency ablation and nanoparticle mediated cytotoxicity.","container-title":"Advanced Drug Delivery Reviews","DOI":"10.1016/j.addr.2009.11.006","ISSN":"0169409X","issue":"3","journalAbbreviation":"Advanced Drug Delivery Reviews","language":"en","page":"339-345","source":"DOI.org (Crossref)","title":"Targeted hyperthermia using metal nanoparticles","volume":"62","author":[{"family":"Cherukuri","given":"Paul"},{"family":"Glazer","given":"Evan S."},{"family":"Curley","given":"Steven A."}],"issued":{"date-parts":[["2010",3]]}}}],"schema":"https://github.com/citation-style-language/schema/raw/master/csl-citation.json"} </w:instrText>
      </w:r>
      <w:r w:rsidR="00B8535B">
        <w:rPr>
          <w:rFonts w:ascii="Arial" w:hAnsi="Arial" w:cs="Arial"/>
          <w:color w:val="000000" w:themeColor="text1"/>
        </w:rPr>
        <w:fldChar w:fldCharType="separate"/>
      </w:r>
      <w:r w:rsidR="000F4F53" w:rsidRPr="000F4F53">
        <w:rPr>
          <w:rFonts w:ascii="Arial" w:hAnsi="Arial" w:cs="Arial"/>
          <w:color w:val="000000"/>
          <w:vertAlign w:val="superscript"/>
        </w:rPr>
        <w:t>252–254</w:t>
      </w:r>
      <w:r w:rsidR="00B8535B">
        <w:rPr>
          <w:rFonts w:ascii="Arial" w:hAnsi="Arial" w:cs="Arial"/>
          <w:color w:val="000000" w:themeColor="text1"/>
        </w:rPr>
        <w:fldChar w:fldCharType="end"/>
      </w:r>
      <w:r w:rsidRPr="00D74025">
        <w:rPr>
          <w:rFonts w:ascii="Arial" w:hAnsi="Arial" w:cs="Arial"/>
          <w:color w:val="000000" w:themeColor="text1"/>
        </w:rPr>
        <w:t xml:space="preserve">. </w:t>
      </w:r>
    </w:p>
    <w:p w14:paraId="799C2CCF" w14:textId="02E5CDA9" w:rsidR="00B75CC5" w:rsidRPr="00D74025" w:rsidRDefault="006B341B" w:rsidP="002C3B2A">
      <w:pPr>
        <w:spacing w:line="360" w:lineRule="auto"/>
        <w:ind w:firstLine="1440"/>
        <w:contextualSpacing/>
        <w:jc w:val="both"/>
        <w:rPr>
          <w:rFonts w:ascii="Arial" w:hAnsi="Arial" w:cs="Arial"/>
          <w:color w:val="000000" w:themeColor="text1"/>
        </w:rPr>
      </w:pPr>
      <w:r w:rsidRPr="006B341B">
        <w:rPr>
          <w:rFonts w:ascii="Arial" w:hAnsi="Arial" w:cs="Arial"/>
          <w:color w:val="000000" w:themeColor="text1"/>
        </w:rPr>
        <w:t>Due to the formation of a dipole at the ends of SWCNT from the accumulation of opposing charges, electromagnetic waves cause nanotubes to vibrate.</w:t>
      </w:r>
      <w:r w:rsidR="004E69D4">
        <w:rPr>
          <w:rFonts w:ascii="Arial" w:hAnsi="Arial" w:cs="Arial"/>
          <w:color w:val="000000" w:themeColor="text1"/>
        </w:rPr>
        <w:t xml:space="preserve"> Those vibrations can </w:t>
      </w:r>
      <w:r w:rsidR="00870662">
        <w:rPr>
          <w:rFonts w:ascii="Arial" w:hAnsi="Arial" w:cs="Arial"/>
          <w:color w:val="000000" w:themeColor="text1"/>
        </w:rPr>
        <w:t>be dissipated into the surrounding, which promotes the increase in temperature</w:t>
      </w:r>
      <w:r w:rsidR="00870662">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{"citationID":"a14p42cv1bv","properties":{"formattedCitation":"\\super 255\\uc0\\u8211{}257\\nosupersub{}","plainCitation":"255–257","noteIndex":0},"citationItems":[{"id":1240,"uris":["http://zotero.org/users/7661987/items/2E73QYF5"],"itemData":{"id":1240,"type":"article-journal","container-title":"Physical Review Letters","DOI":"10.1103/PhysRevLett.99.085501","ISSN":"0031-9007, 1079-7114","issue":"8","journalAbbreviation":"Phys. Rev. Lett.","language":"en","page":"085501","source":"DOI.org (Crossref)","title":"Mechanical Detection of Carbon Nanotube Resonator Vibrations","volume":"99","author":[{"family":"Garcia-Sanchez","given":"D."},{"family":"San Paulo","given":"A."},{"family":"Esplandiu","given":"M. J."},{"family":"Perez-Murano","given":"F."},{"family":"Forró","given":"L."},{"family":"Aguasca","given":"A."},{"family":"Bachtold","given":"A."}],"issued":{"date-parts":[["2007",8,20]]}}},{"id":1239,"uris":["http://zotero.org/users/7661987/items/QP6EUZII"],"itemData":{"id":1239,"type":"article-journal","abstract":"We have constructed a fully functional, fully integrated radio receiver from a single carbon nanotube. The nanotube serves simultaneously as all essential components of a radio: antenna, tunable band-pass filter, amplifier, and demodulator. A direct current voltage source, as supplied by a battery, powers the radio. Using carrier waves in the commercially relevant 40−400 MHz range and both frequency and amplitude modulation techniques, we demonstrate successful music and voice reception.","container-title":"Nano Letters","DOI":"10.1021/nl0721113","ISSN":"1530-6984, 1530-6992","issue":"11","journalAbbreviation":"Nano Lett.","language":"en","page":"3508-3511","source":"DOI.org (Crossref)","title":"Nanotube Radio","volume":"7","author":[{"family":"Jensen","given":"K."},{"family":"Weldon","given":"J."},{"family":"Garcia","given":"H."},{"family":"Zettl","given":"A."}],"issued":{"date-parts":[["2007",11,1]]}}},{"id":1241,"uris":["http://zotero.org/users/7661987/items/SY7APLUY"],"itemData":{"id":1241,"type":"article-journal","abstract":"We have observed the transversal vibration mode of suspended carbon nanotubes at millikelvin temperatures by measuring the singleelectron tunneling current. The suspended nanotubes are actuated contact-free by the radio frequency electric ﬁeld of a nearby antenna; the mechanical resonance is detected in the time-averaged current through the nanotube. Sharp, gate-tunable resonances due to the bending mode of the nanotube are observed, combining resonance frequencies of up to ν0 ) 350 MHz with quality factors above Q ) 105, much higher than previously reported results on suspended carbon nanotube resonators. The measured magnitude and temperature dependence of the Q factor shows a remarkable agreement with the intrinsic damping predicted for a suspended carbon nanotube. By adjusting the radio frequency power on the antenna, we ﬁnd that the nanotube resonator can easily be driven into the nonlinear regime.","container-title":"Nano Letters","DOI":"10.1021/nl900612h","ISSN":"1530-6984, 1530-6992","issue":"7","journalAbbreviation":"Nano Lett.","language":"en","page":"2547-2552","source":"DOI.org (Crossref)","title":"Carbon Nanotubes as Ultrahigh Quality Factor Mechanical Resonators","volume":"9","author":[{"family":"Hüttel","given":"Andreas K."},{"family":"Steele","given":"Gary A."},{"family":"Witkamp","given":"Benoit"},{"family":"Poot","given":"Menno"},{"family":"Kouwenhoven","given":"Leo P."},{"family":"Zant","given":"Herre S. J.","non-dropping-particle":"van der"}],"issued":{"date-parts":[["2009",7,8]]}}}],"schema":"https://github.com/citation-style-language/schema/raw/master/csl-citation.json"} </w:instrText>
      </w:r>
      <w:r w:rsidR="00870662">
        <w:rPr>
          <w:rFonts w:ascii="Arial" w:hAnsi="Arial" w:cs="Arial"/>
          <w:color w:val="000000" w:themeColor="text1"/>
        </w:rPr>
        <w:fldChar w:fldCharType="separate"/>
      </w:r>
      <w:r w:rsidR="000F4F53" w:rsidRPr="000F4F53">
        <w:rPr>
          <w:rFonts w:ascii="Arial" w:hAnsi="Arial" w:cs="Arial"/>
          <w:color w:val="000000"/>
          <w:vertAlign w:val="superscript"/>
        </w:rPr>
        <w:t>255–257</w:t>
      </w:r>
      <w:r w:rsidR="00870662">
        <w:rPr>
          <w:rFonts w:ascii="Arial" w:hAnsi="Arial" w:cs="Arial"/>
          <w:color w:val="000000" w:themeColor="text1"/>
        </w:rPr>
        <w:fldChar w:fldCharType="end"/>
      </w:r>
      <w:r w:rsidR="00870662">
        <w:rPr>
          <w:rFonts w:ascii="Arial" w:hAnsi="Arial" w:cs="Arial"/>
          <w:color w:val="000000" w:themeColor="text1"/>
        </w:rPr>
        <w:t>.</w:t>
      </w:r>
    </w:p>
    <w:p w14:paraId="1FDE5390" w14:textId="77777777" w:rsidR="00B75CC5" w:rsidRPr="00D74025" w:rsidRDefault="00B75CC5" w:rsidP="002C3B2A">
      <w:pPr>
        <w:spacing w:line="360" w:lineRule="auto"/>
        <w:ind w:firstLine="1440"/>
        <w:contextualSpacing/>
        <w:jc w:val="both"/>
        <w:rPr>
          <w:rFonts w:ascii="Arial" w:hAnsi="Arial" w:cs="Arial"/>
          <w:color w:val="000000" w:themeColor="text1"/>
        </w:rPr>
      </w:pPr>
    </w:p>
    <w:p w14:paraId="10C92E02" w14:textId="3D6DE4F5" w:rsidR="00B14EFD" w:rsidRPr="00D74025" w:rsidRDefault="00EF5169" w:rsidP="00B14EFD">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lastRenderedPageBreak/>
        <w:t xml:space="preserve">In a study by Gannon </w:t>
      </w:r>
      <w:r w:rsidRPr="009E272E">
        <w:rPr>
          <w:rFonts w:ascii="Arial" w:hAnsi="Arial" w:cs="Arial"/>
          <w:i/>
          <w:iCs/>
          <w:color w:val="000000" w:themeColor="text1"/>
        </w:rPr>
        <w:t>et al</w:t>
      </w:r>
      <w:r w:rsidRPr="00D74025">
        <w:rPr>
          <w:rFonts w:ascii="Arial" w:hAnsi="Arial" w:cs="Arial"/>
          <w:color w:val="000000" w:themeColor="text1"/>
        </w:rPr>
        <w:t>.</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{"citationID":"adsgpintmk","properties":{"formattedCitation":"\\super 258\\nosupersub{}","plainCitation":"258","noteIndex":0},"citationItems":[{"id":329,"uris":["http://zotero.org/users/7661987/items/BATPHAHI"],"itemData":{"id":329,"type":"article-journal","abstract":"BACKGROUND. Single-walled carbon nanotubes (SWNTs) have remarkable physicochemical properties that may have several medical applications. The authors have discovered a novel property of SWNTs—heat release in a radiofrequency (RF) field—that they hypothesized may be used to produce thermal cytotoxicity in malignant cells.\nMETHODS. Functionalized, water-soluble SWNTs were exposed to a noninvasive, 13.56-megahertz RF field, and heating characteristics were measured with infrared thermography. Three human cancer cell lines were incubated with various concentrations of SWNTs and then treated in the RF field. Cytotoxicity was measured by fluorescence-activated cell sorting. Hepatic VX2 tumors in rabbits were injected with SWNTs or with control solutions and were treated in the RF field. Tumors were harvested 48 hours later to assess viability.\nRESULTS. The RF field induced efficient heating of aqueous suspensions of SWNTs. This phenomenon was used to produce a noninvasive, selective, and SWNT concentration-dependent thermal destruction in vitro of human cancer cells that contained internalized SWNTs. Direct intratumoral injection of SWNTs in vivo followed by immediate RF field treatment was tolerated well by rabbits bearing hepatic VX2 tumors. At 48 hours, all SWNT-treated tumors demonstrated complete necrosis, whereas control tumors that were treated with RF without SWNTs remained completely viable. Tumors that were injected with SWNTs but were not treated with RF also were viable.\nCONCLUSIONS. The current results suggested that SWNTs targeted to cancer cells may allow noninvasive RF field treatments to produce lethal thermal injury to the malignant cells. Now, the authors are developing SWNTs coupled with cancer celltargeting agents to enhance SWNT uptake by cancer cells while limiting uptake by normal cells. Cancer 2007;110:2654–65. Ó 2007 American Cancer Society.","container-title":"Cancer","DOI":"10.1002/cncr.23155","ISSN":"0008543X","issue":"12","journalAbbreviation":"Cancer","language":"en","page":"2654-2665","source":"DOI.org (Crossref)","title":"Carbon nanotube-enhanced thermal destruction of cancer cells in a noninvasive radiofrequency field: Nanotube Heating Kills Cancer Cells","title-short":"Carbon nanotube-enhanced thermal destruction of cancer cells in a noninvasive radiofrequency field","volume":"110","author":[{"family":"Gannon","given":"Christopher J."},{"family":"Cherukuri","given":"Paul"},{"family":"Yakobson","given":"Boris I."},{"family":"Cognet","given":"Laurent"},{"family":"Kanzius","given":"John S."},{"family":"Kittrell","given":"Carter"},{"family":"Weisman","given":"R. Bruce"},{"family":"Pasquali","given":"Matteo"},{"family":"Schmidt","given":"Howard K."},{"family":"Smalley","given":"Richard E."},{"family":"Curley","given":"Steven A."}],"issued":{"date-parts":[["2007",12,15]]}}}],"schema":"https://github.com/citation-style-language/schema/raw/master/csl-citation.json"}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258</w:t>
      </w:r>
      <w:r w:rsidRPr="00D74025">
        <w:rPr>
          <w:rFonts w:ascii="Arial" w:hAnsi="Arial" w:cs="Arial"/>
          <w:color w:val="000000" w:themeColor="text1"/>
        </w:rPr>
        <w:fldChar w:fldCharType="end"/>
      </w:r>
      <w:r w:rsidRPr="00D74025">
        <w:rPr>
          <w:rFonts w:ascii="Arial" w:hAnsi="Arial" w:cs="Arial"/>
          <w:color w:val="000000" w:themeColor="text1"/>
        </w:rPr>
        <w:t xml:space="preserve">, </w:t>
      </w:r>
      <w:proofErr w:type="spellStart"/>
      <w:r w:rsidRPr="00D74025">
        <w:rPr>
          <w:rFonts w:ascii="Arial" w:hAnsi="Arial" w:cs="Arial"/>
          <w:color w:val="000000" w:themeColor="text1"/>
        </w:rPr>
        <w:t>CoMoCAT</w:t>
      </w:r>
      <w:proofErr w:type="spellEnd"/>
      <w:r w:rsidRPr="00D74025">
        <w:rPr>
          <w:rFonts w:ascii="Arial" w:hAnsi="Arial" w:cs="Arial"/>
          <w:color w:val="000000" w:themeColor="text1"/>
        </w:rPr>
        <w:t xml:space="preserve"> single walled carbon nanotubes functionalized with a polymer based on polyphenylene ethynylene (</w:t>
      </w:r>
      <w:proofErr w:type="spellStart"/>
      <w:r w:rsidRPr="00D74025">
        <w:rPr>
          <w:rFonts w:ascii="Arial" w:hAnsi="Arial" w:cs="Arial"/>
          <w:color w:val="000000" w:themeColor="text1"/>
        </w:rPr>
        <w:t>kentera</w:t>
      </w:r>
      <w:proofErr w:type="spellEnd"/>
      <w:r w:rsidRPr="00D74025">
        <w:rPr>
          <w:rFonts w:ascii="Arial" w:hAnsi="Arial" w:cs="Arial"/>
          <w:color w:val="000000" w:themeColor="text1"/>
        </w:rPr>
        <w:t xml:space="preserve">) were studied </w:t>
      </w:r>
      <w:r w:rsidRPr="00D74025">
        <w:rPr>
          <w:rFonts w:ascii="Arial" w:hAnsi="Arial" w:cs="Arial"/>
          <w:i/>
          <w:iCs/>
          <w:color w:val="000000" w:themeColor="text1"/>
        </w:rPr>
        <w:t>in vitro</w:t>
      </w:r>
      <w:r w:rsidRPr="00D74025">
        <w:rPr>
          <w:rFonts w:ascii="Arial" w:hAnsi="Arial" w:cs="Arial"/>
          <w:color w:val="000000" w:themeColor="text1"/>
        </w:rPr>
        <w:t xml:space="preserve"> in </w:t>
      </w:r>
      <w:r w:rsidR="00943BE2">
        <w:rPr>
          <w:rFonts w:ascii="Arial" w:hAnsi="Arial" w:cs="Arial"/>
          <w:color w:val="000000" w:themeColor="text1"/>
        </w:rPr>
        <w:t xml:space="preserve">a </w:t>
      </w:r>
      <w:r w:rsidRPr="00D74025">
        <w:rPr>
          <w:rFonts w:ascii="Arial" w:hAnsi="Arial" w:cs="Arial"/>
          <w:color w:val="000000" w:themeColor="text1"/>
        </w:rPr>
        <w:t xml:space="preserve">13.56 MHz RF field and showed significant heat compared to control at low concentrations of SWCNT in suspension. </w:t>
      </w:r>
      <w:r w:rsidRPr="00D74025">
        <w:rPr>
          <w:rFonts w:ascii="Arial" w:hAnsi="Arial" w:cs="Arial"/>
          <w:i/>
          <w:iCs/>
          <w:color w:val="000000" w:themeColor="text1"/>
        </w:rPr>
        <w:t>In vitro</w:t>
      </w:r>
      <w:r w:rsidRPr="00D74025">
        <w:rPr>
          <w:rFonts w:ascii="Arial" w:hAnsi="Arial" w:cs="Arial"/>
          <w:color w:val="000000" w:themeColor="text1"/>
        </w:rPr>
        <w:t xml:space="preserve"> studies have shown cytotoxic effects with the irradiation at 800 W of cells. </w:t>
      </w:r>
      <w:r w:rsidRPr="00D74025">
        <w:rPr>
          <w:rFonts w:ascii="Arial" w:hAnsi="Arial" w:cs="Arial"/>
          <w:i/>
          <w:iCs/>
          <w:color w:val="000000" w:themeColor="text1"/>
        </w:rPr>
        <w:t>In vivo</w:t>
      </w:r>
      <w:r w:rsidRPr="00D74025">
        <w:rPr>
          <w:rFonts w:ascii="Arial" w:hAnsi="Arial" w:cs="Arial"/>
          <w:color w:val="000000" w:themeColor="text1"/>
        </w:rPr>
        <w:t xml:space="preserve"> studies in hepatic tumor</w:t>
      </w:r>
      <w:r w:rsidR="000F37EF">
        <w:rPr>
          <w:rFonts w:ascii="Arial" w:hAnsi="Arial" w:cs="Arial"/>
          <w:color w:val="000000" w:themeColor="text1"/>
        </w:rPr>
        <w:t>s</w:t>
      </w:r>
      <w:r w:rsidRPr="00D74025">
        <w:rPr>
          <w:rFonts w:ascii="Arial" w:hAnsi="Arial" w:cs="Arial"/>
          <w:color w:val="000000" w:themeColor="text1"/>
        </w:rPr>
        <w:t xml:space="preserve"> in rabbits have also show</w:t>
      </w:r>
      <w:r w:rsidR="000F37EF">
        <w:rPr>
          <w:rFonts w:ascii="Arial" w:hAnsi="Arial" w:cs="Arial"/>
          <w:color w:val="000000" w:themeColor="text1"/>
        </w:rPr>
        <w:t>n</w:t>
      </w:r>
      <w:r w:rsidRPr="00D74025">
        <w:rPr>
          <w:rFonts w:ascii="Arial" w:hAnsi="Arial" w:cs="Arial"/>
          <w:color w:val="000000" w:themeColor="text1"/>
        </w:rPr>
        <w:t xml:space="preserve"> induction of tumor necrosis 48 hours after the irradiation of tumors </w:t>
      </w:r>
      <w:proofErr w:type="gramStart"/>
      <w:r w:rsidRPr="00D74025">
        <w:rPr>
          <w:rFonts w:ascii="Arial" w:hAnsi="Arial" w:cs="Arial"/>
          <w:color w:val="000000" w:themeColor="text1"/>
        </w:rPr>
        <w:t>with  600</w:t>
      </w:r>
      <w:proofErr w:type="gramEnd"/>
      <w:r w:rsidRPr="00D74025">
        <w:rPr>
          <w:rFonts w:ascii="Arial" w:hAnsi="Arial" w:cs="Arial"/>
          <w:color w:val="000000" w:themeColor="text1"/>
        </w:rPr>
        <w:t xml:space="preserve"> W of the non-invasive RF field generated between plates where the rabbits were placed. An area of 2</w:t>
      </w:r>
      <w:r w:rsidR="000F37EF">
        <w:rPr>
          <w:rFonts w:ascii="Arial" w:hAnsi="Arial" w:cs="Arial"/>
          <w:color w:val="000000" w:themeColor="text1"/>
        </w:rPr>
        <w:t>-</w:t>
      </w:r>
      <w:r w:rsidRPr="00D74025">
        <w:rPr>
          <w:rFonts w:ascii="Arial" w:hAnsi="Arial" w:cs="Arial"/>
          <w:color w:val="000000" w:themeColor="text1"/>
        </w:rPr>
        <w:t>5 mm healthy tissue around the tumor depicted thermal injury. The control group (no SWCNT) did not have signs of tumor necrosis nor thermal injury</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{"citationID":"aqplj0smqa","properties":{"formattedCitation":"\\super 258\\nosupersub{}","plainCitation":"258","noteIndex":0},"citationItems":[{"id":329,"uris":["http://zotero.org/users/7661987/items/BATPHAHI"],"itemData":{"id":329,"type":"article-journal","abstract":"BACKGROUND. Single-walled carbon nanotubes (SWNTs) have remarkable physicochemical properties that may have several medical applications. The authors have discovered a novel property of SWNTs—heat release in a radiofrequency (RF) field—that they hypothesized may be used to produce thermal cytotoxicity in malignant cells.\nMETHODS. Functionalized, water-soluble SWNTs were exposed to a noninvasive, 13.56-megahertz RF field, and heating characteristics were measured with infrared thermography. Three human cancer cell lines were incubated with various concentrations of SWNTs and then treated in the RF field. Cytotoxicity was measured by fluorescence-activated cell sorting. Hepatic VX2 tumors in rabbits were injected with SWNTs or with control solutions and were treated in the RF field. Tumors were harvested 48 hours later to assess viability.\nRESULTS. The RF field induced efficient heating of aqueous suspensions of SWNTs. This phenomenon was used to produce a noninvasive, selective, and SWNT concentration-dependent thermal destruction in vitro of human cancer cells that contained internalized SWNTs. Direct intratumoral injection of SWNTs in vivo followed by immediate RF field treatment was tolerated well by rabbits bearing hepatic VX2 tumors. At 48 hours, all SWNT-treated tumors demonstrated complete necrosis, whereas control tumors that were treated with RF without SWNTs remained completely viable. Tumors that were injected with SWNTs but were not treated with RF also were viable.\nCONCLUSIONS. The current results suggested that SWNTs targeted to cancer cells may allow noninvasive RF field treatments to produce lethal thermal injury to the malignant cells. Now, the authors are developing SWNTs coupled with cancer celltargeting agents to enhance SWNT uptake by cancer cells while limiting uptake by normal cells. Cancer 2007;110:2654–65. Ó 2007 American Cancer Society.","container-title":"Cancer","DOI":"10.1002/cncr.23155","ISSN":"0008543X","issue":"12","journalAbbreviation":"Cancer","language":"en","page":"2654-2665","source":"DOI.org (Crossref)","title":"Carbon nanotube-enhanced thermal destruction of cancer cells in a noninvasive radiofrequency field: Nanotube Heating Kills Cancer Cells","title-short":"Carbon nanotube-enhanced thermal destruction of cancer cells in a noninvasive radiofrequency field","volume":"110","author":[{"family":"Gannon","given":"Christopher J."},{"family":"Cherukuri","given":"Paul"},{"family":"Yakobson","given":"Boris I."},{"family":"Cognet","given":"Laurent"},{"family":"Kanzius","given":"John S."},{"family":"Kittrell","given":"Carter"},{"family":"Weisman","given":"R. Bruce"},{"family":"Pasquali","given":"Matteo"},{"family":"Schmidt","given":"Howard K."},{"family":"Smalley","given":"Richard E."},{"family":"Curley","given":"Steven A."}],"issued":{"date-parts":[["2007",12,15]]}}}],"schema":"https://github.com/citation-style-language/schema/raw/master/csl-citation.json"}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258</w:t>
      </w:r>
      <w:r w:rsidRPr="00D74025">
        <w:rPr>
          <w:rFonts w:ascii="Arial" w:hAnsi="Arial" w:cs="Arial"/>
          <w:color w:val="000000" w:themeColor="text1"/>
        </w:rPr>
        <w:fldChar w:fldCharType="end"/>
      </w:r>
      <w:r w:rsidRPr="00D74025">
        <w:rPr>
          <w:rFonts w:ascii="Arial" w:hAnsi="Arial" w:cs="Arial"/>
          <w:color w:val="000000" w:themeColor="text1"/>
        </w:rPr>
        <w:t xml:space="preserve">. </w:t>
      </w:r>
      <w:r w:rsidR="00B14EFD" w:rsidRPr="00D74025">
        <w:rPr>
          <w:rFonts w:ascii="Arial" w:hAnsi="Arial" w:cs="Arial"/>
          <w:color w:val="000000" w:themeColor="text1"/>
        </w:rPr>
        <w:t xml:space="preserve">Although no long-term tumor volume monitoring and survival of the animals were reported in the study, those results are evidence that the use of SWCNT in the radiofrequency field as a non-invasive RFA method (external plate irradiation) might also generate anti-tumoral effects similarly that SWCNT-ANXA5 mediated PTT has induced in our previous studies. </w:t>
      </w:r>
    </w:p>
    <w:p w14:paraId="7E18C207" w14:textId="77777777" w:rsidR="00C00307" w:rsidRPr="00D74025" w:rsidRDefault="00C00307" w:rsidP="00C00307">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Therefore, efforts to study SWCNT as an RF-responsive material are also part of the scope of this work.</w:t>
      </w:r>
    </w:p>
    <w:p w14:paraId="45A73684" w14:textId="77777777" w:rsidR="00EF5169" w:rsidRPr="00D74025" w:rsidRDefault="00EF5169" w:rsidP="000B421E">
      <w:pPr>
        <w:spacing w:line="360" w:lineRule="auto"/>
        <w:ind w:firstLine="1440"/>
        <w:contextualSpacing/>
        <w:jc w:val="both"/>
        <w:rPr>
          <w:rFonts w:ascii="Arial" w:hAnsi="Arial" w:cs="Arial"/>
          <w:color w:val="000000" w:themeColor="text1"/>
        </w:rPr>
      </w:pPr>
    </w:p>
    <w:p w14:paraId="3AE33D18" w14:textId="0F0CCDB0" w:rsidR="00EF5169" w:rsidRPr="00D74025" w:rsidRDefault="00EF5169" w:rsidP="000B421E">
      <w:pPr>
        <w:pStyle w:val="Heading3"/>
        <w:spacing w:line="360" w:lineRule="auto"/>
        <w:ind w:firstLine="1440"/>
        <w:rPr>
          <w:rFonts w:ascii="Arial" w:hAnsi="Arial" w:cs="Arial"/>
          <w:b/>
          <w:bCs/>
          <w:color w:val="000000" w:themeColor="text1"/>
        </w:rPr>
      </w:pPr>
      <w:bookmarkStart w:id="50" w:name="_Toc87466645"/>
      <w:bookmarkStart w:id="51" w:name="_Toc121217237"/>
      <w:r w:rsidRPr="00D74025">
        <w:rPr>
          <w:rFonts w:ascii="Arial" w:hAnsi="Arial" w:cs="Arial"/>
          <w:b/>
          <w:bCs/>
          <w:color w:val="000000" w:themeColor="text1"/>
        </w:rPr>
        <w:t>1.4.5 Targeted singl</w:t>
      </w:r>
      <w:r w:rsidR="0064498B">
        <w:rPr>
          <w:rFonts w:ascii="Arial" w:hAnsi="Arial" w:cs="Arial"/>
          <w:b/>
          <w:bCs/>
          <w:color w:val="000000" w:themeColor="text1"/>
        </w:rPr>
        <w:t>e-</w:t>
      </w:r>
      <w:r w:rsidRPr="00D74025">
        <w:rPr>
          <w:rFonts w:ascii="Arial" w:hAnsi="Arial" w:cs="Arial"/>
          <w:b/>
          <w:bCs/>
          <w:color w:val="000000" w:themeColor="text1"/>
        </w:rPr>
        <w:t>walled carbon nanotubes as photosensitizer and radiofrequency responsive material</w:t>
      </w:r>
      <w:bookmarkEnd w:id="50"/>
      <w:bookmarkEnd w:id="51"/>
    </w:p>
    <w:p w14:paraId="65F73435" w14:textId="6FF5FB8E" w:rsidR="005B44D4" w:rsidRPr="00D74025" w:rsidRDefault="005B44D4" w:rsidP="005B44D4">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Discovered in 1991 by Iijima</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{"citationID":"q2etppRG","properties":{"formattedCitation":"\\super 259\\nosupersub{}","plainCitation":"259","noteIndex":0},"citationItems":[{"id":41,"uris":["http://zotero.org/users/7661987/items/QUSBA2QS"],"itemData":{"id":41,"type":"article-journal","container-title":"Nature","DOI":"10.1038/354056a0","ISSN":"0028-0836, 1476-4687","issue":"6348","journalAbbreviation":"Nature","language":"en","page":"56-58","source":"DOI.org (Crossref)","title":"Helical microtubules of graphitic carbon","volume":"354","author":[{"family":"Iijima","given":"Sumio"}],"issued":{"date-parts":[["1991",11]]}}}],"schema":"https://github.com/citation-style-language/schema/raw/master/csl-citation.json"}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259</w:t>
      </w:r>
      <w:r w:rsidRPr="00D74025">
        <w:rPr>
          <w:rFonts w:ascii="Arial" w:hAnsi="Arial" w:cs="Arial"/>
          <w:color w:val="000000" w:themeColor="text1"/>
        </w:rPr>
        <w:fldChar w:fldCharType="end"/>
      </w:r>
      <w:r w:rsidRPr="00D74025">
        <w:rPr>
          <w:rFonts w:ascii="Arial" w:hAnsi="Arial" w:cs="Arial"/>
          <w:color w:val="000000" w:themeColor="text1"/>
        </w:rPr>
        <w:t xml:space="preserve">, carbon nanotubes (CNT) are nano-scaled cylinders of carbon atoms covalently linked with </w:t>
      </w:r>
      <w:r w:rsidRPr="00D74025">
        <w:rPr>
          <w:rFonts w:ascii="Arial" w:hAnsi="Arial" w:cs="Arial"/>
          <w:i/>
          <w:iCs/>
          <w:color w:val="000000" w:themeColor="text1"/>
        </w:rPr>
        <w:t>sp²</w:t>
      </w:r>
      <w:r w:rsidRPr="00D74025">
        <w:rPr>
          <w:rFonts w:ascii="Arial" w:hAnsi="Arial" w:cs="Arial"/>
          <w:color w:val="000000" w:themeColor="text1"/>
        </w:rPr>
        <w:t xml:space="preserve"> hybridization state. Those particles can be idealized as a single sheet of graphene or multiple coaxial sheets, respectively named single-walled carbon nanotubes (SWCNT) and multi-walled carbon nanotubes (MWCNT). CNT’s unique physical properties have attracted their use in numerous applications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{"citationID":"qUQdTENl","properties":{"formattedCitation":"\\super 260\\uc0\\u8211{}263\\nosupersub{}","plainCitation":"260–263","noteIndex":0},"citationItems":[{"id":39,"uris":["http://zotero.org/users/7661987/items/TKX3XARH"],"itemData":{"id":39,"type":"article-journal","container-title":"Nature","DOI":"10.1038/381678a0","ISSN":"0028-0836, 1476-4687","issue":"6584","journalAbbreviation":"Nature","language":"en","page":"678-680","source":"DOI.org (Crossref)","title":"Exceptionally high Young's modulus observed for individual carbon nanotubes","volume":"381","author":[{"family":"Treacy","given":"M. M. J."},{"family":"Ebbesen","given":"T. W."},{"family":"Gibson","given":"J. M."}],"issued":{"date-parts":[["1996",6]]}}},{"id":38,"uris":["http://zotero.org/users/7661987/items/EV3JYEYH"],"itemData":{"id":38,"type":"article-journal","abstract":"Fourkindsof single-walcl arbonnanotubes(SWNTs)with differentdiametedr istributionhavebeensynthesizedandopticalabsorption spectrahavebeenmeasuredT.hreelargeabsorptionbandsdueto the opticaltransitionsbetweenspike-likedensityof statesc, haracteristics of SWNTs,wereobservedfrom infraredto visibleregion.Comparingwith thecalculatedenergyband,it hasbeenconcludedthat thefust andthesecondlowestabsorptionbandsaredueto theopticaltransitionsbetweenspikesin semiconductoprhasesandthethird oneis due to thatin metallicphasesA.bsorptionPeakssensitivelyshiftedto higherenergysidewith decreasintgubediametersasthebandcalculation predicted.ResonanceRamanspectrawere also measuredusing various laserlines. When the excitation is in an energyregion correspondintgo the absorptionbandof metallicphases, pectrahaveshownBreit-Wigner-Fanoline shape,which is a signof metallic phase.Usingtheseresults,we caneasilycharacterizeSWNTsfrom the optical absorptionspectrawithout Ramanmeasuremenatsnd transmissioenlectronmicroscopeobservations.","container-title":"Synthetic Metals","DOI":"10.1016/S0379-6779(98)00278-1","ISSN":"03796779","issue":"1-3","journalAbbreviation":"Synthetic Metals","language":"en","page":"2555-2558","source":"DOI.org (Crossref)","title":"Optical properties of single-wall carbon nanotubes","volume":"103","author":[{"family":"Kataura","given":"H."},{"family":"Kumazawa","given":"Y."},{"family":"Maniwa","given":"Y."},{"family":"Umezu","given":"I."},{"family":"Suzuki","given":"S."},{"family":"Ohtsuka","given":"Y."},{"family":"Achiba","given":"Y."}],"issued":{"date-parts":[["1999",6]]}}},{"id":37,"uris":["http://zotero.org/users/7661987/items/8CANJ55U"],"itemData":{"id":37,"type":"article-journal","abstract":"The thermal properties of a suspended metallic single-wall carbon nanotube (SWNT) are extracted from its high-bias (I−V) electrical characteristics over the 300−800 K temperature range, achieved by Joule self-heating. The thermal conductance is approximately 2.4 nW/K, and the thermal conductivity is nearly 3500 Wm-1K-1 at room temperature for a SWNT of length 2.6 µm and diameter 1.7 nm. A subtle decrease in thermal conductivity steeper than 1/T is observed at the upper end of the temperature range, which is attributed to second-order three-phonon scattering between two acoustic modes and one optical mode. We discuss sources of uncertainty and propose a simple analytical model for the SWNT thermal conductivity including length and temperature dependence.","container-title":"Nano Letters","DOI":"10.1021/nl052145f","ISSN":"1530-6984, 1530-6992","issue":"1","journalAbbreviation":"Nano Lett.","language":"en","page":"96-100","source":"DOI.org (Crossref)","title":"Thermal Conductance of an Individual Single-Wall Carbon Nanotube above Room Temperature","volume":"6","author":[{"family":"Pop","given":"Eric"},{"family":"Mann","given":"David"},{"family":"Wang","given":"Qian"},{"family":"Goodson","given":"Kenneth"},{"family":"Dai","given":"Hongjie"}],"issued":{"date-parts":[["2006",1,1]]}}},{"id":36,"uris":["http://zotero.org/users/7661987/items/2GNQHIVL"],"itemData":{"id":36,"type":"article-journal","abstract":"As indicated by theory and experimental measurements individual carbon nanotubes (CNTs) have very high values of thermal conductivity. One of the challenges is to achieve high thermal conductivity in macroscopic assemblies of CNTs such as ﬁbres, ﬁlms and composites, paving the way to a wide range of applications. CNT ﬁbres have tremendous potential in succeeding as the future materials for a variety of applications when properties at the nanoscale are translated to their macroscopic assemblies. In this paper we report the measurements of thermal conductivity of continuously spun CNT ﬁbres and its dependence on temperature. Thermal conductivity measurements were performed using in-house built temperature sensing microscope probe. Speciﬁc thermal conductivity of CNT ﬁbres showed an order of magnitude advantage over the traditional materials used for heat dissipation.","container-title":"Physica E: Low-dimensional Systems and Nanostructures","DOI":"10.1016/j.physe.2016.12.011","ISSN":"13869477","journalAbbreviation":"Physica E: Low-dimensional Systems and Nanostructures","language":"en","page":"104-108","source":"DOI.org (Crossref)","title":"Thermal properties of continuously spun carbon nanotube fibres","volume":"88","author":[{"family":"Koziol","given":"Krzysztof K."},{"family":"Janas","given":"Dawid"},{"family":"Brown","given":"Elisabetta"},{"family":"Hao","given":"Ling"}],"issued":{"date-parts":[["2017",4]]}}}],"schema":"https://github.com/citation-style-language/schema/raw/master/csl-citation.json"}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260–263</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4187942F" w14:textId="40A3F7A1" w:rsidR="00CE71C6" w:rsidRDefault="00CE71C6" w:rsidP="00CE71C6">
      <w:pPr>
        <w:spacing w:line="360" w:lineRule="auto"/>
        <w:ind w:firstLine="1440"/>
        <w:jc w:val="both"/>
        <w:rPr>
          <w:rFonts w:ascii="Arial" w:hAnsi="Arial" w:cs="Arial"/>
          <w:color w:val="000000" w:themeColor="text1"/>
        </w:rPr>
      </w:pPr>
      <w:r w:rsidRPr="00D74025">
        <w:rPr>
          <w:rFonts w:ascii="Arial" w:hAnsi="Arial" w:cs="Arial"/>
          <w:color w:val="000000" w:themeColor="text1"/>
        </w:rPr>
        <w:t>The properties of CNT are related to the manner carbon atoms assemble in the cylindrical structure, also called chirality. The classification of the chirality is based on the direction that a theoretical graphene sheet is rolled up to generate the carbon nanotube. This classification is based on the chiral angle, the direction of the hypothetical graphene sheet rolled to form the carbon nanotube. The 0</w:t>
      </w:r>
      <w:r w:rsidRPr="00D74025">
        <w:rPr>
          <w:rFonts w:ascii="Arial" w:hAnsi="Arial" w:cs="Arial"/>
          <w:color w:val="000000" w:themeColor="text1"/>
        </w:rPr>
        <w:sym w:font="Symbol" w:char="F0B0"/>
      </w:r>
      <w:r w:rsidRPr="00D74025">
        <w:rPr>
          <w:rFonts w:ascii="Arial" w:hAnsi="Arial" w:cs="Arial"/>
          <w:color w:val="000000" w:themeColor="text1"/>
        </w:rPr>
        <w:t xml:space="preserve"> is defined as the direction where the vector crosses parallelly to two of the sides of the hexagons, a structure usually </w:t>
      </w:r>
      <w:r w:rsidRPr="00D74025">
        <w:rPr>
          <w:rFonts w:ascii="Arial" w:hAnsi="Arial" w:cs="Arial"/>
          <w:color w:val="000000" w:themeColor="text1"/>
        </w:rPr>
        <w:lastRenderedPageBreak/>
        <w:t>nominated as armchair</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{"citationID":"Oh7RQlXO","properties":{"formattedCitation":"\\super 264\\nosupersub{}","plainCitation":"264","noteIndex":0},"citationItems":[{"id":35,"uris":["http://zotero.org/users/7661987/items/YSDZXHEK"],"itemData":{"id":35,"type":"article-journal","container-title":"Chemical Society Reviews","DOI":"10.1039/c2cs15334c","ISSN":"0306-0012, 1460-4744","issue":"12","journalAbbreviation":"Chem. Soc. Rev.","language":"en","page":"4409","source":"DOI.org (Crossref)","title":"Unweaving the rainbow: a review of the relationship between single-walled carbon nanotube molecular structures and their chemical reactivity","title-short":"Unweaving the rainbow","volume":"41","author":[{"family":"Hodge","given":"Stephen A."},{"family":"Bayazit","given":"Mustafa K."},{"family":"Coleman","given":"Karl S."},{"family":"Shaffer","given":"Milo S. P."}],"issued":{"date-parts":[["2012"]]}}}],"schema":"https://github.com/citation-style-language/schema/raw/master/csl-citation.json"}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264</w:t>
      </w:r>
      <w:r w:rsidRPr="00D74025">
        <w:rPr>
          <w:rFonts w:ascii="Arial" w:hAnsi="Arial" w:cs="Arial"/>
          <w:color w:val="000000" w:themeColor="text1"/>
        </w:rPr>
        <w:fldChar w:fldCharType="end"/>
      </w:r>
      <w:r w:rsidRPr="00D74025">
        <w:rPr>
          <w:rFonts w:ascii="Arial" w:hAnsi="Arial" w:cs="Arial"/>
          <w:color w:val="000000" w:themeColor="text1"/>
        </w:rPr>
        <w:t xml:space="preserve">, as shown in </w:t>
      </w:r>
      <w:r w:rsidR="009B7EB2" w:rsidRPr="009B7EB2">
        <w:rPr>
          <w:rFonts w:ascii="Arial" w:hAnsi="Arial" w:cs="Arial"/>
          <w:b/>
          <w:bCs/>
          <w:color w:val="000000" w:themeColor="text1"/>
        </w:rPr>
        <w:t>F</w:t>
      </w:r>
      <w:r w:rsidRPr="009B7EB2">
        <w:rPr>
          <w:rFonts w:ascii="Arial" w:hAnsi="Arial" w:cs="Arial"/>
          <w:b/>
          <w:bCs/>
          <w:color w:val="000000" w:themeColor="text1"/>
        </w:rPr>
        <w:t>igure 2</w:t>
      </w:r>
      <w:r w:rsidR="009B7EB2">
        <w:rPr>
          <w:rFonts w:ascii="Arial" w:hAnsi="Arial" w:cs="Arial"/>
          <w:b/>
          <w:bCs/>
          <w:color w:val="000000" w:themeColor="text1"/>
        </w:rPr>
        <w:t>2</w:t>
      </w:r>
      <w:r w:rsidRPr="00D74025">
        <w:rPr>
          <w:rFonts w:ascii="Arial" w:hAnsi="Arial" w:cs="Arial"/>
          <w:color w:val="000000" w:themeColor="text1"/>
        </w:rPr>
        <w:t xml:space="preserve">. The direction that perpendicularly crosses the two parallel faces of the hexagon is called </w:t>
      </w:r>
      <w:proofErr w:type="gramStart"/>
      <w:r w:rsidRPr="00D74025">
        <w:rPr>
          <w:rFonts w:ascii="Arial" w:hAnsi="Arial" w:cs="Arial"/>
          <w:color w:val="000000" w:themeColor="text1"/>
        </w:rPr>
        <w:t>zig-zag</w:t>
      </w:r>
      <w:proofErr w:type="gramEnd"/>
      <w:r w:rsidRPr="00D74025">
        <w:rPr>
          <w:rFonts w:ascii="Arial" w:hAnsi="Arial" w:cs="Arial"/>
          <w:color w:val="000000" w:themeColor="text1"/>
        </w:rPr>
        <w:t>, and all the other CNT formed by intermediate angles are called chiral. The direction of the chiral vector is identified by the pair of indices (</w:t>
      </w:r>
      <w:proofErr w:type="spellStart"/>
      <w:r w:rsidRPr="00D74025">
        <w:rPr>
          <w:rFonts w:ascii="Arial" w:hAnsi="Arial" w:cs="Arial"/>
          <w:color w:val="000000" w:themeColor="text1"/>
        </w:rPr>
        <w:t>n,m</w:t>
      </w:r>
      <w:proofErr w:type="spellEnd"/>
      <w:r w:rsidRPr="00D74025">
        <w:rPr>
          <w:rFonts w:ascii="Arial" w:hAnsi="Arial" w:cs="Arial"/>
          <w:color w:val="000000" w:themeColor="text1"/>
        </w:rPr>
        <w:t>) correlated to the chiral angle, and the diameter of the CNT is associated with the integer multiplying those indices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{"citationID":"4o6lzcLX","properties":{"formattedCitation":"\\super 265\\nosupersub{}","plainCitation":"265","noteIndex":0},"citationItems":[{"id":34,"uris":["http://zotero.org/users/7661987/items/RNZRLQFG"],"itemData":{"id":34,"type":"article-journal","abstract":"The use of Raman spectroscopy to reveal the remarkable structure and the unusual electronic and phonon properties of single wall carbon nanotubes (SWNTs) is reviewed comprehensively. The various types of Raman scattering processes relevant to carbon nanotubes are reviewed, and the theoretical foundations for these topics are presented. The most common experimental techniques used to probe carbon nanotubes are summarized, followed by a review of the novel experimental ﬁndings for each of the features in the ﬁrst order and second order Raman spectra for single wall carbon nanotubes. These results are presented and discussed in connection with theoretical considerations. Raman spectra for bundles of SWNTs, for SWNTs surrounded by various common wrapping agents, and for isolated SWNTs at the single nanotube level are reviewed. Some of the current research challenges facing the ﬁeld are brieﬂy summarized.","container-title":"Physics Reports","DOI":"10.1016/j.physrep.2004.10.006","ISSN":"03701573","issue":"2","journalAbbreviation":"Physics Reports","language":"en","page":"47-99","source":"DOI.org (Crossref)","title":"Raman spectroscopy of carbon nanotubes","volume":"409","author":[{"family":"Dresselhaus","given":"M.S."},{"family":"Dresselhaus","given":"G."},{"family":"Saito","given":"R."},{"family":"Jorio","given":"A."}],"issued":{"date-parts":[["2005",3]]}}}],"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265</w:t>
      </w:r>
      <w:r w:rsidRPr="00D74025">
        <w:rPr>
          <w:rFonts w:ascii="Arial" w:hAnsi="Arial" w:cs="Arial"/>
          <w:color w:val="000000" w:themeColor="text1"/>
        </w:rPr>
        <w:fldChar w:fldCharType="end"/>
      </w:r>
      <w:r w:rsidRPr="00D74025">
        <w:rPr>
          <w:rFonts w:ascii="Arial" w:hAnsi="Arial" w:cs="Arial"/>
          <w:color w:val="000000" w:themeColor="text1"/>
        </w:rPr>
        <w:t xml:space="preserve">. As seen in </w:t>
      </w:r>
      <w:r w:rsidR="003C1DE3" w:rsidRPr="003C1DE3">
        <w:rPr>
          <w:rFonts w:ascii="Arial" w:hAnsi="Arial" w:cs="Arial"/>
          <w:b/>
          <w:bCs/>
          <w:color w:val="000000" w:themeColor="text1"/>
        </w:rPr>
        <w:t>F</w:t>
      </w:r>
      <w:r w:rsidRPr="003C1DE3">
        <w:rPr>
          <w:rFonts w:ascii="Arial" w:hAnsi="Arial" w:cs="Arial"/>
          <w:b/>
          <w:bCs/>
          <w:color w:val="000000" w:themeColor="text1"/>
        </w:rPr>
        <w:t>igure 2</w:t>
      </w:r>
      <w:r w:rsidR="003C1DE3" w:rsidRPr="003C1DE3">
        <w:rPr>
          <w:rFonts w:ascii="Arial" w:hAnsi="Arial" w:cs="Arial"/>
          <w:b/>
          <w:bCs/>
          <w:color w:val="000000" w:themeColor="text1"/>
        </w:rPr>
        <w:t>2</w:t>
      </w:r>
      <w:r w:rsidRPr="00D74025">
        <w:rPr>
          <w:rFonts w:ascii="Arial" w:hAnsi="Arial" w:cs="Arial"/>
          <w:color w:val="000000" w:themeColor="text1"/>
        </w:rPr>
        <w:t>, the chirality of the CNT establishes if the CNT has metallic or semi-conducting properties.</w:t>
      </w:r>
    </w:p>
    <w:p w14:paraId="6B900B8B" w14:textId="77777777" w:rsidR="00C04E4E" w:rsidRPr="00D74025" w:rsidRDefault="00C04E4E" w:rsidP="00CE71C6">
      <w:pPr>
        <w:spacing w:line="360" w:lineRule="auto"/>
        <w:ind w:firstLine="1440"/>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6A0A4884" w14:textId="77777777" w:rsidTr="00CE71C6">
        <w:tc>
          <w:tcPr>
            <w:tcW w:w="9350" w:type="dxa"/>
          </w:tcPr>
          <w:p w14:paraId="04487056" w14:textId="1612F8A8" w:rsidR="00CE71C6" w:rsidRPr="00D74025" w:rsidRDefault="00CE71C6" w:rsidP="00665F5E">
            <w:pPr>
              <w:spacing w:beforeAutospacing="0" w:line="360" w:lineRule="auto"/>
              <w:ind w:firstLine="0"/>
              <w:rPr>
                <w:rFonts w:ascii="Arial" w:hAnsi="Arial" w:cs="Arial"/>
                <w:color w:val="000000" w:themeColor="text1"/>
              </w:rPr>
            </w:pPr>
            <w:r w:rsidRPr="00D74025">
              <w:rPr>
                <w:rFonts w:ascii="Arial" w:hAnsi="Arial" w:cs="Arial"/>
                <w:noProof/>
                <w:color w:val="000000" w:themeColor="text1"/>
              </w:rPr>
              <w:drawing>
                <wp:inline distT="0" distB="0" distL="0" distR="0" wp14:anchorId="70DA094A" wp14:editId="2CE58F9D">
                  <wp:extent cx="5740400" cy="2459990"/>
                  <wp:effectExtent l="0" t="0" r="0" b="3810"/>
                  <wp:docPr id="32" name="Picture 32" descr="A picture containing text, electronics, calcula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text, electronics, calculator&#10;&#10;Description automatically generated"/>
                          <pic:cNvPicPr/>
                        </pic:nvPicPr>
                        <pic:blipFill rotWithShape="1">
                          <a:blip r:embed="rId38"/>
                          <a:srcRect l="3419"/>
                          <a:stretch/>
                        </pic:blipFill>
                        <pic:spPr bwMode="auto">
                          <a:xfrm>
                            <a:off x="0" y="0"/>
                            <a:ext cx="5740400" cy="2459990"/>
                          </a:xfrm>
                          <a:prstGeom prst="rect">
                            <a:avLst/>
                          </a:prstGeom>
                          <a:ln>
                            <a:noFill/>
                          </a:ln>
                          <a:extLst>
                            <a:ext uri="{53640926-AAD7-44D8-BBD7-CCE9431645EC}">
                              <a14:shadowObscured xmlns:a14="http://schemas.microsoft.com/office/drawing/2010/main"/>
                            </a:ext>
                          </a:extLst>
                        </pic:spPr>
                      </pic:pic>
                    </a:graphicData>
                  </a:graphic>
                </wp:inline>
              </w:drawing>
            </w:r>
          </w:p>
        </w:tc>
      </w:tr>
      <w:tr w:rsidR="00CE71C6" w:rsidRPr="00D74025" w14:paraId="5FFDD8B8" w14:textId="77777777" w:rsidTr="00CE71C6">
        <w:tc>
          <w:tcPr>
            <w:tcW w:w="9350" w:type="dxa"/>
          </w:tcPr>
          <w:p w14:paraId="278CCF6A" w14:textId="6F6C6926" w:rsidR="00CE71C6" w:rsidRPr="00D74025" w:rsidRDefault="00C04E4E" w:rsidP="00520110">
            <w:pPr>
              <w:spacing w:line="360" w:lineRule="auto"/>
              <w:ind w:firstLine="0"/>
              <w:rPr>
                <w:rFonts w:ascii="Arial" w:hAnsi="Arial" w:cs="Arial"/>
                <w:color w:val="000000" w:themeColor="text1"/>
              </w:rPr>
            </w:pPr>
            <w:bookmarkStart w:id="52" w:name="_Toc121217344"/>
            <w:r w:rsidRPr="00506A24">
              <w:rPr>
                <w:rFonts w:ascii="Arial" w:hAnsi="Arial" w:cs="Arial"/>
                <w:b/>
                <w:bCs/>
                <w:color w:val="000000" w:themeColor="text1"/>
              </w:rPr>
              <w:t xml:space="preserve">Figure </w:t>
            </w:r>
            <w:r w:rsidRPr="00506A24">
              <w:rPr>
                <w:rFonts w:ascii="Arial" w:hAnsi="Arial" w:cs="Arial"/>
                <w:b/>
                <w:bCs/>
                <w:color w:val="000000" w:themeColor="text1"/>
              </w:rPr>
              <w:fldChar w:fldCharType="begin"/>
            </w:r>
            <w:r w:rsidRPr="00506A24">
              <w:rPr>
                <w:rFonts w:ascii="Arial" w:hAnsi="Arial" w:cs="Arial"/>
                <w:b/>
                <w:bCs/>
                <w:color w:val="000000" w:themeColor="text1"/>
              </w:rPr>
              <w:instrText xml:space="preserve"> SEQ Figure \* ARABIC </w:instrText>
            </w:r>
            <w:r w:rsidRPr="00506A24">
              <w:rPr>
                <w:rFonts w:ascii="Arial" w:hAnsi="Arial" w:cs="Arial"/>
                <w:b/>
                <w:bCs/>
                <w:color w:val="000000" w:themeColor="text1"/>
              </w:rPr>
              <w:fldChar w:fldCharType="separate"/>
            </w:r>
            <w:r w:rsidR="002C4B25">
              <w:rPr>
                <w:rFonts w:ascii="Arial" w:hAnsi="Arial" w:cs="Arial"/>
                <w:b/>
                <w:bCs/>
                <w:noProof/>
                <w:color w:val="000000" w:themeColor="text1"/>
              </w:rPr>
              <w:t>22</w:t>
            </w:r>
            <w:r w:rsidRPr="00506A24">
              <w:rPr>
                <w:rFonts w:ascii="Arial" w:hAnsi="Arial" w:cs="Arial"/>
                <w:b/>
                <w:bCs/>
                <w:color w:val="000000" w:themeColor="text1"/>
              </w:rPr>
              <w:fldChar w:fldCharType="end"/>
            </w:r>
            <w:r w:rsidR="008C57C7" w:rsidRPr="00506A24">
              <w:rPr>
                <w:rFonts w:ascii="Arial" w:hAnsi="Arial" w:cs="Arial"/>
                <w:b/>
                <w:bCs/>
                <w:color w:val="000000" w:themeColor="text1"/>
              </w:rPr>
              <w:t>: SW</w:t>
            </w:r>
            <w:r w:rsidR="00187AE6" w:rsidRPr="00506A24">
              <w:rPr>
                <w:rFonts w:ascii="Arial" w:hAnsi="Arial" w:cs="Arial"/>
                <w:b/>
                <w:bCs/>
                <w:color w:val="000000" w:themeColor="text1"/>
              </w:rPr>
              <w:t>C</w:t>
            </w:r>
            <w:r w:rsidR="008C57C7" w:rsidRPr="00506A24">
              <w:rPr>
                <w:rFonts w:ascii="Arial" w:hAnsi="Arial" w:cs="Arial"/>
                <w:b/>
                <w:bCs/>
                <w:color w:val="000000" w:themeColor="text1"/>
              </w:rPr>
              <w:t>NT helicity map</w:t>
            </w:r>
            <w:r w:rsidR="008C57C7" w:rsidRPr="00D74025">
              <w:rPr>
                <w:rFonts w:ascii="Arial" w:hAnsi="Arial" w:cs="Arial"/>
                <w:color w:val="000000" w:themeColor="text1"/>
              </w:rPr>
              <w:t xml:space="preserve"> and examples of (</w:t>
            </w:r>
            <w:proofErr w:type="spellStart"/>
            <w:proofErr w:type="gramStart"/>
            <w:r w:rsidR="008C57C7" w:rsidRPr="00D74025">
              <w:rPr>
                <w:rFonts w:ascii="Arial" w:hAnsi="Arial" w:cs="Arial"/>
                <w:color w:val="000000" w:themeColor="text1"/>
              </w:rPr>
              <w:t>n,m</w:t>
            </w:r>
            <w:proofErr w:type="spellEnd"/>
            <w:proofErr w:type="gramEnd"/>
            <w:r w:rsidR="008C57C7" w:rsidRPr="00D74025">
              <w:rPr>
                <w:rFonts w:ascii="Arial" w:hAnsi="Arial" w:cs="Arial"/>
                <w:color w:val="000000" w:themeColor="text1"/>
              </w:rPr>
              <w:t xml:space="preserve">) chiral vectors that give rise to the armchair, zig-zag, and chiral nanotube structures with metallic or semi-conducting electronic character. Figure from Hodge </w:t>
            </w:r>
            <w:r w:rsidR="008C57C7" w:rsidRPr="00D74025">
              <w:rPr>
                <w:rFonts w:ascii="Arial" w:hAnsi="Arial" w:cs="Arial"/>
                <w:i/>
                <w:iCs/>
                <w:color w:val="000000" w:themeColor="text1"/>
              </w:rPr>
              <w:t>et al.,</w:t>
            </w:r>
            <w:r w:rsidR="008C57C7" w:rsidRPr="00D74025">
              <w:rPr>
                <w:rFonts w:ascii="Arial" w:hAnsi="Arial" w:cs="Arial"/>
                <w:color w:val="000000" w:themeColor="text1"/>
              </w:rPr>
              <w:t xml:space="preserve"> 2012 </w:t>
            </w:r>
            <w:r w:rsidR="008C57C7"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{"citationID":"sJ6IA3w8","properties":{"formattedCitation":"\\super 264\\nosupersub{}","plainCitation":"264","noteIndex":0},"citationItems":[{"id":35,"uris":["http://zotero.org/users/7661987/items/YSDZXHEK"],"itemData":{"id":35,"type":"article-journal","container-title":"Chemical Society Reviews","DOI":"10.1039/c2cs15334c","ISSN":"0306-0012, 1460-4744","issue":"12","journalAbbreviation":"Chem. Soc. Rev.","language":"en","page":"4409","source":"DOI.org (Crossref)","title":"Unweaving the rainbow: a review of the relationship between single-walled carbon nanotube molecular structures and their chemical reactivity","title-short":"Unweaving the rainbow","volume":"41","author":[{"family":"Hodge","given":"Stephen A."},{"family":"Bayazit","given":"Mustafa K."},{"family":"Coleman","given":"Karl S."},{"family":"Shaffer","given":"Milo S. P."}],"issued":{"date-parts":[["2012"]]}}}],"schema":"https://github.com/citation-style-language/schema/raw/master/csl-citation.json"} </w:instrText>
            </w:r>
            <w:r w:rsidR="008C57C7" w:rsidRPr="00D74025">
              <w:rPr>
                <w:rFonts w:ascii="Arial" w:hAnsi="Arial" w:cs="Arial"/>
                <w:color w:val="000000" w:themeColor="text1"/>
              </w:rPr>
              <w:fldChar w:fldCharType="separate"/>
            </w:r>
            <w:r w:rsidR="000F4F53" w:rsidRPr="000F4F53">
              <w:rPr>
                <w:rFonts w:ascii="Arial" w:hAnsi="Arial" w:cs="Arial"/>
                <w:color w:val="000000"/>
                <w:vertAlign w:val="superscript"/>
              </w:rPr>
              <w:t>264</w:t>
            </w:r>
            <w:r w:rsidR="008C57C7" w:rsidRPr="00D74025">
              <w:rPr>
                <w:rFonts w:ascii="Arial" w:hAnsi="Arial" w:cs="Arial"/>
                <w:color w:val="000000" w:themeColor="text1"/>
              </w:rPr>
              <w:fldChar w:fldCharType="end"/>
            </w:r>
            <w:r w:rsidR="008C57C7" w:rsidRPr="00D74025">
              <w:rPr>
                <w:rFonts w:ascii="Arial" w:hAnsi="Arial" w:cs="Arial"/>
                <w:color w:val="000000" w:themeColor="text1"/>
              </w:rPr>
              <w:t>.</w:t>
            </w:r>
            <w:bookmarkEnd w:id="52"/>
          </w:p>
        </w:tc>
      </w:tr>
    </w:tbl>
    <w:p w14:paraId="26231C2F" w14:textId="77777777" w:rsidR="00556281" w:rsidRPr="00D74025" w:rsidRDefault="00556281" w:rsidP="00556281">
      <w:pPr>
        <w:spacing w:line="360" w:lineRule="auto"/>
        <w:jc w:val="both"/>
        <w:rPr>
          <w:rFonts w:ascii="Arial" w:hAnsi="Arial" w:cs="Arial"/>
          <w:color w:val="000000" w:themeColor="text1"/>
        </w:rPr>
      </w:pPr>
    </w:p>
    <w:p w14:paraId="3A5161E5" w14:textId="360CD511" w:rsidR="001E4E29" w:rsidRPr="00D74025" w:rsidRDefault="00556281" w:rsidP="001E4E29">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t>The optical properties of CNT are intrinsically related to the chirality of the carbon structure because of the correlation with the optical transitions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{"citationID":"ZhKKaz0q","properties":{"formattedCitation":"\\super 261\\nosupersub{}","plainCitation":"261","noteIndex":0},"citationItems":[{"id":38,"uris":["http://zotero.org/users/7661987/items/EV3JYEYH"],"itemData":{"id":38,"type":"article-journal","abstract":"Fourkindsof single-walcl arbonnanotubes(SWNTs)with differentdiametedr istributionhavebeensynthesizedandopticalabsorption spectrahavebeenmeasuredT.hreelargeabsorptionbandsdueto the opticaltransitionsbetweenspike-likedensityof statesc, haracteristics of SWNTs,wereobservedfrom infraredto visibleregion.Comparingwith thecalculatedenergyband,it hasbeenconcludedthat thefust andthesecondlowestabsorptionbandsaredueto theopticaltransitionsbetweenspikesin semiconductoprhasesandthethird oneis due to thatin metallicphasesA.bsorptionPeakssensitivelyshiftedto higherenergysidewith decreasintgubediametersasthebandcalculation predicted.ResonanceRamanspectrawere also measuredusing various laserlines. When the excitation is in an energyregion correspondintgo the absorptionbandof metallicphases, pectrahaveshownBreit-Wigner-Fanoline shape,which is a signof metallic phase.Usingtheseresults,we caneasilycharacterizeSWNTsfrom the optical absorptionspectrawithout Ramanmeasuremenatsnd transmissioenlectronmicroscopeobservations.","container-title":"Synthetic Metals","DOI":"10.1016/S0379-6779(98)00278-1","ISSN":"03796779","issue":"1-3","journalAbbreviation":"Synthetic Metals","language":"en","page":"2555-2558","source":"DOI.org (Crossref)","title":"Optical properties of single-wall carbon nanotubes","volume":"103","author":[{"family":"Kataura","given":"H."},{"family":"Kumazawa","given":"Y."},{"family":"Maniwa","given":"Y."},{"family":"Umezu","given":"I."},{"family":"Suzuki","given":"S."},{"family":"Ohtsuka","given":"Y."},{"family":"Achiba","given":"Y."}],"issued":{"date-parts":[["1999",6]]}}}],"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261</w:t>
      </w:r>
      <w:r w:rsidRPr="00D74025">
        <w:rPr>
          <w:rFonts w:ascii="Arial" w:hAnsi="Arial" w:cs="Arial"/>
          <w:color w:val="000000" w:themeColor="text1"/>
        </w:rPr>
        <w:fldChar w:fldCharType="end"/>
      </w:r>
      <w:r w:rsidRPr="00D74025">
        <w:rPr>
          <w:rFonts w:ascii="Arial" w:hAnsi="Arial" w:cs="Arial"/>
          <w:color w:val="000000" w:themeColor="text1"/>
        </w:rPr>
        <w:t>. The chirality also influences the thermal conductivity of this nanomaterial: for example, armchair and zigzag CNT have higher thermal conductivities compared to chiral CNT</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{"citationID":"AxlQLJZo","properties":{"formattedCitation":"\\super 266\\nosupersub{}","plainCitation":"266","noteIndex":0},"citationItems":[{"id":19,"uris":["http://zotero.org/users/7661987/items/LTSP7K7M"],"itemData":{"id":19,"type":"article-journal","abstract":"The thermal conductivities of three types of single-wall carbon nanotubes are studied using the homogeneous non-equilibrium Green–Kubo method based on the Brenner potential. The thermal conductivity of a carbon nanotube is found to have dependence on its chirality. The thermal conductivities of three types of nanotube seem to have similar temperature dependence. The thermal conductivity of the chiral nanotube is lower than that of the other two types of nanotube.","container-title":"Nanotechnology","DOI":"10.1088/0957-4484/15/8/010","ISSN":"0957-4484, 1361-6528","issue":"8","journalAbbreviation":"Nanotechnology","language":"en","page":"936-939","source":"DOI.org (Crossref)","title":"Chirality dependence of the thermal conductivity of carbon nanotubes","volume":"15","author":[{"family":"Zhang","given":"Wei"},{"family":"Zhu","given":"Zhiyuan"},{"family":"Wang","given":"Feng"},{"family":"Wang","given":"Tingtai"},{"family":"Sun","given":"Litao"},{"family":"Wang","given":"Zhenxia"}],"issued":{"date-parts":[["2004",8,1]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266</w:t>
      </w:r>
      <w:r w:rsidRPr="00D74025">
        <w:rPr>
          <w:rFonts w:ascii="Arial" w:hAnsi="Arial" w:cs="Arial"/>
          <w:color w:val="000000" w:themeColor="text1"/>
        </w:rPr>
        <w:fldChar w:fldCharType="end"/>
      </w:r>
      <w:r w:rsidR="001E4E29" w:rsidRPr="00D74025">
        <w:rPr>
          <w:rFonts w:ascii="Arial" w:hAnsi="Arial" w:cs="Arial"/>
          <w:color w:val="000000" w:themeColor="text1"/>
        </w:rPr>
        <w:t>. Enriching CNT with certain chiral angles results in enhanced properties due to the correlation between chirality and properties. Therefore, the interest in obtaining an abundance of CNT that have virtually a unique chirality has grown. The most promising way to produce CNT with high purity of certain chiral angles is preferential synthesis, where the parameters utilized  in the production process, such as catalyst and precursor, are meticulously designed to generate CNT with specific chiral angles</w:t>
      </w:r>
      <w:r w:rsidR="001E4E29"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{"citationID":"CC1msk52","properties":{"formattedCitation":"\\super 264\\nosupersub{}","plainCitation":"264","noteIndex":0},"citationItems":[{"id":35,"uris":["http://zotero.org/users/7661987/items/YSDZXHEK"],"itemData":{"id":35,"type":"article-journal","container-title":"Chemical Society Reviews","DOI":"10.1039/c2cs15334c","ISSN":"0306-0012, 1460-4744","issue":"12","journalAbbreviation":"Chem. Soc. Rev.","language":"en","page":"4409","source":"DOI.org (Crossref)","title":"Unweaving the rainbow: a review of the relationship between single-walled carbon nanotube molecular structures and their chemical reactivity","title-short":"Unweaving the rainbow","volume":"41","author":[{"family":"Hodge","given":"Stephen A."},{"family":"Bayazit","given":"Mustafa K."},{"family":"Coleman","given":"Karl S."},{"family":"Shaffer","given":"Milo S. P."}],"issued":{"date-parts":[["2012"]]}}}],"schema":"https://github.com/citation-style-language/schema/raw/master/csl-citation.json"} </w:instrText>
      </w:r>
      <w:r w:rsidR="001E4E29" w:rsidRPr="00D74025">
        <w:rPr>
          <w:rFonts w:ascii="Arial" w:hAnsi="Arial" w:cs="Arial"/>
          <w:color w:val="000000" w:themeColor="text1"/>
        </w:rPr>
        <w:fldChar w:fldCharType="separate"/>
      </w:r>
      <w:r w:rsidR="000F4F53" w:rsidRPr="000F4F53">
        <w:rPr>
          <w:rFonts w:ascii="Arial" w:hAnsi="Arial" w:cs="Arial"/>
          <w:color w:val="000000"/>
          <w:vertAlign w:val="superscript"/>
        </w:rPr>
        <w:t>264</w:t>
      </w:r>
      <w:r w:rsidR="001E4E29" w:rsidRPr="00D74025">
        <w:rPr>
          <w:rFonts w:ascii="Arial" w:hAnsi="Arial" w:cs="Arial"/>
          <w:color w:val="000000" w:themeColor="text1"/>
        </w:rPr>
        <w:fldChar w:fldCharType="end"/>
      </w:r>
      <w:r w:rsidR="001E4E29" w:rsidRPr="00D74025">
        <w:rPr>
          <w:rFonts w:ascii="Arial" w:hAnsi="Arial" w:cs="Arial"/>
          <w:color w:val="000000" w:themeColor="text1"/>
        </w:rPr>
        <w:t xml:space="preserve">.  </w:t>
      </w:r>
    </w:p>
    <w:p w14:paraId="5090D225" w14:textId="54F51E70" w:rsidR="001D52AD" w:rsidRDefault="001D52AD" w:rsidP="001D52AD">
      <w:pPr>
        <w:spacing w:line="360" w:lineRule="auto"/>
        <w:ind w:firstLine="1440"/>
        <w:contextualSpacing/>
        <w:jc w:val="both"/>
        <w:rPr>
          <w:rFonts w:ascii="Arial" w:hAnsi="Arial" w:cs="Arial"/>
          <w:color w:val="000000" w:themeColor="text1"/>
        </w:rPr>
      </w:pPr>
      <w:r w:rsidRPr="00D74025">
        <w:rPr>
          <w:rFonts w:ascii="Arial" w:hAnsi="Arial" w:cs="Arial"/>
          <w:color w:val="000000" w:themeColor="text1"/>
        </w:rPr>
        <w:lastRenderedPageBreak/>
        <w:t>Although many challenges exist in the production of CNT with high selectivity, high quality, high yield, and low cost, a scalable process to produce CNT was developed at the chemical engineering department of the University of Oklahoma</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{"citationID":"y0vTD99r","properties":{"formattedCitation":"\\super 267\\nosupersub{}","plainCitation":"267","noteIndex":0},"citationItems":[{"id":22,"uris":["http://zotero.org/users/7661987/items/EX2HVY4E"],"itemData":{"id":22,"type":"article-journal","abstract":"Existing single-walled carbon nanotube synthesis methods are not easily scalable, operate under severe conditions, and involve high capital and operating costs. The current cost of SWNT is exceedingly high. A catalytic method of synthesis has been developed that has shown potential advantages over the existing methods. This method is based on a catalyst formulation that inhibits the formation of undesired forms of carbon; it can be scaled-up and may result in lower production costs.","language":"en","page":"6","source":"Zotero","title":"A Scalable Process for Production of Single-walled Carbon Nanotubes (SWNTs) by Catalytic Disproportionation of CO on a Solid Catalyst","author":[{"family":"Resasco","given":"D E"},{"family":"Alvarez","given":"W E"},{"family":"Pompeo","given":"F"},{"family":"Balzano","given":"L"},{"family":"Herrera","given":"J E"},{"family":"Kitiyanan","given":"B"},{"family":"Borgna","given":"A"}]}}],"schema":"https://github.com/citation-style-language/schema/raw/master/csl-citation.json"}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267</w:t>
      </w:r>
      <w:r w:rsidRPr="00D74025">
        <w:rPr>
          <w:rFonts w:ascii="Arial" w:hAnsi="Arial" w:cs="Arial"/>
          <w:color w:val="000000" w:themeColor="text1"/>
        </w:rPr>
        <w:fldChar w:fldCharType="end"/>
      </w:r>
      <w:r w:rsidRPr="00D74025">
        <w:rPr>
          <w:rFonts w:ascii="Arial" w:hAnsi="Arial" w:cs="Arial"/>
          <w:color w:val="000000" w:themeColor="text1"/>
        </w:rPr>
        <w:t xml:space="preserve">. The method uses a cobalt-molybdenum catalyst on silica support and CO precursor in fluidized bed reactors (see </w:t>
      </w:r>
      <w:r w:rsidR="009F45BD" w:rsidRPr="009F45BD">
        <w:rPr>
          <w:rFonts w:ascii="Arial" w:hAnsi="Arial" w:cs="Arial"/>
          <w:b/>
          <w:bCs/>
          <w:color w:val="000000" w:themeColor="text1"/>
        </w:rPr>
        <w:t>F</w:t>
      </w:r>
      <w:r w:rsidRPr="009F45BD">
        <w:rPr>
          <w:rFonts w:ascii="Arial" w:hAnsi="Arial" w:cs="Arial"/>
          <w:b/>
          <w:bCs/>
          <w:color w:val="000000" w:themeColor="text1"/>
        </w:rPr>
        <w:t>igure 2</w:t>
      </w:r>
      <w:r w:rsidR="00A230E8">
        <w:rPr>
          <w:rFonts w:ascii="Arial" w:hAnsi="Arial" w:cs="Arial"/>
          <w:b/>
          <w:bCs/>
          <w:color w:val="000000" w:themeColor="text1"/>
        </w:rPr>
        <w:t>3</w:t>
      </w:r>
      <w:r w:rsidRPr="00D74025">
        <w:rPr>
          <w:rFonts w:ascii="Arial" w:hAnsi="Arial" w:cs="Arial"/>
          <w:color w:val="000000" w:themeColor="text1"/>
        </w:rPr>
        <w:t>). The CO disproportionation on the surface of the specifically designed catalyst at high temperatures (700-950</w:t>
      </w:r>
      <w:r w:rsidRPr="00D74025">
        <w:rPr>
          <w:rFonts w:ascii="Arial" w:hAnsi="Arial" w:cs="Arial"/>
          <w:color w:val="000000" w:themeColor="text1"/>
        </w:rPr>
        <w:sym w:font="Symbol" w:char="F0B0"/>
      </w:r>
      <w:r w:rsidRPr="00D74025">
        <w:rPr>
          <w:rFonts w:ascii="Arial" w:hAnsi="Arial" w:cs="Arial"/>
          <w:color w:val="000000" w:themeColor="text1"/>
        </w:rPr>
        <w:t>C) produced considerable amounts of SWCNT with high selectivity above 80% towards the (6,5) and (7,5) chirality</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{"citationID":"Y6R3jHaV","properties":{"formattedCitation":"\\super 268,269\\nosupersub{}","plainCitation":"268,269","noteIndex":0},"citationItems":[{"id":18,"uris":["http://zotero.org/users/7661987/items/9YNMNUUF"],"itemData":{"id":18,"type":"article-journal","container-title":"Journal of the American Chemical Society","DOI":"10.1021/ja036622c","ISSN":"0002-7863, 1520-5126","issue":"37","journalAbbreviation":"J. Am. Chem. Soc.","language":"en","page":"11186-11187","source":"DOI.org (Crossref)","title":"Narrow (n,m)-Distribution of Single-Walled Carbon Nanotubes Grown Using a Solid Supported Catalyst","volume":"125","author":[{"family":"Bachilo","given":"Sergei M."},{"family":"Balzano","given":"Leandro"},{"family":"Herrera","given":"Jose E."},{"family":"Pompeo","given":"Francisco"},{"family":"Resasco","given":"Daniel E."},{"family":"Weisman","given":"R. Bruce"}],"issued":{"date-parts":[["2003",9,1]]}}},{"id":24,"uris":["http://zotero.org/users/7661987/items/H7RU9EF6"],"itemData":{"id":24,"type":"article-journal","container-title":"The Journal of Physical Chemistry B","DOI":"10.1021/jp056095e","ISSN":"1520-6106, 1520-5207","issue":"5","journalAbbreviation":"J. Phys. Chem. B","language":"en","page":"2108-2115","source":"DOI.org (Crossref)","title":"Tailoring ( &lt;i&gt;n&lt;/i&gt; , &lt;i&gt;m&lt;/i&gt; ) Structure of Single-Walled Carbon Nanotubes by Modifying Reaction Conditions and the Nature of the Support of CoMo Catalysts","volume":"110","author":[{"family":"Lolli","given":"Giulio"},{"family":"Zhang","given":"Liang"},{"family":"Balzano","given":"Leandro"},{"family":"Sakulchaicharoen","given":"Nataphan"},{"family":"Tan","given":"Yongqiang"},{"family":"Resasco","given":"Daniel E."}],"issued":{"date-parts":[["2006",2,1]]}}}],"schema":"https://github.com/citation-style-language/schema/raw/master/csl-citation.json"}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268,269</w:t>
      </w:r>
      <w:r w:rsidRPr="00D74025">
        <w:rPr>
          <w:rFonts w:ascii="Arial" w:hAnsi="Arial" w:cs="Arial"/>
          <w:color w:val="000000" w:themeColor="text1"/>
        </w:rPr>
        <w:fldChar w:fldCharType="end"/>
      </w:r>
      <w:r w:rsidR="00A230E8">
        <w:rPr>
          <w:rFonts w:ascii="Arial" w:hAnsi="Arial" w:cs="Arial"/>
          <w:color w:val="000000" w:themeColor="text1"/>
        </w:rPr>
        <w:t xml:space="preserve">. </w:t>
      </w:r>
      <w:r w:rsidRPr="00D74025">
        <w:rPr>
          <w:rFonts w:ascii="Arial" w:hAnsi="Arial" w:cs="Arial"/>
          <w:color w:val="000000" w:themeColor="text1"/>
        </w:rPr>
        <w:t xml:space="preserve">The process – trademarked as </w:t>
      </w:r>
      <w:proofErr w:type="spellStart"/>
      <w:r w:rsidRPr="00D74025">
        <w:rPr>
          <w:rFonts w:ascii="Arial" w:hAnsi="Arial" w:cs="Arial"/>
          <w:color w:val="000000" w:themeColor="text1"/>
        </w:rPr>
        <w:t>CoMoCAT</w:t>
      </w:r>
      <w:proofErr w:type="spellEnd"/>
      <w:r w:rsidRPr="00D74025">
        <w:rPr>
          <w:rFonts w:ascii="Arial" w:hAnsi="Arial" w:cs="Arial"/>
          <w:color w:val="000000" w:themeColor="text1"/>
          <w:vertAlign w:val="superscript"/>
        </w:rPr>
        <w:t>®</w:t>
      </w:r>
      <w:r w:rsidRPr="00D74025">
        <w:rPr>
          <w:rFonts w:ascii="Arial" w:hAnsi="Arial" w:cs="Arial"/>
          <w:color w:val="000000" w:themeColor="text1"/>
        </w:rPr>
        <w:t xml:space="preserve"> –  is nowadays considered a milestone in the production of carbon nanotubes, enabling the usage of these nanomaterials in many applications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{"citationID":"PWAD2g8D","properties":{"formattedCitation":"\\super 270\\uc0\\u8211{}273\\nosupersub{}","plainCitation":"270–273","noteIndex":0},"citationItems":[{"id":407,"uris":["http://zotero.org/users/7661987/items/66JAKFJK"],"itemData":{"id":407,"type":"article-journal","abstract":"Structural control of single-walled carbon nanotubes (SWNTs) is attracting enormous interest in view of their applications to nanoelectronics and nanooptics. Actually, more than 200 papers regarding separation of SWNTs have been published since 1998. In this review, they are classified into the following five sections according to the separation methods; electrophoresis, centrifugation, chromatography, selective solubilization and selective reaction. In each method, all literature is summarized in tables showing the separated objects (metallic/semiconducting (M/S), length, diameter, (n, m) structure and/or handedness), the production process of the used SWNTs (CoMoCAT, HiPco, arc discharge and/or laser vaporization) and the employed chemicals, such as detergents and polymers. Changes in annual number of publications related to this subject are also discussed.","container-title":"Materials","DOI":"10.3390/ma3073818","ISSN":"1996-1944","issue":"7","journalAbbreviation":"Materials","language":"en","page":"3818-3844","source":"DOI.org (Crossref)","title":"A Comprehensive Review on Separation Methods and Techniques for Single-Walled Carbon Nanotubes","volume":"3","author":[{"family":"Komatsu","given":"Naoki"},{"family":"Wang","given":"Feng"}],"issued":{"date-parts":[["2010",6,30]]}}},{"id":6,"uris":["http://zotero.org/users/7661987/items/5Y2HHZYP"],"itemData":{"id":6,"type":"article-journal","abstract":"This review provides an in-depth overview of the sorting methods of carbon nanotubes.\n          , \n            The discovery of carbon nanotubes (CNTs) revealed that this new form of carbon can challenge traditional materials on many fronts. Remarkable electrical, thermal, mechanical and optical properties of individual CNTs have attracted significant attention, and so scientists have begun to consider their implementation in everyday life. Unfortunately, CNT aggregates are composed of a wide range of CNT types, which has a strongly negative influence on the observed performance of macroscale devices made from them. Recently, however, it has become evident that different CNT types can be sorted according to length, diameter, electrical character, chiral angle and even handedness, which reignited interest in them. This review aims to demonstrate the state-of-the-art of all the mainstream methods of sorting CNTs (preferential synthesis, selective destruction, (di)electrophoresis, ultracentrifugation, chromatography, (co)polymer isolation and aqueous two-phase extraction). It is concluded with an overview of already tested applications using sorted CNTs and gives an overlook of the field for the future.","container-title":"Materials Chemistry Frontiers","DOI":"10.1039/C7QM00427C","ISSN":"2052-1537","issue":"1","journalAbbreviation":"Mater. Chem. Front.","language":"en","page":"36-63","source":"DOI.org (Crossref)","title":"Towards monochiral carbon nanotubes: a review of progress in the sorting of single-walled carbon nanotubes","title-short":"Towards monochiral carbon nanotubes","volume":"2","author":[{"family":"Janas","given":"Dawid"}],"issued":{"date-parts":[["2018"]]}}},{"id":15,"uris":["http://zotero.org/users/7661987/items/3IR8EXP6"],"itemData":{"id":15,"type":"article-journal","container-title":"Clean Technologies and Environmental Policy","DOI":"10.1007/s10098-006-0083-2","ISSN":"1618-954X, 1618-9558","issue":"4","journalAbbreviation":"Clean Techn Environ Policy","language":"en","page":"289-311","source":"DOI.org (Crossref)","title":"Conceptual design of carbon nanotube processes","volume":"9","author":[{"family":"Agboola","given":"Adedeji E."},{"family":"Pike","given":"Ralph W."},{"family":"Hertwig","given":"T. A."},{"family":"Lou","given":"Helen H."}],"issued":{"date-parts":[["2007",11,14]]}}},{"id":27,"uris":["http://zotero.org/users/7661987/items/ZZWMWQBA"],"itemData":{"id":27,"type":"article-journal","abstract":"Carbon Nanotubes are one the most important materials of future. Discovered in 1991, they have reached a stage of attracting the interests of many companies world wide for their large scale production. They possess remarkable electrical, mechanical, optical, thermal and chemical properties, which make them a perfect “fit” for many engineering applications. In this paper various methods of production of carbon nanotubes are discussed outlining their capabilities, efficiencies and possible exploitation as economic large scale production methods. Chemical vapor disposition (CVD) is proposed as a potential method for economic large scale production of carbon nanotubes due to its relative simplicity of operation, process control, energy efficiency, raw materials used, capability to scale up as large unit operation, high yield and purity.","container-title":"Journal of Encapsulation and Adsorption Sciences","DOI":"10.4236/jeas.2011.12004","ISSN":"2161-4865, 2161-4873","issue":"02","journalAbbreviation":"JEAS","language":"en","page":"29-34","source":"DOI.org (Crossref)","title":"Production of Carbon Nanotubes by Different Routes-A Review","volume":"01","author":[{"family":"Rafique","given":"Muhammad Musaddique Ali"},{"family":"Iqbal","given":"Javed"}],"issued":{"date-parts":[["2011"]]}}}],"schema":"https://github.com/citation-style-language/schema/raw/master/csl-citation.json"}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270–273</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5A839925" w14:textId="77777777" w:rsidR="00FD05CB" w:rsidRPr="00D74025" w:rsidRDefault="00FD05CB" w:rsidP="001D52AD">
      <w:pPr>
        <w:spacing w:line="360" w:lineRule="auto"/>
        <w:ind w:firstLine="1440"/>
        <w:contextualSpacing/>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45B101DD" w14:textId="77777777" w:rsidTr="001D52AD">
        <w:tc>
          <w:tcPr>
            <w:tcW w:w="9350" w:type="dxa"/>
          </w:tcPr>
          <w:p w14:paraId="7EB01F62" w14:textId="33E2F6E6" w:rsidR="001D52AD" w:rsidRPr="00D74025" w:rsidRDefault="001D52AD" w:rsidP="000D71A7">
            <w:pPr>
              <w:spacing w:beforeAutospacing="0" w:line="360" w:lineRule="auto"/>
              <w:ind w:firstLine="0"/>
              <w:rPr>
                <w:rFonts w:ascii="Arial" w:hAnsi="Arial" w:cs="Arial"/>
                <w:color w:val="000000" w:themeColor="text1"/>
              </w:rPr>
            </w:pPr>
            <w:r w:rsidRPr="00D74025">
              <w:rPr>
                <w:rFonts w:ascii="Arial" w:hAnsi="Arial" w:cs="Arial"/>
                <w:noProof/>
                <w:color w:val="000000" w:themeColor="text1"/>
              </w:rPr>
              <w:drawing>
                <wp:inline distT="0" distB="0" distL="0" distR="0" wp14:anchorId="25269DCA" wp14:editId="558005C1">
                  <wp:extent cx="5943600" cy="4388485"/>
                  <wp:effectExtent l="0" t="0" r="0" b="5715"/>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4388485"/>
                          </a:xfrm>
                          <a:prstGeom prst="rect">
                            <a:avLst/>
                          </a:prstGeom>
                        </pic:spPr>
                      </pic:pic>
                    </a:graphicData>
                  </a:graphic>
                </wp:inline>
              </w:drawing>
            </w:r>
          </w:p>
        </w:tc>
      </w:tr>
      <w:tr w:rsidR="001D52AD" w:rsidRPr="00D74025" w14:paraId="74006AA3" w14:textId="77777777" w:rsidTr="001D52AD">
        <w:tc>
          <w:tcPr>
            <w:tcW w:w="9350" w:type="dxa"/>
          </w:tcPr>
          <w:p w14:paraId="32A16084" w14:textId="2F3AFEFD" w:rsidR="001D52AD" w:rsidRPr="00D74025" w:rsidRDefault="00506A24" w:rsidP="00521883">
            <w:pPr>
              <w:autoSpaceDE w:val="0"/>
              <w:autoSpaceDN w:val="0"/>
              <w:adjustRightInd w:val="0"/>
              <w:spacing w:line="360" w:lineRule="auto"/>
              <w:ind w:firstLine="0"/>
              <w:rPr>
                <w:rFonts w:ascii="Arial" w:hAnsi="Arial" w:cs="Arial"/>
                <w:color w:val="000000" w:themeColor="text1"/>
              </w:rPr>
            </w:pPr>
            <w:bookmarkStart w:id="53" w:name="_Toc121217345"/>
            <w:r w:rsidRPr="00506A24">
              <w:rPr>
                <w:rFonts w:ascii="Arial" w:hAnsi="Arial" w:cs="Arial"/>
                <w:b/>
                <w:bCs/>
                <w:color w:val="000000" w:themeColor="text1"/>
              </w:rPr>
              <w:t xml:space="preserve">Figure </w:t>
            </w:r>
            <w:r w:rsidRPr="00506A24">
              <w:rPr>
                <w:rFonts w:ascii="Arial" w:hAnsi="Arial" w:cs="Arial"/>
                <w:b/>
                <w:bCs/>
                <w:color w:val="000000" w:themeColor="text1"/>
              </w:rPr>
              <w:fldChar w:fldCharType="begin"/>
            </w:r>
            <w:r w:rsidRPr="00506A24">
              <w:rPr>
                <w:rFonts w:ascii="Arial" w:hAnsi="Arial" w:cs="Arial"/>
                <w:b/>
                <w:bCs/>
                <w:color w:val="000000" w:themeColor="text1"/>
              </w:rPr>
              <w:instrText xml:space="preserve"> SEQ Figure \* ARABIC </w:instrText>
            </w:r>
            <w:r w:rsidRPr="00506A24">
              <w:rPr>
                <w:rFonts w:ascii="Arial" w:hAnsi="Arial" w:cs="Arial"/>
                <w:b/>
                <w:bCs/>
                <w:color w:val="000000" w:themeColor="text1"/>
              </w:rPr>
              <w:fldChar w:fldCharType="separate"/>
            </w:r>
            <w:r w:rsidR="002C4B25">
              <w:rPr>
                <w:rFonts w:ascii="Arial" w:hAnsi="Arial" w:cs="Arial"/>
                <w:b/>
                <w:bCs/>
                <w:noProof/>
                <w:color w:val="000000" w:themeColor="text1"/>
              </w:rPr>
              <w:t>23</w:t>
            </w:r>
            <w:r w:rsidRPr="00506A24">
              <w:rPr>
                <w:rFonts w:ascii="Arial" w:hAnsi="Arial" w:cs="Arial"/>
                <w:b/>
                <w:bCs/>
                <w:color w:val="000000" w:themeColor="text1"/>
              </w:rPr>
              <w:fldChar w:fldCharType="end"/>
            </w:r>
            <w:r>
              <w:rPr>
                <w:rFonts w:ascii="Arial" w:hAnsi="Arial" w:cs="Arial"/>
                <w:b/>
                <w:bCs/>
                <w:color w:val="000000" w:themeColor="text1"/>
              </w:rPr>
              <w:t>:</w:t>
            </w:r>
            <w:r w:rsidR="001D52AD" w:rsidRPr="00D74025">
              <w:rPr>
                <w:rFonts w:ascii="Arial" w:hAnsi="Arial" w:cs="Arial"/>
                <w:b/>
                <w:bCs/>
                <w:color w:val="000000" w:themeColor="text1"/>
              </w:rPr>
              <w:t xml:space="preserve"> Schematic representation of the state of the catalyst components before and during the production of SW</w:t>
            </w:r>
            <w:r w:rsidR="00187AE6">
              <w:rPr>
                <w:rFonts w:ascii="Arial" w:hAnsi="Arial" w:cs="Arial"/>
                <w:b/>
                <w:bCs/>
                <w:color w:val="000000" w:themeColor="text1"/>
              </w:rPr>
              <w:t>C</w:t>
            </w:r>
            <w:r w:rsidR="001D52AD" w:rsidRPr="00D74025">
              <w:rPr>
                <w:rFonts w:ascii="Arial" w:hAnsi="Arial" w:cs="Arial"/>
                <w:b/>
                <w:bCs/>
                <w:color w:val="000000" w:themeColor="text1"/>
              </w:rPr>
              <w:t xml:space="preserve">NT. </w:t>
            </w:r>
            <w:r w:rsidR="001D52AD" w:rsidRPr="00D74025">
              <w:rPr>
                <w:rFonts w:ascii="Arial" w:hAnsi="Arial" w:cs="Arial"/>
                <w:color w:val="000000" w:themeColor="text1"/>
              </w:rPr>
              <w:t xml:space="preserve">The Co species stabilized by Mo resist </w:t>
            </w:r>
            <w:r w:rsidR="001D52AD" w:rsidRPr="00D74025">
              <w:rPr>
                <w:rFonts w:ascii="Arial" w:hAnsi="Arial" w:cs="Arial"/>
                <w:color w:val="000000" w:themeColor="text1"/>
              </w:rPr>
              <w:lastRenderedPageBreak/>
              <w:t>reduction and sintering before the reaction. Under CO, Mo becomes carbide while Co becomes metallic and generates the SW</w:t>
            </w:r>
            <w:r w:rsidR="00187AE6">
              <w:rPr>
                <w:rFonts w:ascii="Arial" w:hAnsi="Arial" w:cs="Arial"/>
                <w:color w:val="000000" w:themeColor="text1"/>
              </w:rPr>
              <w:t>C</w:t>
            </w:r>
            <w:r w:rsidR="001D52AD" w:rsidRPr="00D74025">
              <w:rPr>
                <w:rFonts w:ascii="Arial" w:hAnsi="Arial" w:cs="Arial"/>
                <w:color w:val="000000" w:themeColor="text1"/>
              </w:rPr>
              <w:t>NT. The excess Co, not stabilized by Mo, produces MWNT and fibers.</w:t>
            </w:r>
            <w:r w:rsidR="00B55369" w:rsidRPr="00D74025">
              <w:rPr>
                <w:rFonts w:ascii="Arial" w:hAnsi="Arial" w:cs="Arial"/>
                <w:color w:val="000000" w:themeColor="text1"/>
              </w:rPr>
              <w:t xml:space="preserve"> Figure from </w:t>
            </w:r>
            <w:proofErr w:type="spellStart"/>
            <w:r w:rsidR="00B55369" w:rsidRPr="00D74025">
              <w:rPr>
                <w:rFonts w:ascii="Arial" w:hAnsi="Arial" w:cs="Arial"/>
                <w:color w:val="000000" w:themeColor="text1"/>
              </w:rPr>
              <w:t>Resasco</w:t>
            </w:r>
            <w:proofErr w:type="spellEnd"/>
            <w:r w:rsidR="00B55369" w:rsidRPr="00D74025">
              <w:rPr>
                <w:rFonts w:ascii="Arial" w:hAnsi="Arial" w:cs="Arial"/>
                <w:color w:val="000000" w:themeColor="text1"/>
              </w:rPr>
              <w:t xml:space="preserve"> </w:t>
            </w:r>
            <w:r w:rsidR="00BF4030" w:rsidRPr="00D74025">
              <w:rPr>
                <w:rFonts w:ascii="Arial" w:hAnsi="Arial" w:cs="Arial"/>
                <w:i/>
                <w:iCs/>
                <w:color w:val="000000" w:themeColor="text1"/>
              </w:rPr>
              <w:t xml:space="preserve">et al., </w:t>
            </w:r>
            <w:r w:rsidR="00BF4030" w:rsidRPr="00D74025">
              <w:rPr>
                <w:rFonts w:ascii="Arial" w:hAnsi="Arial" w:cs="Arial"/>
                <w:color w:val="000000" w:themeColor="text1"/>
              </w:rPr>
              <w:t>2002</w:t>
            </w:r>
            <w:r w:rsidR="001D52AD"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{"citationID":"a2djgrk1tmc","properties":{"formattedCitation":"\\super 274\\nosupersub{}","plainCitation":"274","noteIndex":0},"citationItems":[{"id":14,"uris":["http://zotero.org/users/7661987/items/3GES7M7Z"],"itemData":{"id":14,"type":"article-journal","abstract":"Existing single-walled carbon nanotube synthesis methods are not easily scalable, operate under severe conditions, and involve high capital and operating costs. The current cost of SWNT is exceedingly high. A catalytic method of synthesis has been developed that has shown potential advantages over the existing methods. This method is based on a catalyst formulation that inhibits the formation of undesired forms of carbon; it can be scaled-up and may result in lower production costs.","container-title":"Journal of Nanoparticle Research","DOI":"10.1023/A:1020174126542","ISSN":"13880764","issue":"1/2","language":"en","page":"131-136","source":"DOI.org (Crossref)","title":"A Scalable Process for Production of Single-walled Carbon Nanotubes (SWNTs) by Catalytic Disproportionation of CO on a Solid Catalyst","volume":"4","author":[{"family":"Resasco","given":"D.E."},{"family":"Alvarez","given":"W.E."},{"family":"Pompeo","given":"F."},{"family":"Balzano","given":"L."},{"family":"Herrera","given":"J.E."},{"family":"Kitiyanan","given":"B."},{"family":"Borgna","given":"A."}],"issued":{"date-parts":[["2002"]]}}}],"schema":"https://github.com/citation-style-language/schema/raw/master/csl-citation.json"} </w:instrText>
            </w:r>
            <w:r w:rsidR="001D52AD" w:rsidRPr="00D74025">
              <w:rPr>
                <w:rFonts w:ascii="Arial" w:hAnsi="Arial" w:cs="Arial"/>
                <w:color w:val="000000" w:themeColor="text1"/>
              </w:rPr>
              <w:fldChar w:fldCharType="separate"/>
            </w:r>
            <w:r w:rsidR="000F4F53" w:rsidRPr="000F4F53">
              <w:rPr>
                <w:rFonts w:ascii="Arial" w:hAnsi="Arial" w:cs="Arial"/>
                <w:color w:val="000000"/>
                <w:vertAlign w:val="superscript"/>
              </w:rPr>
              <w:t>274</w:t>
            </w:r>
            <w:bookmarkEnd w:id="53"/>
            <w:r w:rsidR="001D52AD" w:rsidRPr="00D74025">
              <w:rPr>
                <w:rFonts w:ascii="Arial" w:hAnsi="Arial" w:cs="Arial"/>
                <w:color w:val="000000" w:themeColor="text1"/>
              </w:rPr>
              <w:fldChar w:fldCharType="end"/>
            </w:r>
          </w:p>
        </w:tc>
      </w:tr>
    </w:tbl>
    <w:p w14:paraId="094BAB94" w14:textId="348A2CBC" w:rsidR="00EF5169" w:rsidRPr="00D74025" w:rsidRDefault="00EF5169" w:rsidP="00DA1FFD">
      <w:pPr>
        <w:spacing w:line="360" w:lineRule="auto"/>
        <w:jc w:val="both"/>
        <w:rPr>
          <w:rFonts w:ascii="Arial" w:hAnsi="Arial" w:cs="Arial"/>
          <w:color w:val="000000" w:themeColor="text1"/>
        </w:rPr>
      </w:pPr>
    </w:p>
    <w:p w14:paraId="1DA38837" w14:textId="45C1D193" w:rsidR="00C67FB8" w:rsidRDefault="00E14B82" w:rsidP="00452EC7">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In this work, the </w:t>
      </w:r>
      <w:proofErr w:type="spellStart"/>
      <w:r w:rsidRPr="00D74025">
        <w:rPr>
          <w:rFonts w:ascii="Arial" w:hAnsi="Arial" w:cs="Arial"/>
          <w:color w:val="000000" w:themeColor="text1"/>
        </w:rPr>
        <w:t>CoMoCAT</w:t>
      </w:r>
      <w:proofErr w:type="spellEnd"/>
      <w:r w:rsidRPr="00D74025">
        <w:rPr>
          <w:rFonts w:ascii="Arial" w:hAnsi="Arial" w:cs="Arial"/>
          <w:color w:val="000000" w:themeColor="text1"/>
          <w:vertAlign w:val="superscript"/>
        </w:rPr>
        <w:t>®</w:t>
      </w:r>
      <w:r w:rsidRPr="00D74025">
        <w:rPr>
          <w:rFonts w:ascii="Arial" w:hAnsi="Arial" w:cs="Arial"/>
          <w:color w:val="000000" w:themeColor="text1"/>
        </w:rPr>
        <w:t xml:space="preserve"> (6,5)</w:t>
      </w:r>
      <w:r w:rsidR="00FD05CB">
        <w:rPr>
          <w:rFonts w:ascii="Arial" w:hAnsi="Arial" w:cs="Arial"/>
          <w:color w:val="000000" w:themeColor="text1"/>
        </w:rPr>
        <w:t xml:space="preserve"> </w:t>
      </w:r>
      <w:r w:rsidRPr="00D74025">
        <w:rPr>
          <w:rFonts w:ascii="Arial" w:hAnsi="Arial" w:cs="Arial"/>
          <w:color w:val="000000" w:themeColor="text1"/>
        </w:rPr>
        <w:t xml:space="preserve">SWCNT was used for photothermal therapy due to high absorbance in the near-infrared range and peak absorbance at 980 nm. A veterinarian laser that irradiates at 980 nm has been selected to match the SWCNT's peak absorbance. Other </w:t>
      </w:r>
      <w:proofErr w:type="spellStart"/>
      <w:r w:rsidRPr="00D74025">
        <w:rPr>
          <w:rFonts w:ascii="Arial" w:hAnsi="Arial" w:cs="Arial"/>
          <w:color w:val="000000" w:themeColor="text1"/>
        </w:rPr>
        <w:t>chiralities</w:t>
      </w:r>
      <w:proofErr w:type="spellEnd"/>
      <w:r w:rsidRPr="00D74025">
        <w:rPr>
          <w:rFonts w:ascii="Arial" w:hAnsi="Arial" w:cs="Arial"/>
          <w:color w:val="000000" w:themeColor="text1"/>
        </w:rPr>
        <w:t xml:space="preserve"> were studied for carbon-nanotube-mediated radiofrequency ablation. </w:t>
      </w:r>
    </w:p>
    <w:p w14:paraId="3791E000" w14:textId="77777777" w:rsidR="00452EC7" w:rsidRPr="00452EC7" w:rsidRDefault="00452EC7" w:rsidP="00452EC7">
      <w:pPr>
        <w:spacing w:line="360" w:lineRule="auto"/>
        <w:ind w:firstLine="1440"/>
        <w:jc w:val="both"/>
        <w:rPr>
          <w:rFonts w:ascii="Arial" w:hAnsi="Arial" w:cs="Arial"/>
          <w:color w:val="000000" w:themeColor="text1"/>
        </w:rPr>
      </w:pPr>
    </w:p>
    <w:p w14:paraId="7ADA5637" w14:textId="2B3EA743" w:rsidR="00B124DB" w:rsidRPr="00D74025" w:rsidRDefault="00EB2AF0" w:rsidP="00EB2AF0">
      <w:pPr>
        <w:pStyle w:val="Heading3"/>
        <w:rPr>
          <w:rFonts w:ascii="Arial" w:hAnsi="Arial" w:cs="Arial"/>
          <w:b/>
          <w:bCs/>
          <w:color w:val="000000" w:themeColor="text1"/>
        </w:rPr>
      </w:pPr>
      <w:bookmarkStart w:id="54" w:name="_Toc121217238"/>
      <w:r w:rsidRPr="00D74025">
        <w:rPr>
          <w:rFonts w:ascii="Arial" w:hAnsi="Arial" w:cs="Arial"/>
          <w:b/>
          <w:bCs/>
          <w:color w:val="000000" w:themeColor="text1"/>
        </w:rPr>
        <w:t xml:space="preserve">1.4.6 </w:t>
      </w:r>
      <w:proofErr w:type="spellStart"/>
      <w:r w:rsidR="00201EB6" w:rsidRPr="00D74025">
        <w:rPr>
          <w:rFonts w:ascii="Arial" w:hAnsi="Arial" w:cs="Arial"/>
          <w:b/>
          <w:bCs/>
          <w:color w:val="000000" w:themeColor="text1"/>
        </w:rPr>
        <w:t>Theranostic</w:t>
      </w:r>
      <w:proofErr w:type="spellEnd"/>
      <w:r w:rsidR="00201EB6" w:rsidRPr="00D74025">
        <w:rPr>
          <w:rFonts w:ascii="Arial" w:hAnsi="Arial" w:cs="Arial"/>
          <w:b/>
          <w:bCs/>
          <w:color w:val="000000" w:themeColor="text1"/>
        </w:rPr>
        <w:t xml:space="preserve"> platform composed of p</w:t>
      </w:r>
      <w:r w:rsidRPr="00D74025">
        <w:rPr>
          <w:rFonts w:ascii="Arial" w:hAnsi="Arial" w:cs="Arial"/>
          <w:b/>
          <w:bCs/>
          <w:color w:val="000000" w:themeColor="text1"/>
        </w:rPr>
        <w:t xml:space="preserve">rotein-drug conjugate </w:t>
      </w:r>
      <w:r w:rsidR="00201EB6" w:rsidRPr="00D74025">
        <w:rPr>
          <w:rFonts w:ascii="Arial" w:hAnsi="Arial" w:cs="Arial"/>
          <w:b/>
          <w:bCs/>
          <w:color w:val="000000" w:themeColor="text1"/>
        </w:rPr>
        <w:t>linked to</w:t>
      </w:r>
      <w:r w:rsidRPr="00D74025">
        <w:rPr>
          <w:rFonts w:ascii="Arial" w:hAnsi="Arial" w:cs="Arial"/>
          <w:b/>
          <w:bCs/>
          <w:color w:val="000000" w:themeColor="text1"/>
        </w:rPr>
        <w:t xml:space="preserve"> gold nanoparticles</w:t>
      </w:r>
      <w:bookmarkEnd w:id="54"/>
    </w:p>
    <w:p w14:paraId="071F08E1" w14:textId="2CC78F87" w:rsidR="00137903" w:rsidRPr="00D74025" w:rsidRDefault="00137903" w:rsidP="00137903">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As previously mentioned, traditional chemotherapies cause a </w:t>
      </w:r>
      <w:proofErr w:type="gramStart"/>
      <w:r w:rsidRPr="00D74025">
        <w:rPr>
          <w:rFonts w:ascii="Arial" w:hAnsi="Arial" w:cs="Arial"/>
          <w:color w:val="000000" w:themeColor="text1"/>
        </w:rPr>
        <w:t>wide-ranging adverse effects</w:t>
      </w:r>
      <w:proofErr w:type="gramEnd"/>
      <w:r w:rsidRPr="00D74025">
        <w:rPr>
          <w:rFonts w:ascii="Arial" w:hAnsi="Arial" w:cs="Arial"/>
          <w:color w:val="000000" w:themeColor="text1"/>
        </w:rPr>
        <w:t xml:space="preserve"> on undesired targets such the brain system, immunological system, and gastrointestinal tract. </w:t>
      </w:r>
      <w:r w:rsidR="00520E53" w:rsidRPr="00D74025">
        <w:rPr>
          <w:rFonts w:ascii="Arial" w:hAnsi="Arial" w:cs="Arial"/>
          <w:color w:val="000000" w:themeColor="text1"/>
        </w:rPr>
        <w:t>Less than 1% of a given medicine, when given freely, is known to reach the tumor site and exert an anticancer effect; the remaining portion is distributed throughout the tissues of the organism</w:t>
      </w:r>
      <w:r w:rsidR="00520E53"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{"citationID":"a1c48rebb2c","properties":{"formattedCitation":"\\super 275\\nosupersub{}","plainCitation":"275","noteIndex":0},"citationItems":[{"id":1178,"uris":["http://zotero.org/users/7661987/items/H8A67P9R"],"itemData":{"id":1178,"type":"article-journal","abstract":"Targeted drug delivery to tumor sites is one of the ultimate goals in drug delivery. Recent progress in nanoparticle engineering has certainly improved drug targeting, but the results are not as good as expected. This is largely due to the fact that nanoparticles, regardless of how advanced they are, ﬁnd the target as a result of blood circulation, like the conventional drug delivery systems do. Currently, the nanoparticle-based drug delivery to the target tumor tissues is based on wrong assumptions that most of the nanoparticles, either PEGylated or not, reach the target by the enhanced permeation and retention (EPR) effect. Studies have shown that so-called targeting moieties, i.e., antibodies or ligands, on the nanoparticle surface do not really improve delivery to target tumors. Targeted drug delivery to tumor sites is associated with highly complex biological, mechanical, chemical and transport phenomena, of which characteristics vary spatiotemporally. Yet, most of the efforts have been focused on design and surface manipulation of the drug carrying nanoparticles with relatively little attention to other aspects. This article examines the current misunderstandings and the main difﬁculties in targeted drug delivery.","container-title":"Journal of Controlled Release","DOI":"10.1016/j.jconrel.2012.07.010","ISSN":"01683659","issue":"2","journalAbbreviation":"Journal of Controlled Release","language":"en","page":"108-114","source":"DOI.org (Crossref)","title":"Analysis on the current status of targeted drug delivery to tumors","volume":"164","author":[{"family":"Kwon","given":"Il Keun"},{"family":"Lee","given":"Sang Cheon"},{"family":"Han","given":"Bumsoo"},{"family":"Park","given":"Kinam"}],"issued":{"date-parts":[["2012",12]]}}}],"schema":"https://github.com/citation-style-language/schema/raw/master/csl-citation.json"} </w:instrText>
      </w:r>
      <w:r w:rsidR="00520E53" w:rsidRPr="00D74025">
        <w:rPr>
          <w:rFonts w:ascii="Arial" w:hAnsi="Arial" w:cs="Arial"/>
          <w:color w:val="000000" w:themeColor="text1"/>
        </w:rPr>
        <w:fldChar w:fldCharType="separate"/>
      </w:r>
      <w:r w:rsidR="000F4F53" w:rsidRPr="000F4F53">
        <w:rPr>
          <w:rFonts w:ascii="Arial" w:hAnsi="Arial" w:cs="Arial"/>
          <w:color w:val="000000"/>
          <w:vertAlign w:val="superscript"/>
        </w:rPr>
        <w:t>275</w:t>
      </w:r>
      <w:r w:rsidR="00520E53" w:rsidRPr="00D74025">
        <w:rPr>
          <w:rFonts w:ascii="Arial" w:hAnsi="Arial" w:cs="Arial"/>
          <w:color w:val="000000" w:themeColor="text1"/>
        </w:rPr>
        <w:fldChar w:fldCharType="end"/>
      </w:r>
      <w:r w:rsidR="00520E53" w:rsidRPr="00D74025">
        <w:rPr>
          <w:rFonts w:ascii="Arial" w:hAnsi="Arial" w:cs="Arial"/>
          <w:color w:val="000000" w:themeColor="text1"/>
        </w:rPr>
        <w:t xml:space="preserve">. A chemotherapeutic drug's distribution to the tumor site can be improved by combining it with a targeted carrier agent. With targeted therapy, the chemotherapeutic agent is delivered specifically to the tumor location, sparing healthy cells from unintended side </w:t>
      </w:r>
      <w:proofErr w:type="gramStart"/>
      <w:r w:rsidR="00520E53" w:rsidRPr="00D74025">
        <w:rPr>
          <w:rFonts w:ascii="Arial" w:hAnsi="Arial" w:cs="Arial"/>
          <w:color w:val="000000" w:themeColor="text1"/>
        </w:rPr>
        <w:t>effects</w:t>
      </w:r>
      <w:proofErr w:type="gramEnd"/>
      <w:r w:rsidR="00520E53" w:rsidRPr="00D74025">
        <w:rPr>
          <w:rFonts w:ascii="Arial" w:hAnsi="Arial" w:cs="Arial"/>
          <w:color w:val="000000" w:themeColor="text1"/>
        </w:rPr>
        <w:t xml:space="preserve"> and enabling the use of a lower effective dose of the medicine.</w:t>
      </w:r>
      <w:r w:rsidR="0045016D" w:rsidRPr="00D74025">
        <w:rPr>
          <w:rFonts w:ascii="Arial" w:hAnsi="Arial" w:cs="Arial"/>
          <w:color w:val="000000" w:themeColor="text1"/>
        </w:rPr>
        <w:t xml:space="preserve"> Therefore, dr</w:t>
      </w:r>
      <w:r w:rsidR="00520E53" w:rsidRPr="00D74025">
        <w:rPr>
          <w:rFonts w:ascii="Arial" w:hAnsi="Arial" w:cs="Arial"/>
          <w:color w:val="000000" w:themeColor="text1"/>
        </w:rPr>
        <w:t>ugs would be optimally and precisely delivered to cancer cells by being conjugated to a carrier agent unique to tumor cells</w:t>
      </w:r>
      <w:r w:rsidR="0045016D"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{"citationID":"av77nvk6dj","properties":{"formattedCitation":"\\super 276\\nosupersub{}","plainCitation":"276","noteIndex":0},"citationItems":[{"id":1182,"uris":["http://zotero.org/users/7661987/items/VRIDKWXE"],"itemData":{"id":1182,"type":"article-journal","abstract":"Purpose Methotrexate (MTX) is one of the most widely studied and effective therapeutics agents available to treat many solid tumors, hematologic malignancies, and autoimmune diseases such as rheumatoid arthritis; however, the poor pharmacokinetic and narrow safety margin of the drug limits the therapeutic outcomes of conventional drug delivery systems. For an improved delivery of MTX, several pathophysiological features such as angiogenesis, enhanced permeability and retention effects, acidosis, and expression of speciﬁc antigens and receptors can be used either as targets or as tools for drug delivery.","container-title":"Cancer Chemotherapy and Pharmacology","DOI":"10.1007/s00280-012-2062-0","ISSN":"0344-5704, 1432-0843","issue":"5","journalAbbreviation":"Cancer Chemother Pharmacol","language":"en","page":"1115-1130","source":"DOI.org (Crossref)","title":"A review of therapeutic challenges and achievements of methotrexate delivery systems for treatment of cancer and rheumatoid arthritis","volume":"71","author":[{"family":"Abolmaali","given":"Samira Sadat"},{"family":"Tamaddon","given":"Ali Mohammad"},{"family":"Dinarvand","given":"Rassoul"}],"issued":{"date-parts":[["2013",5]]}}}],"schema":"https://github.com/citation-style-language/schema/raw/master/csl-citation.json"} </w:instrText>
      </w:r>
      <w:r w:rsidR="0045016D" w:rsidRPr="00D74025">
        <w:rPr>
          <w:rFonts w:ascii="Arial" w:hAnsi="Arial" w:cs="Arial"/>
          <w:color w:val="000000" w:themeColor="text1"/>
        </w:rPr>
        <w:fldChar w:fldCharType="separate"/>
      </w:r>
      <w:r w:rsidR="000F4F53" w:rsidRPr="000F4F53">
        <w:rPr>
          <w:rFonts w:ascii="Arial" w:hAnsi="Arial" w:cs="Arial"/>
          <w:color w:val="000000"/>
          <w:vertAlign w:val="superscript"/>
        </w:rPr>
        <w:t>276</w:t>
      </w:r>
      <w:r w:rsidR="0045016D" w:rsidRPr="00D74025">
        <w:rPr>
          <w:rFonts w:ascii="Arial" w:hAnsi="Arial" w:cs="Arial"/>
          <w:color w:val="000000" w:themeColor="text1"/>
        </w:rPr>
        <w:fldChar w:fldCharType="end"/>
      </w:r>
      <w:r w:rsidRPr="00D74025">
        <w:rPr>
          <w:rFonts w:ascii="Arial" w:hAnsi="Arial" w:cs="Arial"/>
          <w:color w:val="000000" w:themeColor="text1"/>
        </w:rPr>
        <w:t xml:space="preserve">. Protein-drug conjugates offers a plasma-circulating vehicle that will only release the active drug molecules once they are attached to tumor-specific antigens. </w:t>
      </w:r>
    </w:p>
    <w:p w14:paraId="38C2E7CD" w14:textId="4B576E6B" w:rsidR="0045016D" w:rsidRPr="00D74025" w:rsidRDefault="0045016D" w:rsidP="00137903">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Here, we present the strategy of conjugating a drug, </w:t>
      </w:r>
      <w:proofErr w:type="spellStart"/>
      <w:r w:rsidRPr="00D74025">
        <w:rPr>
          <w:rFonts w:ascii="Arial" w:hAnsi="Arial" w:cs="Arial"/>
          <w:color w:val="000000" w:themeColor="text1"/>
        </w:rPr>
        <w:t>mertansine</w:t>
      </w:r>
      <w:proofErr w:type="spellEnd"/>
      <w:r w:rsidRPr="00D74025">
        <w:rPr>
          <w:rFonts w:ascii="Arial" w:hAnsi="Arial" w:cs="Arial"/>
          <w:color w:val="000000" w:themeColor="text1"/>
        </w:rPr>
        <w:t>, to ANXA5 to create a targeted chemotherapeutic agent for cancer. As mentioned before, ANXA5 is a protein that specifically binds to cancer cells, tumor vasculature, and metastatic cancer cells. Therefore, ANXA5 is a suitable candidate for the carrier of drugs to cancer.</w:t>
      </w:r>
    </w:p>
    <w:p w14:paraId="3607FD74" w14:textId="02140690" w:rsidR="0045016D" w:rsidRPr="00D74025" w:rsidRDefault="0045016D" w:rsidP="00137903">
      <w:pPr>
        <w:spacing w:line="360" w:lineRule="auto"/>
        <w:ind w:firstLine="1440"/>
        <w:jc w:val="both"/>
        <w:rPr>
          <w:rFonts w:ascii="Arial" w:hAnsi="Arial" w:cs="Arial"/>
          <w:color w:val="000000" w:themeColor="text1"/>
          <w:lang w:val="en"/>
        </w:rPr>
      </w:pPr>
      <w:proofErr w:type="spellStart"/>
      <w:r w:rsidRPr="00D74025">
        <w:rPr>
          <w:rFonts w:ascii="Arial" w:hAnsi="Arial" w:cs="Arial"/>
          <w:color w:val="000000" w:themeColor="text1"/>
          <w:lang w:val="en"/>
        </w:rPr>
        <w:lastRenderedPageBreak/>
        <w:t>Mertansine</w:t>
      </w:r>
      <w:proofErr w:type="spellEnd"/>
      <w:r w:rsidRPr="00D74025">
        <w:rPr>
          <w:rFonts w:ascii="Arial" w:hAnsi="Arial" w:cs="Arial"/>
          <w:color w:val="000000" w:themeColor="text1"/>
          <w:lang w:val="en"/>
        </w:rPr>
        <w:t xml:space="preserve"> (drug </w:t>
      </w:r>
      <w:proofErr w:type="spellStart"/>
      <w:r w:rsidRPr="00D74025">
        <w:rPr>
          <w:rFonts w:ascii="Arial" w:hAnsi="Arial" w:cs="Arial"/>
          <w:color w:val="000000" w:themeColor="text1"/>
          <w:lang w:val="en"/>
        </w:rPr>
        <w:t>maytansinoid</w:t>
      </w:r>
      <w:proofErr w:type="spellEnd"/>
      <w:r w:rsidRPr="00D74025">
        <w:rPr>
          <w:rFonts w:ascii="Arial" w:hAnsi="Arial" w:cs="Arial"/>
          <w:color w:val="000000" w:themeColor="text1"/>
          <w:lang w:val="en"/>
        </w:rPr>
        <w:t xml:space="preserve"> 1, DM1</w:t>
      </w:r>
      <w:r w:rsidR="006218E4" w:rsidRPr="00D74025">
        <w:rPr>
          <w:rFonts w:ascii="Arial" w:hAnsi="Arial" w:cs="Arial"/>
          <w:color w:val="000000" w:themeColor="text1"/>
          <w:lang w:val="en"/>
        </w:rPr>
        <w:t>, 738.3 Da</w:t>
      </w:r>
      <w:r w:rsidRPr="00D74025">
        <w:rPr>
          <w:rFonts w:ascii="Arial" w:hAnsi="Arial" w:cs="Arial"/>
          <w:color w:val="000000" w:themeColor="text1"/>
          <w:lang w:val="en"/>
        </w:rPr>
        <w:t>) is a microtubule inhibiting agent that causes M phase mitotic arrest</w:t>
      </w:r>
      <w:r w:rsidR="006218E4" w:rsidRPr="00D74025">
        <w:rPr>
          <w:rFonts w:ascii="Arial" w:hAnsi="Arial" w:cs="Arial"/>
          <w:color w:val="000000" w:themeColor="text1"/>
          <w:lang w:val="en"/>
        </w:rPr>
        <w:t>, by supposably binding to tubulin on the beta-tubulin domain preventing longitudinal microtubule assembly</w:t>
      </w:r>
      <w:r w:rsidR="0011658A" w:rsidRPr="00D74025">
        <w:rPr>
          <w:rFonts w:ascii="Arial" w:hAnsi="Arial" w:cs="Arial"/>
          <w:color w:val="000000" w:themeColor="text1"/>
          <w:lang w:val="en"/>
        </w:rPr>
        <w:fldChar w:fldCharType="begin"/>
      </w:r>
      <w:r w:rsidR="000F4F53">
        <w:rPr>
          <w:rFonts w:ascii="Arial" w:hAnsi="Arial" w:cs="Arial"/>
          <w:color w:val="000000" w:themeColor="text1"/>
          <w:lang w:val="en"/>
        </w:rPr>
        <w:instrText xml:space="preserve"> ADDIN ZOTERO_ITEM CSL_CITATION {"citationID":"a1at5d1821e","properties":{"formattedCitation":"\\super 277,278\\nosupersub{}","plainCitation":"277,278","noteIndex":0},"citationItems":[{"id":1184,"uris":["http://zotero.org/users/7661987/items/77KLFVRR"],"itemData":{"id":1184,"type":"article-journal","abstract":"Maytansine is a potent microtubule-targeted compound that induces mitotic arrest and kills tumor cells at subnanomolar concentrations. However, its side effects and lack of tumor specificity have prevented successful clinical use. Recently, antibody-conjugated maytansine derivatives have been developed to overcome these drawbacks. Several conjugates show promising early clinical results. We evaluated the effects on microtubule polymerization and dynamic instability of maytansine and two cellular metabolites (S-methyl-DM1 and S-methyl-DM4) of antibody-maytansinoid conjugates that are potent in cells at picomolar levels and that are active in tumor-bearing mice. Although S-methyl-DM1 and S-methyl-DM4 inhibited polymerization more weakly than maytansine, at 100 nmol/L they suppressed dynamic instability more strongly than maytansine (by 84% and 73%, respectively, compared with 45% for maytansine). However, unlike maytansine, S-methyl-DM1 and S-methyl-DM4 induced tubulin aggregates detectable by electron microscopy at concentrations ≥2 μmol/L, with S-methyl-DM4 showing more extensive aggregate formation than S-methyl-DM1. Both maytansine and S-methyl-DM1 bound to tubulin with similar KD values (0.86 ± 0.2 and 0.93 ± 0.2 μmol/L, respectively). Tritiated S-methyl-DM1 bound to 37 highaffinity sites per microtubule (KD, 0.1 ± 0.05 μmol/L). Thus, S-methyl-DM1 binds to high-affinity sites on microtubules 20-fold more strongly than vinblastine. The high-affinity binding is likely at microtubule ends and is responsible for suppression of microtubule dynamic instability. Also, at higher concentrations, S-methyl-DM1 showed low-affinity binding either to a larger number of sites on microtubules or to sedimentable tubulin aggregates. Overall, the maytansine derivatives that result from cellular metabolism of the antibody conjugates are themselves potent microtubule poisons, interacting with microtubules as effectively as or more effectively than the parent molecule. Mol Cancer Ther; 9(10); 2689–99. ©2010 AACR.","container-title":"Molecular Cancer Therapeutics","DOI":"10.1158/1535-7163.MCT-10-0644","ISSN":"1535-7163, 1538-8514","issue":"10","language":"en","page":"2689-2699","source":"DOI.org (Crossref)","title":"Maytansine and Cellular Metabolites of Antibody-Maytansinoid Conjugates Strongly Suppress Microtubule Dynamics by Binding to Microtubules","volume":"9","author":[{"family":"Lopus","given":"Manu"},{"family":"Oroudjev","given":"Emin"},{"family":"Wilson","given":"Leslie"},{"family":"Wilhelm","given":"Sharon"},{"family":"Widdison","given":"Wayne"},{"family":"Chari","given":"Ravi"},{"family":"Jordan","given":"Mary Ann"}],"issued":{"date-parts":[["2010",10,1]]}}},{"id":1197,"uris":["http://zotero.org/users/7661987/items/UBVWP2XE"],"itemData":{"id":1197,"type":"article-journal","abstract":"Significance\n            Microtubules are dynamic protein filaments assembled from tubulin subunits, which play a key role for cell division. Ligands that target microtubules and affect their dynamics belong to the most successful classes of chemotherapeutic drugs against cancer by inhibiting cell proliferation. Here we have analyzed three structurally unrelated drugs that destabilize microtubules, using X-ray crystallography. The data reveal a new tubulin-binding site for these drugs, which renders their mechanism of action distinct from that of other types of microtubule assembly inhibitors. Similar key interactions with tubulin are observed for all three ligands, thus defining a common pharmacophore. Our results offer an opportunity for the rational design of potent tubulin modulators for the development of more efficient cancer therapies.\n          , \n            The recent success of antibody–drug conjugates (ADCs) in the treatment of cancer has led to a revived interest in microtubule-destabilizing agents. Here, we determined the high-resolution crystal structure of the complex between tubulin and maytansine, which is part of an ADC that is approved by the US Food and Drug Administration (FDA) for the treatment of advanced breast cancer. We found that the drug binds to a site on β-tubulin that is distinct from the vinca domain and that blocks the formation of longitudinal tubulin interactions in microtubules. We also solved crystal structures of tubulin in complex with both a variant of rhizoxin and the phase 1 drug PM060184. Consistent with biochemical and mutagenesis data, we found that the two compounds bound to the same site as maytansine and that the structures revealed a common pharmacophore for the three ligands. Our results delineate a distinct molecular mechanism of action for the inhibition of microtubule assembly by clinically relevant agents. They further provide a structural basis for the rational design of potent microtubule-destabilizing agents, thus opening opportunities for the development of next-generation ADCs for the treatment of cancer.","container-title":"Proceedings of the National Academy of Sciences","DOI":"10.1073/pnas.1408124111","ISSN":"0027-8424, 1091-6490","issue":"38","journalAbbreviation":"Proc. Natl. Acad. Sci. U.S.A.","language":"en","page":"13817-13821","source":"DOI.org (Crossref)","title":"A new tubulin-binding site and pharmacophore for microtubule-destabilizing anticancer drugs","volume":"111","author":[{"family":"Prota","given":"Andrea E."},{"family":"Bargsten","given":"Katja"},{"family":"Diaz","given":"J. Fernando"},{"family":"Marsh","given":"May"},{"family":"Cuevas","given":"Carmen"},{"family":"Liniger","given":"Marc"},{"family":"Neuhaus","given":"Christian"},{"family":"Andreu","given":"Jose M."},{"family":"Altmann","given":"Karl-Heinz"},{"family":"Steinmetz","given":"Michel O."}],"issued":{"date-parts":[["2014",9,23]]}}}],"schema":"https://github.com/citation-style-language/schema/raw/master/csl-citation.json"} </w:instrText>
      </w:r>
      <w:r w:rsidR="0011658A" w:rsidRPr="00D74025">
        <w:rPr>
          <w:rFonts w:ascii="Arial" w:hAnsi="Arial" w:cs="Arial"/>
          <w:color w:val="000000" w:themeColor="text1"/>
          <w:lang w:val="en"/>
        </w:rPr>
        <w:fldChar w:fldCharType="separate"/>
      </w:r>
      <w:r w:rsidR="000F4F53" w:rsidRPr="000F4F53">
        <w:rPr>
          <w:rFonts w:ascii="Arial" w:hAnsi="Arial" w:cs="Arial"/>
          <w:color w:val="000000"/>
          <w:vertAlign w:val="superscript"/>
        </w:rPr>
        <w:t>277,278</w:t>
      </w:r>
      <w:r w:rsidR="0011658A" w:rsidRPr="00D74025">
        <w:rPr>
          <w:rFonts w:ascii="Arial" w:hAnsi="Arial" w:cs="Arial"/>
          <w:color w:val="000000" w:themeColor="text1"/>
          <w:lang w:val="en"/>
        </w:rPr>
        <w:fldChar w:fldCharType="end"/>
      </w:r>
      <w:r w:rsidR="0011658A" w:rsidRPr="00D74025">
        <w:rPr>
          <w:rFonts w:ascii="Arial" w:hAnsi="Arial" w:cs="Arial"/>
          <w:color w:val="000000" w:themeColor="text1"/>
          <w:lang w:val="en"/>
        </w:rPr>
        <w:t xml:space="preserve">. </w:t>
      </w:r>
      <w:proofErr w:type="spellStart"/>
      <w:r w:rsidR="0011658A" w:rsidRPr="00D74025">
        <w:rPr>
          <w:rFonts w:ascii="Arial" w:hAnsi="Arial" w:cs="Arial"/>
          <w:color w:val="000000" w:themeColor="text1"/>
          <w:lang w:val="en"/>
        </w:rPr>
        <w:t>Maytansinoids</w:t>
      </w:r>
      <w:proofErr w:type="spellEnd"/>
      <w:r w:rsidR="0011658A" w:rsidRPr="00D74025">
        <w:rPr>
          <w:rFonts w:ascii="Arial" w:hAnsi="Arial" w:cs="Arial"/>
          <w:color w:val="000000" w:themeColor="text1"/>
          <w:lang w:val="en"/>
        </w:rPr>
        <w:t xml:space="preserve"> were discovered in the 70s, and evoked </w:t>
      </w:r>
      <w:r w:rsidR="00D1555C" w:rsidRPr="00D74025">
        <w:rPr>
          <w:rFonts w:ascii="Arial" w:hAnsi="Arial" w:cs="Arial"/>
          <w:color w:val="000000" w:themeColor="text1"/>
          <w:lang w:val="en"/>
        </w:rPr>
        <w:t>strong</w:t>
      </w:r>
      <w:r w:rsidR="0011658A" w:rsidRPr="00D74025">
        <w:rPr>
          <w:rFonts w:ascii="Arial" w:hAnsi="Arial" w:cs="Arial"/>
          <w:color w:val="000000" w:themeColor="text1"/>
          <w:lang w:val="en"/>
        </w:rPr>
        <w:t xml:space="preserve"> interest for their potential for anticancer treatment. In a phase 1 clinical trial that occurred in 1978, </w:t>
      </w:r>
      <w:proofErr w:type="spellStart"/>
      <w:r w:rsidR="0011658A" w:rsidRPr="00D74025">
        <w:rPr>
          <w:rFonts w:ascii="Arial" w:hAnsi="Arial" w:cs="Arial"/>
          <w:color w:val="000000" w:themeColor="text1"/>
          <w:lang w:val="en"/>
        </w:rPr>
        <w:t>maytansine</w:t>
      </w:r>
      <w:proofErr w:type="spellEnd"/>
      <w:r w:rsidR="0011658A" w:rsidRPr="00D74025">
        <w:rPr>
          <w:rFonts w:ascii="Arial" w:hAnsi="Arial" w:cs="Arial"/>
          <w:color w:val="000000" w:themeColor="text1"/>
          <w:lang w:val="en"/>
        </w:rPr>
        <w:t xml:space="preserve"> induced remission in many leukemia patients, and vincristine-resistant patients showed significant improvement.</w:t>
      </w:r>
      <w:r w:rsidR="00D1555C" w:rsidRPr="00D74025">
        <w:rPr>
          <w:rFonts w:ascii="Arial" w:hAnsi="Arial" w:cs="Arial"/>
          <w:color w:val="000000" w:themeColor="text1"/>
          <w:lang w:val="en"/>
        </w:rPr>
        <w:t xml:space="preserve"> However, </w:t>
      </w:r>
      <w:proofErr w:type="spellStart"/>
      <w:r w:rsidR="00D1555C" w:rsidRPr="00D74025">
        <w:rPr>
          <w:rFonts w:ascii="Arial" w:hAnsi="Arial" w:cs="Arial"/>
          <w:color w:val="000000" w:themeColor="text1"/>
          <w:lang w:val="en"/>
        </w:rPr>
        <w:t>maytansine</w:t>
      </w:r>
      <w:proofErr w:type="spellEnd"/>
      <w:r w:rsidR="00D1555C" w:rsidRPr="00D74025">
        <w:rPr>
          <w:rFonts w:ascii="Arial" w:hAnsi="Arial" w:cs="Arial"/>
          <w:color w:val="000000" w:themeColor="text1"/>
          <w:lang w:val="en"/>
        </w:rPr>
        <w:t xml:space="preserve"> exhibited substantial central nervous system and gastrointestinal toxicity. Lethargy, weakness, and insomnia were also often reported side effects of the medication, along with ubiquitous severe vomiting and diarrhea</w:t>
      </w:r>
      <w:r w:rsidR="00D1555C" w:rsidRPr="00D74025">
        <w:rPr>
          <w:rFonts w:ascii="Arial" w:hAnsi="Arial" w:cs="Arial"/>
          <w:color w:val="000000" w:themeColor="text1"/>
          <w:lang w:val="en"/>
        </w:rPr>
        <w:fldChar w:fldCharType="begin"/>
      </w:r>
      <w:r w:rsidR="000F4F53">
        <w:rPr>
          <w:rFonts w:ascii="Arial" w:hAnsi="Arial" w:cs="Arial"/>
          <w:color w:val="000000" w:themeColor="text1"/>
          <w:lang w:val="en"/>
        </w:rPr>
        <w:instrText xml:space="preserve"> ADDIN ZOTERO_ITEM CSL_CITATION {"citationID":"a2diorhqvre","properties":{"formattedCitation":"\\super 279\\nosupersub{}","plainCitation":"279","noteIndex":0},"citationItems":[{"id":1188,"uris":["http://zotero.org/users/7661987/items/KDMY4DFA"],"itemData":{"id":1188,"type":"article-journal","abstract":"During phase I trials with maytansine some activity against lymphoma and lymphocytic leukemia was noted. Therefore, a phase II trial of maytansine in patients with advanced lymphomas refractory to conventional chemotherapy was begun. There were three partial responders (10%) among 31 patients entered in the trial. Toxicity was acceptable; gastrointestinal and neurologic side effects were the most common. Little myelotoxicity and no hepatotoxicity were observed. We conclude that maytansine has very limited activity in heavily pretreated patients with Hodgkin's disease and non-Hodgkin's lymphomas.","container-title":"Cancer Treatment Reports","ISSN":"0361-5960","issue":"10-11","journalAbbreviation":"Cancer Treat Rep","language":"eng","note":"PMID: 7459897","page":"1115-1117","source":"PubMed","title":"Phase II study of maytansine in patients with advanced lymphomas: an Eastern Cooperative Oncology Group pilot study","title-short":"Phase II study of maytansine in patients with advanced lymphomas","volume":"64","author":[{"family":"Rosenthal","given":"S."},{"family":"Harris","given":"D. T."},{"family":"Horton","given":"J."},{"family":"Glick","given":"J. H."}],"issued":{"date-parts":[["1980",11]]}}}],"schema":"https://github.com/citation-style-language/schema/raw/master/csl-citation.json"} </w:instrText>
      </w:r>
      <w:r w:rsidR="00D1555C" w:rsidRPr="00D74025">
        <w:rPr>
          <w:rFonts w:ascii="Arial" w:hAnsi="Arial" w:cs="Arial"/>
          <w:color w:val="000000" w:themeColor="text1"/>
          <w:lang w:val="en"/>
        </w:rPr>
        <w:fldChar w:fldCharType="separate"/>
      </w:r>
      <w:r w:rsidR="000F4F53" w:rsidRPr="000F4F53">
        <w:rPr>
          <w:rFonts w:ascii="Arial" w:hAnsi="Arial" w:cs="Arial"/>
          <w:color w:val="000000"/>
          <w:vertAlign w:val="superscript"/>
        </w:rPr>
        <w:t>279</w:t>
      </w:r>
      <w:r w:rsidR="00D1555C" w:rsidRPr="00D74025">
        <w:rPr>
          <w:rFonts w:ascii="Arial" w:hAnsi="Arial" w:cs="Arial"/>
          <w:color w:val="000000" w:themeColor="text1"/>
          <w:lang w:val="en"/>
        </w:rPr>
        <w:fldChar w:fldCharType="end"/>
      </w:r>
      <w:r w:rsidR="00D1555C" w:rsidRPr="00D74025">
        <w:rPr>
          <w:rFonts w:ascii="Arial" w:hAnsi="Arial" w:cs="Arial"/>
          <w:color w:val="000000" w:themeColor="text1"/>
          <w:lang w:val="en"/>
        </w:rPr>
        <w:t xml:space="preserve">. </w:t>
      </w:r>
      <w:r w:rsidR="009A2DEE" w:rsidRPr="00D74025">
        <w:rPr>
          <w:rFonts w:ascii="Arial" w:hAnsi="Arial" w:cs="Arial"/>
          <w:color w:val="000000" w:themeColor="text1"/>
          <w:lang w:val="en"/>
        </w:rPr>
        <w:t>By</w:t>
      </w:r>
      <w:r w:rsidR="00D1555C" w:rsidRPr="00D74025">
        <w:rPr>
          <w:rFonts w:ascii="Arial" w:hAnsi="Arial" w:cs="Arial"/>
          <w:color w:val="000000" w:themeColor="text1"/>
          <w:lang w:val="en"/>
        </w:rPr>
        <w:t xml:space="preserve"> the early 1980s, the excitement around </w:t>
      </w:r>
      <w:proofErr w:type="spellStart"/>
      <w:r w:rsidR="00D1555C" w:rsidRPr="00D74025">
        <w:rPr>
          <w:rFonts w:ascii="Arial" w:hAnsi="Arial" w:cs="Arial"/>
          <w:color w:val="000000" w:themeColor="text1"/>
          <w:lang w:val="en"/>
        </w:rPr>
        <w:t>maytansinoids</w:t>
      </w:r>
      <w:proofErr w:type="spellEnd"/>
      <w:r w:rsidR="00D1555C" w:rsidRPr="00D74025">
        <w:rPr>
          <w:rFonts w:ascii="Arial" w:hAnsi="Arial" w:cs="Arial"/>
          <w:color w:val="000000" w:themeColor="text1"/>
          <w:lang w:val="en"/>
        </w:rPr>
        <w:t xml:space="preserve"> had mostly subsided as a result of the therapeutic outcomes being underwhelming at the maximal tolerated doses (MTDs), which were only about 1 mg/m</w:t>
      </w:r>
      <w:r w:rsidR="00D1555C" w:rsidRPr="00D74025">
        <w:rPr>
          <w:rFonts w:ascii="Arial" w:hAnsi="Arial" w:cs="Arial"/>
          <w:color w:val="000000" w:themeColor="text1"/>
          <w:vertAlign w:val="superscript"/>
          <w:lang w:val="en"/>
        </w:rPr>
        <w:t>2</w:t>
      </w:r>
      <w:r w:rsidR="000D4F7D">
        <w:rPr>
          <w:rFonts w:ascii="Arial" w:hAnsi="Arial" w:cs="Arial"/>
          <w:color w:val="000000" w:themeColor="text1"/>
          <w:lang w:val="en"/>
        </w:rPr>
        <w:t xml:space="preserve"> </w:t>
      </w:r>
      <w:r w:rsidR="009A2DEE" w:rsidRPr="00D74025">
        <w:rPr>
          <w:rFonts w:ascii="Arial" w:hAnsi="Arial" w:cs="Arial"/>
          <w:color w:val="000000" w:themeColor="text1"/>
          <w:lang w:val="en"/>
        </w:rPr>
        <w:fldChar w:fldCharType="begin"/>
      </w:r>
      <w:r w:rsidR="000F4F53">
        <w:rPr>
          <w:rFonts w:ascii="Arial" w:hAnsi="Arial" w:cs="Arial"/>
          <w:color w:val="000000" w:themeColor="text1"/>
          <w:lang w:val="en"/>
        </w:rPr>
        <w:instrText xml:space="preserve"> ADDIN ZOTERO_ITEM CSL_CITATION {"citationID":"a7t3e1acpd","properties":{"formattedCitation":"\\super 280\\nosupersub{}","plainCitation":"280","noteIndex":0},"citationItems":[{"id":1190,"uris":["http://zotero.org/users/7661987/items/CLRES7UW"],"itemData":{"id":1190,"type":"article-journal","abstract":"Maytansine, a new ansa macrolide antitumor antibiotic, was administered to a total of 107 patients in a Phase I-II study. Dose-limiting toxic reactions which occurred at 0.75-1.0 mg/M2 in both Phase I and II were neurologic and consisted primarily of lethargy/weakness (a debilitation syndrome) and paresthesias. Gastrointestinal and neurologic toxic reactions increased in frequency and severity as a function of dose. Myelosuppression, while infrequent, occurred only in previously treated patients. Changes in liver function tests were subclinical. Two partial remissions were observed at a dose-level of 0.5 mg/M2 in Phase I:1 patient with squamous cell carcinoma of the lung responded for five weeks, while the other patient with adenocarcinoma of the lung responded for four weeks. One partial remission, lasting 14 weeks was seen in Phase II in a patient with malignant melanoma treated at dose-level of 1.0 mg/M2. All responses were in heavily pretreated patients. pairs of small bowel biopsy specimen used to define the mitotic index demonstrated peak mitotic arrest at 24 hours in contrast to vinca alkaloids which appear to have a peak mitotic arrest at 12-24 hours.","container-title":"Cancer","DOI":"10.1002/1097-0142(19800901)46:5&lt;1104::aid-cncr2820460505&gt;3.0.co;2-t","ISSN":"0008-543X","issue":"5","journalAbbreviation":"Cancer","language":"eng","note":"PMID: 7214295","page":"1104-1108","source":"PubMed","title":"A phase I-II study of maytansine utilizing a weekly schedule","volume":"46","author":[{"family":"Franklin","given":"R."},{"family":"Samson","given":"M. K."},{"family":"Fraile","given":"R. J."},{"family":"Abu-Zahra","given":"H."},{"family":"O'Bryan","given":"R."},{"family":"Baker","given":"L. H."}],"issued":{"date-parts":[["1980",9,1]]}}}],"schema":"https://github.com/citation-style-language/schema/raw/master/csl-citation.json"} </w:instrText>
      </w:r>
      <w:r w:rsidR="009A2DEE" w:rsidRPr="00D74025">
        <w:rPr>
          <w:rFonts w:ascii="Arial" w:hAnsi="Arial" w:cs="Arial"/>
          <w:color w:val="000000" w:themeColor="text1"/>
          <w:lang w:val="en"/>
        </w:rPr>
        <w:fldChar w:fldCharType="separate"/>
      </w:r>
      <w:r w:rsidR="000F4F53" w:rsidRPr="000F4F53">
        <w:rPr>
          <w:rFonts w:ascii="Arial" w:hAnsi="Arial" w:cs="Arial"/>
          <w:color w:val="000000"/>
          <w:vertAlign w:val="superscript"/>
        </w:rPr>
        <w:t>280</w:t>
      </w:r>
      <w:r w:rsidR="009A2DEE" w:rsidRPr="00D74025">
        <w:rPr>
          <w:rFonts w:ascii="Arial" w:hAnsi="Arial" w:cs="Arial"/>
          <w:color w:val="000000" w:themeColor="text1"/>
          <w:lang w:val="en"/>
        </w:rPr>
        <w:fldChar w:fldCharType="end"/>
      </w:r>
      <w:r w:rsidR="000D4F7D">
        <w:rPr>
          <w:rFonts w:ascii="Arial" w:hAnsi="Arial" w:cs="Arial"/>
          <w:color w:val="000000" w:themeColor="text1"/>
          <w:lang w:val="en"/>
        </w:rPr>
        <w:t>.</w:t>
      </w:r>
      <w:r w:rsidR="009A2DEE" w:rsidRPr="00D74025">
        <w:rPr>
          <w:rFonts w:ascii="Arial" w:hAnsi="Arial" w:cs="Arial"/>
          <w:color w:val="000000" w:themeColor="text1"/>
          <w:lang w:val="en"/>
        </w:rPr>
        <w:t xml:space="preserve"> </w:t>
      </w:r>
      <w:r w:rsidR="00201EB6" w:rsidRPr="00D74025">
        <w:rPr>
          <w:rFonts w:ascii="Arial" w:hAnsi="Arial" w:cs="Arial"/>
          <w:color w:val="000000" w:themeColor="text1"/>
          <w:lang w:val="en"/>
        </w:rPr>
        <w:t>Later in the 80s, a</w:t>
      </w:r>
      <w:r w:rsidR="009A2DEE" w:rsidRPr="00D74025">
        <w:rPr>
          <w:rFonts w:ascii="Arial" w:hAnsi="Arial" w:cs="Arial"/>
          <w:color w:val="000000" w:themeColor="text1"/>
          <w:lang w:val="en"/>
        </w:rPr>
        <w:t xml:space="preserve"> modification to the chemical structure of original </w:t>
      </w:r>
      <w:proofErr w:type="spellStart"/>
      <w:r w:rsidR="009A2DEE" w:rsidRPr="00D74025">
        <w:rPr>
          <w:rFonts w:ascii="Arial" w:hAnsi="Arial" w:cs="Arial"/>
          <w:color w:val="000000" w:themeColor="text1"/>
          <w:lang w:val="en"/>
        </w:rPr>
        <w:t>ma</w:t>
      </w:r>
      <w:r w:rsidR="006218E4" w:rsidRPr="00D74025">
        <w:rPr>
          <w:rFonts w:ascii="Arial" w:hAnsi="Arial" w:cs="Arial"/>
          <w:color w:val="000000" w:themeColor="text1"/>
          <w:lang w:val="en"/>
        </w:rPr>
        <w:t>ntensine</w:t>
      </w:r>
      <w:proofErr w:type="spellEnd"/>
      <w:r w:rsidR="009A2DEE" w:rsidRPr="00D74025">
        <w:rPr>
          <w:rFonts w:ascii="Arial" w:hAnsi="Arial" w:cs="Arial"/>
          <w:color w:val="000000" w:themeColor="text1"/>
          <w:lang w:val="en"/>
        </w:rPr>
        <w:t xml:space="preserve"> introduced </w:t>
      </w:r>
      <w:r w:rsidR="006218E4" w:rsidRPr="00D74025">
        <w:rPr>
          <w:rFonts w:ascii="Arial" w:hAnsi="Arial" w:cs="Arial"/>
          <w:color w:val="000000" w:themeColor="text1"/>
          <w:lang w:val="en"/>
        </w:rPr>
        <w:t xml:space="preserve">a sulfhydryl </w:t>
      </w:r>
      <w:r w:rsidR="003D31D7" w:rsidRPr="00D74025">
        <w:rPr>
          <w:rFonts w:ascii="Arial" w:hAnsi="Arial" w:cs="Arial"/>
          <w:color w:val="000000" w:themeColor="text1"/>
          <w:lang w:val="en"/>
        </w:rPr>
        <w:t>group</w:t>
      </w:r>
      <w:r w:rsidR="006218E4" w:rsidRPr="00D74025">
        <w:rPr>
          <w:rFonts w:ascii="Arial" w:hAnsi="Arial" w:cs="Arial"/>
          <w:color w:val="000000" w:themeColor="text1"/>
          <w:lang w:val="en"/>
        </w:rPr>
        <w:t xml:space="preserve"> </w:t>
      </w:r>
      <w:r w:rsidR="009A2DEE" w:rsidRPr="00D74025">
        <w:rPr>
          <w:rFonts w:ascii="Arial" w:hAnsi="Arial" w:cs="Arial"/>
          <w:color w:val="000000" w:themeColor="text1"/>
          <w:lang w:val="en"/>
        </w:rPr>
        <w:t>to allow a disulfide bridge between drug and protein</w:t>
      </w:r>
      <w:r w:rsidR="00211BF4" w:rsidRPr="00D74025">
        <w:rPr>
          <w:rFonts w:ascii="Arial" w:hAnsi="Arial" w:cs="Arial"/>
          <w:color w:val="000000" w:themeColor="text1"/>
          <w:lang w:val="en"/>
        </w:rPr>
        <w:t>s</w:t>
      </w:r>
      <w:r w:rsidR="006218E4" w:rsidRPr="00D74025">
        <w:rPr>
          <w:rFonts w:ascii="Arial" w:hAnsi="Arial" w:cs="Arial"/>
          <w:color w:val="000000" w:themeColor="text1"/>
          <w:lang w:val="en"/>
        </w:rPr>
        <w:t>. The modified drug was name</w:t>
      </w:r>
      <w:r w:rsidR="003D31D7" w:rsidRPr="00D74025">
        <w:rPr>
          <w:rFonts w:ascii="Arial" w:hAnsi="Arial" w:cs="Arial"/>
          <w:color w:val="000000" w:themeColor="text1"/>
          <w:lang w:val="en"/>
        </w:rPr>
        <w:t>d</w:t>
      </w:r>
      <w:r w:rsidR="006218E4" w:rsidRPr="00D74025">
        <w:rPr>
          <w:rFonts w:ascii="Arial" w:hAnsi="Arial" w:cs="Arial"/>
          <w:color w:val="000000" w:themeColor="text1"/>
          <w:lang w:val="en"/>
        </w:rPr>
        <w:t xml:space="preserve"> the </w:t>
      </w:r>
      <w:r w:rsidR="006218E4" w:rsidRPr="00D74025">
        <w:rPr>
          <w:rFonts w:ascii="Arial" w:hAnsi="Arial" w:cs="Arial"/>
          <w:color w:val="000000" w:themeColor="text1"/>
        </w:rPr>
        <w:t>“drug-maytansinoid-1” or DM1 (</w:t>
      </w:r>
      <w:r w:rsidR="000D4F7D" w:rsidRPr="000D4F7D">
        <w:rPr>
          <w:rFonts w:ascii="Arial" w:hAnsi="Arial" w:cs="Arial"/>
          <w:b/>
          <w:bCs/>
          <w:color w:val="000000" w:themeColor="text1"/>
        </w:rPr>
        <w:t>F</w:t>
      </w:r>
      <w:r w:rsidR="006218E4" w:rsidRPr="000D4F7D">
        <w:rPr>
          <w:rFonts w:ascii="Arial" w:hAnsi="Arial" w:cs="Arial"/>
          <w:b/>
          <w:bCs/>
          <w:color w:val="000000" w:themeColor="text1"/>
        </w:rPr>
        <w:t xml:space="preserve">igure </w:t>
      </w:r>
      <w:r w:rsidR="000D4F7D" w:rsidRPr="000D4F7D">
        <w:rPr>
          <w:rFonts w:ascii="Arial" w:hAnsi="Arial" w:cs="Arial"/>
          <w:b/>
          <w:bCs/>
          <w:color w:val="000000" w:themeColor="text1"/>
        </w:rPr>
        <w:t>24</w:t>
      </w:r>
      <w:r w:rsidR="006218E4" w:rsidRPr="00D74025">
        <w:rPr>
          <w:rFonts w:ascii="Arial" w:hAnsi="Arial" w:cs="Arial"/>
          <w:color w:val="000000" w:themeColor="text1"/>
        </w:rPr>
        <w:t>).</w:t>
      </w:r>
      <w:r w:rsidR="003D31D7" w:rsidRPr="00D74025">
        <w:rPr>
          <w:rFonts w:ascii="Arial" w:hAnsi="Arial" w:cs="Arial"/>
          <w:color w:val="000000" w:themeColor="text1"/>
        </w:rPr>
        <w:t xml:space="preserve"> </w:t>
      </w:r>
      <w:r w:rsidR="003D31D7" w:rsidRPr="00D74025">
        <w:rPr>
          <w:rFonts w:ascii="Arial" w:hAnsi="Arial" w:cs="Arial"/>
          <w:color w:val="000000" w:themeColor="text1"/>
          <w:lang w:val="en"/>
        </w:rPr>
        <w:t xml:space="preserve">Clinical trials </w:t>
      </w:r>
      <w:r w:rsidR="00211BF4" w:rsidRPr="00D74025">
        <w:rPr>
          <w:rFonts w:ascii="Arial" w:hAnsi="Arial" w:cs="Arial"/>
          <w:color w:val="000000" w:themeColor="text1"/>
          <w:lang w:val="en"/>
        </w:rPr>
        <w:t xml:space="preserve">in the 2000s </w:t>
      </w:r>
      <w:r w:rsidR="003D31D7" w:rsidRPr="00D74025">
        <w:rPr>
          <w:rFonts w:ascii="Arial" w:hAnsi="Arial" w:cs="Arial"/>
          <w:color w:val="000000" w:themeColor="text1"/>
          <w:lang w:val="en"/>
        </w:rPr>
        <w:t>with antibody-DM1 conjugates and pre-clinical research revealed maximal tolerable weekly doses of 115 mg/m</w:t>
      </w:r>
      <w:r w:rsidR="003D31D7" w:rsidRPr="00D74025">
        <w:rPr>
          <w:rFonts w:ascii="Arial" w:hAnsi="Arial" w:cs="Arial"/>
          <w:color w:val="000000" w:themeColor="text1"/>
          <w:vertAlign w:val="superscript"/>
          <w:lang w:val="en"/>
        </w:rPr>
        <w:t>2</w:t>
      </w:r>
      <w:r w:rsidR="003D31D7" w:rsidRPr="00D74025">
        <w:rPr>
          <w:rFonts w:ascii="Arial" w:hAnsi="Arial" w:cs="Arial"/>
          <w:color w:val="000000" w:themeColor="text1"/>
          <w:lang w:val="en"/>
        </w:rPr>
        <w:t>, more than 100 times the amount permissible with the free drug, and 1000 times lower toxicity to untargeted cells.</w:t>
      </w:r>
    </w:p>
    <w:tbl>
      <w:tblPr>
        <w:tblStyle w:val="TableGrid"/>
        <w:tblW w:w="0" w:type="auto"/>
        <w:tblLook w:val="04A0" w:firstRow="1" w:lastRow="0" w:firstColumn="1" w:lastColumn="0" w:noHBand="0" w:noVBand="1"/>
      </w:tblPr>
      <w:tblGrid>
        <w:gridCol w:w="9350"/>
      </w:tblGrid>
      <w:tr w:rsidR="00D74025" w:rsidRPr="00D74025" w14:paraId="14CA28E4" w14:textId="77777777" w:rsidTr="00F9311E">
        <w:tc>
          <w:tcPr>
            <w:tcW w:w="9350" w:type="dxa"/>
          </w:tcPr>
          <w:p w14:paraId="1A56F38D" w14:textId="77777777" w:rsidR="00201EB6" w:rsidRPr="00D74025" w:rsidRDefault="00201EB6" w:rsidP="000D71A7">
            <w:pPr>
              <w:spacing w:beforeAutospacing="0"/>
              <w:ind w:firstLine="0"/>
              <w:jc w:val="center"/>
              <w:rPr>
                <w:color w:val="000000" w:themeColor="text1"/>
              </w:rPr>
            </w:pPr>
            <w:r w:rsidRPr="00D74025">
              <w:rPr>
                <w:noProof/>
                <w:color w:val="000000" w:themeColor="text1"/>
              </w:rPr>
              <w:lastRenderedPageBreak/>
              <w:drawing>
                <wp:inline distT="114300" distB="114300" distL="114300" distR="114300" wp14:anchorId="20C3C1C9" wp14:editId="10EE01C8">
                  <wp:extent cx="3495675" cy="4057650"/>
                  <wp:effectExtent l="0" t="0" r="0" b="0"/>
                  <wp:docPr id="20" name="image2.png" descr="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0" name="image2.png" descr="Diagram&#10;&#10;Description automatically generated with medium confidence"/>
                          <pic:cNvPicPr preferRelativeResize="0"/>
                        </pic:nvPicPr>
                        <pic:blipFill>
                          <a:blip r:embed="rId40"/>
                          <a:srcRect/>
                          <a:stretch>
                            <a:fillRect/>
                          </a:stretch>
                        </pic:blipFill>
                        <pic:spPr>
                          <a:xfrm>
                            <a:off x="0" y="0"/>
                            <a:ext cx="3495675" cy="4057650"/>
                          </a:xfrm>
                          <a:prstGeom prst="rect">
                            <a:avLst/>
                          </a:prstGeom>
                          <a:ln/>
                        </pic:spPr>
                      </pic:pic>
                    </a:graphicData>
                  </a:graphic>
                </wp:inline>
              </w:drawing>
            </w:r>
          </w:p>
        </w:tc>
      </w:tr>
      <w:tr w:rsidR="00201EB6" w:rsidRPr="00D74025" w14:paraId="58ED402C" w14:textId="77777777" w:rsidTr="00F9311E">
        <w:tc>
          <w:tcPr>
            <w:tcW w:w="9350" w:type="dxa"/>
          </w:tcPr>
          <w:p w14:paraId="2A8F5CF1" w14:textId="63E73C84" w:rsidR="00201EB6" w:rsidRPr="00D74025" w:rsidRDefault="00506A24" w:rsidP="00F9311E">
            <w:pPr>
              <w:ind w:firstLine="0"/>
              <w:rPr>
                <w:rFonts w:ascii="Arial" w:hAnsi="Arial" w:cs="Arial"/>
                <w:color w:val="000000" w:themeColor="text1"/>
              </w:rPr>
            </w:pPr>
            <w:bookmarkStart w:id="55" w:name="_Toc118986277"/>
            <w:bookmarkStart w:id="56" w:name="_Toc121217346"/>
            <w:r w:rsidRPr="00506A24">
              <w:rPr>
                <w:rFonts w:ascii="Arial" w:hAnsi="Arial" w:cs="Arial"/>
                <w:b/>
                <w:bCs/>
                <w:color w:val="000000" w:themeColor="text1"/>
              </w:rPr>
              <w:t xml:space="preserve">Figure </w:t>
            </w:r>
            <w:r w:rsidRPr="00506A24">
              <w:rPr>
                <w:rFonts w:ascii="Arial" w:hAnsi="Arial" w:cs="Arial"/>
                <w:b/>
                <w:bCs/>
                <w:color w:val="000000" w:themeColor="text1"/>
              </w:rPr>
              <w:fldChar w:fldCharType="begin"/>
            </w:r>
            <w:r w:rsidRPr="00506A24">
              <w:rPr>
                <w:rFonts w:ascii="Arial" w:hAnsi="Arial" w:cs="Arial"/>
                <w:b/>
                <w:bCs/>
                <w:color w:val="000000" w:themeColor="text1"/>
              </w:rPr>
              <w:instrText xml:space="preserve"> SEQ Figure \* ARABIC </w:instrText>
            </w:r>
            <w:r w:rsidRPr="00506A24">
              <w:rPr>
                <w:rFonts w:ascii="Arial" w:hAnsi="Arial" w:cs="Arial"/>
                <w:b/>
                <w:bCs/>
                <w:color w:val="000000" w:themeColor="text1"/>
              </w:rPr>
              <w:fldChar w:fldCharType="separate"/>
            </w:r>
            <w:r w:rsidR="002C4B25">
              <w:rPr>
                <w:rFonts w:ascii="Arial" w:hAnsi="Arial" w:cs="Arial"/>
                <w:b/>
                <w:bCs/>
                <w:noProof/>
                <w:color w:val="000000" w:themeColor="text1"/>
              </w:rPr>
              <w:t>24</w:t>
            </w:r>
            <w:r w:rsidRPr="00506A24">
              <w:rPr>
                <w:rFonts w:ascii="Arial" w:hAnsi="Arial" w:cs="Arial"/>
                <w:b/>
                <w:bCs/>
                <w:color w:val="000000" w:themeColor="text1"/>
              </w:rPr>
              <w:fldChar w:fldCharType="end"/>
            </w:r>
            <w:r w:rsidR="00201EB6" w:rsidRPr="00506A24">
              <w:rPr>
                <w:rFonts w:ascii="Arial" w:hAnsi="Arial" w:cs="Arial"/>
                <w:b/>
                <w:bCs/>
                <w:color w:val="000000" w:themeColor="text1"/>
              </w:rPr>
              <w:t xml:space="preserve">: </w:t>
            </w:r>
            <w:proofErr w:type="spellStart"/>
            <w:r w:rsidR="00201EB6" w:rsidRPr="00506A24">
              <w:rPr>
                <w:rFonts w:ascii="Arial" w:hAnsi="Arial" w:cs="Arial"/>
                <w:b/>
                <w:bCs/>
                <w:color w:val="000000" w:themeColor="text1"/>
              </w:rPr>
              <w:t>Mertansine</w:t>
            </w:r>
            <w:proofErr w:type="spellEnd"/>
            <w:r w:rsidR="00201EB6" w:rsidRPr="00506A24">
              <w:rPr>
                <w:rFonts w:ascii="Arial" w:hAnsi="Arial" w:cs="Arial"/>
                <w:b/>
                <w:bCs/>
                <w:color w:val="000000" w:themeColor="text1"/>
              </w:rPr>
              <w:t xml:space="preserve"> Chemical Structure</w:t>
            </w:r>
            <w:r w:rsidR="00201EB6" w:rsidRPr="00D74025">
              <w:rPr>
                <w:rFonts w:ascii="Arial" w:hAnsi="Arial" w:cs="Arial"/>
                <w:color w:val="000000" w:themeColor="text1"/>
              </w:rPr>
              <w:t>, Formula: C</w:t>
            </w:r>
            <w:r w:rsidR="00201EB6" w:rsidRPr="00D74025">
              <w:rPr>
                <w:rFonts w:ascii="Arial" w:hAnsi="Arial" w:cs="Arial"/>
                <w:color w:val="000000" w:themeColor="text1"/>
                <w:vertAlign w:val="subscript"/>
              </w:rPr>
              <w:t>35</w:t>
            </w:r>
            <w:r w:rsidR="00201EB6" w:rsidRPr="00D74025">
              <w:rPr>
                <w:rFonts w:ascii="Arial" w:hAnsi="Arial" w:cs="Arial"/>
                <w:color w:val="000000" w:themeColor="text1"/>
              </w:rPr>
              <w:t>H</w:t>
            </w:r>
            <w:r w:rsidR="00201EB6" w:rsidRPr="00D74025">
              <w:rPr>
                <w:rFonts w:ascii="Arial" w:hAnsi="Arial" w:cs="Arial"/>
                <w:color w:val="000000" w:themeColor="text1"/>
                <w:vertAlign w:val="subscript"/>
              </w:rPr>
              <w:t>48</w:t>
            </w:r>
            <w:r w:rsidR="00201EB6" w:rsidRPr="00D74025">
              <w:rPr>
                <w:rFonts w:ascii="Arial" w:hAnsi="Arial" w:cs="Arial"/>
                <w:color w:val="000000" w:themeColor="text1"/>
              </w:rPr>
              <w:t>ClN</w:t>
            </w:r>
            <w:r w:rsidR="00201EB6" w:rsidRPr="00D74025">
              <w:rPr>
                <w:rFonts w:ascii="Arial" w:hAnsi="Arial" w:cs="Arial"/>
                <w:color w:val="000000" w:themeColor="text1"/>
                <w:vertAlign w:val="subscript"/>
              </w:rPr>
              <w:t>3</w:t>
            </w:r>
            <w:r w:rsidR="00201EB6" w:rsidRPr="00D74025">
              <w:rPr>
                <w:rFonts w:ascii="Arial" w:hAnsi="Arial" w:cs="Arial"/>
                <w:color w:val="000000" w:themeColor="text1"/>
              </w:rPr>
              <w:t>O</w:t>
            </w:r>
            <w:r w:rsidR="00201EB6" w:rsidRPr="00D74025">
              <w:rPr>
                <w:rFonts w:ascii="Arial" w:hAnsi="Arial" w:cs="Arial"/>
                <w:color w:val="000000" w:themeColor="text1"/>
                <w:vertAlign w:val="subscript"/>
              </w:rPr>
              <w:t>10</w:t>
            </w:r>
            <w:r w:rsidR="00201EB6" w:rsidRPr="00D74025">
              <w:rPr>
                <w:rFonts w:ascii="Arial" w:hAnsi="Arial" w:cs="Arial"/>
                <w:color w:val="000000" w:themeColor="text1"/>
              </w:rPr>
              <w:t>S</w:t>
            </w:r>
            <w:bookmarkEnd w:id="55"/>
            <w:bookmarkEnd w:id="56"/>
            <w:r w:rsidR="00201EB6" w:rsidRPr="00D74025">
              <w:rPr>
                <w:rFonts w:ascii="Arial" w:hAnsi="Arial" w:cs="Arial"/>
                <w:color w:val="000000" w:themeColor="text1"/>
              </w:rPr>
              <w:t xml:space="preserve"> </w:t>
            </w:r>
          </w:p>
        </w:tc>
      </w:tr>
    </w:tbl>
    <w:p w14:paraId="62E40FE6" w14:textId="77777777" w:rsidR="00506A24" w:rsidRDefault="00506A24" w:rsidP="00201EB6">
      <w:pPr>
        <w:spacing w:line="360" w:lineRule="auto"/>
        <w:ind w:firstLine="1440"/>
        <w:jc w:val="both"/>
        <w:rPr>
          <w:rFonts w:ascii="Arial" w:hAnsi="Arial" w:cs="Arial"/>
          <w:color w:val="000000" w:themeColor="text1"/>
          <w:lang w:val="en"/>
        </w:rPr>
      </w:pPr>
    </w:p>
    <w:p w14:paraId="649E30EE" w14:textId="069024E5" w:rsidR="00201EB6" w:rsidRPr="00D74025" w:rsidRDefault="003D31D7" w:rsidP="00201EB6">
      <w:pPr>
        <w:spacing w:line="360" w:lineRule="auto"/>
        <w:ind w:firstLine="1440"/>
        <w:jc w:val="both"/>
        <w:rPr>
          <w:rFonts w:ascii="Arial" w:hAnsi="Arial" w:cs="Arial"/>
          <w:color w:val="000000" w:themeColor="text1"/>
        </w:rPr>
      </w:pPr>
      <w:r w:rsidRPr="00D74025">
        <w:rPr>
          <w:rFonts w:ascii="Arial" w:hAnsi="Arial" w:cs="Arial"/>
          <w:color w:val="000000" w:themeColor="text1"/>
          <w:lang w:val="en"/>
        </w:rPr>
        <w:t xml:space="preserve">Even though the antibody-DM1 conjugates have enabled the </w:t>
      </w:r>
      <w:r w:rsidR="00201EB6" w:rsidRPr="00D74025">
        <w:rPr>
          <w:rFonts w:ascii="Arial" w:hAnsi="Arial" w:cs="Arial"/>
          <w:color w:val="000000" w:themeColor="text1"/>
          <w:lang w:val="en"/>
        </w:rPr>
        <w:t xml:space="preserve">clinical </w:t>
      </w:r>
      <w:r w:rsidRPr="00D74025">
        <w:rPr>
          <w:rFonts w:ascii="Arial" w:hAnsi="Arial" w:cs="Arial"/>
          <w:color w:val="000000" w:themeColor="text1"/>
          <w:lang w:val="en"/>
        </w:rPr>
        <w:t xml:space="preserve">use of DM1 as a therapeutic agent, </w:t>
      </w:r>
      <w:r w:rsidRPr="00D74025">
        <w:rPr>
          <w:rFonts w:ascii="Arial" w:hAnsi="Arial" w:cs="Arial"/>
          <w:color w:val="000000" w:themeColor="text1"/>
        </w:rPr>
        <w:t xml:space="preserve">antibody-drug conjugates can have limited action due to poor antigen expression in </w:t>
      </w:r>
      <w:r w:rsidR="00201EB6" w:rsidRPr="00D74025">
        <w:rPr>
          <w:rFonts w:ascii="Arial" w:hAnsi="Arial" w:cs="Arial"/>
          <w:color w:val="000000" w:themeColor="text1"/>
        </w:rPr>
        <w:t>most</w:t>
      </w:r>
      <w:r w:rsidRPr="00D74025">
        <w:rPr>
          <w:rFonts w:ascii="Arial" w:hAnsi="Arial" w:cs="Arial"/>
          <w:color w:val="000000" w:themeColor="text1"/>
        </w:rPr>
        <w:t xml:space="preserve"> tumor strains and quickly varying tumor phenotypes. Therefore, ANXA5 is a promising carrier of DM1 that might increase the possible </w:t>
      </w:r>
      <w:r w:rsidR="00201EB6" w:rsidRPr="00D74025">
        <w:rPr>
          <w:rFonts w:ascii="Arial" w:hAnsi="Arial" w:cs="Arial"/>
          <w:color w:val="000000" w:themeColor="text1"/>
        </w:rPr>
        <w:t>targets for the drug, due to the ubiquitous expression of PS on the surface of cancer cells, vasculature, and metastasis. Therefore, in this lab, ANXA5-DM1 has been developed.</w:t>
      </w:r>
    </w:p>
    <w:p w14:paraId="16CC36E9" w14:textId="22FDDA01" w:rsidR="003D31D7" w:rsidRPr="00D74025" w:rsidRDefault="00211BF4" w:rsidP="00137903">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Another way that ANXA5 can be used in cancer related settings is as a targeting agent in enhanced </w:t>
      </w:r>
      <w:proofErr w:type="spellStart"/>
      <w:r w:rsidRPr="00D74025">
        <w:rPr>
          <w:rFonts w:ascii="Arial" w:hAnsi="Arial" w:cs="Arial"/>
          <w:color w:val="000000" w:themeColor="text1"/>
        </w:rPr>
        <w:t>MicroCT</w:t>
      </w:r>
      <w:proofErr w:type="spellEnd"/>
      <w:r w:rsidRPr="00D74025">
        <w:rPr>
          <w:rFonts w:ascii="Arial" w:hAnsi="Arial" w:cs="Arial"/>
          <w:color w:val="000000" w:themeColor="text1"/>
        </w:rPr>
        <w:t xml:space="preserve"> imaging via gold nanoparticles (AuNP). </w:t>
      </w:r>
      <w:r w:rsidR="0092791B" w:rsidRPr="00D74025">
        <w:rPr>
          <w:rFonts w:ascii="Arial" w:hAnsi="Arial" w:cs="Arial"/>
          <w:color w:val="000000" w:themeColor="text1"/>
        </w:rPr>
        <w:t>Even though mammograms are the standard diagnostic tool for BC, they do</w:t>
      </w:r>
      <w:r w:rsidR="0015437C">
        <w:rPr>
          <w:rFonts w:ascii="Arial" w:hAnsi="Arial" w:cs="Arial"/>
          <w:color w:val="000000" w:themeColor="text1"/>
        </w:rPr>
        <w:t xml:space="preserve"> not</w:t>
      </w:r>
      <w:r w:rsidR="0092791B" w:rsidRPr="00D74025">
        <w:rPr>
          <w:rFonts w:ascii="Arial" w:hAnsi="Arial" w:cs="Arial"/>
          <w:color w:val="000000" w:themeColor="text1"/>
        </w:rPr>
        <w:t xml:space="preserve"> detect variations in breast density, which leads to the need of biopsies and MRIs. In this lab, a novel and highly specific cancer targeting gold nanoparticle was developed to improve the accuracy of detection of breast cancer</w:t>
      </w:r>
      <w:r w:rsidR="00E5098F" w:rsidRPr="00D74025">
        <w:rPr>
          <w:rFonts w:ascii="Arial" w:hAnsi="Arial" w:cs="Arial"/>
          <w:color w:val="000000" w:themeColor="text1"/>
        </w:rPr>
        <w:t>, by linking AuNP to ANXA5</w:t>
      </w:r>
      <w:r w:rsidR="00E5098F"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{"citationID":"ab0b474t0b","properties":{"formattedCitation":"\\super 281\\nosupersub{}","plainCitation":"281","noteIndex":0},"citationItems":[{"id":1199,"uris":["http://zotero.org/users/7661987/items/EJHTL6A5"],"itemData":{"id":1199,"type":"article-journal","abstract":"Breast cancer has one of the highest mortality rates usually due to metastatic development. Mammograms are the current standard of diagnosis; however due to the low sensitivity and high rate of misdiagnosis, patients either experience false positives or negatives leading to overdiagnosis and overtreatment. One of key disadvantages of mammograms is their failed ability to differentiate between a dense breast and a tumor, usually leading to more mammograms and more expensive diagnostic tools. In order to provide a widely available imaging tool, targeted gold nanoparticles have been developed. Gold nanoparticles have been designed with annexin V surface modiﬁcation to speciﬁcally bind phosphatidylserine expressing tumor cells and tumor vasculature. In vitro and in vivo studies showed a signiﬁcant increase in contrast with targeted nanoparticles. Tumors as small as 4 mm were detectable 4 h post-injection, providing evidence of a promising, sensitive tool for early breast cancer diagnosis.","container-title":"Biomedical Physics &amp; Engineering Express","DOI":"10.1088/2057-1976/ab4d9b","ISSN":"2057-1976","issue":"6","journalAbbreviation":"Biomed. Phys. Eng. Express","language":"en","page":"065019","source":"DOI.org (Crossref)","title":"Enhanced computed tomography imaging of breast cancer via phosphatidylserine targeted gold nanoparticles","volume":"5","author":[{"family":"Virani","given":"Needa A"},{"family":"Hendrick","given":"Andria"},{"family":"Wu","given":"Di"},{"family":"Southard","given":"Ben"},{"family":"Babb","given":"Jael"},{"family":"Liu","given":"Hong"},{"family":"Awasthi","given":"Vibhudutta"},{"family":"Harrison","given":"Roger G"}],"issued":{"date-parts":[["2019",10,24]]}}}],"schema":"https://github.com/citation-style-language/schema/raw/master/csl-citation.json"} </w:instrText>
      </w:r>
      <w:r w:rsidR="00E5098F" w:rsidRPr="00D74025">
        <w:rPr>
          <w:rFonts w:ascii="Arial" w:hAnsi="Arial" w:cs="Arial"/>
          <w:color w:val="000000" w:themeColor="text1"/>
        </w:rPr>
        <w:fldChar w:fldCharType="separate"/>
      </w:r>
      <w:r w:rsidR="000F4F53" w:rsidRPr="000F4F53">
        <w:rPr>
          <w:rFonts w:ascii="Arial" w:hAnsi="Arial" w:cs="Arial"/>
          <w:color w:val="000000"/>
          <w:vertAlign w:val="superscript"/>
        </w:rPr>
        <w:t>281</w:t>
      </w:r>
      <w:r w:rsidR="00E5098F" w:rsidRPr="00D74025">
        <w:rPr>
          <w:rFonts w:ascii="Arial" w:hAnsi="Arial" w:cs="Arial"/>
          <w:color w:val="000000" w:themeColor="text1"/>
        </w:rPr>
        <w:fldChar w:fldCharType="end"/>
      </w:r>
      <w:r w:rsidR="00E5098F" w:rsidRPr="00D74025">
        <w:rPr>
          <w:rFonts w:ascii="Arial" w:hAnsi="Arial" w:cs="Arial"/>
          <w:color w:val="000000" w:themeColor="text1"/>
        </w:rPr>
        <w:t xml:space="preserve">. AuNP-ANXA5 </w:t>
      </w:r>
      <w:r w:rsidR="00E5098F" w:rsidRPr="00D74025">
        <w:rPr>
          <w:rFonts w:ascii="Arial" w:hAnsi="Arial" w:cs="Arial"/>
          <w:color w:val="000000" w:themeColor="text1"/>
        </w:rPr>
        <w:lastRenderedPageBreak/>
        <w:t xml:space="preserve">conjugate are used as enhanced contrasting agents for CT scans. The higher density of targeted AuNP, when bound to tumor vasculature and cancer cells, attenuate the X-rays generated by CT device more </w:t>
      </w:r>
      <w:r w:rsidR="00345469" w:rsidRPr="00D74025">
        <w:rPr>
          <w:rFonts w:ascii="Arial" w:hAnsi="Arial" w:cs="Arial"/>
          <w:color w:val="000000" w:themeColor="text1"/>
        </w:rPr>
        <w:t xml:space="preserve">efficiently </w:t>
      </w:r>
      <w:r w:rsidR="00E5098F" w:rsidRPr="00D74025">
        <w:rPr>
          <w:rFonts w:ascii="Arial" w:hAnsi="Arial" w:cs="Arial"/>
          <w:color w:val="000000" w:themeColor="text1"/>
        </w:rPr>
        <w:t xml:space="preserve">than the soft tissue surrounding it, generating contrasting signals. The </w:t>
      </w:r>
      <w:r w:rsidR="00345469" w:rsidRPr="00D74025">
        <w:rPr>
          <w:rFonts w:ascii="Arial" w:hAnsi="Arial" w:cs="Arial"/>
          <w:color w:val="000000" w:themeColor="text1"/>
        </w:rPr>
        <w:t xml:space="preserve">AuNP-ANXA5 mediated CT scan can improve sensitivity and specificity of breast cancer detection, distinguishing a thick breast or a breast with microcalcifications from a breast tumor. The results of AuNP-ANXA5 enhanced </w:t>
      </w:r>
      <w:proofErr w:type="spellStart"/>
      <w:r w:rsidR="00345469" w:rsidRPr="00D74025">
        <w:rPr>
          <w:rFonts w:ascii="Arial" w:hAnsi="Arial" w:cs="Arial"/>
          <w:color w:val="000000" w:themeColor="text1"/>
        </w:rPr>
        <w:t>microCT</w:t>
      </w:r>
      <w:proofErr w:type="spellEnd"/>
      <w:r w:rsidR="00345469" w:rsidRPr="00D74025">
        <w:rPr>
          <w:rFonts w:ascii="Arial" w:hAnsi="Arial" w:cs="Arial"/>
          <w:color w:val="000000" w:themeColor="text1"/>
        </w:rPr>
        <w:t xml:space="preserve"> was published in Virani </w:t>
      </w:r>
      <w:r w:rsidR="00345469" w:rsidRPr="00D74025">
        <w:rPr>
          <w:rFonts w:ascii="Arial" w:hAnsi="Arial" w:cs="Arial"/>
          <w:i/>
          <w:iCs/>
          <w:color w:val="000000" w:themeColor="text1"/>
        </w:rPr>
        <w:t>et al.</w:t>
      </w:r>
      <w:r w:rsidR="00345469"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{"citationID":"ang8gggmh4","properties":{"formattedCitation":"\\super 281\\nosupersub{}","plainCitation":"281","noteIndex":0},"citationItems":[{"id":1199,"uris":["http://zotero.org/users/7661987/items/EJHTL6A5"],"itemData":{"id":1199,"type":"article-journal","abstract":"Breast cancer has one of the highest mortality rates usually due to metastatic development. Mammograms are the current standard of diagnosis; however due to the low sensitivity and high rate of misdiagnosis, patients either experience false positives or negatives leading to overdiagnosis and overtreatment. One of key disadvantages of mammograms is their failed ability to differentiate between a dense breast and a tumor, usually leading to more mammograms and more expensive diagnostic tools. In order to provide a widely available imaging tool, targeted gold nanoparticles have been developed. Gold nanoparticles have been designed with annexin V surface modiﬁcation to speciﬁcally bind phosphatidylserine expressing tumor cells and tumor vasculature. In vitro and in vivo studies showed a signiﬁcant increase in contrast with targeted nanoparticles. Tumors as small as 4 mm were detectable 4 h post-injection, providing evidence of a promising, sensitive tool for early breast cancer diagnosis.","container-title":"Biomedical Physics &amp; Engineering Express","DOI":"10.1088/2057-1976/ab4d9b","ISSN":"2057-1976","issue":"6","journalAbbreviation":"Biomed. Phys. Eng. Express","language":"en","page":"065019","source":"DOI.org (Crossref)","title":"Enhanced computed tomography imaging of breast cancer via phosphatidylserine targeted gold nanoparticles","volume":"5","author":[{"family":"Virani","given":"Needa A"},{"family":"Hendrick","given":"Andria"},{"family":"Wu","given":"Di"},{"family":"Southard","given":"Ben"},{"family":"Babb","given":"Jael"},{"family":"Liu","given":"Hong"},{"family":"Awasthi","given":"Vibhudutta"},{"family":"Harrison","given":"Roger G"}],"issued":{"date-parts":[["2019",10,24]]}}}],"schema":"https://github.com/citation-style-language/schema/raw/master/csl-citation.json"} </w:instrText>
      </w:r>
      <w:r w:rsidR="00345469" w:rsidRPr="00D74025">
        <w:rPr>
          <w:rFonts w:ascii="Arial" w:hAnsi="Arial" w:cs="Arial"/>
          <w:color w:val="000000" w:themeColor="text1"/>
        </w:rPr>
        <w:fldChar w:fldCharType="separate"/>
      </w:r>
      <w:r w:rsidR="000F4F53" w:rsidRPr="000F4F53">
        <w:rPr>
          <w:rFonts w:ascii="Arial" w:hAnsi="Arial" w:cs="Arial"/>
          <w:color w:val="000000"/>
          <w:vertAlign w:val="superscript"/>
        </w:rPr>
        <w:t>281</w:t>
      </w:r>
      <w:r w:rsidR="00345469" w:rsidRPr="00D74025">
        <w:rPr>
          <w:rFonts w:ascii="Arial" w:hAnsi="Arial" w:cs="Arial"/>
          <w:color w:val="000000" w:themeColor="text1"/>
        </w:rPr>
        <w:fldChar w:fldCharType="end"/>
      </w:r>
      <w:r w:rsidR="00345469" w:rsidRPr="00D74025">
        <w:rPr>
          <w:rFonts w:ascii="Arial" w:hAnsi="Arial" w:cs="Arial"/>
          <w:color w:val="000000" w:themeColor="text1"/>
        </w:rPr>
        <w:t>.</w:t>
      </w:r>
    </w:p>
    <w:p w14:paraId="212FD6CB" w14:textId="7F24DE02" w:rsidR="00345469" w:rsidRDefault="00345469" w:rsidP="00137903">
      <w:pPr>
        <w:spacing w:line="360" w:lineRule="auto"/>
        <w:ind w:firstLine="1440"/>
        <w:jc w:val="both"/>
        <w:rPr>
          <w:rFonts w:ascii="Arial" w:hAnsi="Arial" w:cs="Arial"/>
          <w:color w:val="000000" w:themeColor="text1"/>
        </w:rPr>
      </w:pPr>
      <w:r w:rsidRPr="00D74025">
        <w:rPr>
          <w:rFonts w:ascii="Arial" w:hAnsi="Arial" w:cs="Arial"/>
          <w:color w:val="000000" w:themeColor="text1"/>
        </w:rPr>
        <w:t>In this work, a novel multi-model nanoparticle for detection and therapy of cancer has been developed by linking the ANXA5-DM1 chemotherapeutic conjugate to AuNP.</w:t>
      </w:r>
    </w:p>
    <w:p w14:paraId="4465F5A0" w14:textId="35B5C3AD" w:rsidR="00BF6C80" w:rsidRDefault="00BF6C80" w:rsidP="00137903">
      <w:pPr>
        <w:spacing w:line="360" w:lineRule="auto"/>
        <w:ind w:firstLine="1440"/>
        <w:jc w:val="both"/>
        <w:rPr>
          <w:rFonts w:ascii="Arial" w:hAnsi="Arial" w:cs="Arial"/>
          <w:color w:val="000000" w:themeColor="text1"/>
        </w:rPr>
      </w:pPr>
      <w:r>
        <w:rPr>
          <w:rFonts w:ascii="Arial" w:hAnsi="Arial" w:cs="Arial"/>
          <w:color w:val="000000" w:themeColor="text1"/>
        </w:rPr>
        <w:br w:type="page"/>
      </w:r>
    </w:p>
    <w:p w14:paraId="6B37ADCE" w14:textId="253D5421" w:rsidR="00506A24" w:rsidRDefault="00506A24" w:rsidP="00D66636">
      <w:pPr>
        <w:rPr>
          <w:rFonts w:ascii="Arial" w:hAnsi="Arial" w:cs="Arial"/>
          <w:color w:val="000000" w:themeColor="text1"/>
        </w:rPr>
      </w:pPr>
    </w:p>
    <w:p w14:paraId="3CD13860" w14:textId="416C922B" w:rsidR="005E0D94" w:rsidRDefault="005E0D94" w:rsidP="00D66636">
      <w:pPr>
        <w:rPr>
          <w:rFonts w:ascii="Arial" w:hAnsi="Arial" w:cs="Arial"/>
          <w:color w:val="000000" w:themeColor="text1"/>
        </w:rPr>
      </w:pPr>
    </w:p>
    <w:p w14:paraId="7D30468C" w14:textId="400F5B46" w:rsidR="005E0D94" w:rsidRDefault="005E0D94" w:rsidP="00D66636">
      <w:pPr>
        <w:rPr>
          <w:rFonts w:ascii="Arial" w:hAnsi="Arial" w:cs="Arial"/>
          <w:color w:val="000000" w:themeColor="text1"/>
        </w:rPr>
      </w:pPr>
    </w:p>
    <w:p w14:paraId="282D745B" w14:textId="72D59E6C" w:rsidR="005E0D94" w:rsidRDefault="005E0D94" w:rsidP="00D66636">
      <w:pPr>
        <w:rPr>
          <w:rFonts w:ascii="Arial" w:hAnsi="Arial" w:cs="Arial"/>
          <w:color w:val="000000" w:themeColor="text1"/>
        </w:rPr>
      </w:pPr>
    </w:p>
    <w:p w14:paraId="082B8D7F" w14:textId="77777777" w:rsidR="005E0D94" w:rsidRDefault="005E0D94" w:rsidP="00D66636">
      <w:pPr>
        <w:rPr>
          <w:rFonts w:ascii="Arial" w:hAnsi="Arial" w:cs="Arial"/>
          <w:color w:val="000000" w:themeColor="text1"/>
        </w:rPr>
      </w:pPr>
    </w:p>
    <w:p w14:paraId="7A6617DE" w14:textId="4DB32962" w:rsidR="00D66636" w:rsidRDefault="00D66636" w:rsidP="00D66636">
      <w:pPr>
        <w:rPr>
          <w:rFonts w:ascii="Arial" w:hAnsi="Arial" w:cs="Arial"/>
          <w:color w:val="000000" w:themeColor="text1"/>
        </w:rPr>
      </w:pPr>
    </w:p>
    <w:p w14:paraId="6D476140" w14:textId="666ACD7B" w:rsidR="00885205" w:rsidRDefault="00885205" w:rsidP="00D66636">
      <w:pPr>
        <w:rPr>
          <w:rFonts w:ascii="Arial" w:hAnsi="Arial" w:cs="Arial"/>
          <w:color w:val="000000" w:themeColor="text1"/>
        </w:rPr>
      </w:pPr>
    </w:p>
    <w:p w14:paraId="2A59E3FE" w14:textId="558C47DC" w:rsidR="00885205" w:rsidRDefault="00885205" w:rsidP="00D66636">
      <w:pPr>
        <w:rPr>
          <w:rFonts w:ascii="Arial" w:hAnsi="Arial" w:cs="Arial"/>
          <w:color w:val="000000" w:themeColor="text1"/>
        </w:rPr>
      </w:pPr>
    </w:p>
    <w:p w14:paraId="01ADB2CB" w14:textId="7FB0D07C" w:rsidR="00885205" w:rsidRDefault="00885205" w:rsidP="00D66636">
      <w:pPr>
        <w:rPr>
          <w:rFonts w:ascii="Arial" w:hAnsi="Arial" w:cs="Arial"/>
          <w:color w:val="000000" w:themeColor="text1"/>
        </w:rPr>
      </w:pPr>
    </w:p>
    <w:p w14:paraId="3D3B34D6" w14:textId="2366D607" w:rsidR="00885205" w:rsidRDefault="00885205" w:rsidP="00D66636">
      <w:pPr>
        <w:rPr>
          <w:rFonts w:ascii="Arial" w:hAnsi="Arial" w:cs="Arial"/>
          <w:color w:val="000000" w:themeColor="text1"/>
        </w:rPr>
      </w:pPr>
    </w:p>
    <w:p w14:paraId="3B2D8DAE" w14:textId="5DA11C75" w:rsidR="00885205" w:rsidRDefault="00885205" w:rsidP="00D66636">
      <w:pPr>
        <w:rPr>
          <w:rFonts w:ascii="Arial" w:hAnsi="Arial" w:cs="Arial"/>
          <w:color w:val="000000" w:themeColor="text1"/>
        </w:rPr>
      </w:pPr>
    </w:p>
    <w:p w14:paraId="08CDA2F4" w14:textId="53F11413" w:rsidR="00885205" w:rsidRDefault="00885205" w:rsidP="00D66636">
      <w:pPr>
        <w:rPr>
          <w:rFonts w:ascii="Arial" w:hAnsi="Arial" w:cs="Arial"/>
          <w:color w:val="000000" w:themeColor="text1"/>
        </w:rPr>
      </w:pPr>
    </w:p>
    <w:p w14:paraId="629C07E6" w14:textId="16E7EB15" w:rsidR="00885205" w:rsidRDefault="00885205" w:rsidP="00D66636">
      <w:pPr>
        <w:rPr>
          <w:rFonts w:ascii="Arial" w:hAnsi="Arial" w:cs="Arial"/>
          <w:color w:val="000000" w:themeColor="text1"/>
        </w:rPr>
      </w:pPr>
    </w:p>
    <w:p w14:paraId="5A324704" w14:textId="55DB3BBE" w:rsidR="00885205" w:rsidRDefault="00885205" w:rsidP="00D66636">
      <w:pPr>
        <w:rPr>
          <w:rFonts w:ascii="Arial" w:hAnsi="Arial" w:cs="Arial"/>
          <w:color w:val="000000" w:themeColor="text1"/>
        </w:rPr>
      </w:pPr>
    </w:p>
    <w:p w14:paraId="568FD950" w14:textId="77777777" w:rsidR="00885205" w:rsidRDefault="00885205" w:rsidP="00D66636">
      <w:pPr>
        <w:rPr>
          <w:rFonts w:ascii="Arial" w:hAnsi="Arial" w:cs="Arial"/>
          <w:color w:val="000000" w:themeColor="text1"/>
        </w:rPr>
      </w:pPr>
    </w:p>
    <w:p w14:paraId="788DFEAA" w14:textId="31DE926E" w:rsidR="00D66636" w:rsidRDefault="00D66636" w:rsidP="00D66636">
      <w:pPr>
        <w:rPr>
          <w:rFonts w:ascii="Arial" w:hAnsi="Arial" w:cs="Arial"/>
          <w:color w:val="000000" w:themeColor="text1"/>
        </w:rPr>
      </w:pPr>
    </w:p>
    <w:p w14:paraId="42A4656B" w14:textId="77777777" w:rsidR="008D5AEB" w:rsidRDefault="008D5AEB" w:rsidP="00D66636">
      <w:pPr>
        <w:rPr>
          <w:rFonts w:ascii="Arial" w:hAnsi="Arial" w:cs="Arial"/>
          <w:color w:val="000000" w:themeColor="text1"/>
        </w:rPr>
      </w:pPr>
    </w:p>
    <w:p w14:paraId="2B0D3EBC" w14:textId="362C8372" w:rsidR="00D66636" w:rsidRDefault="00D66636" w:rsidP="00D66636">
      <w:pPr>
        <w:rPr>
          <w:rFonts w:ascii="Arial" w:hAnsi="Arial" w:cs="Arial"/>
          <w:color w:val="000000" w:themeColor="text1"/>
        </w:rPr>
      </w:pPr>
    </w:p>
    <w:p w14:paraId="64BB7B63" w14:textId="0779700B" w:rsidR="00D66636" w:rsidRDefault="00D66636" w:rsidP="00D66636">
      <w:pPr>
        <w:rPr>
          <w:rFonts w:ascii="Arial" w:hAnsi="Arial" w:cs="Arial"/>
          <w:color w:val="000000" w:themeColor="text1"/>
        </w:rPr>
      </w:pPr>
    </w:p>
    <w:p w14:paraId="58CBF8C3" w14:textId="77777777" w:rsidR="00D66636" w:rsidRDefault="00D66636" w:rsidP="00D66636">
      <w:pPr>
        <w:rPr>
          <w:rFonts w:ascii="Arial" w:hAnsi="Arial" w:cs="Arial"/>
          <w:color w:val="000000" w:themeColor="text1"/>
        </w:rPr>
      </w:pPr>
    </w:p>
    <w:p w14:paraId="69348DEA" w14:textId="77777777" w:rsidR="00D66636" w:rsidRDefault="00D66636" w:rsidP="00D66636">
      <w:pPr>
        <w:rPr>
          <w:rFonts w:ascii="Arial" w:hAnsi="Arial" w:cs="Arial"/>
          <w:color w:val="000000" w:themeColor="text1"/>
        </w:rPr>
      </w:pPr>
    </w:p>
    <w:p w14:paraId="5F43E2A1" w14:textId="7133A7CF" w:rsidR="00B124DB" w:rsidRPr="00D74025" w:rsidRDefault="00B124DB" w:rsidP="005D36B4">
      <w:pPr>
        <w:pStyle w:val="Heading1"/>
        <w:jc w:val="center"/>
        <w:rPr>
          <w:rFonts w:ascii="Arial" w:hAnsi="Arial" w:cs="Arial"/>
          <w:color w:val="000000" w:themeColor="text1"/>
        </w:rPr>
      </w:pPr>
      <w:bookmarkStart w:id="57" w:name="_Toc121217239"/>
      <w:r w:rsidRPr="00D74025">
        <w:rPr>
          <w:rFonts w:ascii="Arial" w:hAnsi="Arial" w:cs="Arial"/>
          <w:color w:val="000000" w:themeColor="text1"/>
        </w:rPr>
        <w:t xml:space="preserve">CHAPTER 2 - </w:t>
      </w:r>
      <w:r w:rsidR="005D36B4" w:rsidRPr="00D74025">
        <w:rPr>
          <w:rFonts w:ascii="Arial" w:hAnsi="Arial" w:cs="Arial"/>
          <w:color w:val="000000" w:themeColor="text1"/>
        </w:rPr>
        <w:t>MATERIALS AND</w:t>
      </w:r>
      <w:r w:rsidRPr="00D74025">
        <w:rPr>
          <w:rFonts w:ascii="Arial" w:hAnsi="Arial" w:cs="Arial"/>
          <w:color w:val="000000" w:themeColor="text1"/>
        </w:rPr>
        <w:t xml:space="preserve"> METHODS</w:t>
      </w:r>
      <w:bookmarkEnd w:id="57"/>
    </w:p>
    <w:p w14:paraId="4E0CB9F5" w14:textId="676EEE0A" w:rsidR="002507CC" w:rsidRPr="00D74025" w:rsidRDefault="002507CC" w:rsidP="0063608D">
      <w:pPr>
        <w:spacing w:line="360" w:lineRule="auto"/>
        <w:jc w:val="both"/>
        <w:rPr>
          <w:rFonts w:ascii="Arial" w:hAnsi="Arial" w:cs="Arial"/>
          <w:color w:val="000000" w:themeColor="text1"/>
        </w:rPr>
      </w:pPr>
      <w:r w:rsidRPr="00D74025">
        <w:rPr>
          <w:rFonts w:ascii="Arial" w:hAnsi="Arial" w:cs="Arial"/>
          <w:color w:val="000000" w:themeColor="text1"/>
        </w:rPr>
        <w:br w:type="page"/>
      </w:r>
    </w:p>
    <w:p w14:paraId="270A8647" w14:textId="5CE149CF" w:rsidR="008F125A" w:rsidRPr="00D74025" w:rsidRDefault="00E817AD" w:rsidP="00785724">
      <w:pPr>
        <w:pStyle w:val="Heading2"/>
        <w:ind w:firstLine="0"/>
        <w:rPr>
          <w:rFonts w:ascii="Arial" w:hAnsi="Arial" w:cs="Arial"/>
          <w:b/>
          <w:bCs/>
          <w:color w:val="000000" w:themeColor="text1"/>
          <w:sz w:val="28"/>
          <w:szCs w:val="28"/>
          <w:u w:val="single"/>
        </w:rPr>
      </w:pPr>
      <w:bookmarkStart w:id="58" w:name="_Toc121217240"/>
      <w:r w:rsidRPr="00D74025">
        <w:rPr>
          <w:rFonts w:ascii="Arial" w:hAnsi="Arial" w:cs="Arial"/>
          <w:b/>
          <w:bCs/>
          <w:color w:val="000000" w:themeColor="text1"/>
          <w:sz w:val="28"/>
          <w:szCs w:val="28"/>
          <w:u w:val="single"/>
        </w:rPr>
        <w:lastRenderedPageBreak/>
        <w:t xml:space="preserve">2.1 </w:t>
      </w:r>
      <w:r w:rsidR="008F125A" w:rsidRPr="00D74025">
        <w:rPr>
          <w:rFonts w:ascii="Arial" w:hAnsi="Arial" w:cs="Arial"/>
          <w:b/>
          <w:bCs/>
          <w:color w:val="000000" w:themeColor="text1"/>
          <w:sz w:val="28"/>
          <w:szCs w:val="28"/>
          <w:u w:val="single"/>
        </w:rPr>
        <w:t>Materials</w:t>
      </w:r>
      <w:bookmarkEnd w:id="58"/>
    </w:p>
    <w:p w14:paraId="55139B88" w14:textId="61A557BA" w:rsidR="008F125A" w:rsidRPr="00D74025" w:rsidRDefault="0074765E" w:rsidP="005E3698">
      <w:pPr>
        <w:pStyle w:val="Heading3"/>
        <w:rPr>
          <w:rFonts w:ascii="Arial" w:hAnsi="Arial" w:cs="Arial"/>
          <w:b/>
          <w:bCs/>
          <w:color w:val="000000" w:themeColor="text1"/>
        </w:rPr>
      </w:pPr>
      <w:bookmarkStart w:id="59" w:name="_Toc121217241"/>
      <w:r w:rsidRPr="00D74025">
        <w:rPr>
          <w:rFonts w:ascii="Arial" w:hAnsi="Arial" w:cs="Arial"/>
          <w:b/>
          <w:bCs/>
          <w:color w:val="000000" w:themeColor="text1"/>
        </w:rPr>
        <w:t>2.1.1 Protein production and purification</w:t>
      </w:r>
      <w:bookmarkEnd w:id="59"/>
    </w:p>
    <w:p w14:paraId="1F236E7D" w14:textId="77777777" w:rsidR="0074765E" w:rsidRPr="00D74025" w:rsidRDefault="0074765E" w:rsidP="000A7586">
      <w:pPr>
        <w:spacing w:line="360" w:lineRule="auto"/>
        <w:ind w:firstLine="1440"/>
        <w:jc w:val="both"/>
        <w:rPr>
          <w:rFonts w:ascii="Arial" w:hAnsi="Arial" w:cs="Arial"/>
          <w:color w:val="000000" w:themeColor="text1"/>
        </w:rPr>
      </w:pPr>
    </w:p>
    <w:p w14:paraId="08E5F89A" w14:textId="14CDFBA0" w:rsidR="0014290D" w:rsidRPr="00D74025" w:rsidRDefault="0014290D" w:rsidP="0014290D">
      <w:pPr>
        <w:spacing w:line="360" w:lineRule="auto"/>
        <w:ind w:firstLine="720"/>
        <w:jc w:val="both"/>
        <w:rPr>
          <w:rFonts w:ascii="Arial" w:hAnsi="Arial" w:cs="Arial"/>
          <w:color w:val="000000" w:themeColor="text1"/>
        </w:rPr>
      </w:pPr>
      <w:r w:rsidRPr="00D74025">
        <w:rPr>
          <w:rFonts w:ascii="Arial" w:hAnsi="Arial" w:cs="Arial"/>
          <w:color w:val="000000" w:themeColor="text1"/>
        </w:rPr>
        <w:t xml:space="preserve">The plasmid encoding annexin </w:t>
      </w:r>
      <w:r w:rsidR="003B5400">
        <w:rPr>
          <w:rFonts w:ascii="Arial" w:hAnsi="Arial" w:cs="Arial"/>
          <w:color w:val="000000" w:themeColor="text1"/>
        </w:rPr>
        <w:t>A5</w:t>
      </w:r>
      <w:r w:rsidRPr="00D74025">
        <w:rPr>
          <w:rFonts w:ascii="Arial" w:hAnsi="Arial" w:cs="Arial"/>
          <w:color w:val="000000" w:themeColor="text1"/>
        </w:rPr>
        <w:t xml:space="preserve">, pET-30 Ek/LIC/ANX, was previously constructed in this lab by Ph. D. student Naveen </w:t>
      </w:r>
      <w:proofErr w:type="spellStart"/>
      <w:r w:rsidRPr="00D74025">
        <w:rPr>
          <w:rFonts w:ascii="Arial" w:hAnsi="Arial" w:cs="Arial"/>
          <w:color w:val="000000" w:themeColor="text1"/>
        </w:rPr>
        <w:t>Palwai</w:t>
      </w:r>
      <w:proofErr w:type="spellEnd"/>
      <w:r w:rsidRPr="00D74025">
        <w:rPr>
          <w:rFonts w:ascii="Arial" w:hAnsi="Arial" w:cs="Arial"/>
          <w:color w:val="000000" w:themeColor="text1"/>
        </w:rPr>
        <w:t>. The plasmid is designed to express annexin A5 having an N-terminal (His)</w:t>
      </w:r>
      <w:r w:rsidRPr="00D74025">
        <w:rPr>
          <w:rFonts w:ascii="Arial" w:hAnsi="Arial" w:cs="Arial"/>
          <w:color w:val="000000" w:themeColor="text1"/>
          <w:vertAlign w:val="subscript"/>
        </w:rPr>
        <w:t>6</w:t>
      </w:r>
      <w:r w:rsidRPr="00D74025">
        <w:rPr>
          <w:rFonts w:ascii="Arial" w:hAnsi="Arial" w:cs="Arial"/>
          <w:color w:val="000000" w:themeColor="text1"/>
        </w:rPr>
        <w:t xml:space="preserve"> tag and an HRV 3C protease site next to the N-terminus of annexin </w:t>
      </w:r>
      <w:r w:rsidR="00A51772">
        <w:rPr>
          <w:rFonts w:ascii="Arial" w:hAnsi="Arial" w:cs="Arial"/>
          <w:color w:val="000000" w:themeColor="text1"/>
        </w:rPr>
        <w:t>A5</w:t>
      </w:r>
      <w:r w:rsidRPr="00D74025">
        <w:rPr>
          <w:rFonts w:ascii="Arial" w:hAnsi="Arial" w:cs="Arial"/>
          <w:color w:val="000000" w:themeColor="text1"/>
        </w:rPr>
        <w:t>. Sodium hydroxide (NaOH), sodium chloride (NaCl), tryptone, kanamycin, yeast extract, isopropyl-beta-D-</w:t>
      </w:r>
      <w:proofErr w:type="spellStart"/>
      <w:r w:rsidRPr="00D74025">
        <w:rPr>
          <w:rFonts w:ascii="Arial" w:hAnsi="Arial" w:cs="Arial"/>
          <w:color w:val="000000" w:themeColor="text1"/>
        </w:rPr>
        <w:t>thiogalactopyranoside</w:t>
      </w:r>
      <w:proofErr w:type="spellEnd"/>
      <w:r w:rsidRPr="00D74025">
        <w:rPr>
          <w:rFonts w:ascii="Arial" w:hAnsi="Arial" w:cs="Arial"/>
          <w:color w:val="000000" w:themeColor="text1"/>
        </w:rPr>
        <w:t xml:space="preserve"> (IPTG), N-</w:t>
      </w:r>
      <w:r w:rsidRPr="00D74025">
        <w:rPr>
          <w:rFonts w:ascii="Arial" w:hAnsi="Arial" w:cs="Arial"/>
          <w:i/>
          <w:color w:val="000000" w:themeColor="text1"/>
        </w:rPr>
        <w:t xml:space="preserve"> p</w:t>
      </w:r>
      <w:r w:rsidRPr="00D74025">
        <w:rPr>
          <w:rFonts w:ascii="Arial" w:hAnsi="Arial" w:cs="Arial"/>
          <w:color w:val="000000" w:themeColor="text1"/>
        </w:rPr>
        <w:t>-</w:t>
      </w:r>
      <w:proofErr w:type="spellStart"/>
      <w:r w:rsidRPr="00D74025">
        <w:rPr>
          <w:rFonts w:ascii="Arial" w:hAnsi="Arial" w:cs="Arial"/>
          <w:color w:val="000000" w:themeColor="text1"/>
        </w:rPr>
        <w:t>tosyl</w:t>
      </w:r>
      <w:proofErr w:type="spellEnd"/>
      <w:r w:rsidRPr="00D74025">
        <w:rPr>
          <w:rFonts w:ascii="Arial" w:hAnsi="Arial" w:cs="Arial"/>
          <w:color w:val="000000" w:themeColor="text1"/>
        </w:rPr>
        <w:t xml:space="preserve">-L-phenylalanine chloromethyl ketone (TPCK), </w:t>
      </w:r>
      <w:proofErr w:type="spellStart"/>
      <w:r w:rsidRPr="00D74025">
        <w:rPr>
          <w:rFonts w:ascii="Arial" w:hAnsi="Arial" w:cs="Arial"/>
          <w:color w:val="000000" w:themeColor="text1"/>
        </w:rPr>
        <w:t>phenylmethylsulfonyl</w:t>
      </w:r>
      <w:proofErr w:type="spellEnd"/>
      <w:r w:rsidRPr="00D74025">
        <w:rPr>
          <w:rFonts w:ascii="Arial" w:hAnsi="Arial" w:cs="Arial"/>
          <w:color w:val="000000" w:themeColor="text1"/>
        </w:rPr>
        <w:t xml:space="preserve"> fluoride (PMSF), β-</w:t>
      </w:r>
      <w:proofErr w:type="spellStart"/>
      <w:r w:rsidRPr="00D74025">
        <w:rPr>
          <w:rFonts w:ascii="Arial" w:hAnsi="Arial" w:cs="Arial"/>
          <w:color w:val="000000" w:themeColor="text1"/>
        </w:rPr>
        <w:t>mercaptoethanol</w:t>
      </w:r>
      <w:proofErr w:type="spellEnd"/>
      <w:r w:rsidRPr="00D74025">
        <w:rPr>
          <w:rFonts w:ascii="Arial" w:hAnsi="Arial" w:cs="Arial"/>
          <w:color w:val="000000" w:themeColor="text1"/>
        </w:rPr>
        <w:t>,</w:t>
      </w:r>
      <w:r w:rsidR="00B55D57">
        <w:rPr>
          <w:rFonts w:ascii="Arial" w:hAnsi="Arial" w:cs="Arial"/>
          <w:color w:val="000000" w:themeColor="text1"/>
        </w:rPr>
        <w:t xml:space="preserve"> and</w:t>
      </w:r>
      <w:r w:rsidRPr="00D74025">
        <w:rPr>
          <w:rFonts w:ascii="Arial" w:hAnsi="Arial" w:cs="Arial"/>
          <w:color w:val="000000" w:themeColor="text1"/>
        </w:rPr>
        <w:t xml:space="preserve"> sodium phosphate dibasic (</w:t>
      </w:r>
      <w:proofErr w:type="spellStart"/>
      <w:r w:rsidRPr="00D74025">
        <w:rPr>
          <w:rFonts w:ascii="Arial" w:hAnsi="Arial" w:cs="Arial"/>
          <w:color w:val="000000" w:themeColor="text1"/>
        </w:rPr>
        <w:t>Na</w:t>
      </w:r>
      <w:r w:rsidRPr="00D74025">
        <w:rPr>
          <w:rFonts w:ascii="Cambria Math" w:hAnsi="Cambria Math" w:cs="Cambria Math"/>
          <w:color w:val="000000" w:themeColor="text1"/>
        </w:rPr>
        <w:t>₂</w:t>
      </w:r>
      <w:r w:rsidRPr="00D74025">
        <w:rPr>
          <w:rFonts w:ascii="Arial" w:hAnsi="Arial" w:cs="Arial"/>
          <w:color w:val="000000" w:themeColor="text1"/>
        </w:rPr>
        <w:t>HPO</w:t>
      </w:r>
      <w:proofErr w:type="spellEnd"/>
      <w:r w:rsidRPr="00D74025">
        <w:rPr>
          <w:rFonts w:ascii="Cambria Math" w:hAnsi="Cambria Math" w:cs="Cambria Math"/>
          <w:color w:val="000000" w:themeColor="text1"/>
        </w:rPr>
        <w:t>₄</w:t>
      </w:r>
      <w:r w:rsidRPr="00D74025">
        <w:rPr>
          <w:rFonts w:ascii="Arial" w:hAnsi="Arial" w:cs="Arial"/>
          <w:color w:val="000000" w:themeColor="text1"/>
        </w:rPr>
        <w:t>) were purchased from Sigma</w:t>
      </w:r>
      <w:bookmarkStart w:id="60" w:name="OLE_LINK1"/>
      <w:bookmarkStart w:id="61" w:name="OLE_LINK2"/>
      <w:r w:rsidRPr="00D74025">
        <w:rPr>
          <w:rFonts w:ascii="Arial" w:hAnsi="Arial" w:cs="Arial"/>
          <w:color w:val="000000" w:themeColor="text1"/>
        </w:rPr>
        <w:t xml:space="preserve"> </w:t>
      </w:r>
      <w:r w:rsidR="00A51772">
        <w:rPr>
          <w:rFonts w:ascii="Arial" w:hAnsi="Arial" w:cs="Arial"/>
          <w:color w:val="000000" w:themeColor="text1"/>
        </w:rPr>
        <w:t xml:space="preserve">Aldrich </w:t>
      </w:r>
      <w:r w:rsidRPr="00D74025">
        <w:rPr>
          <w:rFonts w:ascii="Arial" w:hAnsi="Arial" w:cs="Arial"/>
          <w:color w:val="000000" w:themeColor="text1"/>
        </w:rPr>
        <w:t>(St. Louis, MO)</w:t>
      </w:r>
      <w:bookmarkEnd w:id="60"/>
      <w:bookmarkEnd w:id="61"/>
      <w:r w:rsidRPr="00D74025">
        <w:rPr>
          <w:rFonts w:ascii="Arial" w:hAnsi="Arial" w:cs="Arial"/>
          <w:color w:val="000000" w:themeColor="text1"/>
        </w:rPr>
        <w:t xml:space="preserve">. HRV 3C protease was purchased from Acro Biosystems (Newark, DE). The </w:t>
      </w:r>
      <w:proofErr w:type="spellStart"/>
      <w:r w:rsidRPr="00D74025">
        <w:rPr>
          <w:rFonts w:ascii="Arial" w:hAnsi="Arial" w:cs="Arial"/>
          <w:color w:val="000000" w:themeColor="text1"/>
        </w:rPr>
        <w:t>HisTrap</w:t>
      </w:r>
      <w:proofErr w:type="spellEnd"/>
      <w:r w:rsidRPr="00D74025">
        <w:rPr>
          <w:rFonts w:ascii="Arial" w:hAnsi="Arial" w:cs="Arial"/>
          <w:color w:val="000000" w:themeColor="text1"/>
        </w:rPr>
        <w:t xml:space="preserve"> chromatography column (5 ml) was purchased from </w:t>
      </w:r>
      <w:proofErr w:type="spellStart"/>
      <w:r w:rsidRPr="00D74025">
        <w:rPr>
          <w:rFonts w:ascii="Arial" w:hAnsi="Arial" w:cs="Arial"/>
          <w:color w:val="000000" w:themeColor="text1"/>
        </w:rPr>
        <w:t>Cytiva</w:t>
      </w:r>
      <w:proofErr w:type="spellEnd"/>
      <w:r w:rsidRPr="00D74025">
        <w:rPr>
          <w:rFonts w:ascii="Arial" w:hAnsi="Arial" w:cs="Arial"/>
          <w:color w:val="000000" w:themeColor="text1"/>
        </w:rPr>
        <w:t xml:space="preserve"> (Marlborough, MA). Flow adapters were purchased from Bio-Rad (Hercules, CA). The 12-14 </w:t>
      </w:r>
      <w:proofErr w:type="spellStart"/>
      <w:r w:rsidRPr="00D74025">
        <w:rPr>
          <w:rFonts w:ascii="Arial" w:hAnsi="Arial" w:cs="Arial"/>
          <w:color w:val="000000" w:themeColor="text1"/>
        </w:rPr>
        <w:t>kDa</w:t>
      </w:r>
      <w:proofErr w:type="spellEnd"/>
      <w:r w:rsidRPr="00D74025">
        <w:rPr>
          <w:rFonts w:ascii="Arial" w:hAnsi="Arial" w:cs="Arial"/>
          <w:color w:val="000000" w:themeColor="text1"/>
        </w:rPr>
        <w:t xml:space="preserve"> regenerated cellulose dialysis membrane was from Fisher Scientific (Pittsburgh, PA). </w:t>
      </w:r>
      <w:proofErr w:type="spellStart"/>
      <w:r w:rsidRPr="00D74025">
        <w:rPr>
          <w:rFonts w:ascii="Arial" w:hAnsi="Arial" w:cs="Arial"/>
          <w:color w:val="000000" w:themeColor="text1"/>
        </w:rPr>
        <w:t>Laemmli</w:t>
      </w:r>
      <w:proofErr w:type="spellEnd"/>
      <w:r w:rsidRPr="00D74025">
        <w:rPr>
          <w:rFonts w:ascii="Arial" w:hAnsi="Arial" w:cs="Arial"/>
          <w:color w:val="000000" w:themeColor="text1"/>
        </w:rPr>
        <w:t xml:space="preserve"> sample buffer, ladder (marker), 4-20% mini-protean TGX stain-free pre-casted polyacrylate gels, Bio-Rad 10x Tris-glycine-SDS buffer, and Bradford dye reagent were purchased from Bio-Rad Laboratories (Hercules, CA). Imperial</w:t>
      </w:r>
      <w:r w:rsidRPr="00D74025">
        <w:rPr>
          <w:rFonts w:ascii="Arial" w:hAnsi="Arial" w:cs="Arial"/>
          <w:color w:val="000000" w:themeColor="text1"/>
        </w:rPr>
        <w:sym w:font="Symbol" w:char="F0E4"/>
      </w:r>
      <w:r w:rsidRPr="00D74025">
        <w:rPr>
          <w:rFonts w:ascii="Arial" w:hAnsi="Arial" w:cs="Arial"/>
          <w:color w:val="000000" w:themeColor="text1"/>
        </w:rPr>
        <w:t xml:space="preserve"> protein stain was purchased from </w:t>
      </w:r>
      <w:proofErr w:type="spellStart"/>
      <w:r w:rsidRPr="00D74025">
        <w:rPr>
          <w:rFonts w:ascii="Arial" w:hAnsi="Arial" w:cs="Arial"/>
          <w:color w:val="000000" w:themeColor="text1"/>
        </w:rPr>
        <w:t>Thermo</w:t>
      </w:r>
      <w:proofErr w:type="spellEnd"/>
      <w:r w:rsidRPr="00D74025">
        <w:rPr>
          <w:rFonts w:ascii="Arial" w:hAnsi="Arial" w:cs="Arial"/>
          <w:color w:val="000000" w:themeColor="text1"/>
        </w:rPr>
        <w:t xml:space="preserve"> Scientific (Waltham, MA). </w:t>
      </w:r>
    </w:p>
    <w:p w14:paraId="5B4B3602" w14:textId="6F63CCF4" w:rsidR="0075142F" w:rsidRPr="00D74025" w:rsidRDefault="0075142F" w:rsidP="0075142F">
      <w:pPr>
        <w:spacing w:line="360" w:lineRule="auto"/>
        <w:ind w:firstLine="720"/>
        <w:jc w:val="both"/>
        <w:rPr>
          <w:rFonts w:ascii="Arial" w:hAnsi="Arial" w:cs="Arial"/>
          <w:color w:val="000000" w:themeColor="text1"/>
        </w:rPr>
      </w:pPr>
    </w:p>
    <w:p w14:paraId="62BAB1DD" w14:textId="39DC8819" w:rsidR="0075142F" w:rsidRPr="00D74025" w:rsidRDefault="0075142F" w:rsidP="005E3698">
      <w:pPr>
        <w:pStyle w:val="Heading3"/>
        <w:rPr>
          <w:rFonts w:ascii="Arial" w:hAnsi="Arial" w:cs="Arial"/>
          <w:b/>
          <w:bCs/>
          <w:color w:val="000000" w:themeColor="text1"/>
        </w:rPr>
      </w:pPr>
      <w:bookmarkStart w:id="62" w:name="_Toc121217242"/>
      <w:r w:rsidRPr="00D74025">
        <w:rPr>
          <w:rFonts w:ascii="Arial" w:hAnsi="Arial" w:cs="Arial"/>
          <w:b/>
          <w:bCs/>
          <w:color w:val="000000" w:themeColor="text1"/>
        </w:rPr>
        <w:t>2.1.2 SWCNT-ANXA5 conjugation</w:t>
      </w:r>
      <w:bookmarkEnd w:id="62"/>
    </w:p>
    <w:p w14:paraId="7D698858" w14:textId="08381DF7" w:rsidR="00AE3279" w:rsidRPr="00D74025" w:rsidRDefault="00AE3279" w:rsidP="00AE3279">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Purified and freeze dried (6,5) </w:t>
      </w:r>
      <w:proofErr w:type="spellStart"/>
      <w:r w:rsidRPr="00D74025">
        <w:rPr>
          <w:rFonts w:ascii="Arial" w:hAnsi="Arial" w:cs="Arial"/>
          <w:color w:val="000000" w:themeColor="text1"/>
        </w:rPr>
        <w:t>CoMoCAT</w:t>
      </w:r>
      <w:proofErr w:type="spellEnd"/>
      <w:r w:rsidRPr="00D74025">
        <w:rPr>
          <w:rFonts w:ascii="Arial" w:hAnsi="Arial" w:cs="Arial"/>
          <w:color w:val="000000" w:themeColor="text1"/>
        </w:rPr>
        <w:t xml:space="preserve"> SWCNTs (average diameter 0.8 ± 0.1 nm) were provided by CHASM (Norman, OK). DSPE-PEG-mal </w:t>
      </w:r>
      <w:r w:rsidR="00B55D57">
        <w:rPr>
          <w:rFonts w:ascii="Arial" w:hAnsi="Arial" w:cs="Arial"/>
          <w:color w:val="000000" w:themeColor="text1"/>
        </w:rPr>
        <w:t>(</w:t>
      </w:r>
      <w:r w:rsidRPr="00D74025">
        <w:rPr>
          <w:rFonts w:ascii="Arial" w:hAnsi="Arial" w:cs="Arial"/>
          <w:color w:val="000000" w:themeColor="text1"/>
        </w:rPr>
        <w:t>3.4</w:t>
      </w:r>
      <w:r w:rsidR="00B55D57">
        <w:rPr>
          <w:rFonts w:ascii="Arial" w:hAnsi="Arial" w:cs="Arial"/>
          <w:color w:val="000000" w:themeColor="text1"/>
        </w:rPr>
        <w:t xml:space="preserve"> </w:t>
      </w:r>
      <w:proofErr w:type="spellStart"/>
      <w:r w:rsidRPr="00D74025">
        <w:rPr>
          <w:rFonts w:ascii="Arial" w:hAnsi="Arial" w:cs="Arial"/>
          <w:color w:val="000000" w:themeColor="text1"/>
        </w:rPr>
        <w:t>kD</w:t>
      </w:r>
      <w:r w:rsidR="00B55D57">
        <w:rPr>
          <w:rFonts w:ascii="Arial" w:hAnsi="Arial" w:cs="Arial"/>
          <w:color w:val="000000" w:themeColor="text1"/>
        </w:rPr>
        <w:t>a</w:t>
      </w:r>
      <w:proofErr w:type="spellEnd"/>
      <w:r w:rsidR="00B55D57">
        <w:rPr>
          <w:rFonts w:ascii="Arial" w:hAnsi="Arial" w:cs="Arial"/>
          <w:color w:val="000000" w:themeColor="text1"/>
        </w:rPr>
        <w:t>)</w:t>
      </w:r>
      <w:r w:rsidRPr="00D74025">
        <w:rPr>
          <w:rFonts w:ascii="Arial" w:hAnsi="Arial" w:cs="Arial"/>
          <w:color w:val="000000" w:themeColor="text1"/>
        </w:rPr>
        <w:t xml:space="preserve"> was purchased from Creative </w:t>
      </w:r>
      <w:proofErr w:type="spellStart"/>
      <w:r w:rsidRPr="00D74025">
        <w:rPr>
          <w:rFonts w:ascii="Arial" w:hAnsi="Arial" w:cs="Arial"/>
          <w:color w:val="000000" w:themeColor="text1"/>
        </w:rPr>
        <w:t>PEGWorks</w:t>
      </w:r>
      <w:proofErr w:type="spellEnd"/>
      <w:r w:rsidRPr="00D74025">
        <w:rPr>
          <w:rFonts w:ascii="Arial" w:hAnsi="Arial" w:cs="Arial"/>
          <w:color w:val="000000" w:themeColor="text1"/>
        </w:rPr>
        <w:t xml:space="preserve"> (Winston Salem, NC). Spectra-Por</w:t>
      </w:r>
      <w:r w:rsidRPr="00D74025">
        <w:rPr>
          <w:rFonts w:ascii="Arial" w:hAnsi="Arial" w:cs="Arial"/>
          <w:color w:val="000000" w:themeColor="text1"/>
          <w:vertAlign w:val="superscript"/>
        </w:rPr>
        <w:t>®</w:t>
      </w:r>
      <w:r w:rsidRPr="00D74025">
        <w:rPr>
          <w:rFonts w:ascii="Arial" w:hAnsi="Arial" w:cs="Arial"/>
          <w:color w:val="000000" w:themeColor="text1"/>
        </w:rPr>
        <w:t xml:space="preserve"> dialysis membranes (2 and 100 </w:t>
      </w:r>
      <w:proofErr w:type="spellStart"/>
      <w:r w:rsidRPr="00D74025">
        <w:rPr>
          <w:rFonts w:ascii="Arial" w:hAnsi="Arial" w:cs="Arial"/>
          <w:color w:val="000000" w:themeColor="text1"/>
        </w:rPr>
        <w:t>kDa</w:t>
      </w:r>
      <w:proofErr w:type="spellEnd"/>
      <w:r w:rsidRPr="00D74025">
        <w:rPr>
          <w:rFonts w:ascii="Arial" w:hAnsi="Arial" w:cs="Arial"/>
          <w:color w:val="000000" w:themeColor="text1"/>
        </w:rPr>
        <w:t xml:space="preserve">) from Spectrum Laboratories, Inc. (Rancho Dominguez, CA). Bradford protein reagent was from Bio-Rad (Hercules, CA). L-cysteine amino acid was acquired from Sigma </w:t>
      </w:r>
      <w:r w:rsidR="00B55D57">
        <w:rPr>
          <w:rFonts w:ascii="Arial" w:hAnsi="Arial" w:cs="Arial"/>
          <w:color w:val="000000" w:themeColor="text1"/>
        </w:rPr>
        <w:t>Aldrich</w:t>
      </w:r>
      <w:r w:rsidRPr="00D74025">
        <w:rPr>
          <w:rFonts w:ascii="Arial" w:hAnsi="Arial" w:cs="Arial"/>
          <w:color w:val="000000" w:themeColor="text1"/>
        </w:rPr>
        <w:t>.</w:t>
      </w:r>
    </w:p>
    <w:p w14:paraId="5AF90472" w14:textId="4DDAF1D9" w:rsidR="006531D0" w:rsidRPr="00D74025" w:rsidRDefault="006531D0" w:rsidP="000F17D9">
      <w:pPr>
        <w:spacing w:line="360" w:lineRule="auto"/>
        <w:jc w:val="both"/>
        <w:rPr>
          <w:rFonts w:ascii="Arial" w:hAnsi="Arial" w:cs="Arial"/>
          <w:b/>
          <w:bCs/>
          <w:color w:val="000000" w:themeColor="text1"/>
        </w:rPr>
      </w:pPr>
    </w:p>
    <w:p w14:paraId="0CE43C2D" w14:textId="5B57A454" w:rsidR="008F125A" w:rsidRPr="00D74025" w:rsidRDefault="00494205" w:rsidP="005E3698">
      <w:pPr>
        <w:pStyle w:val="Heading3"/>
        <w:rPr>
          <w:rFonts w:ascii="Arial" w:hAnsi="Arial" w:cs="Arial"/>
          <w:b/>
          <w:bCs/>
          <w:color w:val="000000" w:themeColor="text1"/>
        </w:rPr>
      </w:pPr>
      <w:bookmarkStart w:id="63" w:name="_Toc121217243"/>
      <w:r w:rsidRPr="00D74025">
        <w:rPr>
          <w:rFonts w:ascii="Arial" w:hAnsi="Arial" w:cs="Arial"/>
          <w:b/>
          <w:bCs/>
          <w:color w:val="000000" w:themeColor="text1"/>
        </w:rPr>
        <w:lastRenderedPageBreak/>
        <w:t>2.1.3 Cell culture</w:t>
      </w:r>
      <w:bookmarkEnd w:id="63"/>
    </w:p>
    <w:p w14:paraId="6B59F047" w14:textId="6EE485B2" w:rsidR="00C10A8C" w:rsidRPr="00D74025" w:rsidRDefault="00C10A8C" w:rsidP="00C10A8C">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All cell lines and cell media were purchased from American Type Culture Collection (ATCC, Manassas, VA, USA), except for HAAE-1, which was purchased from </w:t>
      </w:r>
      <w:proofErr w:type="spellStart"/>
      <w:r w:rsidRPr="00D74025">
        <w:rPr>
          <w:rFonts w:ascii="Arial" w:hAnsi="Arial" w:cs="Arial"/>
          <w:color w:val="000000" w:themeColor="text1"/>
        </w:rPr>
        <w:t>Coriell</w:t>
      </w:r>
      <w:proofErr w:type="spellEnd"/>
      <w:r w:rsidRPr="00D74025">
        <w:rPr>
          <w:rFonts w:ascii="Arial" w:hAnsi="Arial" w:cs="Arial"/>
          <w:color w:val="000000" w:themeColor="text1"/>
        </w:rPr>
        <w:t xml:space="preserve"> Institute (Camden, New Jersey, USA). </w:t>
      </w:r>
      <w:proofErr w:type="spellStart"/>
      <w:r w:rsidRPr="00D74025">
        <w:rPr>
          <w:rFonts w:ascii="Arial" w:hAnsi="Arial" w:cs="Arial"/>
          <w:color w:val="000000" w:themeColor="text1"/>
        </w:rPr>
        <w:t>Waymouth's</w:t>
      </w:r>
      <w:proofErr w:type="spellEnd"/>
      <w:r w:rsidRPr="00D74025">
        <w:rPr>
          <w:rFonts w:ascii="Arial" w:hAnsi="Arial" w:cs="Arial"/>
          <w:color w:val="000000" w:themeColor="text1"/>
        </w:rPr>
        <w:t xml:space="preserve"> MB 752/1 medium, Roswell Park Memorial Institute 1640 medium (RPMI-1640), and Hams F-12 medium were purchased from Gibco (</w:t>
      </w:r>
      <w:proofErr w:type="spellStart"/>
      <w:r w:rsidRPr="00D74025">
        <w:rPr>
          <w:rFonts w:ascii="Arial" w:hAnsi="Arial" w:cs="Arial"/>
          <w:color w:val="000000" w:themeColor="text1"/>
        </w:rPr>
        <w:t>Thermo</w:t>
      </w:r>
      <w:proofErr w:type="spellEnd"/>
      <w:r w:rsidRPr="00D74025">
        <w:rPr>
          <w:rFonts w:ascii="Arial" w:hAnsi="Arial" w:cs="Arial"/>
          <w:color w:val="000000" w:themeColor="text1"/>
        </w:rPr>
        <w:t xml:space="preserve"> Fisher, Waltham, MA). Antibiotic-antimitotic (10,000 IU Penicillin, 10,000 </w:t>
      </w:r>
      <w:r w:rsidRPr="00D74025">
        <w:rPr>
          <w:rFonts w:ascii="Arial" w:hAnsi="Arial" w:cs="Arial"/>
          <w:color w:val="000000" w:themeColor="text1"/>
        </w:rPr>
        <w:sym w:font="Symbol" w:char="F06D"/>
      </w:r>
      <w:r w:rsidRPr="00D74025">
        <w:rPr>
          <w:rFonts w:ascii="Arial" w:hAnsi="Arial" w:cs="Arial"/>
          <w:color w:val="000000" w:themeColor="text1"/>
        </w:rPr>
        <w:t xml:space="preserve">g/ml Streptomycin, and 25 </w:t>
      </w:r>
      <w:r w:rsidRPr="00D74025">
        <w:rPr>
          <w:rFonts w:ascii="Arial" w:hAnsi="Arial" w:cs="Arial"/>
          <w:color w:val="000000" w:themeColor="text1"/>
        </w:rPr>
        <w:sym w:font="Symbol" w:char="F06D"/>
      </w:r>
      <w:r w:rsidRPr="00D74025">
        <w:rPr>
          <w:rFonts w:ascii="Arial" w:hAnsi="Arial" w:cs="Arial"/>
          <w:color w:val="000000" w:themeColor="text1"/>
        </w:rPr>
        <w:t xml:space="preserve">g/ml Amphotericin B) was purchased from Corning (Kennebunk, MA, USA). Endothelial cell growth kit BBE (0.2% bovine brain extract, 5 ng/ml EGF, 10 mM L-glutamine, 0.75 Units/ml heparin sulfate, 1 </w:t>
      </w:r>
      <w:r w:rsidRPr="00D74025">
        <w:rPr>
          <w:rFonts w:ascii="Arial" w:hAnsi="Arial" w:cs="Arial"/>
          <w:color w:val="000000" w:themeColor="text1"/>
        </w:rPr>
        <w:sym w:font="Symbol" w:char="F06D"/>
      </w:r>
      <w:r w:rsidRPr="00D74025">
        <w:rPr>
          <w:rFonts w:ascii="Arial" w:hAnsi="Arial" w:cs="Arial"/>
          <w:color w:val="000000" w:themeColor="text1"/>
        </w:rPr>
        <w:t xml:space="preserve">g/ml hydrocortisone, 50 </w:t>
      </w:r>
      <w:r w:rsidRPr="00D74025">
        <w:rPr>
          <w:rFonts w:ascii="Arial" w:hAnsi="Arial" w:cs="Arial"/>
          <w:color w:val="000000" w:themeColor="text1"/>
        </w:rPr>
        <w:sym w:font="Symbol" w:char="F06D"/>
      </w:r>
      <w:r w:rsidRPr="00D74025">
        <w:rPr>
          <w:rFonts w:ascii="Arial" w:hAnsi="Arial" w:cs="Arial"/>
          <w:color w:val="000000" w:themeColor="text1"/>
        </w:rPr>
        <w:t xml:space="preserve">g/ml ascorbic acid, 2% FBS) was purchased from ATCC. Trypsin/EDTA was purchased from </w:t>
      </w:r>
      <w:proofErr w:type="spellStart"/>
      <w:r w:rsidRPr="00D74025">
        <w:rPr>
          <w:rFonts w:ascii="Arial" w:hAnsi="Arial" w:cs="Arial"/>
          <w:color w:val="000000" w:themeColor="text1"/>
        </w:rPr>
        <w:t>Thermo</w:t>
      </w:r>
      <w:proofErr w:type="spellEnd"/>
      <w:r w:rsidRPr="00D74025">
        <w:rPr>
          <w:rFonts w:ascii="Arial" w:hAnsi="Arial" w:cs="Arial"/>
          <w:color w:val="000000" w:themeColor="text1"/>
        </w:rPr>
        <w:t xml:space="preserve"> Fisher Scientific</w:t>
      </w:r>
      <w:r w:rsidR="00E16C46">
        <w:rPr>
          <w:rFonts w:ascii="Arial" w:hAnsi="Arial" w:cs="Arial"/>
          <w:color w:val="000000" w:themeColor="text1"/>
        </w:rPr>
        <w:t>.</w:t>
      </w:r>
    </w:p>
    <w:p w14:paraId="58E7C57E" w14:textId="64979CF4" w:rsidR="008A0AFC" w:rsidRPr="00D74025" w:rsidRDefault="008A0AFC" w:rsidP="00F0183B">
      <w:pPr>
        <w:pStyle w:val="Heading3"/>
        <w:rPr>
          <w:rFonts w:ascii="Arial" w:hAnsi="Arial" w:cs="Arial"/>
          <w:b/>
          <w:bCs/>
          <w:color w:val="000000" w:themeColor="text1"/>
        </w:rPr>
      </w:pPr>
      <w:bookmarkStart w:id="64" w:name="_Toc121217244"/>
      <w:r w:rsidRPr="00D74025">
        <w:rPr>
          <w:rFonts w:ascii="Arial" w:hAnsi="Arial" w:cs="Arial"/>
          <w:b/>
          <w:bCs/>
          <w:color w:val="000000" w:themeColor="text1"/>
        </w:rPr>
        <w:t xml:space="preserve">2.1.4 </w:t>
      </w:r>
      <w:r w:rsidRPr="00D74025">
        <w:rPr>
          <w:rFonts w:ascii="Arial" w:hAnsi="Arial" w:cs="Arial"/>
          <w:b/>
          <w:bCs/>
          <w:i/>
          <w:iCs/>
          <w:color w:val="000000" w:themeColor="text1"/>
        </w:rPr>
        <w:t xml:space="preserve">In vivo </w:t>
      </w:r>
      <w:r w:rsidRPr="00D74025">
        <w:rPr>
          <w:rFonts w:ascii="Arial" w:hAnsi="Arial" w:cs="Arial"/>
          <w:b/>
          <w:bCs/>
          <w:color w:val="000000" w:themeColor="text1"/>
        </w:rPr>
        <w:t>studies</w:t>
      </w:r>
      <w:bookmarkEnd w:id="64"/>
    </w:p>
    <w:p w14:paraId="1682FE4E" w14:textId="3D5AA62E" w:rsidR="00D06881" w:rsidRPr="00D74025" w:rsidRDefault="00D06881" w:rsidP="00D06881">
      <w:pPr>
        <w:spacing w:line="360" w:lineRule="auto"/>
        <w:ind w:firstLine="1440"/>
        <w:jc w:val="both"/>
        <w:rPr>
          <w:rStyle w:val="lrzxr"/>
          <w:rFonts w:ascii="Arial" w:hAnsi="Arial" w:cs="Arial"/>
          <w:color w:val="000000" w:themeColor="text1"/>
        </w:rPr>
      </w:pPr>
      <w:r w:rsidRPr="00D74025">
        <w:rPr>
          <w:rFonts w:ascii="Arial" w:hAnsi="Arial" w:cs="Arial"/>
          <w:color w:val="000000" w:themeColor="text1"/>
        </w:rPr>
        <w:t>BALB/</w:t>
      </w:r>
      <w:proofErr w:type="spellStart"/>
      <w:r w:rsidRPr="00D74025">
        <w:rPr>
          <w:rFonts w:ascii="Arial" w:hAnsi="Arial" w:cs="Arial"/>
          <w:color w:val="000000" w:themeColor="text1"/>
        </w:rPr>
        <w:t>cJ</w:t>
      </w:r>
      <w:proofErr w:type="spellEnd"/>
      <w:r w:rsidRPr="00D74025">
        <w:rPr>
          <w:rFonts w:ascii="Arial" w:hAnsi="Arial" w:cs="Arial"/>
          <w:color w:val="000000" w:themeColor="text1"/>
        </w:rPr>
        <w:t xml:space="preserve"> mice were purchased from Jackson Laboratory (Bar Harbor, ME). Anti-CTLA-4, ELISA kits, and flow cytometry staining antibodies were purchased from </w:t>
      </w:r>
      <w:proofErr w:type="spellStart"/>
      <w:r w:rsidRPr="00D74025">
        <w:rPr>
          <w:rFonts w:ascii="Arial" w:hAnsi="Arial" w:cs="Arial"/>
          <w:color w:val="000000" w:themeColor="text1"/>
        </w:rPr>
        <w:t>Biolegend</w:t>
      </w:r>
      <w:proofErr w:type="spellEnd"/>
      <w:r w:rsidRPr="00D74025">
        <w:rPr>
          <w:rFonts w:ascii="Arial" w:hAnsi="Arial" w:cs="Arial"/>
          <w:color w:val="000000" w:themeColor="text1"/>
        </w:rPr>
        <w:t xml:space="preserve"> (San Diego, CA). Anti-PD-1 was purchased from Bio X Cell (</w:t>
      </w:r>
      <w:r w:rsidRPr="00D74025">
        <w:rPr>
          <w:rStyle w:val="lrzxr"/>
          <w:rFonts w:ascii="Arial" w:hAnsi="Arial" w:cs="Arial"/>
          <w:color w:val="000000" w:themeColor="text1"/>
        </w:rPr>
        <w:t xml:space="preserve">Lebanon, NH). PEGSH was purchased from </w:t>
      </w:r>
      <w:proofErr w:type="spellStart"/>
      <w:r w:rsidRPr="00D74025">
        <w:rPr>
          <w:rStyle w:val="lrzxr"/>
          <w:rFonts w:ascii="Arial" w:hAnsi="Arial" w:cs="Arial"/>
          <w:color w:val="000000" w:themeColor="text1"/>
        </w:rPr>
        <w:t>JenKem</w:t>
      </w:r>
      <w:proofErr w:type="spellEnd"/>
      <w:r w:rsidRPr="00D74025">
        <w:rPr>
          <w:rStyle w:val="lrzxr"/>
          <w:rFonts w:ascii="Arial" w:hAnsi="Arial" w:cs="Arial"/>
          <w:color w:val="000000" w:themeColor="text1"/>
        </w:rPr>
        <w:t xml:space="preserve"> Technology USA (Plano, TX). PEGDA was purchased from Sigma Aldrich (St. Louis, MO). Imiquimod was purchased from </w:t>
      </w:r>
      <w:proofErr w:type="spellStart"/>
      <w:r w:rsidRPr="00D74025">
        <w:rPr>
          <w:rStyle w:val="lrzxr"/>
          <w:rFonts w:ascii="Arial" w:hAnsi="Arial" w:cs="Arial"/>
          <w:color w:val="000000" w:themeColor="text1"/>
        </w:rPr>
        <w:t>Thermo</w:t>
      </w:r>
      <w:proofErr w:type="spellEnd"/>
      <w:r w:rsidRPr="00D74025">
        <w:rPr>
          <w:rStyle w:val="lrzxr"/>
          <w:rFonts w:ascii="Arial" w:hAnsi="Arial" w:cs="Arial"/>
          <w:color w:val="000000" w:themeColor="text1"/>
        </w:rPr>
        <w:t xml:space="preserve"> Fisher Scientific.</w:t>
      </w:r>
    </w:p>
    <w:p w14:paraId="1FB911AD" w14:textId="012A647B" w:rsidR="007078AA" w:rsidRPr="00D74025" w:rsidRDefault="00DC528D" w:rsidP="00DC528D">
      <w:pPr>
        <w:pStyle w:val="Heading3"/>
        <w:rPr>
          <w:rFonts w:ascii="Arial" w:hAnsi="Arial" w:cs="Arial"/>
          <w:b/>
          <w:bCs/>
          <w:color w:val="000000" w:themeColor="text1"/>
        </w:rPr>
      </w:pPr>
      <w:bookmarkStart w:id="65" w:name="_Toc121217245"/>
      <w:r w:rsidRPr="00D74025">
        <w:rPr>
          <w:rFonts w:ascii="Arial" w:hAnsi="Arial" w:cs="Arial"/>
          <w:b/>
          <w:bCs/>
          <w:color w:val="000000" w:themeColor="text1"/>
        </w:rPr>
        <w:t>2.1.5 Gold nanoparticle conjugation</w:t>
      </w:r>
      <w:bookmarkEnd w:id="65"/>
    </w:p>
    <w:p w14:paraId="59AFBA66" w14:textId="337E1219" w:rsidR="00A77EA5" w:rsidRPr="00D74025" w:rsidRDefault="00171A08" w:rsidP="00A77EA5">
      <w:pPr>
        <w:spacing w:line="360" w:lineRule="auto"/>
        <w:ind w:firstLine="1440"/>
        <w:jc w:val="both"/>
        <w:rPr>
          <w:color w:val="000000" w:themeColor="text1"/>
        </w:rPr>
      </w:pPr>
      <w:r w:rsidRPr="00D74025">
        <w:rPr>
          <w:color w:val="000000" w:themeColor="text1"/>
        </w:rPr>
        <w:t>﻿</w:t>
      </w:r>
      <w:r w:rsidR="00A77EA5" w:rsidRPr="00D74025">
        <w:rPr>
          <w:rFonts w:ascii="Arial" w:hAnsi="Arial" w:cs="Arial"/>
          <w:color w:val="000000" w:themeColor="text1"/>
        </w:rPr>
        <w:t xml:space="preserve"> Gold nanoparticles (15 nm) were purchased from Nanoprobes (Yaphank, NY). </w:t>
      </w:r>
      <w:r w:rsidR="00A77EA5" w:rsidRPr="00D74025">
        <w:rPr>
          <w:rFonts w:ascii="Calibri" w:hAnsi="Calibri" w:cs="Calibri"/>
          <w:color w:val="000000" w:themeColor="text1"/>
        </w:rPr>
        <w:t>﻿</w:t>
      </w:r>
      <w:r w:rsidR="00A77EA5" w:rsidRPr="00D74025">
        <w:rPr>
          <w:rFonts w:ascii="Arial" w:hAnsi="Arial" w:cs="Arial"/>
          <w:color w:val="000000" w:themeColor="text1"/>
        </w:rPr>
        <w:t>NH</w:t>
      </w:r>
      <w:r w:rsidR="00A77EA5" w:rsidRPr="007D11C2">
        <w:rPr>
          <w:rFonts w:ascii="Arial" w:hAnsi="Arial" w:cs="Arial"/>
          <w:color w:val="000000" w:themeColor="text1"/>
          <w:vertAlign w:val="subscript"/>
        </w:rPr>
        <w:t>2</w:t>
      </w:r>
      <w:r w:rsidR="00A77EA5" w:rsidRPr="00D74025">
        <w:rPr>
          <w:rFonts w:ascii="Arial" w:hAnsi="Arial" w:cs="Arial"/>
          <w:color w:val="000000" w:themeColor="text1"/>
        </w:rPr>
        <w:t xml:space="preserve">-PEG-SH (PEG molecular weight of 3.4 </w:t>
      </w:r>
      <w:proofErr w:type="spellStart"/>
      <w:r w:rsidR="00A77EA5" w:rsidRPr="00D74025">
        <w:rPr>
          <w:rFonts w:ascii="Arial" w:hAnsi="Arial" w:cs="Arial"/>
          <w:color w:val="000000" w:themeColor="text1"/>
        </w:rPr>
        <w:t>kDa</w:t>
      </w:r>
      <w:proofErr w:type="spellEnd"/>
      <w:r w:rsidR="00A77EA5" w:rsidRPr="00D74025">
        <w:rPr>
          <w:rFonts w:ascii="Arial" w:hAnsi="Arial" w:cs="Arial"/>
          <w:color w:val="000000" w:themeColor="text1"/>
        </w:rPr>
        <w:t xml:space="preserve">) linker was from Creative </w:t>
      </w:r>
      <w:proofErr w:type="spellStart"/>
      <w:r w:rsidR="00A77EA5" w:rsidRPr="00D74025">
        <w:rPr>
          <w:rFonts w:ascii="Arial" w:hAnsi="Arial" w:cs="Arial"/>
          <w:color w:val="000000" w:themeColor="text1"/>
        </w:rPr>
        <w:t>PEGWorks</w:t>
      </w:r>
      <w:proofErr w:type="spellEnd"/>
      <w:r w:rsidR="00E16C46">
        <w:rPr>
          <w:rFonts w:ascii="Arial" w:hAnsi="Arial" w:cs="Arial"/>
          <w:color w:val="000000" w:themeColor="text1"/>
        </w:rPr>
        <w:t xml:space="preserve">. </w:t>
      </w:r>
      <w:proofErr w:type="spellStart"/>
      <w:r w:rsidR="00A77EA5" w:rsidRPr="00D74025">
        <w:rPr>
          <w:rFonts w:ascii="Arial" w:hAnsi="Arial" w:cs="Arial"/>
          <w:color w:val="000000" w:themeColor="text1"/>
        </w:rPr>
        <w:t>Sulfo</w:t>
      </w:r>
      <w:proofErr w:type="spellEnd"/>
      <w:r w:rsidR="00A77EA5" w:rsidRPr="00D74025">
        <w:rPr>
          <w:rFonts w:ascii="Arial" w:hAnsi="Arial" w:cs="Arial"/>
          <w:color w:val="000000" w:themeColor="text1"/>
        </w:rPr>
        <w:t xml:space="preserve">-SMCC was purchased from TCI America (Portland, OR) and </w:t>
      </w:r>
      <w:proofErr w:type="spellStart"/>
      <w:r w:rsidR="00A77EA5" w:rsidRPr="00D74025">
        <w:rPr>
          <w:rFonts w:ascii="Arial" w:hAnsi="Arial" w:cs="Arial"/>
          <w:color w:val="000000" w:themeColor="text1"/>
        </w:rPr>
        <w:t>mertansine</w:t>
      </w:r>
      <w:proofErr w:type="spellEnd"/>
      <w:r w:rsidR="00A77EA5" w:rsidRPr="00D74025">
        <w:rPr>
          <w:rFonts w:ascii="Arial" w:hAnsi="Arial" w:cs="Arial"/>
          <w:color w:val="000000" w:themeColor="text1"/>
        </w:rPr>
        <w:t xml:space="preserve"> (DM1) was purchased from </w:t>
      </w:r>
      <w:proofErr w:type="spellStart"/>
      <w:r w:rsidR="00A77EA5" w:rsidRPr="00D74025">
        <w:rPr>
          <w:rFonts w:ascii="Arial" w:hAnsi="Arial" w:cs="Arial"/>
          <w:color w:val="000000" w:themeColor="text1"/>
        </w:rPr>
        <w:t>MedChemExpress</w:t>
      </w:r>
      <w:proofErr w:type="spellEnd"/>
      <w:r w:rsidR="00A77EA5" w:rsidRPr="00D74025">
        <w:rPr>
          <w:rFonts w:ascii="Arial" w:hAnsi="Arial" w:cs="Arial"/>
          <w:color w:val="000000" w:themeColor="text1"/>
        </w:rPr>
        <w:t xml:space="preserve"> (Princeton, NJ).</w:t>
      </w:r>
    </w:p>
    <w:p w14:paraId="609E3B3C" w14:textId="77777777" w:rsidR="00A77EA5" w:rsidRPr="00D74025" w:rsidRDefault="00A77EA5" w:rsidP="00A77EA5">
      <w:pPr>
        <w:spacing w:line="360" w:lineRule="auto"/>
        <w:ind w:firstLine="1440"/>
        <w:jc w:val="both"/>
        <w:rPr>
          <w:rFonts w:ascii="Arial" w:hAnsi="Arial" w:cs="Arial"/>
          <w:b/>
          <w:bCs/>
          <w:color w:val="000000" w:themeColor="text1"/>
          <w:sz w:val="28"/>
          <w:szCs w:val="28"/>
        </w:rPr>
      </w:pPr>
    </w:p>
    <w:p w14:paraId="66A3A087" w14:textId="6D0FCD80" w:rsidR="00A77EA5" w:rsidRDefault="00A77EA5" w:rsidP="00A77EA5">
      <w:pPr>
        <w:spacing w:line="360" w:lineRule="auto"/>
        <w:ind w:firstLine="1440"/>
        <w:jc w:val="both"/>
        <w:rPr>
          <w:rFonts w:ascii="Arial" w:hAnsi="Arial" w:cs="Arial"/>
          <w:b/>
          <w:bCs/>
          <w:color w:val="000000" w:themeColor="text1"/>
          <w:sz w:val="28"/>
          <w:szCs w:val="28"/>
        </w:rPr>
      </w:pPr>
    </w:p>
    <w:p w14:paraId="124B9B0B" w14:textId="77777777" w:rsidR="007D11C2" w:rsidRPr="00D74025" w:rsidRDefault="007D11C2" w:rsidP="00A77EA5">
      <w:pPr>
        <w:spacing w:line="360" w:lineRule="auto"/>
        <w:ind w:firstLine="1440"/>
        <w:jc w:val="both"/>
        <w:rPr>
          <w:rFonts w:ascii="Arial" w:hAnsi="Arial" w:cs="Arial"/>
          <w:b/>
          <w:bCs/>
          <w:color w:val="000000" w:themeColor="text1"/>
          <w:sz w:val="28"/>
          <w:szCs w:val="28"/>
        </w:rPr>
      </w:pPr>
    </w:p>
    <w:p w14:paraId="4FA12218" w14:textId="2E523A5A" w:rsidR="009121E8" w:rsidRPr="00D74025" w:rsidRDefault="009121E8" w:rsidP="00A77EA5">
      <w:pPr>
        <w:spacing w:line="360" w:lineRule="auto"/>
        <w:ind w:firstLine="1440"/>
        <w:jc w:val="both"/>
        <w:rPr>
          <w:rFonts w:ascii="Arial" w:hAnsi="Arial" w:cs="Arial"/>
          <w:b/>
          <w:bCs/>
          <w:color w:val="000000" w:themeColor="text1"/>
          <w:sz w:val="28"/>
          <w:szCs w:val="28"/>
        </w:rPr>
      </w:pPr>
      <w:r w:rsidRPr="00D74025">
        <w:rPr>
          <w:rFonts w:ascii="Arial" w:hAnsi="Arial" w:cs="Arial"/>
          <w:b/>
          <w:bCs/>
          <w:color w:val="000000" w:themeColor="text1"/>
          <w:sz w:val="28"/>
          <w:szCs w:val="28"/>
        </w:rPr>
        <w:lastRenderedPageBreak/>
        <w:t>2.</w:t>
      </w:r>
      <w:r w:rsidR="00EF3BD2" w:rsidRPr="00D74025">
        <w:rPr>
          <w:rFonts w:ascii="Arial" w:hAnsi="Arial" w:cs="Arial"/>
          <w:b/>
          <w:bCs/>
          <w:color w:val="000000" w:themeColor="text1"/>
          <w:sz w:val="28"/>
          <w:szCs w:val="28"/>
        </w:rPr>
        <w:t>2</w:t>
      </w:r>
      <w:r w:rsidRPr="00D74025">
        <w:rPr>
          <w:rFonts w:ascii="Arial" w:hAnsi="Arial" w:cs="Arial"/>
          <w:b/>
          <w:bCs/>
          <w:color w:val="000000" w:themeColor="text1"/>
          <w:sz w:val="28"/>
          <w:szCs w:val="28"/>
        </w:rPr>
        <w:t xml:space="preserve"> Protein production and </w:t>
      </w:r>
      <w:r w:rsidR="0074765E" w:rsidRPr="00D74025">
        <w:rPr>
          <w:rFonts w:ascii="Arial" w:hAnsi="Arial" w:cs="Arial"/>
          <w:b/>
          <w:bCs/>
          <w:color w:val="000000" w:themeColor="text1"/>
          <w:sz w:val="28"/>
          <w:szCs w:val="28"/>
        </w:rPr>
        <w:t>p</w:t>
      </w:r>
      <w:r w:rsidRPr="00D74025">
        <w:rPr>
          <w:rFonts w:ascii="Arial" w:hAnsi="Arial" w:cs="Arial"/>
          <w:b/>
          <w:bCs/>
          <w:color w:val="000000" w:themeColor="text1"/>
          <w:sz w:val="28"/>
          <w:szCs w:val="28"/>
        </w:rPr>
        <w:t>urification</w:t>
      </w:r>
    </w:p>
    <w:p w14:paraId="23956A56" w14:textId="77777777" w:rsidR="00A77EA5" w:rsidRPr="00D74025" w:rsidRDefault="00A77EA5" w:rsidP="00A77EA5">
      <w:pPr>
        <w:spacing w:line="360" w:lineRule="auto"/>
        <w:ind w:firstLine="1440"/>
        <w:jc w:val="both"/>
        <w:rPr>
          <w:rFonts w:ascii="Arial" w:hAnsi="Arial" w:cs="Arial"/>
          <w:b/>
          <w:bCs/>
          <w:color w:val="000000" w:themeColor="text1"/>
          <w:sz w:val="28"/>
          <w:szCs w:val="28"/>
        </w:rPr>
      </w:pPr>
    </w:p>
    <w:p w14:paraId="53E36F98" w14:textId="112F7FE0" w:rsidR="00903CDE" w:rsidRPr="00D74025" w:rsidRDefault="00903CDE" w:rsidP="00903CDE">
      <w:pPr>
        <w:spacing w:line="360" w:lineRule="auto"/>
        <w:ind w:firstLine="1440"/>
        <w:jc w:val="both"/>
        <w:rPr>
          <w:rFonts w:ascii="Arial" w:hAnsi="Arial" w:cs="Arial"/>
          <w:color w:val="000000" w:themeColor="text1"/>
        </w:rPr>
      </w:pPr>
      <w:r w:rsidRPr="00D74025">
        <w:rPr>
          <w:rFonts w:ascii="Arial" w:hAnsi="Arial" w:cs="Arial"/>
          <w:color w:val="000000" w:themeColor="text1"/>
        </w:rPr>
        <w:t>Recombinant ANXA5 was produced as previously described</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{"citationID":"aqs0huut8p","properties":{"formattedCitation":"\\super 282\\nosupersub{}","plainCitation":"282","noteIndex":0},"citationItems":[{"id":468,"uris":["http://zotero.org/users/7661987/items/SQGD56C7"],"itemData":{"id":468,"type":"article-journal","container-title":"Nanotechnology","DOI":"10.1088/0957-4484/24/37/375104","ISSN":"0957-4484, 1361-6528","issue":"37","journalAbbreviation":"Nanotechnology","language":"en","page":"375104","source":"DOI.org (Crossref)","title":"Targeting single-walled carbon nanotubes for the treatment of breast cancer using photothermal therapy","volume":"24","author":[{"family":"Neves","given":"Luís F F"},{"family":"Krais","given":"John J"},{"family":"Van Rite","given":"Brent D"},{"family":"Ramesh","given":"Rajagopal"},{"family":"Resasco","given":"Daniel E"},{"family":"Harrison","given":"Roger G"}],"issued":{"date-parts":[["2013",9,20]]}}}],"schema":"https://github.com/citation-style-language/schema/raw/master/csl-citation.json"}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282</w:t>
      </w:r>
      <w:r w:rsidRPr="00D74025">
        <w:rPr>
          <w:rFonts w:ascii="Arial" w:hAnsi="Arial" w:cs="Arial"/>
          <w:color w:val="000000" w:themeColor="text1"/>
        </w:rPr>
        <w:fldChar w:fldCharType="end"/>
      </w:r>
      <w:r w:rsidRPr="00D74025">
        <w:rPr>
          <w:rFonts w:ascii="Arial" w:hAnsi="Arial" w:cs="Arial"/>
          <w:color w:val="000000" w:themeColor="text1"/>
        </w:rPr>
        <w:t xml:space="preserve">. In brief, BL21(DE3) </w:t>
      </w:r>
      <w:r w:rsidRPr="00D74025">
        <w:rPr>
          <w:rFonts w:ascii="Arial" w:hAnsi="Arial" w:cs="Arial"/>
          <w:i/>
          <w:iCs/>
          <w:color w:val="000000" w:themeColor="text1"/>
        </w:rPr>
        <w:t xml:space="preserve">Escherichia coli (E. coli) </w:t>
      </w:r>
      <w:r w:rsidRPr="00D74025">
        <w:rPr>
          <w:rFonts w:ascii="Arial" w:hAnsi="Arial" w:cs="Arial"/>
          <w:color w:val="000000" w:themeColor="text1"/>
        </w:rPr>
        <w:t>harboring the plasmid containing pET-30 Ek/LIC/ANXA5 were initially incubated at 37</w:t>
      </w:r>
      <w:r w:rsidRPr="00D74025">
        <w:rPr>
          <w:rFonts w:ascii="Arial" w:hAnsi="Arial" w:cs="Arial"/>
          <w:color w:val="000000" w:themeColor="text1"/>
        </w:rPr>
        <w:sym w:font="Symbol" w:char="F0B0"/>
      </w:r>
      <w:r w:rsidRPr="00D74025">
        <w:rPr>
          <w:rFonts w:ascii="Arial" w:hAnsi="Arial" w:cs="Arial"/>
          <w:color w:val="000000" w:themeColor="text1"/>
        </w:rPr>
        <w:t>C with agitation (200 rpm) overnight in 10 mL of TB medium with kanamycin (35 </w:t>
      </w:r>
      <w:r w:rsidRPr="00D74025">
        <w:rPr>
          <w:rFonts w:ascii="Arial" w:hAnsi="Arial" w:cs="Arial"/>
          <w:color w:val="000000" w:themeColor="text1"/>
        </w:rPr>
        <w:sym w:font="Symbol" w:char="F06D"/>
      </w:r>
      <w:r w:rsidRPr="00D74025">
        <w:rPr>
          <w:rFonts w:ascii="Arial" w:hAnsi="Arial" w:cs="Arial"/>
          <w:color w:val="000000" w:themeColor="text1"/>
        </w:rPr>
        <w:t xml:space="preserve">g/ml). The initial culture was added to </w:t>
      </w:r>
      <w:r w:rsidR="00BC48BD" w:rsidRPr="00D74025">
        <w:rPr>
          <w:rFonts w:ascii="Arial" w:hAnsi="Arial" w:cs="Arial"/>
          <w:color w:val="000000" w:themeColor="text1"/>
        </w:rPr>
        <w:t>1 L</w:t>
      </w:r>
      <w:r w:rsidRPr="00D74025">
        <w:rPr>
          <w:rFonts w:ascii="Arial" w:hAnsi="Arial" w:cs="Arial"/>
          <w:color w:val="000000" w:themeColor="text1"/>
        </w:rPr>
        <w:t xml:space="preserve"> of fresh kanamycin enriched-TB medium and incubated until the OD</w:t>
      </w:r>
      <w:r w:rsidR="007D11C2">
        <w:rPr>
          <w:rFonts w:ascii="Arial" w:hAnsi="Arial" w:cs="Arial"/>
          <w:color w:val="000000" w:themeColor="text1"/>
          <w:vertAlign w:val="subscript"/>
        </w:rPr>
        <w:t>600 nm</w:t>
      </w:r>
      <w:r w:rsidRPr="00D74025">
        <w:rPr>
          <w:rFonts w:ascii="Arial" w:hAnsi="Arial" w:cs="Arial"/>
          <w:color w:val="000000" w:themeColor="text1"/>
        </w:rPr>
        <w:t xml:space="preserve"> of the solution was at 1.2 (absorbance reading at 600 nm). Protein expression was then induced by adding isopropyl-D-</w:t>
      </w:r>
      <w:proofErr w:type="spellStart"/>
      <w:r w:rsidRPr="00D74025">
        <w:rPr>
          <w:rFonts w:ascii="Arial" w:hAnsi="Arial" w:cs="Arial"/>
          <w:color w:val="000000" w:themeColor="text1"/>
        </w:rPr>
        <w:t>thiogalactopyranoside</w:t>
      </w:r>
      <w:proofErr w:type="spellEnd"/>
      <w:r w:rsidRPr="00D74025">
        <w:rPr>
          <w:rFonts w:ascii="Arial" w:hAnsi="Arial" w:cs="Arial"/>
          <w:color w:val="000000" w:themeColor="text1"/>
        </w:rPr>
        <w:t xml:space="preserve"> (IPTG of 0.4 mM) to the medium, and the culture was left to incubate for a further 19 h at 25</w:t>
      </w:r>
      <w:r w:rsidRPr="00D74025">
        <w:rPr>
          <w:rFonts w:ascii="Arial" w:hAnsi="Arial" w:cs="Arial"/>
          <w:color w:val="000000" w:themeColor="text1"/>
        </w:rPr>
        <w:sym w:font="Symbol" w:char="F0B0"/>
      </w:r>
      <w:r w:rsidRPr="00D74025">
        <w:rPr>
          <w:rFonts w:ascii="Arial" w:hAnsi="Arial" w:cs="Arial"/>
          <w:color w:val="000000" w:themeColor="text1"/>
        </w:rPr>
        <w:t xml:space="preserve">C. The ANXA5-expressing bacteria were collected by centrifugation (1100 g for 10 min) and resuspended in a sonication buffer. Bacteria cells were lysed by sonication using on/off cycles (30 </w:t>
      </w:r>
      <w:proofErr w:type="spellStart"/>
      <w:r w:rsidRPr="00D74025">
        <w:rPr>
          <w:rFonts w:ascii="Arial" w:hAnsi="Arial" w:cs="Arial"/>
          <w:color w:val="000000" w:themeColor="text1"/>
        </w:rPr>
        <w:t>s on</w:t>
      </w:r>
      <w:proofErr w:type="spellEnd"/>
      <w:r w:rsidRPr="00D74025">
        <w:rPr>
          <w:rFonts w:ascii="Arial" w:hAnsi="Arial" w:cs="Arial"/>
          <w:color w:val="000000" w:themeColor="text1"/>
        </w:rPr>
        <w:t xml:space="preserve"> and 30 s off, five times</w:t>
      </w:r>
      <w:r w:rsidR="0014414F" w:rsidRPr="00D74025">
        <w:rPr>
          <w:rFonts w:ascii="Arial" w:hAnsi="Arial" w:cs="Arial"/>
          <w:color w:val="000000" w:themeColor="text1"/>
        </w:rPr>
        <w:t xml:space="preserve"> total</w:t>
      </w:r>
      <w:r w:rsidRPr="00D74025">
        <w:rPr>
          <w:rFonts w:ascii="Arial" w:hAnsi="Arial" w:cs="Arial"/>
          <w:color w:val="000000" w:themeColor="text1"/>
        </w:rPr>
        <w:t xml:space="preserve">). The lysate containing all the cellular proteins, including the ANXA5 protein with an N-terminal six histidine tail (His-Tag), was centrifuged to remove cell debris (3500 g for </w:t>
      </w:r>
      <w:r w:rsidR="00A57160" w:rsidRPr="00D74025">
        <w:rPr>
          <w:rFonts w:ascii="Arial" w:hAnsi="Arial" w:cs="Arial"/>
          <w:color w:val="000000" w:themeColor="text1"/>
        </w:rPr>
        <w:t>2 h)</w:t>
      </w:r>
      <w:r w:rsidRPr="00D74025">
        <w:rPr>
          <w:rFonts w:ascii="Arial" w:hAnsi="Arial" w:cs="Arial"/>
          <w:color w:val="000000" w:themeColor="text1"/>
        </w:rPr>
        <w:t xml:space="preserve">. The debris-free supernatant was collected and loaded into a nickel </w:t>
      </w:r>
      <w:proofErr w:type="spellStart"/>
      <w:r w:rsidRPr="00D74025">
        <w:rPr>
          <w:rFonts w:ascii="Arial" w:hAnsi="Arial" w:cs="Arial"/>
          <w:color w:val="000000" w:themeColor="text1"/>
        </w:rPr>
        <w:t>HisTrap</w:t>
      </w:r>
      <w:proofErr w:type="spellEnd"/>
      <w:r w:rsidRPr="00D74025">
        <w:rPr>
          <w:rFonts w:ascii="Arial" w:hAnsi="Arial" w:cs="Arial"/>
          <w:color w:val="000000" w:themeColor="text1"/>
        </w:rPr>
        <w:t xml:space="preserve"> column. After various washing steps, including endotoxin washing with</w:t>
      </w:r>
      <w:r w:rsidR="00223CAE" w:rsidRPr="00D74025">
        <w:rPr>
          <w:rFonts w:ascii="Arial" w:hAnsi="Arial" w:cs="Arial"/>
          <w:color w:val="000000" w:themeColor="text1"/>
        </w:rPr>
        <w:t xml:space="preserve"> 1%</w:t>
      </w:r>
      <w:r w:rsidRPr="00D74025">
        <w:rPr>
          <w:rFonts w:ascii="Arial" w:hAnsi="Arial" w:cs="Arial"/>
          <w:color w:val="000000" w:themeColor="text1"/>
        </w:rPr>
        <w:t xml:space="preserve"> TRITON X-114, ANXA5 protein (with an N-terminal six histidine tail) was eluted with a 500 mM imidazole buffer, displacing His-Tag from the column. After dialysis against 20 mM sodium phosphate buffer (adjusted pH 7.4), the His-Tagged protein was cleaved with the HRV 3C protease. Final column purification was performed by loading cleaved protein into the affinity column and collecting the first flow-through with ANXA5 without His-Tag. The protein solution was dialyzed against a 20 mM-sodium phosphate buffer containing 100 mM NaCl (pH 7.4) a final time before being aliquoted in cryogenic vials and flash-frozen in liquid nitrogen. Aliquots were placed in a -80</w:t>
      </w:r>
      <w:r w:rsidRPr="00D74025">
        <w:rPr>
          <w:rFonts w:ascii="Arial" w:hAnsi="Arial" w:cs="Arial"/>
          <w:color w:val="000000" w:themeColor="text1"/>
        </w:rPr>
        <w:sym w:font="Symbol" w:char="F0B0"/>
      </w:r>
      <w:r w:rsidRPr="00D74025">
        <w:rPr>
          <w:rFonts w:ascii="Arial" w:hAnsi="Arial" w:cs="Arial"/>
          <w:color w:val="000000" w:themeColor="text1"/>
        </w:rPr>
        <w:t xml:space="preserve">C freezer for long-term storage. The purified protein was quantified using the Bradford assay and analyzed with SDS-PAGE electrophoresis for purity. Detailed protein production protocol is available in </w:t>
      </w:r>
      <w:r w:rsidR="003C338B" w:rsidRPr="00BC4E42">
        <w:rPr>
          <w:rFonts w:ascii="Arial" w:hAnsi="Arial" w:cs="Arial"/>
          <w:color w:val="000000" w:themeColor="text1"/>
        </w:rPr>
        <w:t>A</w:t>
      </w:r>
      <w:r w:rsidRPr="00BC4E42">
        <w:rPr>
          <w:rFonts w:ascii="Arial" w:hAnsi="Arial" w:cs="Arial"/>
          <w:color w:val="000000" w:themeColor="text1"/>
        </w:rPr>
        <w:t xml:space="preserve">ppendix B1 and B2. Bradford </w:t>
      </w:r>
      <w:r w:rsidR="003C338B" w:rsidRPr="00BC4E42">
        <w:rPr>
          <w:rFonts w:ascii="Arial" w:hAnsi="Arial" w:cs="Arial"/>
          <w:color w:val="000000" w:themeColor="text1"/>
        </w:rPr>
        <w:t xml:space="preserve">assay </w:t>
      </w:r>
      <w:r w:rsidRPr="00BC4E42">
        <w:rPr>
          <w:rFonts w:ascii="Arial" w:hAnsi="Arial" w:cs="Arial"/>
          <w:color w:val="000000" w:themeColor="text1"/>
        </w:rPr>
        <w:t xml:space="preserve">and SDS-page electrophoresis protocols are accessible in </w:t>
      </w:r>
      <w:r w:rsidR="003C338B" w:rsidRPr="00BC4E42">
        <w:rPr>
          <w:rFonts w:ascii="Arial" w:hAnsi="Arial" w:cs="Arial"/>
          <w:color w:val="000000" w:themeColor="text1"/>
        </w:rPr>
        <w:t>A</w:t>
      </w:r>
      <w:r w:rsidRPr="00BC4E42">
        <w:rPr>
          <w:rFonts w:ascii="Arial" w:hAnsi="Arial" w:cs="Arial"/>
          <w:color w:val="000000" w:themeColor="text1"/>
        </w:rPr>
        <w:t>ppendix B3</w:t>
      </w:r>
      <w:r w:rsidRPr="003C338B">
        <w:rPr>
          <w:rFonts w:ascii="Arial" w:hAnsi="Arial" w:cs="Arial"/>
          <w:color w:val="000000" w:themeColor="text1"/>
        </w:rPr>
        <w:t xml:space="preserve"> and B4</w:t>
      </w:r>
      <w:r w:rsidRPr="00D74025">
        <w:rPr>
          <w:rFonts w:ascii="Arial" w:hAnsi="Arial" w:cs="Arial"/>
          <w:color w:val="000000" w:themeColor="text1"/>
        </w:rPr>
        <w:t>, respectively.</w:t>
      </w:r>
    </w:p>
    <w:p w14:paraId="22B0BCFA" w14:textId="77777777" w:rsidR="009121E8" w:rsidRPr="00D74025" w:rsidRDefault="009121E8" w:rsidP="0063608D">
      <w:pPr>
        <w:spacing w:line="360" w:lineRule="auto"/>
        <w:jc w:val="both"/>
        <w:rPr>
          <w:rFonts w:ascii="Arial" w:hAnsi="Arial" w:cs="Arial"/>
          <w:color w:val="000000" w:themeColor="text1"/>
        </w:rPr>
      </w:pPr>
    </w:p>
    <w:p w14:paraId="6C283BBE" w14:textId="77777777" w:rsidR="009121E8" w:rsidRPr="00D74025" w:rsidRDefault="009121E8" w:rsidP="0063608D">
      <w:pPr>
        <w:spacing w:line="360" w:lineRule="auto"/>
        <w:jc w:val="both"/>
        <w:rPr>
          <w:rFonts w:ascii="Arial" w:hAnsi="Arial" w:cs="Arial"/>
          <w:color w:val="000000" w:themeColor="text1"/>
        </w:rPr>
      </w:pPr>
    </w:p>
    <w:p w14:paraId="20D31EC2" w14:textId="4E9A7F33" w:rsidR="009121E8" w:rsidRPr="00D74025" w:rsidRDefault="009121E8" w:rsidP="00785724">
      <w:pPr>
        <w:pStyle w:val="Heading2"/>
        <w:ind w:firstLine="0"/>
        <w:rPr>
          <w:rFonts w:ascii="Arial" w:hAnsi="Arial" w:cs="Arial"/>
          <w:b/>
          <w:bCs/>
          <w:color w:val="000000" w:themeColor="text1"/>
          <w:sz w:val="28"/>
          <w:szCs w:val="28"/>
          <w:u w:val="single"/>
        </w:rPr>
      </w:pPr>
      <w:bookmarkStart w:id="66" w:name="_Toc121217246"/>
      <w:r w:rsidRPr="00D74025">
        <w:rPr>
          <w:rFonts w:ascii="Arial" w:hAnsi="Arial" w:cs="Arial"/>
          <w:b/>
          <w:bCs/>
          <w:color w:val="000000" w:themeColor="text1"/>
          <w:sz w:val="28"/>
          <w:szCs w:val="28"/>
          <w:u w:val="single"/>
        </w:rPr>
        <w:lastRenderedPageBreak/>
        <w:t>2.</w:t>
      </w:r>
      <w:r w:rsidR="002863FD">
        <w:rPr>
          <w:rFonts w:ascii="Arial" w:hAnsi="Arial" w:cs="Arial"/>
          <w:b/>
          <w:bCs/>
          <w:color w:val="000000" w:themeColor="text1"/>
          <w:sz w:val="28"/>
          <w:szCs w:val="28"/>
          <w:u w:val="single"/>
        </w:rPr>
        <w:t>2</w:t>
      </w:r>
      <w:r w:rsidRPr="00D74025">
        <w:rPr>
          <w:rFonts w:ascii="Arial" w:hAnsi="Arial" w:cs="Arial"/>
          <w:b/>
          <w:bCs/>
          <w:color w:val="000000" w:themeColor="text1"/>
          <w:sz w:val="28"/>
          <w:szCs w:val="28"/>
          <w:u w:val="single"/>
        </w:rPr>
        <w:t xml:space="preserve"> SWCNT-ANXA5 conjugat</w:t>
      </w:r>
      <w:r w:rsidR="00E13A4D" w:rsidRPr="00D74025">
        <w:rPr>
          <w:rFonts w:ascii="Arial" w:hAnsi="Arial" w:cs="Arial"/>
          <w:b/>
          <w:bCs/>
          <w:color w:val="000000" w:themeColor="text1"/>
          <w:sz w:val="28"/>
          <w:szCs w:val="28"/>
          <w:u w:val="single"/>
        </w:rPr>
        <w:t>e</w:t>
      </w:r>
      <w:bookmarkEnd w:id="66"/>
    </w:p>
    <w:p w14:paraId="67139680" w14:textId="758192ED" w:rsidR="00E13A4D" w:rsidRPr="00D74025" w:rsidRDefault="00E13A4D" w:rsidP="00E13A4D">
      <w:pPr>
        <w:rPr>
          <w:b/>
          <w:bCs/>
          <w:color w:val="000000" w:themeColor="text1"/>
        </w:rPr>
      </w:pPr>
    </w:p>
    <w:p w14:paraId="06EE738E" w14:textId="03C76B08" w:rsidR="00E13A4D" w:rsidRPr="00D74025" w:rsidRDefault="00E13A4D" w:rsidP="00E13A4D">
      <w:pPr>
        <w:pStyle w:val="Heading3"/>
        <w:rPr>
          <w:rFonts w:ascii="Arial" w:hAnsi="Arial" w:cs="Arial"/>
          <w:b/>
          <w:bCs/>
          <w:color w:val="000000" w:themeColor="text1"/>
        </w:rPr>
      </w:pPr>
      <w:bookmarkStart w:id="67" w:name="_Toc121217247"/>
      <w:r w:rsidRPr="00D74025">
        <w:rPr>
          <w:rFonts w:ascii="Arial" w:hAnsi="Arial" w:cs="Arial"/>
          <w:b/>
          <w:bCs/>
          <w:color w:val="000000" w:themeColor="text1"/>
        </w:rPr>
        <w:t>2.</w:t>
      </w:r>
      <w:r w:rsidR="002863FD">
        <w:rPr>
          <w:rFonts w:ascii="Arial" w:hAnsi="Arial" w:cs="Arial"/>
          <w:b/>
          <w:bCs/>
          <w:color w:val="000000" w:themeColor="text1"/>
        </w:rPr>
        <w:t>2</w:t>
      </w:r>
      <w:r w:rsidRPr="00D74025">
        <w:rPr>
          <w:rFonts w:ascii="Arial" w:hAnsi="Arial" w:cs="Arial"/>
          <w:b/>
          <w:bCs/>
          <w:color w:val="000000" w:themeColor="text1"/>
        </w:rPr>
        <w:t>.1 ANXA5 conjugation to SWCNT</w:t>
      </w:r>
      <w:bookmarkEnd w:id="67"/>
      <w:r w:rsidRPr="00D74025">
        <w:rPr>
          <w:rFonts w:ascii="Arial" w:hAnsi="Arial" w:cs="Arial"/>
          <w:b/>
          <w:bCs/>
          <w:color w:val="000000" w:themeColor="text1"/>
        </w:rPr>
        <w:t xml:space="preserve"> </w:t>
      </w:r>
    </w:p>
    <w:p w14:paraId="6A468201" w14:textId="77777777" w:rsidR="00E13A4D" w:rsidRPr="00D74025" w:rsidRDefault="00E13A4D" w:rsidP="00E13A4D">
      <w:pPr>
        <w:rPr>
          <w:color w:val="000000" w:themeColor="text1"/>
        </w:rPr>
      </w:pPr>
    </w:p>
    <w:p w14:paraId="27BCBE5D" w14:textId="31B49DDC" w:rsidR="00E2656A" w:rsidRPr="00D74025" w:rsidRDefault="00E2656A" w:rsidP="00E2656A">
      <w:pPr>
        <w:spacing w:line="360" w:lineRule="auto"/>
        <w:ind w:firstLine="1440"/>
        <w:jc w:val="both"/>
        <w:rPr>
          <w:rFonts w:ascii="Arial" w:hAnsi="Arial" w:cs="Arial"/>
          <w:color w:val="000000" w:themeColor="text1"/>
        </w:rPr>
      </w:pPr>
      <w:r w:rsidRPr="00D74025">
        <w:rPr>
          <w:rFonts w:ascii="Arial" w:hAnsi="Arial" w:cs="Arial"/>
          <w:color w:val="000000" w:themeColor="text1"/>
        </w:rPr>
        <w:t>The conjugation was performed using a DSPE-PEG-maleimide linker (3.4 </w:t>
      </w:r>
      <w:proofErr w:type="spellStart"/>
      <w:r w:rsidRPr="00D74025">
        <w:rPr>
          <w:rFonts w:ascii="Arial" w:hAnsi="Arial" w:cs="Arial"/>
          <w:color w:val="000000" w:themeColor="text1"/>
        </w:rPr>
        <w:t>kD</w:t>
      </w:r>
      <w:proofErr w:type="spellEnd"/>
      <w:r w:rsidRPr="00D74025">
        <w:rPr>
          <w:rFonts w:ascii="Arial" w:hAnsi="Arial" w:cs="Arial"/>
          <w:color w:val="000000" w:themeColor="text1"/>
        </w:rPr>
        <w:t>)</w:t>
      </w:r>
      <w:r w:rsidR="00241E71">
        <w:rPr>
          <w:rFonts w:ascii="Arial" w:hAnsi="Arial" w:cs="Arial"/>
          <w:color w:val="000000" w:themeColor="text1"/>
        </w:rPr>
        <w:t xml:space="preserve"> using a protocol that was </w:t>
      </w:r>
      <w:r w:rsidRPr="00D74025">
        <w:rPr>
          <w:rFonts w:ascii="Arial" w:hAnsi="Arial" w:cs="Arial"/>
          <w:color w:val="000000" w:themeColor="text1"/>
        </w:rPr>
        <w:t xml:space="preserve">modified from </w:t>
      </w:r>
      <w:r w:rsidR="003732CE">
        <w:rPr>
          <w:rFonts w:ascii="Arial" w:hAnsi="Arial" w:cs="Arial"/>
          <w:color w:val="000000" w:themeColor="text1"/>
        </w:rPr>
        <w:t>one previously used</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{"citationID":"a1ipiodavle","properties":{"formattedCitation":"\\super 282\\nosupersub{}","plainCitation":"282","noteIndex":0},"citationItems":[{"id":468,"uris":["http://zotero.org/users/7661987/items/SQGD56C7"],"itemData":{"id":468,"type":"article-journal","container-title":"Nanotechnology","DOI":"10.1088/0957-4484/24/37/375104","ISSN":"0957-4484, 1361-6528","issue":"37","journalAbbreviation":"Nanotechnology","language":"en","page":"375104","source":"DOI.org (Crossref)","title":"Targeting single-walled carbon nanotubes for the treatment of breast cancer using photothermal therapy","volume":"24","author":[{"family":"Neves","given":"Luís F F"},{"family":"Krais","given":"John J"},{"family":"Van Rite","given":"Brent D"},{"family":"Ramesh","given":"Rajagopal"},{"family":"Resasco","given":"Daniel E"},{"family":"Harrison","given":"Roger G"}],"issued":{"date-parts":[["2013",9,20]]}}}],"schema":"https://github.com/citation-style-language/schema/raw/master/csl-citation.json"}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282</w:t>
      </w:r>
      <w:r w:rsidRPr="00D74025">
        <w:rPr>
          <w:rFonts w:ascii="Arial" w:hAnsi="Arial" w:cs="Arial"/>
          <w:color w:val="000000" w:themeColor="text1"/>
        </w:rPr>
        <w:fldChar w:fldCharType="end"/>
      </w:r>
      <w:r w:rsidRPr="00D74025">
        <w:rPr>
          <w:rFonts w:ascii="Arial" w:hAnsi="Arial" w:cs="Arial"/>
          <w:color w:val="000000" w:themeColor="text1"/>
        </w:rPr>
        <w:t>. SDC solution</w:t>
      </w:r>
      <w:r w:rsidR="003732CE">
        <w:rPr>
          <w:rFonts w:ascii="Arial" w:hAnsi="Arial" w:cs="Arial"/>
          <w:color w:val="000000" w:themeColor="text1"/>
        </w:rPr>
        <w:t xml:space="preserve"> (2%)</w:t>
      </w:r>
      <w:r w:rsidRPr="00D74025">
        <w:rPr>
          <w:rFonts w:ascii="Arial" w:hAnsi="Arial" w:cs="Arial"/>
          <w:color w:val="000000" w:themeColor="text1"/>
        </w:rPr>
        <w:t xml:space="preserve"> replaced </w:t>
      </w:r>
      <w:r w:rsidR="008900FD">
        <w:rPr>
          <w:rFonts w:ascii="Arial" w:hAnsi="Arial" w:cs="Arial"/>
          <w:color w:val="000000" w:themeColor="text1"/>
        </w:rPr>
        <w:t xml:space="preserve">1% </w:t>
      </w:r>
      <w:r w:rsidRPr="00D74025">
        <w:rPr>
          <w:rFonts w:ascii="Arial" w:hAnsi="Arial" w:cs="Arial"/>
          <w:color w:val="000000" w:themeColor="text1"/>
        </w:rPr>
        <w:t xml:space="preserve">sodium dodecyl sulfate (SDS) solution in the original protocol to increase the availability of (6,5) SWCNT in suspension. SWCNT </w:t>
      </w:r>
      <w:r w:rsidR="008900FD">
        <w:rPr>
          <w:rFonts w:ascii="Arial" w:hAnsi="Arial" w:cs="Arial"/>
          <w:color w:val="000000" w:themeColor="text1"/>
        </w:rPr>
        <w:t xml:space="preserve">(6 mg) </w:t>
      </w:r>
      <w:r w:rsidRPr="00D74025">
        <w:rPr>
          <w:rFonts w:ascii="Arial" w:hAnsi="Arial" w:cs="Arial"/>
          <w:color w:val="000000" w:themeColor="text1"/>
        </w:rPr>
        <w:t xml:space="preserve">were added to 5 ml of a 2% sodium deoxycholate (SDC) solution and sonicated for </w:t>
      </w:r>
      <w:r w:rsidR="00CA47AF">
        <w:rPr>
          <w:rFonts w:ascii="Arial" w:hAnsi="Arial" w:cs="Arial"/>
          <w:color w:val="000000" w:themeColor="text1"/>
        </w:rPr>
        <w:t>1 h</w:t>
      </w:r>
      <w:r w:rsidRPr="00D74025">
        <w:rPr>
          <w:rFonts w:ascii="Arial" w:hAnsi="Arial" w:cs="Arial"/>
          <w:color w:val="000000" w:themeColor="text1"/>
        </w:rPr>
        <w:t xml:space="preserve"> at 19.8 W of power (E = 35,640 J) (</w:t>
      </w:r>
      <w:proofErr w:type="spellStart"/>
      <w:r w:rsidRPr="00D74025">
        <w:rPr>
          <w:rFonts w:ascii="Arial" w:hAnsi="Arial" w:cs="Arial"/>
          <w:color w:val="000000" w:themeColor="text1"/>
        </w:rPr>
        <w:t>VirSonic</w:t>
      </w:r>
      <w:proofErr w:type="spellEnd"/>
      <w:r w:rsidRPr="00D74025">
        <w:rPr>
          <w:rFonts w:ascii="Arial" w:hAnsi="Arial" w:cs="Arial"/>
          <w:color w:val="000000" w:themeColor="text1"/>
        </w:rPr>
        <w:t xml:space="preserve"> 100 ultrasonic cell disruptor, </w:t>
      </w:r>
      <w:proofErr w:type="spellStart"/>
      <w:r w:rsidRPr="00D74025">
        <w:rPr>
          <w:rFonts w:ascii="Arial" w:hAnsi="Arial" w:cs="Arial"/>
          <w:color w:val="000000" w:themeColor="text1"/>
        </w:rPr>
        <w:t>VirTis</w:t>
      </w:r>
      <w:proofErr w:type="spellEnd"/>
      <w:r w:rsidRPr="00D74025">
        <w:rPr>
          <w:rFonts w:ascii="Arial" w:hAnsi="Arial" w:cs="Arial"/>
          <w:color w:val="000000" w:themeColor="text1"/>
        </w:rPr>
        <w:t>). Sonicated SWCNT was centrifuged in an ultracentrifuge (16</w:t>
      </w:r>
      <w:r w:rsidR="00CA47AF">
        <w:rPr>
          <w:rFonts w:ascii="Arial" w:hAnsi="Arial" w:cs="Arial"/>
          <w:color w:val="000000" w:themeColor="text1"/>
        </w:rPr>
        <w:t>,</w:t>
      </w:r>
      <w:r w:rsidRPr="00D74025">
        <w:rPr>
          <w:rFonts w:ascii="Arial" w:hAnsi="Arial" w:cs="Arial"/>
          <w:color w:val="000000" w:themeColor="text1"/>
        </w:rPr>
        <w:t xml:space="preserve">000 g) for 1 h to discard non-suspended SWCNT aggregates. Suspended SWCNT, characterized by a dark-colored aqueous suspension, was then stored in small glass vials at room temperature. The DSPE-PEG-MAL </w:t>
      </w:r>
      <w:r w:rsidR="00CA47AF">
        <w:rPr>
          <w:rFonts w:ascii="Arial" w:hAnsi="Arial" w:cs="Arial"/>
          <w:color w:val="000000" w:themeColor="text1"/>
        </w:rPr>
        <w:t>linker</w:t>
      </w:r>
      <w:r w:rsidRPr="00D74025">
        <w:rPr>
          <w:rFonts w:ascii="Arial" w:hAnsi="Arial" w:cs="Arial"/>
          <w:color w:val="000000" w:themeColor="text1"/>
        </w:rPr>
        <w:t xml:space="preserve"> was then dissolved in 2% SDC solution at a concentration of 1.5 mg/ml. </w:t>
      </w:r>
      <w:r w:rsidR="005040CB">
        <w:rPr>
          <w:rFonts w:ascii="Arial" w:hAnsi="Arial" w:cs="Arial"/>
          <w:color w:val="000000" w:themeColor="text1"/>
        </w:rPr>
        <w:t>T</w:t>
      </w:r>
      <w:r w:rsidRPr="00D74025">
        <w:rPr>
          <w:rFonts w:ascii="Arial" w:hAnsi="Arial" w:cs="Arial"/>
          <w:color w:val="000000" w:themeColor="text1"/>
        </w:rPr>
        <w:t xml:space="preserve">he linker solution </w:t>
      </w:r>
      <w:r w:rsidR="005040CB">
        <w:rPr>
          <w:rFonts w:ascii="Arial" w:hAnsi="Arial" w:cs="Arial"/>
          <w:color w:val="000000" w:themeColor="text1"/>
        </w:rPr>
        <w:t xml:space="preserve">(1 ml) </w:t>
      </w:r>
      <w:r w:rsidRPr="00D74025">
        <w:rPr>
          <w:rFonts w:ascii="Arial" w:hAnsi="Arial" w:cs="Arial"/>
          <w:color w:val="000000" w:themeColor="text1"/>
        </w:rPr>
        <w:t xml:space="preserve">was added to 5 ml of the SWCNT suspension and mixed at room temperature for 30 min with gentle shaking. After that, the suspension was transferred into a 2-kDa dialysis membrane and dialyzed for 8 h against 3 liters of deionized water. The dialysate was changed after the first 4 h. ANXA5 was then reconstituted from frozen vials, and its concentration was accessed by Bradford </w:t>
      </w:r>
      <w:r w:rsidR="006D27BC">
        <w:rPr>
          <w:rFonts w:ascii="Arial" w:hAnsi="Arial" w:cs="Arial"/>
          <w:color w:val="000000" w:themeColor="text1"/>
        </w:rPr>
        <w:t>a</w:t>
      </w:r>
      <w:r w:rsidRPr="00D74025">
        <w:rPr>
          <w:rFonts w:ascii="Arial" w:hAnsi="Arial" w:cs="Arial"/>
          <w:color w:val="000000" w:themeColor="text1"/>
        </w:rPr>
        <w:t xml:space="preserve">ssay. Protein concentrators (10 </w:t>
      </w:r>
      <w:proofErr w:type="spellStart"/>
      <w:r w:rsidRPr="00D74025">
        <w:rPr>
          <w:rFonts w:ascii="Arial" w:hAnsi="Arial" w:cs="Arial"/>
          <w:color w:val="000000" w:themeColor="text1"/>
        </w:rPr>
        <w:t>kDa</w:t>
      </w:r>
      <w:proofErr w:type="spellEnd"/>
      <w:r w:rsidRPr="00D74025">
        <w:rPr>
          <w:rFonts w:ascii="Arial" w:hAnsi="Arial" w:cs="Arial"/>
          <w:color w:val="000000" w:themeColor="text1"/>
        </w:rPr>
        <w:t xml:space="preserve">) were used to increase concentration to approximately 5 mg/ml concentration. SWCNT-linker suspension </w:t>
      </w:r>
      <w:r w:rsidR="006D27BC">
        <w:rPr>
          <w:rFonts w:ascii="Arial" w:hAnsi="Arial" w:cs="Arial"/>
          <w:color w:val="000000" w:themeColor="text1"/>
        </w:rPr>
        <w:t xml:space="preserve">(2 ml) </w:t>
      </w:r>
      <w:r w:rsidRPr="00D74025">
        <w:rPr>
          <w:rFonts w:ascii="Arial" w:hAnsi="Arial" w:cs="Arial"/>
          <w:color w:val="000000" w:themeColor="text1"/>
        </w:rPr>
        <w:t>w</w:t>
      </w:r>
      <w:r w:rsidR="006D27BC">
        <w:rPr>
          <w:rFonts w:ascii="Arial" w:hAnsi="Arial" w:cs="Arial"/>
          <w:color w:val="000000" w:themeColor="text1"/>
        </w:rPr>
        <w:t>as</w:t>
      </w:r>
      <w:r w:rsidRPr="00D74025">
        <w:rPr>
          <w:rFonts w:ascii="Arial" w:hAnsi="Arial" w:cs="Arial"/>
          <w:color w:val="000000" w:themeColor="text1"/>
        </w:rPr>
        <w:t xml:space="preserve"> mixed with the concentrated ANXA5 (1 ml of 5 mg/ml totaling 5 mg of ANXA5) at room temperature for two hours with gentle shaking. Any unreacted linker sites were blocked with L-cysteine (0.048 mg </w:t>
      </w:r>
      <w:r w:rsidR="00D151B0">
        <w:rPr>
          <w:rFonts w:ascii="Arial" w:hAnsi="Arial" w:cs="Arial"/>
          <w:color w:val="000000" w:themeColor="text1"/>
        </w:rPr>
        <w:t>to give</w:t>
      </w:r>
      <w:r w:rsidRPr="00D74025">
        <w:rPr>
          <w:rFonts w:ascii="Arial" w:hAnsi="Arial" w:cs="Arial"/>
          <w:color w:val="000000" w:themeColor="text1"/>
        </w:rPr>
        <w:t xml:space="preserve"> </w:t>
      </w:r>
      <w:r w:rsidR="00016BF4">
        <w:rPr>
          <w:rFonts w:ascii="Arial" w:hAnsi="Arial" w:cs="Arial"/>
          <w:color w:val="000000" w:themeColor="text1"/>
        </w:rPr>
        <w:t xml:space="preserve">a </w:t>
      </w:r>
      <w:r w:rsidRPr="00D74025">
        <w:rPr>
          <w:rFonts w:ascii="Arial" w:hAnsi="Arial" w:cs="Arial"/>
          <w:color w:val="000000" w:themeColor="text1"/>
        </w:rPr>
        <w:t>molar ratio of L-</w:t>
      </w:r>
      <w:proofErr w:type="spellStart"/>
      <w:r w:rsidRPr="00D74025">
        <w:rPr>
          <w:rFonts w:ascii="Arial" w:hAnsi="Arial" w:cs="Arial"/>
          <w:color w:val="000000" w:themeColor="text1"/>
        </w:rPr>
        <w:t>Cys</w:t>
      </w:r>
      <w:proofErr w:type="spellEnd"/>
      <w:r w:rsidRPr="00D74025">
        <w:rPr>
          <w:rFonts w:ascii="Arial" w:hAnsi="Arial" w:cs="Arial"/>
          <w:color w:val="000000" w:themeColor="text1"/>
        </w:rPr>
        <w:t xml:space="preserve">/Linker was equal to 3:1), which was added to the suspension and allowed to react for 1 h at room temperature with gentle shaking. The suspension was then dialyzed using a 100 </w:t>
      </w:r>
      <w:proofErr w:type="spellStart"/>
      <w:r w:rsidRPr="00D74025">
        <w:rPr>
          <w:rFonts w:ascii="Arial" w:hAnsi="Arial" w:cs="Arial"/>
          <w:color w:val="000000" w:themeColor="text1"/>
        </w:rPr>
        <w:t>kDa</w:t>
      </w:r>
      <w:proofErr w:type="spellEnd"/>
      <w:r w:rsidRPr="00D74025">
        <w:rPr>
          <w:rFonts w:ascii="Arial" w:hAnsi="Arial" w:cs="Arial"/>
          <w:color w:val="000000" w:themeColor="text1"/>
        </w:rPr>
        <w:t xml:space="preserve"> dialysis membrane to remove any unbound ANXA5 or L-cysteine for 8 h against 3 L</w:t>
      </w:r>
      <w:r w:rsidRPr="00D74025">
        <w:rPr>
          <w:rFonts w:ascii="Cambria Math" w:hAnsi="Cambria Math" w:cs="Arial"/>
          <w:color w:val="000000" w:themeColor="text1"/>
        </w:rPr>
        <w:t xml:space="preserve"> </w:t>
      </w:r>
      <w:r w:rsidRPr="00D74025">
        <w:rPr>
          <w:rFonts w:ascii="Arial" w:hAnsi="Arial" w:cs="Arial"/>
          <w:color w:val="000000" w:themeColor="text1"/>
        </w:rPr>
        <w:t xml:space="preserve">of 20 mM sodium phosphate buffer (pH 7.4) </w:t>
      </w:r>
      <w:r w:rsidR="00016BF4">
        <w:rPr>
          <w:rFonts w:ascii="Arial" w:hAnsi="Arial" w:cs="Arial"/>
          <w:color w:val="000000" w:themeColor="text1"/>
        </w:rPr>
        <w:t>with a</w:t>
      </w:r>
      <w:r w:rsidRPr="00D74025">
        <w:rPr>
          <w:rFonts w:ascii="Arial" w:hAnsi="Arial" w:cs="Arial"/>
          <w:color w:val="000000" w:themeColor="text1"/>
        </w:rPr>
        <w:t xml:space="preserve"> dialysate change after </w:t>
      </w:r>
      <w:r w:rsidR="00016BF4">
        <w:rPr>
          <w:rFonts w:ascii="Arial" w:hAnsi="Arial" w:cs="Arial"/>
          <w:color w:val="000000" w:themeColor="text1"/>
        </w:rPr>
        <w:t>4 h</w:t>
      </w:r>
      <w:r w:rsidRPr="00D74025">
        <w:rPr>
          <w:rFonts w:ascii="Arial" w:hAnsi="Arial" w:cs="Arial"/>
          <w:color w:val="000000" w:themeColor="text1"/>
        </w:rPr>
        <w:t>. The final suspension was centrifuged at 16</w:t>
      </w:r>
      <w:r w:rsidR="00496493">
        <w:rPr>
          <w:rFonts w:ascii="Arial" w:hAnsi="Arial" w:cs="Arial"/>
          <w:color w:val="000000" w:themeColor="text1"/>
        </w:rPr>
        <w:t>,</w:t>
      </w:r>
      <w:r w:rsidRPr="00D74025">
        <w:rPr>
          <w:rFonts w:ascii="Arial" w:hAnsi="Arial" w:cs="Arial"/>
          <w:color w:val="000000" w:themeColor="text1"/>
        </w:rPr>
        <w:t xml:space="preserve">000 g for 1 h to remove any aggregates. The </w:t>
      </w:r>
      <w:r w:rsidRPr="00D74025">
        <w:rPr>
          <w:rFonts w:ascii="Arial" w:hAnsi="Arial" w:cs="Arial"/>
          <w:color w:val="000000" w:themeColor="text1"/>
        </w:rPr>
        <w:lastRenderedPageBreak/>
        <w:t>conjugate was stored in a glass vial at 4</w:t>
      </w:r>
      <w:r w:rsidRPr="00D74025">
        <w:rPr>
          <w:rFonts w:ascii="Arial" w:hAnsi="Arial" w:cs="Arial"/>
          <w:color w:val="000000" w:themeColor="text1"/>
        </w:rPr>
        <w:sym w:font="Symbol" w:char="F0B0"/>
      </w:r>
      <w:r w:rsidRPr="00D74025">
        <w:rPr>
          <w:rFonts w:ascii="Arial" w:hAnsi="Arial" w:cs="Arial"/>
          <w:color w:val="000000" w:themeColor="text1"/>
        </w:rPr>
        <w:t xml:space="preserve">C until use. Conjugate was used within </w:t>
      </w:r>
      <w:r w:rsidR="00496493">
        <w:rPr>
          <w:rFonts w:ascii="Arial" w:hAnsi="Arial" w:cs="Arial"/>
          <w:color w:val="000000" w:themeColor="text1"/>
        </w:rPr>
        <w:t>1</w:t>
      </w:r>
      <w:r w:rsidRPr="00D74025">
        <w:rPr>
          <w:rFonts w:ascii="Arial" w:hAnsi="Arial" w:cs="Arial"/>
          <w:color w:val="000000" w:themeColor="text1"/>
        </w:rPr>
        <w:t xml:space="preserve"> week of the end of conjugation (see protocol in </w:t>
      </w:r>
      <w:r w:rsidR="008C6A90" w:rsidRPr="00DB2C8B">
        <w:rPr>
          <w:rFonts w:ascii="Arial" w:hAnsi="Arial" w:cs="Arial"/>
          <w:color w:val="000000" w:themeColor="text1"/>
        </w:rPr>
        <w:t>A</w:t>
      </w:r>
      <w:r w:rsidRPr="00DB2C8B">
        <w:rPr>
          <w:rFonts w:ascii="Arial" w:hAnsi="Arial" w:cs="Arial"/>
          <w:color w:val="000000" w:themeColor="text1"/>
        </w:rPr>
        <w:t>ppendix</w:t>
      </w:r>
      <w:r w:rsidRPr="008C6A90">
        <w:rPr>
          <w:rFonts w:ascii="Arial" w:hAnsi="Arial" w:cs="Arial"/>
          <w:color w:val="000000" w:themeColor="text1"/>
        </w:rPr>
        <w:t xml:space="preserve"> B5</w:t>
      </w:r>
      <w:r w:rsidRPr="00D74025">
        <w:rPr>
          <w:rFonts w:ascii="Arial" w:hAnsi="Arial" w:cs="Arial"/>
          <w:color w:val="000000" w:themeColor="text1"/>
        </w:rPr>
        <w:t xml:space="preserve">). </w:t>
      </w:r>
    </w:p>
    <w:p w14:paraId="736D9ED5" w14:textId="4F735028" w:rsidR="0095789C" w:rsidRPr="00D74025" w:rsidRDefault="0095789C" w:rsidP="0095789C">
      <w:pPr>
        <w:spacing w:line="360" w:lineRule="auto"/>
        <w:jc w:val="both"/>
        <w:rPr>
          <w:rFonts w:ascii="Arial" w:hAnsi="Arial" w:cs="Arial"/>
          <w:color w:val="000000" w:themeColor="text1"/>
        </w:rPr>
      </w:pPr>
    </w:p>
    <w:p w14:paraId="15D6F543" w14:textId="273FE4B6" w:rsidR="0095789C" w:rsidRPr="00D74025" w:rsidRDefault="008A371C" w:rsidP="008A371C">
      <w:pPr>
        <w:pStyle w:val="Heading3"/>
        <w:rPr>
          <w:rFonts w:ascii="Arial" w:hAnsi="Arial" w:cs="Arial"/>
          <w:b/>
          <w:bCs/>
          <w:color w:val="000000" w:themeColor="text1"/>
        </w:rPr>
      </w:pPr>
      <w:bookmarkStart w:id="68" w:name="_Toc121217248"/>
      <w:r w:rsidRPr="00D74025">
        <w:rPr>
          <w:rFonts w:ascii="Arial" w:hAnsi="Arial" w:cs="Arial"/>
          <w:b/>
          <w:bCs/>
          <w:color w:val="000000" w:themeColor="text1"/>
        </w:rPr>
        <w:t>2.</w:t>
      </w:r>
      <w:r w:rsidR="002863FD">
        <w:rPr>
          <w:rFonts w:ascii="Arial" w:hAnsi="Arial" w:cs="Arial"/>
          <w:b/>
          <w:bCs/>
          <w:color w:val="000000" w:themeColor="text1"/>
        </w:rPr>
        <w:t>2</w:t>
      </w:r>
      <w:r w:rsidRPr="00D74025">
        <w:rPr>
          <w:rFonts w:ascii="Arial" w:hAnsi="Arial" w:cs="Arial"/>
          <w:b/>
          <w:bCs/>
          <w:color w:val="000000" w:themeColor="text1"/>
        </w:rPr>
        <w:t xml:space="preserve">.2 </w:t>
      </w:r>
      <w:r w:rsidR="00C017E8" w:rsidRPr="00D74025">
        <w:rPr>
          <w:rFonts w:ascii="Arial" w:hAnsi="Arial" w:cs="Arial"/>
          <w:b/>
          <w:bCs/>
          <w:color w:val="000000" w:themeColor="text1"/>
        </w:rPr>
        <w:t xml:space="preserve">SWCNT </w:t>
      </w:r>
      <w:r w:rsidR="000F4D52">
        <w:rPr>
          <w:rFonts w:ascii="Arial" w:hAnsi="Arial" w:cs="Arial"/>
          <w:b/>
          <w:bCs/>
          <w:color w:val="000000" w:themeColor="text1"/>
        </w:rPr>
        <w:t>s</w:t>
      </w:r>
      <w:r w:rsidR="0054470C" w:rsidRPr="00D74025">
        <w:rPr>
          <w:rFonts w:ascii="Arial" w:hAnsi="Arial" w:cs="Arial"/>
          <w:b/>
          <w:bCs/>
          <w:color w:val="000000" w:themeColor="text1"/>
        </w:rPr>
        <w:t xml:space="preserve">tandard </w:t>
      </w:r>
      <w:r w:rsidR="000F4D52">
        <w:rPr>
          <w:rFonts w:ascii="Arial" w:hAnsi="Arial" w:cs="Arial"/>
          <w:b/>
          <w:bCs/>
          <w:color w:val="000000" w:themeColor="text1"/>
        </w:rPr>
        <w:t>c</w:t>
      </w:r>
      <w:r w:rsidR="0054470C" w:rsidRPr="00D74025">
        <w:rPr>
          <w:rFonts w:ascii="Arial" w:hAnsi="Arial" w:cs="Arial"/>
          <w:b/>
          <w:bCs/>
          <w:color w:val="000000" w:themeColor="text1"/>
        </w:rPr>
        <w:t>urve</w:t>
      </w:r>
      <w:bookmarkEnd w:id="68"/>
    </w:p>
    <w:p w14:paraId="2FDE5649" w14:textId="0001D5A0" w:rsidR="00C853D8" w:rsidRPr="00D74025" w:rsidRDefault="00C853D8" w:rsidP="00C853D8">
      <w:pPr>
        <w:spacing w:line="360" w:lineRule="auto"/>
        <w:ind w:firstLine="1440"/>
        <w:jc w:val="both"/>
        <w:rPr>
          <w:rFonts w:ascii="Arial" w:hAnsi="Arial" w:cs="Arial"/>
          <w:color w:val="000000" w:themeColor="text1"/>
        </w:rPr>
      </w:pPr>
      <w:r w:rsidRPr="00D74025">
        <w:rPr>
          <w:rFonts w:ascii="Arial" w:hAnsi="Arial" w:cs="Arial"/>
          <w:color w:val="000000" w:themeColor="text1"/>
        </w:rPr>
        <w:t>A standard suspension of SWCNT (1200 mg/</w:t>
      </w:r>
      <w:r w:rsidRPr="00D74025">
        <w:rPr>
          <w:color w:val="000000" w:themeColor="text1"/>
        </w:rPr>
        <w:t>L</w:t>
      </w:r>
      <w:r w:rsidRPr="00D74025">
        <w:rPr>
          <w:rFonts w:ascii="Arial" w:hAnsi="Arial" w:cs="Arial"/>
          <w:color w:val="000000" w:themeColor="text1"/>
        </w:rPr>
        <w:t>) was obtained similarly to the conjugation protocol. More specifically, a precise mass of 6.0 mg of SWCNT was measured and analytically transferred into a glass vial. A volume of 5.0 m</w:t>
      </w:r>
      <w:r w:rsidRPr="00D74025">
        <w:rPr>
          <w:color w:val="000000" w:themeColor="text1"/>
        </w:rPr>
        <w:t>l</w:t>
      </w:r>
      <w:r w:rsidRPr="00D74025">
        <w:rPr>
          <w:rFonts w:ascii="Arial" w:hAnsi="Arial" w:cs="Arial"/>
          <w:color w:val="000000" w:themeColor="text1"/>
        </w:rPr>
        <w:t xml:space="preserve"> of 1% sodium dodecyl sulfate (SDS) solution, measured with a volumetric pipette, was used to transfer SWCNT into the glass vial. </w:t>
      </w:r>
      <w:r w:rsidR="00113DD7">
        <w:rPr>
          <w:rFonts w:ascii="Arial" w:hAnsi="Arial" w:cs="Arial"/>
          <w:color w:val="000000" w:themeColor="text1"/>
        </w:rPr>
        <w:t>The g</w:t>
      </w:r>
      <w:r w:rsidRPr="00D74025">
        <w:rPr>
          <w:rFonts w:ascii="Arial" w:hAnsi="Arial" w:cs="Arial"/>
          <w:color w:val="000000" w:themeColor="text1"/>
        </w:rPr>
        <w:t xml:space="preserve">lass vial was meticulously checked for the presence of SWCNT outside of the liquid phase. Any remaining SWCNT bundles were washed off from the wall into solution with the SDS solution from inside the vial. Sonication was performed for 1 </w:t>
      </w:r>
      <w:r w:rsidR="00113DD7">
        <w:rPr>
          <w:rFonts w:ascii="Arial" w:hAnsi="Arial" w:cs="Arial"/>
          <w:color w:val="000000" w:themeColor="text1"/>
        </w:rPr>
        <w:t>h, and</w:t>
      </w:r>
      <w:r w:rsidRPr="00D74025">
        <w:rPr>
          <w:rFonts w:ascii="Arial" w:hAnsi="Arial" w:cs="Arial"/>
          <w:color w:val="000000" w:themeColor="text1"/>
        </w:rPr>
        <w:t xml:space="preserve"> the suspension was not centrifuged to avoid mass loss. Serial dilutions were performed using the SDS solution. Triplicates of each concentration were added to different wells in a 96-well plate. Endpoint absorption at 800 nm was measured with a plate reader using the SDS solution as blank (see protocol in </w:t>
      </w:r>
      <w:r w:rsidR="008C6A90" w:rsidRPr="00DB2C8B">
        <w:rPr>
          <w:rFonts w:ascii="Arial" w:hAnsi="Arial" w:cs="Arial"/>
          <w:color w:val="000000" w:themeColor="text1"/>
        </w:rPr>
        <w:t>A</w:t>
      </w:r>
      <w:r w:rsidRPr="00DB2C8B">
        <w:rPr>
          <w:rFonts w:ascii="Arial" w:hAnsi="Arial" w:cs="Arial"/>
          <w:color w:val="000000" w:themeColor="text1"/>
        </w:rPr>
        <w:t>ppendix</w:t>
      </w:r>
      <w:r w:rsidRPr="008C6A90">
        <w:rPr>
          <w:rFonts w:ascii="Arial" w:hAnsi="Arial" w:cs="Arial"/>
          <w:color w:val="000000" w:themeColor="text1"/>
        </w:rPr>
        <w:t xml:space="preserve"> B</w:t>
      </w:r>
      <w:r w:rsidR="008C6A90" w:rsidRPr="008C6A90">
        <w:rPr>
          <w:rFonts w:ascii="Arial" w:hAnsi="Arial" w:cs="Arial"/>
          <w:color w:val="000000" w:themeColor="text1"/>
        </w:rPr>
        <w:t>6</w:t>
      </w:r>
      <w:r w:rsidRPr="00D74025">
        <w:rPr>
          <w:rFonts w:ascii="Arial" w:hAnsi="Arial" w:cs="Arial"/>
          <w:color w:val="000000" w:themeColor="text1"/>
        </w:rPr>
        <w:t>).</w:t>
      </w:r>
    </w:p>
    <w:p w14:paraId="14F9EE68" w14:textId="77777777" w:rsidR="00E15A3A" w:rsidRPr="00D74025" w:rsidRDefault="00E15A3A" w:rsidP="0095789C">
      <w:pPr>
        <w:spacing w:line="360" w:lineRule="auto"/>
        <w:jc w:val="both"/>
        <w:rPr>
          <w:rFonts w:ascii="Arial" w:hAnsi="Arial" w:cs="Arial"/>
          <w:color w:val="000000" w:themeColor="text1"/>
        </w:rPr>
      </w:pPr>
    </w:p>
    <w:p w14:paraId="0D160998" w14:textId="49C490F5" w:rsidR="003537BB" w:rsidRPr="00D74025" w:rsidRDefault="008D565A" w:rsidP="0095789C">
      <w:pPr>
        <w:spacing w:line="360" w:lineRule="auto"/>
        <w:jc w:val="both"/>
        <w:rPr>
          <w:rFonts w:ascii="Arial" w:hAnsi="Arial" w:cs="Arial"/>
          <w:color w:val="000000" w:themeColor="text1"/>
        </w:rPr>
      </w:pPr>
      <w:r w:rsidRPr="00D74025">
        <w:rPr>
          <w:rFonts w:ascii="Arial" w:hAnsi="Arial" w:cs="Arial"/>
          <w:color w:val="000000" w:themeColor="text1"/>
        </w:rPr>
        <w:t xml:space="preserve"> </w:t>
      </w:r>
    </w:p>
    <w:p w14:paraId="29BFC9F1" w14:textId="5A1FD585" w:rsidR="0054470C" w:rsidRPr="00D74025" w:rsidRDefault="008A371C" w:rsidP="008A371C">
      <w:pPr>
        <w:pStyle w:val="Heading3"/>
        <w:rPr>
          <w:rFonts w:ascii="Arial" w:hAnsi="Arial" w:cs="Arial"/>
          <w:b/>
          <w:bCs/>
          <w:color w:val="000000" w:themeColor="text1"/>
        </w:rPr>
      </w:pPr>
      <w:bookmarkStart w:id="69" w:name="_Toc121217249"/>
      <w:r w:rsidRPr="00D74025">
        <w:rPr>
          <w:rFonts w:ascii="Arial" w:hAnsi="Arial" w:cs="Arial"/>
          <w:b/>
          <w:bCs/>
          <w:color w:val="000000" w:themeColor="text1"/>
        </w:rPr>
        <w:t>2.</w:t>
      </w:r>
      <w:r w:rsidR="002863FD">
        <w:rPr>
          <w:rFonts w:ascii="Arial" w:hAnsi="Arial" w:cs="Arial"/>
          <w:b/>
          <w:bCs/>
          <w:color w:val="000000" w:themeColor="text1"/>
        </w:rPr>
        <w:t>2</w:t>
      </w:r>
      <w:r w:rsidRPr="00D74025">
        <w:rPr>
          <w:rFonts w:ascii="Arial" w:hAnsi="Arial" w:cs="Arial"/>
          <w:b/>
          <w:bCs/>
          <w:color w:val="000000" w:themeColor="text1"/>
        </w:rPr>
        <w:t xml:space="preserve">.3 </w:t>
      </w:r>
      <w:r w:rsidR="0054470C" w:rsidRPr="00D74025">
        <w:rPr>
          <w:rFonts w:ascii="Arial" w:hAnsi="Arial" w:cs="Arial"/>
          <w:b/>
          <w:bCs/>
          <w:color w:val="000000" w:themeColor="text1"/>
        </w:rPr>
        <w:t xml:space="preserve">SWCNT-ANXA5 </w:t>
      </w:r>
      <w:r w:rsidR="00A877D4" w:rsidRPr="00D74025">
        <w:rPr>
          <w:rFonts w:ascii="Arial" w:hAnsi="Arial" w:cs="Arial"/>
          <w:b/>
          <w:bCs/>
          <w:color w:val="000000" w:themeColor="text1"/>
        </w:rPr>
        <w:t>c</w:t>
      </w:r>
      <w:r w:rsidR="003B1BFC" w:rsidRPr="00D74025">
        <w:rPr>
          <w:rFonts w:ascii="Arial" w:hAnsi="Arial" w:cs="Arial"/>
          <w:b/>
          <w:bCs/>
          <w:color w:val="000000" w:themeColor="text1"/>
        </w:rPr>
        <w:t>haracterization</w:t>
      </w:r>
      <w:bookmarkEnd w:id="69"/>
    </w:p>
    <w:p w14:paraId="4EDCF41C" w14:textId="77777777" w:rsidR="001D026A" w:rsidRPr="00D74025" w:rsidRDefault="001D026A" w:rsidP="00FD4C26">
      <w:pPr>
        <w:rPr>
          <w:color w:val="000000" w:themeColor="text1"/>
        </w:rPr>
      </w:pPr>
    </w:p>
    <w:p w14:paraId="28AF6239" w14:textId="0689B87F" w:rsidR="007C2815" w:rsidRDefault="007C2815" w:rsidP="007C2815">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Both SWCNT and ANXA5 concentrations were assessed at the end of the conjugation. SWCNT concentration in the conjugate was measured with endpoint absorption at 800 nm and compared to the standard curve previously obtained. ANXA5 concentration was obtained by standard Bradford Assay. Protein to carbon nanotube mass ratio was determined, and the conjugation was considered successful when the ratio was greater than </w:t>
      </w:r>
      <w:r w:rsidR="00797162">
        <w:rPr>
          <w:rFonts w:ascii="Arial" w:hAnsi="Arial" w:cs="Arial"/>
          <w:color w:val="000000" w:themeColor="text1"/>
        </w:rPr>
        <w:t>5</w:t>
      </w:r>
      <w:r w:rsidRPr="00D74025">
        <w:rPr>
          <w:rFonts w:ascii="Arial" w:hAnsi="Arial" w:cs="Arial"/>
          <w:color w:val="000000" w:themeColor="text1"/>
        </w:rPr>
        <w:t xml:space="preserve">, as shown in the </w:t>
      </w:r>
      <w:r w:rsidRPr="00E36D85">
        <w:rPr>
          <w:rFonts w:ascii="Arial" w:hAnsi="Arial" w:cs="Arial"/>
          <w:b/>
          <w:bCs/>
          <w:color w:val="000000" w:themeColor="text1"/>
        </w:rPr>
        <w:t>equation</w:t>
      </w:r>
      <w:r w:rsidR="00E36D85" w:rsidRPr="00E36D85">
        <w:rPr>
          <w:rFonts w:ascii="Arial" w:hAnsi="Arial" w:cs="Arial"/>
          <w:b/>
          <w:bCs/>
          <w:color w:val="000000" w:themeColor="text1"/>
        </w:rPr>
        <w:t xml:space="preserve"> 1</w:t>
      </w:r>
      <w:r w:rsidRPr="00D74025">
        <w:rPr>
          <w:rFonts w:ascii="Arial" w:hAnsi="Arial" w:cs="Arial"/>
          <w:color w:val="000000" w:themeColor="text1"/>
        </w:rPr>
        <w:t>:</w:t>
      </w:r>
    </w:p>
    <w:p w14:paraId="3D099111" w14:textId="330F206E" w:rsidR="007C4483" w:rsidRDefault="007C4483" w:rsidP="007C2815">
      <w:pPr>
        <w:spacing w:line="360" w:lineRule="auto"/>
        <w:ind w:firstLine="1440"/>
        <w:jc w:val="both"/>
        <w:rPr>
          <w:rFonts w:ascii="Arial" w:hAnsi="Arial" w:cs="Arial"/>
          <w:color w:val="000000" w:themeColor="text1"/>
        </w:rPr>
      </w:pPr>
    </w:p>
    <w:p w14:paraId="46FBCEF9" w14:textId="6C779662" w:rsidR="007C4483" w:rsidRDefault="007C4483" w:rsidP="007C2815">
      <w:pPr>
        <w:spacing w:line="360" w:lineRule="auto"/>
        <w:ind w:firstLine="1440"/>
        <w:jc w:val="both"/>
        <w:rPr>
          <w:rFonts w:ascii="Arial" w:hAnsi="Arial" w:cs="Arial"/>
          <w:color w:val="000000" w:themeColor="text1"/>
        </w:rPr>
      </w:pPr>
    </w:p>
    <w:p w14:paraId="42D11AEC" w14:textId="77777777" w:rsidR="00797162" w:rsidRDefault="00797162" w:rsidP="007C2815">
      <w:pPr>
        <w:spacing w:line="360" w:lineRule="auto"/>
        <w:ind w:firstLine="1440"/>
        <w:jc w:val="both"/>
        <w:rPr>
          <w:rFonts w:ascii="Arial" w:hAnsi="Arial" w:cs="Arial"/>
          <w:color w:val="000000" w:themeColor="text1"/>
        </w:rPr>
      </w:pPr>
    </w:p>
    <w:p w14:paraId="564D322C" w14:textId="2CB3546B" w:rsidR="007C4483" w:rsidRPr="00E36D85" w:rsidRDefault="007C4483" w:rsidP="007C4483">
      <w:pPr>
        <w:pStyle w:val="Caption"/>
        <w:rPr>
          <w:rFonts w:ascii="Arial" w:hAnsi="Arial" w:cs="Arial"/>
          <w:i w:val="0"/>
          <w:iCs w:val="0"/>
          <w:color w:val="000000" w:themeColor="text1"/>
          <w:sz w:val="24"/>
          <w:szCs w:val="24"/>
        </w:rPr>
      </w:pPr>
      <w:bookmarkStart w:id="70" w:name="_Toc118978572"/>
      <w:r w:rsidRPr="00E36D85">
        <w:rPr>
          <w:rFonts w:ascii="Arial" w:hAnsi="Arial" w:cs="Arial"/>
          <w:i w:val="0"/>
          <w:iCs w:val="0"/>
          <w:color w:val="000000" w:themeColor="text1"/>
          <w:sz w:val="24"/>
          <w:szCs w:val="24"/>
        </w:rPr>
        <w:lastRenderedPageBreak/>
        <w:t xml:space="preserve">Equation </w:t>
      </w:r>
      <w:r w:rsidRPr="00E36D85">
        <w:rPr>
          <w:rFonts w:ascii="Arial" w:hAnsi="Arial" w:cs="Arial"/>
          <w:i w:val="0"/>
          <w:iCs w:val="0"/>
          <w:color w:val="000000" w:themeColor="text1"/>
          <w:sz w:val="24"/>
          <w:szCs w:val="24"/>
        </w:rPr>
        <w:fldChar w:fldCharType="begin"/>
      </w:r>
      <w:r w:rsidRPr="00E36D85">
        <w:rPr>
          <w:rFonts w:ascii="Arial" w:hAnsi="Arial" w:cs="Arial"/>
          <w:i w:val="0"/>
          <w:iCs w:val="0"/>
          <w:color w:val="000000" w:themeColor="text1"/>
          <w:sz w:val="24"/>
          <w:szCs w:val="24"/>
        </w:rPr>
        <w:instrText xml:space="preserve"> SEQ Equation \* ARABIC </w:instrText>
      </w:r>
      <w:r w:rsidRPr="00E36D85">
        <w:rPr>
          <w:rFonts w:ascii="Arial" w:hAnsi="Arial" w:cs="Arial"/>
          <w:i w:val="0"/>
          <w:iCs w:val="0"/>
          <w:color w:val="000000" w:themeColor="text1"/>
          <w:sz w:val="24"/>
          <w:szCs w:val="24"/>
        </w:rPr>
        <w:fldChar w:fldCharType="separate"/>
      </w:r>
      <w:r w:rsidR="002C4B25">
        <w:rPr>
          <w:rFonts w:ascii="Arial" w:hAnsi="Arial" w:cs="Arial"/>
          <w:i w:val="0"/>
          <w:iCs w:val="0"/>
          <w:noProof/>
          <w:color w:val="000000" w:themeColor="text1"/>
          <w:sz w:val="24"/>
          <w:szCs w:val="24"/>
        </w:rPr>
        <w:t>1</w:t>
      </w:r>
      <w:r w:rsidRPr="00E36D85">
        <w:rPr>
          <w:rFonts w:ascii="Arial" w:hAnsi="Arial" w:cs="Arial"/>
          <w:i w:val="0"/>
          <w:iCs w:val="0"/>
          <w:color w:val="000000" w:themeColor="text1"/>
          <w:sz w:val="24"/>
          <w:szCs w:val="24"/>
        </w:rPr>
        <w:fldChar w:fldCharType="end"/>
      </w:r>
      <w:r w:rsidR="00E36D85" w:rsidRPr="00E36D85">
        <w:rPr>
          <w:rFonts w:ascii="Arial" w:hAnsi="Arial" w:cs="Arial"/>
          <w:i w:val="0"/>
          <w:iCs w:val="0"/>
          <w:color w:val="000000" w:themeColor="text1"/>
          <w:sz w:val="24"/>
          <w:szCs w:val="24"/>
        </w:rPr>
        <w:t>: Assessment of SWCNT-ANXA5 conjugation</w:t>
      </w:r>
      <w:bookmarkEnd w:id="70"/>
    </w:p>
    <w:p w14:paraId="7DC8B76B" w14:textId="77777777" w:rsidR="007C4483" w:rsidRPr="00D74025" w:rsidRDefault="007C4483" w:rsidP="007C2815">
      <w:pPr>
        <w:spacing w:line="360" w:lineRule="auto"/>
        <w:ind w:firstLine="1440"/>
        <w:jc w:val="both"/>
        <w:rPr>
          <w:rFonts w:ascii="Arial" w:hAnsi="Arial" w:cs="Arial"/>
          <w:color w:val="000000" w:themeColor="text1"/>
        </w:rPr>
      </w:pPr>
    </w:p>
    <w:p w14:paraId="18116B40" w14:textId="77777777" w:rsidR="00AB2ACD" w:rsidRPr="00D74025" w:rsidRDefault="00DE0DE2" w:rsidP="00AB2ACD">
      <w:pPr>
        <w:spacing w:line="360" w:lineRule="auto"/>
        <w:jc w:val="both"/>
        <w:rPr>
          <w:rFonts w:ascii="Arial" w:hAnsi="Arial" w:cs="Arial"/>
          <w:color w:val="000000" w:themeColor="text1"/>
        </w:rPr>
      </w:pPr>
      <m:oMathPara>
        <m:oMath>
          <m:f>
            <m:fPr>
              <m:ctrlPr>
                <w:rPr>
                  <w:rFonts w:ascii="Cambria Math" w:hAnsi="Cambria Math" w:cs="Arial"/>
                  <w:i/>
                  <w:color w:val="000000" w:themeColor="text1"/>
                </w:rPr>
              </m:ctrlPr>
            </m:fPr>
            <m:num>
              <m:r>
                <w:rPr>
                  <w:rFonts w:ascii="Cambria Math" w:hAnsi="Cambria Math" w:cs="Arial"/>
                  <w:color w:val="000000" w:themeColor="text1"/>
                </w:rPr>
                <m:t>ANXA</m:t>
              </m:r>
              <m:r>
                <w:rPr>
                  <w:rFonts w:ascii="Cambria Math" w:hAnsi="Cambria Math" w:cs="Arial"/>
                  <w:color w:val="000000" w:themeColor="text1"/>
                </w:rPr>
                <m:t xml:space="preserve">5 </m:t>
              </m:r>
            </m:num>
            <m:den>
              <m:r>
                <w:rPr>
                  <w:rFonts w:ascii="Cambria Math" w:hAnsi="Cambria Math" w:cs="Arial"/>
                  <w:color w:val="000000" w:themeColor="text1"/>
                </w:rPr>
                <m:t>SWCNT</m:t>
              </m:r>
            </m:den>
          </m:f>
          <m:r>
            <w:rPr>
              <w:rFonts w:ascii="Cambria Math" w:hAnsi="Cambria Math" w:cs="Arial"/>
              <w:color w:val="000000" w:themeColor="text1"/>
            </w:rPr>
            <m:t xml:space="preserve">= </m:t>
          </m:r>
          <m:f>
            <m:fPr>
              <m:ctrlPr>
                <w:rPr>
                  <w:rFonts w:ascii="Cambria Math" w:hAnsi="Cambria Math" w:cs="Arial"/>
                  <w:i/>
                  <w:color w:val="000000" w:themeColor="text1"/>
                </w:rPr>
              </m:ctrlPr>
            </m:fPr>
            <m:num>
              <m:r>
                <w:rPr>
                  <w:rFonts w:ascii="Cambria Math" w:hAnsi="Cambria Math" w:cs="Arial"/>
                  <w:color w:val="000000" w:themeColor="text1"/>
                </w:rPr>
                <m:t>Concentration</m:t>
              </m:r>
              <m:r>
                <w:rPr>
                  <w:rFonts w:ascii="Cambria Math" w:hAnsi="Cambria Math" w:cs="Arial"/>
                  <w:color w:val="000000" w:themeColor="text1"/>
                </w:rPr>
                <m:t xml:space="preserve"> </m:t>
              </m:r>
              <m:r>
                <w:rPr>
                  <w:rFonts w:ascii="Cambria Math" w:hAnsi="Cambria Math" w:cs="Arial"/>
                  <w:color w:val="000000" w:themeColor="text1"/>
                </w:rPr>
                <m:t>of</m:t>
              </m:r>
              <m:r>
                <w:rPr>
                  <w:rFonts w:ascii="Cambria Math" w:hAnsi="Cambria Math" w:cs="Arial"/>
                  <w:color w:val="000000" w:themeColor="text1"/>
                </w:rPr>
                <m:t xml:space="preserve"> </m:t>
              </m:r>
              <m:r>
                <w:rPr>
                  <w:rFonts w:ascii="Cambria Math" w:hAnsi="Cambria Math" w:cs="Arial"/>
                  <w:color w:val="000000" w:themeColor="text1"/>
                </w:rPr>
                <m:t>ANXA</m:t>
              </m:r>
              <m:r>
                <w:rPr>
                  <w:rFonts w:ascii="Cambria Math" w:hAnsi="Cambria Math" w:cs="Arial"/>
                  <w:color w:val="000000" w:themeColor="text1"/>
                </w:rPr>
                <m:t xml:space="preserve">5 </m:t>
              </m:r>
              <m:d>
                <m:dPr>
                  <m:begChr m:val="["/>
                  <m:endChr m:val="]"/>
                  <m:ctrlPr>
                    <w:rPr>
                      <w:rFonts w:ascii="Cambria Math" w:hAnsi="Cambria Math" w:cs="Arial"/>
                      <w:i/>
                      <w:color w:val="000000" w:themeColor="text1"/>
                    </w:rPr>
                  </m:ctrlPr>
                </m:dPr>
                <m:e>
                  <m:f>
                    <m:fPr>
                      <m:ctrlPr>
                        <w:rPr>
                          <w:rFonts w:ascii="Cambria Math" w:hAnsi="Cambria Math" w:cs="Arial"/>
                          <w:i/>
                          <w:color w:val="000000" w:themeColor="text1"/>
                        </w:rPr>
                      </m:ctrlPr>
                    </m:fPr>
                    <m:num>
                      <m:r>
                        <w:rPr>
                          <w:rFonts w:ascii="Cambria Math" w:hAnsi="Cambria Math" w:cs="Arial"/>
                          <w:color w:val="000000" w:themeColor="text1"/>
                        </w:rPr>
                        <m:t>mg</m:t>
                      </m:r>
                    </m:num>
                    <m:den>
                      <m:r>
                        <w:rPr>
                          <w:rFonts w:ascii="Cambria Math" w:hAnsi="Cambria Math" w:cs="Arial"/>
                          <w:color w:val="000000" w:themeColor="text1"/>
                        </w:rPr>
                        <m:t>ml</m:t>
                      </m:r>
                    </m:den>
                  </m:f>
                </m:e>
              </m:d>
            </m:num>
            <m:den>
              <m:r>
                <w:rPr>
                  <w:rFonts w:ascii="Cambria Math" w:hAnsi="Cambria Math" w:cs="Arial"/>
                  <w:color w:val="000000" w:themeColor="text1"/>
                </w:rPr>
                <m:t>Concentration</m:t>
              </m:r>
              <m:r>
                <w:rPr>
                  <w:rFonts w:ascii="Cambria Math" w:hAnsi="Cambria Math" w:cs="Arial"/>
                  <w:color w:val="000000" w:themeColor="text1"/>
                </w:rPr>
                <m:t xml:space="preserve"> </m:t>
              </m:r>
              <m:r>
                <w:rPr>
                  <w:rFonts w:ascii="Cambria Math" w:hAnsi="Cambria Math" w:cs="Arial"/>
                  <w:color w:val="000000" w:themeColor="text1"/>
                </w:rPr>
                <m:t>of</m:t>
              </m:r>
              <m:r>
                <w:rPr>
                  <w:rFonts w:ascii="Cambria Math" w:hAnsi="Cambria Math" w:cs="Arial"/>
                  <w:color w:val="000000" w:themeColor="text1"/>
                </w:rPr>
                <m:t xml:space="preserve"> </m:t>
              </m:r>
              <m:r>
                <w:rPr>
                  <w:rFonts w:ascii="Cambria Math" w:hAnsi="Cambria Math" w:cs="Arial"/>
                  <w:color w:val="000000" w:themeColor="text1"/>
                </w:rPr>
                <m:t>SWCNT</m:t>
              </m:r>
              <m:r>
                <w:rPr>
                  <w:rFonts w:ascii="Cambria Math" w:hAnsi="Cambria Math" w:cs="Arial"/>
                  <w:color w:val="000000" w:themeColor="text1"/>
                </w:rPr>
                <m:t xml:space="preserve"> </m:t>
              </m:r>
              <m:d>
                <m:dPr>
                  <m:begChr m:val="["/>
                  <m:endChr m:val="]"/>
                  <m:ctrlPr>
                    <w:rPr>
                      <w:rFonts w:ascii="Cambria Math" w:hAnsi="Cambria Math" w:cs="Arial"/>
                      <w:i/>
                      <w:color w:val="000000" w:themeColor="text1"/>
                    </w:rPr>
                  </m:ctrlPr>
                </m:dPr>
                <m:e>
                  <m:f>
                    <m:fPr>
                      <m:ctrlPr>
                        <w:rPr>
                          <w:rFonts w:ascii="Cambria Math" w:hAnsi="Cambria Math" w:cs="Arial"/>
                          <w:i/>
                          <w:color w:val="000000" w:themeColor="text1"/>
                        </w:rPr>
                      </m:ctrlPr>
                    </m:fPr>
                    <m:num>
                      <m:r>
                        <w:rPr>
                          <w:rFonts w:ascii="Cambria Math" w:hAnsi="Cambria Math" w:cs="Arial"/>
                          <w:color w:val="000000" w:themeColor="text1"/>
                        </w:rPr>
                        <m:t>mg</m:t>
                      </m:r>
                    </m:num>
                    <m:den>
                      <m:r>
                        <w:rPr>
                          <w:rFonts w:ascii="Cambria Math" w:hAnsi="Cambria Math" w:cs="Arial"/>
                          <w:color w:val="000000" w:themeColor="text1"/>
                        </w:rPr>
                        <m:t>ml</m:t>
                      </m:r>
                    </m:den>
                  </m:f>
                </m:e>
              </m:d>
            </m:den>
          </m:f>
          <m:r>
            <w:rPr>
              <w:rFonts w:ascii="Cambria Math" w:hAnsi="Cambria Math" w:cs="Arial"/>
              <w:color w:val="000000" w:themeColor="text1"/>
            </w:rPr>
            <m:t>&gt;5</m:t>
          </m:r>
        </m:oMath>
      </m:oMathPara>
    </w:p>
    <w:p w14:paraId="355B9516" w14:textId="6F4C28F9" w:rsidR="009121E8" w:rsidRPr="00D74025" w:rsidRDefault="009121E8" w:rsidP="0063608D">
      <w:pPr>
        <w:spacing w:line="360" w:lineRule="auto"/>
        <w:jc w:val="both"/>
        <w:rPr>
          <w:rFonts w:ascii="Arial" w:hAnsi="Arial" w:cs="Arial"/>
          <w:color w:val="000000" w:themeColor="text1"/>
        </w:rPr>
      </w:pPr>
    </w:p>
    <w:p w14:paraId="0486DA5F" w14:textId="44741F11" w:rsidR="00DE513D" w:rsidRPr="00D74025" w:rsidRDefault="00DE513D" w:rsidP="0063608D">
      <w:pPr>
        <w:spacing w:line="360" w:lineRule="auto"/>
        <w:jc w:val="both"/>
        <w:rPr>
          <w:rFonts w:ascii="Arial" w:hAnsi="Arial" w:cs="Arial"/>
          <w:color w:val="000000" w:themeColor="text1"/>
        </w:rPr>
      </w:pPr>
    </w:p>
    <w:p w14:paraId="35D89DA0" w14:textId="77777777" w:rsidR="00DE513D" w:rsidRPr="00D74025" w:rsidRDefault="00DE513D" w:rsidP="0063608D">
      <w:pPr>
        <w:spacing w:line="360" w:lineRule="auto"/>
        <w:jc w:val="both"/>
        <w:rPr>
          <w:rFonts w:ascii="Arial" w:hAnsi="Arial" w:cs="Arial"/>
          <w:color w:val="000000" w:themeColor="text1"/>
        </w:rPr>
      </w:pPr>
    </w:p>
    <w:p w14:paraId="7E215CB5" w14:textId="00FEFFD0" w:rsidR="009121E8" w:rsidRPr="00D74025" w:rsidRDefault="008A371C" w:rsidP="008A371C">
      <w:pPr>
        <w:pStyle w:val="Heading3"/>
        <w:rPr>
          <w:rFonts w:ascii="Arial" w:hAnsi="Arial" w:cs="Arial"/>
          <w:b/>
          <w:bCs/>
          <w:color w:val="000000" w:themeColor="text1"/>
        </w:rPr>
      </w:pPr>
      <w:bookmarkStart w:id="71" w:name="_Toc121217250"/>
      <w:r w:rsidRPr="00D74025">
        <w:rPr>
          <w:rFonts w:ascii="Arial" w:hAnsi="Arial" w:cs="Arial"/>
          <w:b/>
          <w:bCs/>
          <w:color w:val="000000" w:themeColor="text1"/>
        </w:rPr>
        <w:t>2.</w:t>
      </w:r>
      <w:r w:rsidR="002863FD">
        <w:rPr>
          <w:rFonts w:ascii="Arial" w:hAnsi="Arial" w:cs="Arial"/>
          <w:b/>
          <w:bCs/>
          <w:color w:val="000000" w:themeColor="text1"/>
        </w:rPr>
        <w:t>2</w:t>
      </w:r>
      <w:r w:rsidRPr="00D74025">
        <w:rPr>
          <w:rFonts w:ascii="Arial" w:hAnsi="Arial" w:cs="Arial"/>
          <w:b/>
          <w:bCs/>
          <w:color w:val="000000" w:themeColor="text1"/>
        </w:rPr>
        <w:t xml:space="preserve">.4 </w:t>
      </w:r>
      <w:r w:rsidR="006E195A" w:rsidRPr="00D74025">
        <w:rPr>
          <w:rFonts w:ascii="Arial" w:hAnsi="Arial" w:cs="Arial"/>
          <w:b/>
          <w:bCs/>
          <w:color w:val="000000" w:themeColor="text1"/>
        </w:rPr>
        <w:t>SWCNT-ANXA5 sterilization</w:t>
      </w:r>
      <w:bookmarkEnd w:id="71"/>
    </w:p>
    <w:p w14:paraId="3913058B" w14:textId="29C86B08" w:rsidR="006E195A" w:rsidRPr="00D74025" w:rsidRDefault="006E195A" w:rsidP="0063608D">
      <w:pPr>
        <w:spacing w:line="360" w:lineRule="auto"/>
        <w:jc w:val="both"/>
        <w:rPr>
          <w:rFonts w:ascii="Arial" w:hAnsi="Arial" w:cs="Arial"/>
          <w:color w:val="000000" w:themeColor="text1"/>
        </w:rPr>
      </w:pPr>
    </w:p>
    <w:p w14:paraId="5A084A3C" w14:textId="216DCE72" w:rsidR="00232D16" w:rsidRPr="00D74025" w:rsidRDefault="00232D16" w:rsidP="00232D16">
      <w:pPr>
        <w:autoSpaceDE w:val="0"/>
        <w:autoSpaceDN w:val="0"/>
        <w:adjustRightInd w:val="0"/>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SWCNT-ANXA5 sterilization is necessary for </w:t>
      </w:r>
      <w:r w:rsidRPr="00D74025">
        <w:rPr>
          <w:rFonts w:ascii="Arial" w:hAnsi="Arial" w:cs="Arial"/>
          <w:i/>
          <w:iCs/>
          <w:color w:val="000000" w:themeColor="text1"/>
        </w:rPr>
        <w:t>in vitro</w:t>
      </w:r>
      <w:r w:rsidRPr="00D74025">
        <w:rPr>
          <w:rFonts w:ascii="Arial" w:hAnsi="Arial" w:cs="Arial"/>
          <w:color w:val="000000" w:themeColor="text1"/>
        </w:rPr>
        <w:t xml:space="preserve"> assays and </w:t>
      </w:r>
      <w:r w:rsidRPr="00D74025">
        <w:rPr>
          <w:rFonts w:ascii="Arial" w:hAnsi="Arial" w:cs="Arial"/>
          <w:i/>
          <w:iCs/>
          <w:color w:val="000000" w:themeColor="text1"/>
        </w:rPr>
        <w:t>in vivo</w:t>
      </w:r>
      <w:r w:rsidRPr="00D74025">
        <w:rPr>
          <w:rFonts w:ascii="Arial" w:hAnsi="Arial" w:cs="Arial"/>
          <w:color w:val="000000" w:themeColor="text1"/>
        </w:rPr>
        <w:t xml:space="preserve"> studies. For that, no more than </w:t>
      </w:r>
      <w:r w:rsidR="00CA0355" w:rsidRPr="00D74025">
        <w:rPr>
          <w:rFonts w:ascii="Arial" w:hAnsi="Arial" w:cs="Arial"/>
          <w:color w:val="000000" w:themeColor="text1"/>
        </w:rPr>
        <w:t>1 ml</w:t>
      </w:r>
      <w:r w:rsidRPr="00D74025">
        <w:rPr>
          <w:rFonts w:ascii="Arial" w:hAnsi="Arial" w:cs="Arial"/>
          <w:color w:val="000000" w:themeColor="text1"/>
        </w:rPr>
        <w:t xml:space="preserve"> of the suspension was placed in a 30</w:t>
      </w:r>
      <w:r w:rsidR="00CA0355" w:rsidRPr="00D74025">
        <w:rPr>
          <w:rFonts w:ascii="Arial" w:hAnsi="Arial" w:cs="Arial"/>
          <w:color w:val="000000" w:themeColor="text1"/>
        </w:rPr>
        <w:t>-</w:t>
      </w:r>
      <w:r w:rsidRPr="00D74025">
        <w:rPr>
          <w:rFonts w:ascii="Arial" w:hAnsi="Arial" w:cs="Arial"/>
          <w:color w:val="000000" w:themeColor="text1"/>
        </w:rPr>
        <w:t>mm</w:t>
      </w:r>
      <w:r w:rsidR="00CA0355" w:rsidRPr="00D74025">
        <w:rPr>
          <w:rFonts w:ascii="Arial" w:hAnsi="Arial" w:cs="Arial"/>
          <w:color w:val="000000" w:themeColor="text1"/>
        </w:rPr>
        <w:t xml:space="preserve"> </w:t>
      </w:r>
      <w:r w:rsidRPr="00D74025">
        <w:rPr>
          <w:rFonts w:ascii="Arial" w:hAnsi="Arial" w:cs="Arial"/>
          <w:color w:val="000000" w:themeColor="text1"/>
        </w:rPr>
        <w:t xml:space="preserve">Petri dish, allowing the suspension to form a thin layer uniformly distributed on the surface. The suspension was then subjected to a direct UV (UV-C, shortwave UV at 254 nm) irradiation for 30 min in a laminar flow hood equipped with a Philips UV-C lamp (30 W). Before irradiation, the lamp bulb was cleaned by swabbing with 70% ethanol in a paper towel. After UV irradiation, samples were then stored in an aseptic vial. Further sterility evaluation was demonstrated by the absence of microorganisms in the samples. That assay was done by plating tap water, non-sterile, and sterile SWCNT-ANXA5 suspensions in an agar plate enriched with Luria-Bertani (LB) medium. </w:t>
      </w:r>
    </w:p>
    <w:p w14:paraId="511A9F23" w14:textId="0557D770" w:rsidR="00CD53A5" w:rsidRPr="00D74025" w:rsidRDefault="00CD53A5" w:rsidP="00CD53A5">
      <w:pPr>
        <w:autoSpaceDE w:val="0"/>
        <w:autoSpaceDN w:val="0"/>
        <w:adjustRightInd w:val="0"/>
        <w:spacing w:line="480" w:lineRule="auto"/>
        <w:jc w:val="both"/>
        <w:rPr>
          <w:rFonts w:ascii="Arial" w:hAnsi="Arial" w:cs="Arial"/>
          <w:color w:val="000000" w:themeColor="text1"/>
        </w:rPr>
      </w:pPr>
    </w:p>
    <w:p w14:paraId="73087913" w14:textId="476698C1" w:rsidR="006F621C" w:rsidRPr="00D74025" w:rsidRDefault="008C5C4E" w:rsidP="00785724">
      <w:pPr>
        <w:pStyle w:val="Heading2"/>
        <w:ind w:firstLine="0"/>
        <w:rPr>
          <w:rFonts w:ascii="Arial" w:hAnsi="Arial" w:cs="Arial"/>
          <w:b/>
          <w:bCs/>
          <w:color w:val="000000" w:themeColor="text1"/>
          <w:sz w:val="28"/>
          <w:szCs w:val="28"/>
          <w:u w:val="single"/>
        </w:rPr>
      </w:pPr>
      <w:bookmarkStart w:id="72" w:name="_Toc121217251"/>
      <w:r w:rsidRPr="00D74025">
        <w:rPr>
          <w:rFonts w:ascii="Arial" w:hAnsi="Arial" w:cs="Arial"/>
          <w:b/>
          <w:bCs/>
          <w:color w:val="000000" w:themeColor="text1"/>
          <w:sz w:val="28"/>
          <w:szCs w:val="28"/>
          <w:u w:val="single"/>
        </w:rPr>
        <w:t>2.</w:t>
      </w:r>
      <w:r w:rsidR="002863FD">
        <w:rPr>
          <w:rFonts w:ascii="Arial" w:hAnsi="Arial" w:cs="Arial"/>
          <w:b/>
          <w:bCs/>
          <w:color w:val="000000" w:themeColor="text1"/>
          <w:sz w:val="28"/>
          <w:szCs w:val="28"/>
          <w:u w:val="single"/>
        </w:rPr>
        <w:t>3</w:t>
      </w:r>
      <w:r w:rsidRPr="00D74025">
        <w:rPr>
          <w:rFonts w:ascii="Arial" w:hAnsi="Arial" w:cs="Arial"/>
          <w:b/>
          <w:bCs/>
          <w:color w:val="000000" w:themeColor="text1"/>
          <w:sz w:val="28"/>
          <w:szCs w:val="28"/>
          <w:u w:val="single"/>
        </w:rPr>
        <w:t xml:space="preserve"> </w:t>
      </w:r>
      <w:r w:rsidR="002E1086" w:rsidRPr="00D74025">
        <w:rPr>
          <w:rFonts w:ascii="Arial" w:hAnsi="Arial" w:cs="Arial"/>
          <w:b/>
          <w:bCs/>
          <w:color w:val="000000" w:themeColor="text1"/>
          <w:sz w:val="28"/>
          <w:szCs w:val="28"/>
          <w:u w:val="single"/>
        </w:rPr>
        <w:t>Cell culture</w:t>
      </w:r>
      <w:bookmarkStart w:id="73" w:name="_Toc113362825"/>
      <w:bookmarkStart w:id="74" w:name="_Toc115429664"/>
      <w:bookmarkEnd w:id="72"/>
    </w:p>
    <w:bookmarkEnd w:id="73"/>
    <w:bookmarkEnd w:id="74"/>
    <w:p w14:paraId="76BA973C" w14:textId="1165450C" w:rsidR="00F3350A" w:rsidRPr="00D74025" w:rsidRDefault="00F3350A" w:rsidP="00F3350A">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EMT6 murine breast carcinoma cells were cultivated with </w:t>
      </w:r>
      <w:proofErr w:type="spellStart"/>
      <w:r w:rsidRPr="00D74025">
        <w:rPr>
          <w:rFonts w:ascii="Arial" w:hAnsi="Arial" w:cs="Arial"/>
          <w:color w:val="000000" w:themeColor="text1"/>
        </w:rPr>
        <w:t>Waymouth's</w:t>
      </w:r>
      <w:proofErr w:type="spellEnd"/>
      <w:r w:rsidRPr="00D74025">
        <w:rPr>
          <w:rFonts w:ascii="Arial" w:hAnsi="Arial" w:cs="Arial"/>
          <w:color w:val="000000" w:themeColor="text1"/>
        </w:rPr>
        <w:t xml:space="preserve"> MB 752/1 medium supplemented with 2 mM glutamine, 15% FBS, and </w:t>
      </w:r>
      <w:r w:rsidR="00797162">
        <w:rPr>
          <w:rFonts w:ascii="Arial" w:hAnsi="Arial" w:cs="Arial"/>
          <w:color w:val="000000" w:themeColor="text1"/>
        </w:rPr>
        <w:t>1%</w:t>
      </w:r>
      <w:r w:rsidRPr="00D74025">
        <w:rPr>
          <w:rFonts w:ascii="Arial" w:hAnsi="Arial" w:cs="Arial"/>
          <w:color w:val="000000" w:themeColor="text1"/>
        </w:rPr>
        <w:t xml:space="preserve"> of antibiotic-antimitotic (10,000 IU </w:t>
      </w:r>
      <w:r w:rsidR="00583F41">
        <w:rPr>
          <w:rFonts w:ascii="Arial" w:hAnsi="Arial" w:cs="Arial"/>
          <w:color w:val="000000" w:themeColor="text1"/>
        </w:rPr>
        <w:t>p</w:t>
      </w:r>
      <w:r w:rsidRPr="00D74025">
        <w:rPr>
          <w:rFonts w:ascii="Arial" w:hAnsi="Arial" w:cs="Arial"/>
          <w:color w:val="000000" w:themeColor="text1"/>
        </w:rPr>
        <w:t xml:space="preserve">enicillin, 10,000 </w:t>
      </w:r>
      <w:r w:rsidRPr="00D74025">
        <w:rPr>
          <w:rFonts w:ascii="Arial" w:hAnsi="Arial" w:cs="Arial"/>
          <w:color w:val="000000" w:themeColor="text1"/>
        </w:rPr>
        <w:sym w:font="Symbol" w:char="F06D"/>
      </w:r>
      <w:r w:rsidRPr="00D74025">
        <w:rPr>
          <w:rFonts w:ascii="Arial" w:hAnsi="Arial" w:cs="Arial"/>
          <w:color w:val="000000" w:themeColor="text1"/>
        </w:rPr>
        <w:t xml:space="preserve">g/ml </w:t>
      </w:r>
      <w:r w:rsidR="00583F41">
        <w:rPr>
          <w:rFonts w:ascii="Arial" w:hAnsi="Arial" w:cs="Arial"/>
          <w:color w:val="000000" w:themeColor="text1"/>
        </w:rPr>
        <w:t>s</w:t>
      </w:r>
      <w:r w:rsidRPr="00D74025">
        <w:rPr>
          <w:rFonts w:ascii="Arial" w:hAnsi="Arial" w:cs="Arial"/>
          <w:color w:val="000000" w:themeColor="text1"/>
        </w:rPr>
        <w:t xml:space="preserve">treptomycin, and 25 </w:t>
      </w:r>
      <w:r w:rsidRPr="00D74025">
        <w:rPr>
          <w:rFonts w:ascii="Arial" w:hAnsi="Arial" w:cs="Arial"/>
          <w:color w:val="000000" w:themeColor="text1"/>
        </w:rPr>
        <w:sym w:font="Symbol" w:char="F06D"/>
      </w:r>
      <w:r w:rsidRPr="00D74025">
        <w:rPr>
          <w:rFonts w:ascii="Arial" w:hAnsi="Arial" w:cs="Arial"/>
          <w:color w:val="000000" w:themeColor="text1"/>
        </w:rPr>
        <w:t xml:space="preserve">g/ml </w:t>
      </w:r>
      <w:r w:rsidR="00583F41">
        <w:rPr>
          <w:rFonts w:ascii="Arial" w:hAnsi="Arial" w:cs="Arial"/>
          <w:color w:val="000000" w:themeColor="text1"/>
        </w:rPr>
        <w:t>a</w:t>
      </w:r>
      <w:r w:rsidRPr="00D74025">
        <w:rPr>
          <w:rFonts w:ascii="Arial" w:hAnsi="Arial" w:cs="Arial"/>
          <w:color w:val="000000" w:themeColor="text1"/>
        </w:rPr>
        <w:t xml:space="preserve">mphotericin B). 4T1 murine breast cancer cells were cultivated with Roswell Park Memorial Institute 1640 medium (RPMI-1640) supplemented with 10% FBS and 1% antibiotic-antimitotic. </w:t>
      </w:r>
      <w:r w:rsidRPr="00D74025">
        <w:rPr>
          <w:rFonts w:ascii="Arial" w:hAnsi="Arial" w:cs="Arial"/>
          <w:color w:val="000000" w:themeColor="text1"/>
        </w:rPr>
        <w:lastRenderedPageBreak/>
        <w:t xml:space="preserve">Human umbilical vein endothelial cells (HUVEC) were cultured in vascular cell basal medium supplemented with endothelial cell growth kit BBE (0.2% bovine brain extract, 5 ng/ml EGF, 10 mM L-glutamine, 0.75 Units/ml heparin sulfate, 1 </w:t>
      </w:r>
      <w:r w:rsidRPr="00D74025">
        <w:rPr>
          <w:rFonts w:ascii="Arial" w:hAnsi="Arial" w:cs="Arial"/>
          <w:color w:val="000000" w:themeColor="text1"/>
        </w:rPr>
        <w:sym w:font="Symbol" w:char="F06D"/>
      </w:r>
      <w:r w:rsidRPr="00D74025">
        <w:rPr>
          <w:rFonts w:ascii="Arial" w:hAnsi="Arial" w:cs="Arial"/>
          <w:color w:val="000000" w:themeColor="text1"/>
        </w:rPr>
        <w:t xml:space="preserve">g/ml hydrocortisone, 50 </w:t>
      </w:r>
      <w:r w:rsidRPr="00D74025">
        <w:rPr>
          <w:rFonts w:ascii="Arial" w:hAnsi="Arial" w:cs="Arial"/>
          <w:color w:val="000000" w:themeColor="text1"/>
        </w:rPr>
        <w:sym w:font="Symbol" w:char="F06D"/>
      </w:r>
      <w:r w:rsidRPr="00D74025">
        <w:rPr>
          <w:rFonts w:ascii="Arial" w:hAnsi="Arial" w:cs="Arial"/>
          <w:color w:val="000000" w:themeColor="text1"/>
        </w:rPr>
        <w:t xml:space="preserve">g/ml ascorbic acid, </w:t>
      </w:r>
      <w:r w:rsidR="00583F41">
        <w:rPr>
          <w:rFonts w:ascii="Arial" w:hAnsi="Arial" w:cs="Arial"/>
          <w:color w:val="000000" w:themeColor="text1"/>
        </w:rPr>
        <w:t xml:space="preserve">and </w:t>
      </w:r>
      <w:r w:rsidRPr="00D74025">
        <w:rPr>
          <w:rFonts w:ascii="Arial" w:hAnsi="Arial" w:cs="Arial"/>
          <w:color w:val="000000" w:themeColor="text1"/>
        </w:rPr>
        <w:t xml:space="preserve">2% FBS) and 1% antibiotic-antimycotic. Human abdominal aorta endothelial (HAAE-1) cells were cultured in Hams F-12 medium supplemented with 30 </w:t>
      </w:r>
      <w:r w:rsidRPr="00D74025">
        <w:rPr>
          <w:rFonts w:ascii="Arial" w:hAnsi="Arial" w:cs="Arial"/>
          <w:color w:val="000000" w:themeColor="text1"/>
        </w:rPr>
        <w:sym w:font="Symbol" w:char="F06D"/>
      </w:r>
      <w:r w:rsidRPr="00D74025">
        <w:rPr>
          <w:rFonts w:ascii="Arial" w:hAnsi="Arial" w:cs="Arial"/>
          <w:color w:val="000000" w:themeColor="text1"/>
        </w:rPr>
        <w:t>g/ml endothelial cell growth supplement (15 mg/500 ml media), 17.5 U/ml Heparin (8750 U/500mL or 17.5 mg heparin/500 ml), 10% FBS, and 1</w:t>
      </w:r>
      <w:r w:rsidR="00E6076F" w:rsidRPr="00D74025">
        <w:rPr>
          <w:rFonts w:ascii="Arial" w:hAnsi="Arial" w:cs="Arial"/>
          <w:color w:val="000000" w:themeColor="text1"/>
        </w:rPr>
        <w:t>%</w:t>
      </w:r>
      <w:r w:rsidRPr="00D74025">
        <w:rPr>
          <w:rFonts w:ascii="Arial" w:hAnsi="Arial" w:cs="Arial"/>
          <w:color w:val="000000" w:themeColor="text1"/>
        </w:rPr>
        <w:t xml:space="preserve"> antibiotic-antimycotic. Additionally, before culturing HAAE-1 cells, plates and wells were incubated with 0.1% porcine gelatin for 30 min in the incubator at 37</w:t>
      </w:r>
      <w:r w:rsidRPr="00D74025">
        <w:rPr>
          <w:rFonts w:ascii="Arial" w:hAnsi="Arial" w:cs="Arial"/>
          <w:color w:val="000000" w:themeColor="text1"/>
        </w:rPr>
        <w:sym w:font="Symbol" w:char="F0B0"/>
      </w:r>
      <w:r w:rsidRPr="00D74025">
        <w:rPr>
          <w:rFonts w:ascii="Arial" w:hAnsi="Arial" w:cs="Arial"/>
          <w:color w:val="000000" w:themeColor="text1"/>
        </w:rPr>
        <w:t>C to promote cell attachment. Gelatin was aspirated before cell seeding.</w:t>
      </w:r>
    </w:p>
    <w:p w14:paraId="6F48D493" w14:textId="4D1D69F5" w:rsidR="00F3350A" w:rsidRPr="00D74025" w:rsidRDefault="00F3350A" w:rsidP="00F3350A">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 </w:t>
      </w:r>
      <w:r w:rsidRPr="00D74025">
        <w:rPr>
          <w:rFonts w:ascii="Arial" w:hAnsi="Arial" w:cs="Arial"/>
          <w:color w:val="000000" w:themeColor="text1"/>
        </w:rPr>
        <w:tab/>
        <w:t>All adherent cells were passaged using 0.25 % (w/v) trypsin in 0.53 mM EDTA before reaching 85% confluency. All cell lines were cultured under a 5% CO</w:t>
      </w:r>
      <w:r w:rsidRPr="00D74025">
        <w:rPr>
          <w:rFonts w:ascii="Arial" w:hAnsi="Arial" w:cs="Arial"/>
          <w:color w:val="000000" w:themeColor="text1"/>
          <w:vertAlign w:val="subscript"/>
        </w:rPr>
        <w:t>2</w:t>
      </w:r>
      <w:r w:rsidRPr="00D74025">
        <w:rPr>
          <w:rFonts w:ascii="Arial" w:hAnsi="Arial" w:cs="Arial"/>
          <w:color w:val="000000" w:themeColor="text1"/>
        </w:rPr>
        <w:t>-supplemented atmosphere at 37°C. The medium was refreshed every 48 h. During assays, adherent cancer cell cultures were grown to less than 75% confluence, and healthy cell lines cells were grown to confluency for inhibition of PS expression upon confluency.</w:t>
      </w:r>
    </w:p>
    <w:p w14:paraId="501C8CD1" w14:textId="367AD99C" w:rsidR="00156789" w:rsidRPr="00D74025" w:rsidRDefault="00156789" w:rsidP="00156789">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Mammalian cell culture was performed in a strictly sterile environment in </w:t>
      </w:r>
      <w:r w:rsidRPr="00D74025">
        <w:rPr>
          <w:rFonts w:ascii="Calibri" w:hAnsi="Calibri" w:cs="Calibri"/>
          <w:color w:val="000000" w:themeColor="text1"/>
        </w:rPr>
        <w:t>﻿</w:t>
      </w:r>
      <w:r w:rsidRPr="00D74025">
        <w:rPr>
          <w:rFonts w:ascii="Arial" w:hAnsi="Arial" w:cs="Arial"/>
          <w:color w:val="000000" w:themeColor="text1"/>
        </w:rPr>
        <w:t xml:space="preserve">Biological Safety Cabinet Class II equipped with high-efficiency particulate air (HEPA) filters. Materials and utensils were either sterilized either by the supplier or by autoclave. The sterility of mammalian cell culture was maintained by following aseptic technique protocols, which are </w:t>
      </w:r>
      <w:r w:rsidRPr="00DB2C8B">
        <w:rPr>
          <w:rFonts w:ascii="Arial" w:hAnsi="Arial" w:cs="Arial"/>
          <w:color w:val="000000" w:themeColor="text1"/>
        </w:rPr>
        <w:t xml:space="preserve">available in </w:t>
      </w:r>
      <w:r w:rsidR="00B718FC" w:rsidRPr="00DB2C8B">
        <w:rPr>
          <w:rFonts w:ascii="Arial" w:hAnsi="Arial" w:cs="Arial"/>
          <w:color w:val="000000" w:themeColor="text1"/>
        </w:rPr>
        <w:t>A</w:t>
      </w:r>
      <w:r w:rsidRPr="00DB2C8B">
        <w:rPr>
          <w:rFonts w:ascii="Arial" w:hAnsi="Arial" w:cs="Arial"/>
          <w:color w:val="000000" w:themeColor="text1"/>
        </w:rPr>
        <w:t>ppendix</w:t>
      </w:r>
      <w:r w:rsidRPr="00B718FC">
        <w:rPr>
          <w:rFonts w:ascii="Arial" w:hAnsi="Arial" w:cs="Arial"/>
          <w:color w:val="000000" w:themeColor="text1"/>
        </w:rPr>
        <w:t xml:space="preserve"> C</w:t>
      </w:r>
      <w:r w:rsidRPr="00D74025">
        <w:rPr>
          <w:rFonts w:ascii="Arial" w:hAnsi="Arial" w:cs="Arial"/>
          <w:color w:val="000000" w:themeColor="text1"/>
        </w:rPr>
        <w:t>.</w:t>
      </w:r>
    </w:p>
    <w:p w14:paraId="58100E4D" w14:textId="77777777" w:rsidR="00F3350A" w:rsidRPr="00D74025" w:rsidRDefault="00F3350A" w:rsidP="00F3350A">
      <w:pPr>
        <w:rPr>
          <w:color w:val="000000" w:themeColor="text1"/>
        </w:rPr>
      </w:pPr>
    </w:p>
    <w:p w14:paraId="5EAEF817" w14:textId="77777777" w:rsidR="006F621C" w:rsidRPr="00D74025" w:rsidRDefault="006F621C" w:rsidP="00CD53A5">
      <w:pPr>
        <w:autoSpaceDE w:val="0"/>
        <w:autoSpaceDN w:val="0"/>
        <w:adjustRightInd w:val="0"/>
        <w:spacing w:line="480" w:lineRule="auto"/>
        <w:jc w:val="both"/>
        <w:rPr>
          <w:rFonts w:ascii="Arial" w:hAnsi="Arial" w:cs="Arial"/>
          <w:color w:val="000000" w:themeColor="text1"/>
        </w:rPr>
      </w:pPr>
    </w:p>
    <w:p w14:paraId="08BEDAF7" w14:textId="77777777" w:rsidR="006E195A" w:rsidRPr="00D74025" w:rsidRDefault="006E195A" w:rsidP="0063608D">
      <w:pPr>
        <w:spacing w:line="360" w:lineRule="auto"/>
        <w:jc w:val="both"/>
        <w:rPr>
          <w:rFonts w:ascii="Arial" w:hAnsi="Arial" w:cs="Arial"/>
          <w:color w:val="000000" w:themeColor="text1"/>
        </w:rPr>
      </w:pPr>
    </w:p>
    <w:p w14:paraId="3F0F0761" w14:textId="6504CCEB" w:rsidR="009121E8" w:rsidRPr="00D74025" w:rsidRDefault="005A13A1" w:rsidP="00785724">
      <w:pPr>
        <w:pStyle w:val="Heading2"/>
        <w:ind w:firstLine="0"/>
        <w:rPr>
          <w:rFonts w:ascii="Arial" w:hAnsi="Arial" w:cs="Arial"/>
          <w:b/>
          <w:bCs/>
          <w:color w:val="000000" w:themeColor="text1"/>
          <w:sz w:val="28"/>
          <w:szCs w:val="28"/>
          <w:u w:val="single"/>
        </w:rPr>
      </w:pPr>
      <w:bookmarkStart w:id="75" w:name="_Toc121217252"/>
      <w:r w:rsidRPr="00D74025">
        <w:rPr>
          <w:rFonts w:ascii="Arial" w:hAnsi="Arial" w:cs="Arial"/>
          <w:b/>
          <w:bCs/>
          <w:color w:val="000000" w:themeColor="text1"/>
          <w:sz w:val="28"/>
          <w:szCs w:val="28"/>
          <w:u w:val="single"/>
        </w:rPr>
        <w:t>2.</w:t>
      </w:r>
      <w:r w:rsidR="002863FD">
        <w:rPr>
          <w:rFonts w:ascii="Arial" w:hAnsi="Arial" w:cs="Arial"/>
          <w:b/>
          <w:bCs/>
          <w:color w:val="000000" w:themeColor="text1"/>
          <w:sz w:val="28"/>
          <w:szCs w:val="28"/>
          <w:u w:val="single"/>
        </w:rPr>
        <w:t>4</w:t>
      </w:r>
      <w:r w:rsidRPr="00D74025">
        <w:rPr>
          <w:rFonts w:ascii="Arial" w:hAnsi="Arial" w:cs="Arial"/>
          <w:b/>
          <w:bCs/>
          <w:color w:val="000000" w:themeColor="text1"/>
          <w:sz w:val="28"/>
          <w:szCs w:val="28"/>
          <w:u w:val="single"/>
        </w:rPr>
        <w:t xml:space="preserve"> </w:t>
      </w:r>
      <w:r w:rsidRPr="00D74025">
        <w:rPr>
          <w:rFonts w:ascii="Arial" w:hAnsi="Arial" w:cs="Arial"/>
          <w:b/>
          <w:bCs/>
          <w:i/>
          <w:iCs/>
          <w:color w:val="000000" w:themeColor="text1"/>
          <w:sz w:val="28"/>
          <w:szCs w:val="28"/>
          <w:u w:val="single"/>
        </w:rPr>
        <w:t>In vitro</w:t>
      </w:r>
      <w:r w:rsidRPr="00D74025">
        <w:rPr>
          <w:rFonts w:ascii="Arial" w:hAnsi="Arial" w:cs="Arial"/>
          <w:b/>
          <w:bCs/>
          <w:color w:val="000000" w:themeColor="text1"/>
          <w:sz w:val="28"/>
          <w:szCs w:val="28"/>
          <w:u w:val="single"/>
        </w:rPr>
        <w:t xml:space="preserve"> studies</w:t>
      </w:r>
      <w:r w:rsidR="00D16FD6" w:rsidRPr="00D74025">
        <w:rPr>
          <w:rFonts w:ascii="Arial" w:hAnsi="Arial" w:cs="Arial"/>
          <w:b/>
          <w:bCs/>
          <w:color w:val="000000" w:themeColor="text1"/>
          <w:sz w:val="28"/>
          <w:szCs w:val="28"/>
          <w:u w:val="single"/>
        </w:rPr>
        <w:t xml:space="preserve"> </w:t>
      </w:r>
      <w:r w:rsidR="00047E9A" w:rsidRPr="00D74025">
        <w:rPr>
          <w:rFonts w:ascii="Arial" w:hAnsi="Arial" w:cs="Arial"/>
          <w:b/>
          <w:bCs/>
          <w:color w:val="000000" w:themeColor="text1"/>
          <w:sz w:val="28"/>
          <w:szCs w:val="28"/>
          <w:u w:val="single"/>
        </w:rPr>
        <w:t>with</w:t>
      </w:r>
      <w:r w:rsidR="00D16FD6" w:rsidRPr="00D74025">
        <w:rPr>
          <w:rFonts w:ascii="Arial" w:hAnsi="Arial" w:cs="Arial"/>
          <w:b/>
          <w:bCs/>
          <w:color w:val="000000" w:themeColor="text1"/>
          <w:sz w:val="28"/>
          <w:szCs w:val="28"/>
          <w:u w:val="single"/>
        </w:rPr>
        <w:t xml:space="preserve"> SWCNT-ANXA5</w:t>
      </w:r>
      <w:r w:rsidR="00047E9A" w:rsidRPr="00D74025">
        <w:rPr>
          <w:rFonts w:ascii="Arial" w:hAnsi="Arial" w:cs="Arial"/>
          <w:b/>
          <w:bCs/>
          <w:color w:val="000000" w:themeColor="text1"/>
          <w:sz w:val="28"/>
          <w:szCs w:val="28"/>
          <w:u w:val="single"/>
        </w:rPr>
        <w:t>-</w:t>
      </w:r>
      <w:r w:rsidR="00493D5F" w:rsidRPr="00D74025">
        <w:rPr>
          <w:rFonts w:ascii="Arial" w:hAnsi="Arial" w:cs="Arial"/>
          <w:b/>
          <w:bCs/>
          <w:color w:val="000000" w:themeColor="text1"/>
          <w:sz w:val="28"/>
          <w:szCs w:val="28"/>
          <w:u w:val="single"/>
        </w:rPr>
        <w:t>mediated PTT</w:t>
      </w:r>
      <w:bookmarkEnd w:id="75"/>
    </w:p>
    <w:p w14:paraId="4F4BCC78" w14:textId="77777777" w:rsidR="00552C42" w:rsidRPr="00D74025" w:rsidRDefault="00552C42" w:rsidP="00552C42">
      <w:pPr>
        <w:pStyle w:val="Tpico5"/>
        <w:ind w:firstLine="1440"/>
        <w:rPr>
          <w:rFonts w:ascii="Arial" w:hAnsi="Arial" w:cs="Arial"/>
          <w:color w:val="000000" w:themeColor="text1"/>
          <w:u w:val="none"/>
        </w:rPr>
      </w:pPr>
    </w:p>
    <w:p w14:paraId="74AB0F6B" w14:textId="09E5D410" w:rsidR="00954DB5" w:rsidRPr="00D74025" w:rsidRDefault="00954DB5" w:rsidP="00954DB5">
      <w:pPr>
        <w:spacing w:line="360" w:lineRule="auto"/>
        <w:ind w:firstLine="1440"/>
        <w:jc w:val="both"/>
        <w:rPr>
          <w:rFonts w:ascii="Arial" w:hAnsi="Arial" w:cs="Arial"/>
          <w:color w:val="000000" w:themeColor="text1"/>
        </w:rPr>
      </w:pPr>
      <w:r w:rsidRPr="00D74025">
        <w:rPr>
          <w:rFonts w:ascii="Arial" w:hAnsi="Arial" w:cs="Arial"/>
          <w:color w:val="000000" w:themeColor="text1"/>
        </w:rPr>
        <w:t>The cells that were previously grown in T-75 flasks were seeded at 2</w:t>
      </w:r>
      <w:r w:rsidRPr="00D74025">
        <w:rPr>
          <w:rFonts w:ascii="Arial" w:hAnsi="Arial" w:cs="Arial"/>
          <w:color w:val="000000" w:themeColor="text1"/>
        </w:rPr>
        <w:sym w:font="Symbol" w:char="F0B4"/>
      </w:r>
      <w:r w:rsidRPr="00D74025">
        <w:rPr>
          <w:rFonts w:ascii="Arial" w:hAnsi="Arial" w:cs="Arial"/>
          <w:color w:val="000000" w:themeColor="text1"/>
        </w:rPr>
        <w:t>10</w:t>
      </w:r>
      <w:r w:rsidRPr="00D74025">
        <w:rPr>
          <w:rFonts w:ascii="Arial" w:hAnsi="Arial" w:cs="Arial"/>
          <w:color w:val="000000" w:themeColor="text1"/>
          <w:vertAlign w:val="superscript"/>
        </w:rPr>
        <w:t>5</w:t>
      </w:r>
      <w:r w:rsidRPr="00D74025">
        <w:rPr>
          <w:rFonts w:ascii="Arial" w:hAnsi="Arial" w:cs="Arial"/>
          <w:color w:val="000000" w:themeColor="text1"/>
        </w:rPr>
        <w:t xml:space="preserve"> into sterile surface-treated 24-well plates. </w:t>
      </w:r>
      <w:r w:rsidR="00C23872">
        <w:rPr>
          <w:rFonts w:ascii="Arial" w:hAnsi="Arial" w:cs="Arial"/>
          <w:color w:val="000000" w:themeColor="text1"/>
        </w:rPr>
        <w:t>At 24 h</w:t>
      </w:r>
      <w:r w:rsidRPr="00D74025">
        <w:rPr>
          <w:rFonts w:ascii="Arial" w:hAnsi="Arial" w:cs="Arial"/>
          <w:color w:val="000000" w:themeColor="text1"/>
        </w:rPr>
        <w:t xml:space="preserve"> after seeding, cell media was aspirated, and fresh media enriched with 6 mg/L SWCNT-ANXA5 suspension and 2 mM of Ca</w:t>
      </w:r>
      <w:r w:rsidRPr="00D74025">
        <w:rPr>
          <w:rFonts w:ascii="Arial" w:hAnsi="Arial" w:cs="Arial"/>
          <w:color w:val="000000" w:themeColor="text1"/>
          <w:vertAlign w:val="superscript"/>
        </w:rPr>
        <w:t>2+</w:t>
      </w:r>
      <w:r w:rsidRPr="00D74025">
        <w:rPr>
          <w:rFonts w:ascii="Arial" w:hAnsi="Arial" w:cs="Arial"/>
          <w:color w:val="000000" w:themeColor="text1"/>
        </w:rPr>
        <w:t xml:space="preserve"> </w:t>
      </w:r>
      <w:r w:rsidRPr="00D74025">
        <w:rPr>
          <w:rFonts w:ascii="Arial" w:hAnsi="Arial" w:cs="Arial"/>
          <w:color w:val="000000" w:themeColor="text1"/>
        </w:rPr>
        <w:lastRenderedPageBreak/>
        <w:t>(CaCl</w:t>
      </w:r>
      <w:r w:rsidRPr="00D74025">
        <w:rPr>
          <w:rFonts w:ascii="Arial" w:hAnsi="Arial" w:cs="Arial"/>
          <w:color w:val="000000" w:themeColor="text1"/>
          <w:vertAlign w:val="subscript"/>
        </w:rPr>
        <w:t>2</w:t>
      </w:r>
      <w:r w:rsidRPr="00D74025">
        <w:rPr>
          <w:rFonts w:ascii="Arial" w:hAnsi="Arial" w:cs="Arial"/>
          <w:color w:val="000000" w:themeColor="text1"/>
        </w:rPr>
        <w:t xml:space="preserve">) was added to the wells. Incubation was performed for 2 h at 37 ºC. The wells were washed three times with sterile phosphate buffer saline (PBS) to remove unbound SWCNT-ANXA5. Each group was evaluated </w:t>
      </w:r>
      <w:r w:rsidR="000E7ACD">
        <w:rPr>
          <w:rFonts w:ascii="Arial" w:hAnsi="Arial" w:cs="Arial"/>
          <w:color w:val="000000" w:themeColor="text1"/>
        </w:rPr>
        <w:t xml:space="preserve">at least </w:t>
      </w:r>
      <w:r w:rsidRPr="00D74025">
        <w:rPr>
          <w:rFonts w:ascii="Arial" w:hAnsi="Arial" w:cs="Arial"/>
          <w:color w:val="000000" w:themeColor="text1"/>
        </w:rPr>
        <w:t xml:space="preserve">in triplicate. Different controls were studied to guarantee the specificity of the assay. </w:t>
      </w:r>
    </w:p>
    <w:p w14:paraId="719F1AC8" w14:textId="77777777" w:rsidR="002061D9" w:rsidRPr="00D74025" w:rsidRDefault="002061D9" w:rsidP="002061D9">
      <w:pPr>
        <w:spacing w:line="360" w:lineRule="auto"/>
        <w:ind w:firstLine="1440"/>
        <w:jc w:val="both"/>
        <w:rPr>
          <w:rFonts w:ascii="Arial" w:hAnsi="Arial" w:cs="Arial"/>
          <w:color w:val="000000" w:themeColor="text1"/>
        </w:rPr>
      </w:pPr>
      <w:r w:rsidRPr="00D74025">
        <w:rPr>
          <w:rFonts w:ascii="Arial" w:hAnsi="Arial" w:cs="Arial"/>
          <w:color w:val="000000" w:themeColor="text1"/>
        </w:rPr>
        <w:t>Each well subjected to the laser treatment was irradiated for different time periods at an energy density of 1 J/cm</w:t>
      </w:r>
      <w:r w:rsidRPr="00D74025">
        <w:rPr>
          <w:rFonts w:ascii="Arial" w:hAnsi="Arial" w:cs="Arial"/>
          <w:color w:val="000000" w:themeColor="text1"/>
          <w:vertAlign w:val="superscript"/>
        </w:rPr>
        <w:t>2</w:t>
      </w:r>
      <w:r w:rsidRPr="00D74025">
        <w:rPr>
          <w:rFonts w:ascii="Arial" w:hAnsi="Arial" w:cs="Arial"/>
          <w:color w:val="000000" w:themeColor="text1"/>
        </w:rPr>
        <w:t xml:space="preserve"> using a Diodevet-50 NIR laser at 980 nm (B&amp;W Tek Inc., Newark, DE). The irradiation was always performed by having the plate sitting on top of a platform and aiming the optical fiber at the bottom of the plate, positioned a few centimeters away from the bottom to obtain the desired size beam. Each well was carefully adjusted to be centered with the laser beam. The size of the beam was adjusted using a laser sensitive paper (Zap-it</w:t>
      </w:r>
      <w:r w:rsidRPr="00D74025">
        <w:rPr>
          <w:rFonts w:ascii="Arial" w:hAnsi="Arial" w:cs="Arial"/>
          <w:color w:val="000000" w:themeColor="text1"/>
          <w:vertAlign w:val="superscript"/>
        </w:rPr>
        <w:t>®</w:t>
      </w:r>
      <w:r w:rsidRPr="00D74025">
        <w:rPr>
          <w:rFonts w:ascii="Arial" w:hAnsi="Arial" w:cs="Arial"/>
          <w:color w:val="000000" w:themeColor="text1"/>
        </w:rPr>
        <w:t xml:space="preserve"> paper) which burns when exposed to a laser beam. The entire irradiation session was conducted by having the cells in a sterile environment by not removing the plate's lid. Depending on the experiment, the irradiation was performed at room temperature or inside an incubator at 37°C to mimic physiological temperatures.</w:t>
      </w:r>
    </w:p>
    <w:p w14:paraId="29473A07" w14:textId="3FE5AE8C" w:rsidR="00114043" w:rsidRPr="00D74025" w:rsidRDefault="00114043" w:rsidP="00114043">
      <w:pPr>
        <w:spacing w:line="360" w:lineRule="auto"/>
        <w:ind w:firstLine="1440"/>
        <w:jc w:val="both"/>
        <w:rPr>
          <w:rFonts w:ascii="Arial" w:hAnsi="Arial" w:cs="Arial"/>
          <w:color w:val="000000" w:themeColor="text1"/>
        </w:rPr>
      </w:pPr>
      <w:r w:rsidRPr="00D74025">
        <w:rPr>
          <w:rFonts w:ascii="Arial" w:hAnsi="Arial" w:cs="Arial"/>
          <w:color w:val="000000" w:themeColor="text1"/>
        </w:rPr>
        <w:t>The attenuation of power from the fiber was determined by a power meter (Ophir Optronics Ltd., Israel). After having the fiber accurately aligned with the well, the power attenuation inherent to the optical fiber and the plate was determined by using the power meter. The power meter probe was placed on top of a microtiter plate (without the lid on), and the power was determined to reach a power level of 1 W/m</w:t>
      </w:r>
      <w:r w:rsidRPr="00D74025">
        <w:rPr>
          <w:rFonts w:ascii="Arial" w:hAnsi="Arial" w:cs="Arial"/>
          <w:color w:val="000000" w:themeColor="text1"/>
          <w:vertAlign w:val="superscript"/>
        </w:rPr>
        <w:t>2</w:t>
      </w:r>
      <w:r w:rsidRPr="00D74025">
        <w:rPr>
          <w:rFonts w:ascii="Arial" w:hAnsi="Arial" w:cs="Arial"/>
          <w:color w:val="000000" w:themeColor="text1"/>
        </w:rPr>
        <w:t>. The entire irradiation session was done either at room temperature or inside an incubator that maintained the temperature constant at 37</w:t>
      </w:r>
      <w:r w:rsidRPr="00D74025">
        <w:rPr>
          <w:rFonts w:ascii="Arial" w:hAnsi="Arial" w:cs="Arial"/>
          <w:color w:val="000000" w:themeColor="text1"/>
        </w:rPr>
        <w:sym w:font="Symbol" w:char="F0B0"/>
      </w:r>
      <w:r w:rsidRPr="00D74025">
        <w:rPr>
          <w:rFonts w:ascii="Arial" w:hAnsi="Arial" w:cs="Arial"/>
          <w:color w:val="000000" w:themeColor="text1"/>
        </w:rPr>
        <w:t>C.</w:t>
      </w:r>
      <w:r w:rsidR="00DE70CA">
        <w:rPr>
          <w:rFonts w:ascii="Arial" w:hAnsi="Arial" w:cs="Arial"/>
          <w:color w:val="000000" w:themeColor="text1"/>
        </w:rPr>
        <w:t xml:space="preserve"> More details about this procedure </w:t>
      </w:r>
      <w:proofErr w:type="gramStart"/>
      <w:r w:rsidR="00DE70CA">
        <w:rPr>
          <w:rFonts w:ascii="Arial" w:hAnsi="Arial" w:cs="Arial"/>
          <w:color w:val="000000" w:themeColor="text1"/>
        </w:rPr>
        <w:t>is</w:t>
      </w:r>
      <w:proofErr w:type="gramEnd"/>
      <w:r w:rsidR="00DE70CA">
        <w:rPr>
          <w:rFonts w:ascii="Arial" w:hAnsi="Arial" w:cs="Arial"/>
          <w:color w:val="000000" w:themeColor="text1"/>
        </w:rPr>
        <w:t xml:space="preserve"> available in Appendix C8.</w:t>
      </w:r>
    </w:p>
    <w:p w14:paraId="136067FA" w14:textId="77182164" w:rsidR="00156F37" w:rsidRPr="00D74025" w:rsidRDefault="00156F37" w:rsidP="00156F37">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The cell viability was determined by using the </w:t>
      </w:r>
      <w:proofErr w:type="spellStart"/>
      <w:r w:rsidRPr="00D74025">
        <w:rPr>
          <w:rFonts w:ascii="Arial" w:hAnsi="Arial" w:cs="Arial"/>
          <w:color w:val="000000" w:themeColor="text1"/>
        </w:rPr>
        <w:t>Alamar</w:t>
      </w:r>
      <w:proofErr w:type="spellEnd"/>
      <w:r w:rsidRPr="00D74025">
        <w:rPr>
          <w:rFonts w:ascii="Arial" w:hAnsi="Arial" w:cs="Arial"/>
          <w:color w:val="000000" w:themeColor="text1"/>
        </w:rPr>
        <w:t xml:space="preserve"> Blue assay, which evaluates the metabolic activity of the cells. It consists of a non-toxic and non-fluorescent dye (resazurin), which is reduced to a fluorescent pink species (resorufin) inside a metabolically active cell. The </w:t>
      </w:r>
      <w:proofErr w:type="spellStart"/>
      <w:r w:rsidRPr="00D74025">
        <w:rPr>
          <w:rFonts w:ascii="Arial" w:hAnsi="Arial" w:cs="Arial"/>
          <w:color w:val="000000" w:themeColor="text1"/>
        </w:rPr>
        <w:t>Alamar</w:t>
      </w:r>
      <w:proofErr w:type="spellEnd"/>
      <w:r w:rsidRPr="00D74025">
        <w:rPr>
          <w:rFonts w:ascii="Arial" w:hAnsi="Arial" w:cs="Arial"/>
          <w:color w:val="000000" w:themeColor="text1"/>
        </w:rPr>
        <w:t xml:space="preserve"> Blue </w:t>
      </w:r>
      <w:r w:rsidR="00A65139">
        <w:rPr>
          <w:rFonts w:ascii="Arial" w:hAnsi="Arial" w:cs="Arial"/>
          <w:color w:val="000000" w:themeColor="text1"/>
        </w:rPr>
        <w:t>a</w:t>
      </w:r>
      <w:r w:rsidRPr="00D74025">
        <w:rPr>
          <w:rFonts w:ascii="Arial" w:hAnsi="Arial" w:cs="Arial"/>
          <w:color w:val="000000" w:themeColor="text1"/>
        </w:rPr>
        <w:t xml:space="preserve">ssay was performed under sterile conditions by aspirating old media and adding fresh media enriched with 10% </w:t>
      </w:r>
      <w:proofErr w:type="spellStart"/>
      <w:r w:rsidRPr="00D74025">
        <w:rPr>
          <w:rFonts w:ascii="Arial" w:hAnsi="Arial" w:cs="Arial"/>
          <w:color w:val="000000" w:themeColor="text1"/>
        </w:rPr>
        <w:t>Alamar</w:t>
      </w:r>
      <w:proofErr w:type="spellEnd"/>
      <w:r w:rsidRPr="00D74025">
        <w:rPr>
          <w:rFonts w:ascii="Arial" w:hAnsi="Arial" w:cs="Arial"/>
          <w:color w:val="000000" w:themeColor="text1"/>
        </w:rPr>
        <w:t xml:space="preserve"> Blue reagent. The cells were incubated for </w:t>
      </w:r>
      <w:r w:rsidR="00A65139">
        <w:rPr>
          <w:rFonts w:ascii="Arial" w:hAnsi="Arial" w:cs="Arial"/>
          <w:color w:val="000000" w:themeColor="text1"/>
        </w:rPr>
        <w:t>2-4</w:t>
      </w:r>
      <w:r w:rsidRPr="00D74025">
        <w:rPr>
          <w:rFonts w:ascii="Arial" w:hAnsi="Arial" w:cs="Arial"/>
          <w:color w:val="000000" w:themeColor="text1"/>
        </w:rPr>
        <w:t xml:space="preserve"> h at 37 ºC until the control wells were bright-pink fluorescent. The colorimetric changes are then evaluated by measuring </w:t>
      </w:r>
      <w:r w:rsidRPr="00D74025">
        <w:rPr>
          <w:rFonts w:ascii="Arial" w:hAnsi="Arial" w:cs="Arial"/>
          <w:color w:val="000000" w:themeColor="text1"/>
          <w:lang w:val="en"/>
        </w:rPr>
        <w:t>with 530 nm excitation and 590 nm emission (50 sensitivity)</w:t>
      </w:r>
      <w:r w:rsidRPr="00D74025">
        <w:rPr>
          <w:rFonts w:ascii="Arial" w:hAnsi="Arial" w:cs="Arial"/>
          <w:color w:val="000000" w:themeColor="text1"/>
        </w:rPr>
        <w:t xml:space="preserve">. The viability was determined by </w:t>
      </w:r>
      <w:r w:rsidRPr="00D74025">
        <w:rPr>
          <w:rFonts w:ascii="Arial" w:hAnsi="Arial" w:cs="Arial"/>
          <w:color w:val="000000" w:themeColor="text1"/>
        </w:rPr>
        <w:lastRenderedPageBreak/>
        <w:t xml:space="preserve">normalizing the results to the average absorbance of the untreated control wells, which is set to 100%, giving each well the relative viability. The average background fluorescence (no cell wells) was also subtracted from sample fluorescence. </w:t>
      </w:r>
      <w:r w:rsidRPr="00E36D85">
        <w:rPr>
          <w:rFonts w:ascii="Arial" w:hAnsi="Arial" w:cs="Arial"/>
          <w:color w:val="000000" w:themeColor="text1"/>
        </w:rPr>
        <w:t>Equation 2</w:t>
      </w:r>
      <w:r w:rsidRPr="00D74025">
        <w:rPr>
          <w:rFonts w:ascii="Arial" w:hAnsi="Arial" w:cs="Arial"/>
          <w:color w:val="000000" w:themeColor="text1"/>
        </w:rPr>
        <w:t xml:space="preserve"> shows the percentage viability of a sample. </w:t>
      </w:r>
    </w:p>
    <w:p w14:paraId="17895C23" w14:textId="52DC47B1" w:rsidR="00156F37" w:rsidRDefault="00156F37" w:rsidP="00E36D85">
      <w:pPr>
        <w:spacing w:line="360" w:lineRule="auto"/>
        <w:jc w:val="both"/>
        <w:rPr>
          <w:rFonts w:ascii="Arial" w:hAnsi="Arial" w:cs="Arial"/>
          <w:color w:val="000000" w:themeColor="text1"/>
        </w:rPr>
      </w:pPr>
    </w:p>
    <w:p w14:paraId="67B724B2" w14:textId="01FADEC3" w:rsidR="00E36D85" w:rsidRPr="00E36D85" w:rsidRDefault="00E36D85" w:rsidP="00E36D85">
      <w:pPr>
        <w:pStyle w:val="Caption"/>
        <w:rPr>
          <w:rFonts w:ascii="Arial" w:hAnsi="Arial" w:cs="Arial"/>
          <w:i w:val="0"/>
          <w:iCs w:val="0"/>
          <w:color w:val="000000" w:themeColor="text1"/>
          <w:sz w:val="24"/>
          <w:szCs w:val="24"/>
        </w:rPr>
      </w:pPr>
      <w:bookmarkStart w:id="76" w:name="_Toc118978573"/>
      <w:r w:rsidRPr="00E36D85">
        <w:rPr>
          <w:rFonts w:ascii="Arial" w:hAnsi="Arial" w:cs="Arial"/>
          <w:i w:val="0"/>
          <w:iCs w:val="0"/>
          <w:color w:val="000000" w:themeColor="text1"/>
          <w:sz w:val="24"/>
          <w:szCs w:val="24"/>
        </w:rPr>
        <w:t xml:space="preserve">Equation </w:t>
      </w:r>
      <w:r w:rsidRPr="00E36D85">
        <w:rPr>
          <w:rFonts w:ascii="Arial" w:hAnsi="Arial" w:cs="Arial"/>
          <w:i w:val="0"/>
          <w:iCs w:val="0"/>
          <w:color w:val="000000" w:themeColor="text1"/>
          <w:sz w:val="24"/>
          <w:szCs w:val="24"/>
        </w:rPr>
        <w:fldChar w:fldCharType="begin"/>
      </w:r>
      <w:r w:rsidRPr="00E36D85">
        <w:rPr>
          <w:rFonts w:ascii="Arial" w:hAnsi="Arial" w:cs="Arial"/>
          <w:i w:val="0"/>
          <w:iCs w:val="0"/>
          <w:color w:val="000000" w:themeColor="text1"/>
          <w:sz w:val="24"/>
          <w:szCs w:val="24"/>
        </w:rPr>
        <w:instrText xml:space="preserve"> SEQ Equation \* ARABIC </w:instrText>
      </w:r>
      <w:r w:rsidRPr="00E36D85">
        <w:rPr>
          <w:rFonts w:ascii="Arial" w:hAnsi="Arial" w:cs="Arial"/>
          <w:i w:val="0"/>
          <w:iCs w:val="0"/>
          <w:color w:val="000000" w:themeColor="text1"/>
          <w:sz w:val="24"/>
          <w:szCs w:val="24"/>
        </w:rPr>
        <w:fldChar w:fldCharType="separate"/>
      </w:r>
      <w:r w:rsidR="002C4B25">
        <w:rPr>
          <w:rFonts w:ascii="Arial" w:hAnsi="Arial" w:cs="Arial"/>
          <w:i w:val="0"/>
          <w:iCs w:val="0"/>
          <w:noProof/>
          <w:color w:val="000000" w:themeColor="text1"/>
          <w:sz w:val="24"/>
          <w:szCs w:val="24"/>
        </w:rPr>
        <w:t>2</w:t>
      </w:r>
      <w:r w:rsidRPr="00E36D85">
        <w:rPr>
          <w:rFonts w:ascii="Arial" w:hAnsi="Arial" w:cs="Arial"/>
          <w:i w:val="0"/>
          <w:iCs w:val="0"/>
          <w:color w:val="000000" w:themeColor="text1"/>
          <w:sz w:val="24"/>
          <w:szCs w:val="24"/>
        </w:rPr>
        <w:fldChar w:fldCharType="end"/>
      </w:r>
      <w:r w:rsidRPr="00E36D85">
        <w:rPr>
          <w:rFonts w:ascii="Arial" w:hAnsi="Arial" w:cs="Arial"/>
          <w:i w:val="0"/>
          <w:iCs w:val="0"/>
          <w:color w:val="000000" w:themeColor="text1"/>
          <w:sz w:val="24"/>
          <w:szCs w:val="24"/>
        </w:rPr>
        <w:t xml:space="preserve">: Cell viability quantification from absorbance units in </w:t>
      </w:r>
      <w:proofErr w:type="spellStart"/>
      <w:r w:rsidRPr="00E36D85">
        <w:rPr>
          <w:rFonts w:ascii="Arial" w:hAnsi="Arial" w:cs="Arial"/>
          <w:i w:val="0"/>
          <w:iCs w:val="0"/>
          <w:color w:val="000000" w:themeColor="text1"/>
          <w:sz w:val="24"/>
          <w:szCs w:val="24"/>
        </w:rPr>
        <w:t>Alamar</w:t>
      </w:r>
      <w:proofErr w:type="spellEnd"/>
      <w:r w:rsidRPr="00E36D85">
        <w:rPr>
          <w:rFonts w:ascii="Arial" w:hAnsi="Arial" w:cs="Arial"/>
          <w:i w:val="0"/>
          <w:iCs w:val="0"/>
          <w:color w:val="000000" w:themeColor="text1"/>
          <w:sz w:val="24"/>
          <w:szCs w:val="24"/>
        </w:rPr>
        <w:t xml:space="preserve"> Blue Assay</w:t>
      </w:r>
      <w:bookmarkEnd w:id="76"/>
    </w:p>
    <w:p w14:paraId="0D138A2A" w14:textId="77777777" w:rsidR="00E36D85" w:rsidRPr="00E36D85" w:rsidRDefault="00E36D85" w:rsidP="00E36D85"/>
    <w:p w14:paraId="5113A659" w14:textId="5A6F001B" w:rsidR="00FB1794" w:rsidRPr="00D74025" w:rsidRDefault="00FB1794" w:rsidP="00FB1794">
      <w:pPr>
        <w:spacing w:line="480" w:lineRule="auto"/>
        <w:ind w:left="720" w:right="720"/>
        <w:jc w:val="center"/>
        <w:rPr>
          <w:color w:val="000000" w:themeColor="text1"/>
        </w:rPr>
      </w:pPr>
      <w:r w:rsidRPr="00D74025">
        <w:rPr>
          <w:color w:val="000000" w:themeColor="text1"/>
        </w:rPr>
        <w:t xml:space="preserve">Viability% = </w:t>
      </w:r>
      <m:oMath>
        <m:f>
          <m:fPr>
            <m:ctrlPr>
              <w:rPr>
                <w:rFonts w:ascii="Cambria Math" w:hAnsi="Cambria Math"/>
                <w:color w:val="000000" w:themeColor="text1"/>
              </w:rPr>
            </m:ctrlPr>
          </m:fPr>
          <m:num>
            <m:r>
              <w:rPr>
                <w:rFonts w:ascii="Cambria Math" w:hAnsi="Cambria Math" w:cs="Cambria Math"/>
                <w:color w:val="000000" w:themeColor="text1"/>
              </w:rPr>
              <m:t>Treated Fluorenscence</m:t>
            </m:r>
            <m:r>
              <w:rPr>
                <w:rFonts w:ascii="Cambria Math" w:hAnsi="Cambria Math"/>
                <w:color w:val="000000" w:themeColor="text1"/>
              </w:rPr>
              <m:t xml:space="preserve">- No Cell </m:t>
            </m:r>
            <m:r>
              <w:rPr>
                <w:rFonts w:ascii="Cambria Math" w:hAnsi="Cambria Math" w:cs="Cambria Math"/>
                <w:color w:val="000000" w:themeColor="text1"/>
              </w:rPr>
              <m:t>Blank Fluorescence</m:t>
            </m:r>
          </m:num>
          <m:den>
            <m:r>
              <w:rPr>
                <w:rFonts w:ascii="Cambria Math" w:hAnsi="Cambria Math" w:cs="Cambria Math"/>
                <w:color w:val="000000" w:themeColor="text1"/>
              </w:rPr>
              <m:t>Untreated Control Fluorescence</m:t>
            </m:r>
            <m:r>
              <w:rPr>
                <w:rFonts w:ascii="Cambria Math" w:hAnsi="Cambria Math"/>
                <w:color w:val="000000" w:themeColor="text1"/>
              </w:rPr>
              <m:t xml:space="preserve"> - </m:t>
            </m:r>
            <m:r>
              <w:rPr>
                <w:rFonts w:ascii="Cambria Math" w:hAnsi="Cambria Math" w:cs="Cambria Math"/>
                <w:color w:val="000000" w:themeColor="text1"/>
              </w:rPr>
              <m:t>No Cell Blank Fluorescence</m:t>
            </m:r>
          </m:den>
        </m:f>
        <m:r>
          <w:rPr>
            <w:rFonts w:ascii="Cambria Math" w:hAnsi="Cambria Math"/>
            <w:color w:val="000000" w:themeColor="text1"/>
          </w:rPr>
          <m:t>×100%</m:t>
        </m:r>
      </m:oMath>
    </w:p>
    <w:p w14:paraId="66C44A80" w14:textId="77777777" w:rsidR="00E50DA4" w:rsidRPr="00D74025" w:rsidRDefault="00E50DA4" w:rsidP="00E50DA4">
      <w:pPr>
        <w:spacing w:line="360" w:lineRule="auto"/>
        <w:ind w:firstLine="1440"/>
        <w:jc w:val="both"/>
        <w:rPr>
          <w:rFonts w:ascii="Arial" w:hAnsi="Arial" w:cs="Arial"/>
          <w:color w:val="000000" w:themeColor="text1"/>
        </w:rPr>
      </w:pPr>
    </w:p>
    <w:p w14:paraId="3B3639DD" w14:textId="409A8DC0" w:rsidR="005A13A1" w:rsidRPr="00D74025" w:rsidRDefault="00097534" w:rsidP="00097534">
      <w:pPr>
        <w:spacing w:line="360" w:lineRule="auto"/>
        <w:ind w:firstLine="1440"/>
        <w:jc w:val="both"/>
        <w:rPr>
          <w:rFonts w:ascii="Arial" w:hAnsi="Arial" w:cs="Arial"/>
          <w:color w:val="000000" w:themeColor="text1"/>
        </w:rPr>
      </w:pPr>
      <w:r>
        <w:rPr>
          <w:rFonts w:ascii="Arial" w:hAnsi="Arial" w:cs="Arial"/>
          <w:color w:val="000000" w:themeColor="text1"/>
        </w:rPr>
        <w:t xml:space="preserve">Details about </w:t>
      </w:r>
      <w:proofErr w:type="spellStart"/>
      <w:r>
        <w:rPr>
          <w:rFonts w:ascii="Arial" w:hAnsi="Arial" w:cs="Arial"/>
          <w:color w:val="000000" w:themeColor="text1"/>
        </w:rPr>
        <w:t>Alamar</w:t>
      </w:r>
      <w:proofErr w:type="spellEnd"/>
      <w:r>
        <w:rPr>
          <w:rFonts w:ascii="Arial" w:hAnsi="Arial" w:cs="Arial"/>
          <w:color w:val="000000" w:themeColor="text1"/>
        </w:rPr>
        <w:t xml:space="preserve"> Blue Assay are available in Appendix C7.</w:t>
      </w:r>
    </w:p>
    <w:p w14:paraId="57AFF3A7" w14:textId="77777777" w:rsidR="005A13A1" w:rsidRPr="00D74025" w:rsidRDefault="005A13A1" w:rsidP="0063608D">
      <w:pPr>
        <w:spacing w:line="360" w:lineRule="auto"/>
        <w:jc w:val="both"/>
        <w:rPr>
          <w:rFonts w:ascii="Arial" w:hAnsi="Arial" w:cs="Arial"/>
          <w:color w:val="000000" w:themeColor="text1"/>
        </w:rPr>
      </w:pPr>
    </w:p>
    <w:p w14:paraId="6396BF8C" w14:textId="31B87104" w:rsidR="005A13A1" w:rsidRPr="00D74025" w:rsidRDefault="005A13A1" w:rsidP="00785724">
      <w:pPr>
        <w:pStyle w:val="Heading2"/>
        <w:ind w:firstLine="0"/>
        <w:rPr>
          <w:rFonts w:ascii="Arial" w:hAnsi="Arial" w:cs="Arial"/>
          <w:b/>
          <w:bCs/>
          <w:color w:val="000000" w:themeColor="text1"/>
          <w:sz w:val="28"/>
          <w:szCs w:val="28"/>
          <w:u w:val="single"/>
        </w:rPr>
      </w:pPr>
      <w:bookmarkStart w:id="77" w:name="_Toc121217253"/>
      <w:r w:rsidRPr="00D74025">
        <w:rPr>
          <w:rFonts w:ascii="Arial" w:hAnsi="Arial" w:cs="Arial"/>
          <w:b/>
          <w:bCs/>
          <w:color w:val="000000" w:themeColor="text1"/>
          <w:sz w:val="28"/>
          <w:szCs w:val="28"/>
          <w:u w:val="single"/>
        </w:rPr>
        <w:t>2.</w:t>
      </w:r>
      <w:r w:rsidR="002863FD">
        <w:rPr>
          <w:rFonts w:ascii="Arial" w:hAnsi="Arial" w:cs="Arial"/>
          <w:b/>
          <w:bCs/>
          <w:color w:val="000000" w:themeColor="text1"/>
          <w:sz w:val="28"/>
          <w:szCs w:val="28"/>
          <w:u w:val="single"/>
        </w:rPr>
        <w:t>5</w:t>
      </w:r>
      <w:r w:rsidRPr="00D74025">
        <w:rPr>
          <w:rFonts w:ascii="Arial" w:hAnsi="Arial" w:cs="Arial"/>
          <w:b/>
          <w:bCs/>
          <w:color w:val="000000" w:themeColor="text1"/>
          <w:sz w:val="28"/>
          <w:szCs w:val="28"/>
          <w:u w:val="single"/>
        </w:rPr>
        <w:t xml:space="preserve"> </w:t>
      </w:r>
      <w:r w:rsidRPr="00D74025">
        <w:rPr>
          <w:rFonts w:ascii="Arial" w:hAnsi="Arial" w:cs="Arial"/>
          <w:b/>
          <w:bCs/>
          <w:i/>
          <w:iCs/>
          <w:color w:val="000000" w:themeColor="text1"/>
          <w:sz w:val="28"/>
          <w:szCs w:val="28"/>
          <w:u w:val="single"/>
        </w:rPr>
        <w:t>In vivo</w:t>
      </w:r>
      <w:r w:rsidRPr="00D74025">
        <w:rPr>
          <w:rFonts w:ascii="Arial" w:hAnsi="Arial" w:cs="Arial"/>
          <w:b/>
          <w:bCs/>
          <w:color w:val="000000" w:themeColor="text1"/>
          <w:sz w:val="28"/>
          <w:szCs w:val="28"/>
          <w:u w:val="single"/>
        </w:rPr>
        <w:t xml:space="preserve"> studies</w:t>
      </w:r>
      <w:r w:rsidR="006E1092" w:rsidRPr="00D74025">
        <w:rPr>
          <w:rFonts w:ascii="Arial" w:hAnsi="Arial" w:cs="Arial"/>
          <w:b/>
          <w:bCs/>
          <w:color w:val="000000" w:themeColor="text1"/>
          <w:sz w:val="28"/>
          <w:szCs w:val="28"/>
          <w:u w:val="single"/>
        </w:rPr>
        <w:t xml:space="preserve"> </w:t>
      </w:r>
      <w:r w:rsidR="00047E9A" w:rsidRPr="00D74025">
        <w:rPr>
          <w:rFonts w:ascii="Arial" w:hAnsi="Arial" w:cs="Arial"/>
          <w:b/>
          <w:bCs/>
          <w:color w:val="000000" w:themeColor="text1"/>
          <w:sz w:val="28"/>
          <w:szCs w:val="28"/>
          <w:u w:val="single"/>
        </w:rPr>
        <w:t>with</w:t>
      </w:r>
      <w:r w:rsidR="006E1092" w:rsidRPr="00D74025">
        <w:rPr>
          <w:rFonts w:ascii="Arial" w:hAnsi="Arial" w:cs="Arial"/>
          <w:b/>
          <w:bCs/>
          <w:color w:val="000000" w:themeColor="text1"/>
          <w:sz w:val="28"/>
          <w:szCs w:val="28"/>
          <w:u w:val="single"/>
        </w:rPr>
        <w:t xml:space="preserve"> SWCNT-ANXA5</w:t>
      </w:r>
      <w:r w:rsidR="00B20EBD" w:rsidRPr="00D74025">
        <w:rPr>
          <w:rFonts w:ascii="Arial" w:hAnsi="Arial" w:cs="Arial"/>
          <w:b/>
          <w:bCs/>
          <w:color w:val="000000" w:themeColor="text1"/>
          <w:sz w:val="28"/>
          <w:szCs w:val="28"/>
          <w:u w:val="single"/>
        </w:rPr>
        <w:t>-mediated PTT</w:t>
      </w:r>
      <w:bookmarkEnd w:id="77"/>
    </w:p>
    <w:p w14:paraId="140A1C97" w14:textId="77777777" w:rsidR="00FA59D9" w:rsidRPr="00D74025" w:rsidRDefault="00FA59D9" w:rsidP="00B21C6E">
      <w:pPr>
        <w:spacing w:line="360" w:lineRule="auto"/>
        <w:ind w:firstLine="1440"/>
        <w:jc w:val="both"/>
        <w:rPr>
          <w:rFonts w:ascii="Arial" w:hAnsi="Arial" w:cs="Arial"/>
          <w:color w:val="000000" w:themeColor="text1"/>
        </w:rPr>
      </w:pPr>
    </w:p>
    <w:p w14:paraId="50609C8B" w14:textId="77777777" w:rsidR="00AD0352" w:rsidRPr="00D74025" w:rsidRDefault="00AD0352" w:rsidP="00B21C6E">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All animal studies were performed following the protocols approved by the Institutional Animal Care and Use Committee (IACUC) of the University of Oklahoma and by staff with proper training. Animals were housed in a pathogen-free facility at the University of Oklahoma and monitored daily. </w:t>
      </w:r>
    </w:p>
    <w:p w14:paraId="1A6FB387" w14:textId="77777777" w:rsidR="00BC5E66" w:rsidRPr="00D74025" w:rsidRDefault="00BC5E66" w:rsidP="00455219">
      <w:pPr>
        <w:spacing w:line="360" w:lineRule="auto"/>
        <w:ind w:firstLine="720"/>
        <w:jc w:val="both"/>
        <w:rPr>
          <w:rFonts w:ascii="Arial" w:hAnsi="Arial" w:cs="Arial"/>
          <w:color w:val="000000" w:themeColor="text1"/>
        </w:rPr>
      </w:pPr>
    </w:p>
    <w:p w14:paraId="4A470D45" w14:textId="4CBC6BE5" w:rsidR="00BC5E66" w:rsidRPr="00D74025" w:rsidRDefault="0051039F" w:rsidP="00B21C6E">
      <w:pPr>
        <w:pStyle w:val="Heading3"/>
        <w:spacing w:line="360" w:lineRule="auto"/>
        <w:ind w:firstLine="1440"/>
        <w:rPr>
          <w:rFonts w:ascii="Arial" w:hAnsi="Arial" w:cs="Arial"/>
          <w:b/>
          <w:bCs/>
          <w:color w:val="000000" w:themeColor="text1"/>
        </w:rPr>
      </w:pPr>
      <w:bookmarkStart w:id="78" w:name="_Toc100051018"/>
      <w:bookmarkStart w:id="79" w:name="_Toc113362836"/>
      <w:bookmarkStart w:id="80" w:name="_Toc115429678"/>
      <w:bookmarkStart w:id="81" w:name="_Toc121217254"/>
      <w:r w:rsidRPr="00D74025">
        <w:rPr>
          <w:rFonts w:ascii="Arial" w:hAnsi="Arial" w:cs="Arial"/>
          <w:b/>
          <w:bCs/>
          <w:color w:val="000000" w:themeColor="text1"/>
        </w:rPr>
        <w:t>2.</w:t>
      </w:r>
      <w:r w:rsidR="002863FD">
        <w:rPr>
          <w:rFonts w:ascii="Arial" w:hAnsi="Arial" w:cs="Arial"/>
          <w:b/>
          <w:bCs/>
          <w:color w:val="000000" w:themeColor="text1"/>
        </w:rPr>
        <w:t>5</w:t>
      </w:r>
      <w:r w:rsidRPr="00D74025">
        <w:rPr>
          <w:rFonts w:ascii="Arial" w:hAnsi="Arial" w:cs="Arial"/>
          <w:b/>
          <w:bCs/>
          <w:color w:val="000000" w:themeColor="text1"/>
        </w:rPr>
        <w:t xml:space="preserve">.1 </w:t>
      </w:r>
      <w:r w:rsidR="00BC5E66" w:rsidRPr="00D74025">
        <w:rPr>
          <w:rFonts w:ascii="Arial" w:hAnsi="Arial" w:cs="Arial"/>
          <w:b/>
          <w:bCs/>
          <w:color w:val="000000" w:themeColor="text1"/>
        </w:rPr>
        <w:t xml:space="preserve">Tumor </w:t>
      </w:r>
      <w:r w:rsidR="005B6907">
        <w:rPr>
          <w:rFonts w:ascii="Arial" w:hAnsi="Arial" w:cs="Arial"/>
          <w:b/>
          <w:bCs/>
          <w:color w:val="000000" w:themeColor="text1"/>
        </w:rPr>
        <w:t>i</w:t>
      </w:r>
      <w:r w:rsidR="00BC5E66" w:rsidRPr="00D74025">
        <w:rPr>
          <w:rFonts w:ascii="Arial" w:hAnsi="Arial" w:cs="Arial"/>
          <w:b/>
          <w:bCs/>
          <w:color w:val="000000" w:themeColor="text1"/>
        </w:rPr>
        <w:t>mplantation in BALB/</w:t>
      </w:r>
      <w:proofErr w:type="spellStart"/>
      <w:r w:rsidR="00BC5E66" w:rsidRPr="00D74025">
        <w:rPr>
          <w:rFonts w:ascii="Arial" w:hAnsi="Arial" w:cs="Arial"/>
          <w:b/>
          <w:bCs/>
          <w:color w:val="000000" w:themeColor="text1"/>
        </w:rPr>
        <w:t>cJ</w:t>
      </w:r>
      <w:proofErr w:type="spellEnd"/>
      <w:r w:rsidR="00BC5E66" w:rsidRPr="00D74025">
        <w:rPr>
          <w:rFonts w:ascii="Arial" w:hAnsi="Arial" w:cs="Arial"/>
          <w:b/>
          <w:bCs/>
          <w:color w:val="000000" w:themeColor="text1"/>
        </w:rPr>
        <w:t xml:space="preserve"> </w:t>
      </w:r>
      <w:r w:rsidR="005B6907">
        <w:rPr>
          <w:rFonts w:ascii="Arial" w:hAnsi="Arial" w:cs="Arial"/>
          <w:b/>
          <w:bCs/>
          <w:color w:val="000000" w:themeColor="text1"/>
        </w:rPr>
        <w:t>m</w:t>
      </w:r>
      <w:r w:rsidR="00BC5E66" w:rsidRPr="00D74025">
        <w:rPr>
          <w:rFonts w:ascii="Arial" w:hAnsi="Arial" w:cs="Arial"/>
          <w:b/>
          <w:bCs/>
          <w:color w:val="000000" w:themeColor="text1"/>
        </w:rPr>
        <w:t>ice</w:t>
      </w:r>
      <w:bookmarkEnd w:id="78"/>
      <w:bookmarkEnd w:id="79"/>
      <w:bookmarkEnd w:id="80"/>
      <w:bookmarkEnd w:id="81"/>
      <w:r w:rsidR="00BC5E66" w:rsidRPr="00D74025">
        <w:rPr>
          <w:rFonts w:ascii="Arial" w:hAnsi="Arial" w:cs="Arial"/>
          <w:b/>
          <w:bCs/>
          <w:color w:val="000000" w:themeColor="text1"/>
        </w:rPr>
        <w:t xml:space="preserve"> </w:t>
      </w:r>
    </w:p>
    <w:p w14:paraId="2884BDB1" w14:textId="0368C064" w:rsidR="009D3632" w:rsidRPr="00D74025" w:rsidRDefault="009D3632" w:rsidP="00B21C6E">
      <w:pPr>
        <w:spacing w:line="360" w:lineRule="auto"/>
        <w:ind w:firstLine="1440"/>
        <w:jc w:val="both"/>
        <w:rPr>
          <w:rFonts w:ascii="Arial" w:hAnsi="Arial" w:cs="Arial"/>
          <w:color w:val="000000" w:themeColor="text1"/>
        </w:rPr>
      </w:pPr>
      <w:r w:rsidRPr="00D74025">
        <w:rPr>
          <w:rFonts w:ascii="Arial" w:hAnsi="Arial" w:cs="Arial"/>
          <w:color w:val="000000" w:themeColor="text1"/>
        </w:rPr>
        <w:t>On the day before tumor implantation, the area around the fourth mammary fat pad in each six-week-old BALB/</w:t>
      </w:r>
      <w:proofErr w:type="spellStart"/>
      <w:r w:rsidRPr="00D74025">
        <w:rPr>
          <w:rFonts w:ascii="Arial" w:hAnsi="Arial" w:cs="Arial"/>
          <w:color w:val="000000" w:themeColor="text1"/>
        </w:rPr>
        <w:t>cJ</w:t>
      </w:r>
      <w:proofErr w:type="spellEnd"/>
      <w:r w:rsidRPr="00D74025">
        <w:rPr>
          <w:rFonts w:ascii="Arial" w:hAnsi="Arial" w:cs="Arial"/>
          <w:color w:val="000000" w:themeColor="text1"/>
        </w:rPr>
        <w:t xml:space="preserve"> mouse (Jackson Laboratory; 000651) was shaved using a hair removal cream. The cream was placed on the fur, left for no longer than 2 min, and removed with a humid paper towel. The mice were injected with either 1x10</w:t>
      </w:r>
      <w:r w:rsidRPr="00D74025">
        <w:rPr>
          <w:rFonts w:ascii="Arial" w:hAnsi="Arial" w:cs="Arial"/>
          <w:color w:val="000000" w:themeColor="text1"/>
          <w:vertAlign w:val="superscript"/>
        </w:rPr>
        <w:t>5</w:t>
      </w:r>
      <w:r w:rsidRPr="00D74025">
        <w:rPr>
          <w:rFonts w:ascii="Arial" w:hAnsi="Arial" w:cs="Arial"/>
          <w:color w:val="000000" w:themeColor="text1"/>
        </w:rPr>
        <w:t xml:space="preserve"> 4T1 cells or 1x10</w:t>
      </w:r>
      <w:r w:rsidRPr="00D74025">
        <w:rPr>
          <w:rFonts w:ascii="Arial" w:hAnsi="Arial" w:cs="Arial"/>
          <w:color w:val="000000" w:themeColor="text1"/>
          <w:vertAlign w:val="superscript"/>
        </w:rPr>
        <w:t>6</w:t>
      </w:r>
      <w:r w:rsidRPr="00D74025">
        <w:rPr>
          <w:rFonts w:ascii="Arial" w:hAnsi="Arial" w:cs="Arial"/>
          <w:color w:val="000000" w:themeColor="text1"/>
        </w:rPr>
        <w:t xml:space="preserve"> EMT6 cells suspended in 100 </w:t>
      </w:r>
      <w:r w:rsidRPr="00D74025">
        <w:rPr>
          <w:rFonts w:ascii="Arial" w:hAnsi="Arial" w:cs="Arial"/>
          <w:color w:val="000000" w:themeColor="text1"/>
        </w:rPr>
        <w:sym w:font="Symbol" w:char="F06D"/>
      </w:r>
      <w:r w:rsidRPr="00D74025">
        <w:rPr>
          <w:rFonts w:ascii="Arial" w:hAnsi="Arial" w:cs="Arial"/>
          <w:color w:val="000000" w:themeColor="text1"/>
        </w:rPr>
        <w:t>l of PBS using a 30-gauge needle. The injection was performed subcutaneously in the fourth mammary fat pad, close to the nipple, which characterizes an orthotopic tumor</w:t>
      </w:r>
      <w:r w:rsidR="00CC708C">
        <w:rPr>
          <w:rFonts w:ascii="Arial" w:hAnsi="Arial" w:cs="Arial"/>
          <w:color w:val="000000" w:themeColor="text1"/>
        </w:rPr>
        <w:t xml:space="preserve"> (see Appendix D1).</w:t>
      </w:r>
    </w:p>
    <w:p w14:paraId="5F3AA2A3" w14:textId="77777777" w:rsidR="00BC5E66" w:rsidRPr="00D74025" w:rsidRDefault="00BC5E66" w:rsidP="00455219">
      <w:pPr>
        <w:spacing w:line="360" w:lineRule="auto"/>
        <w:ind w:firstLine="720"/>
        <w:jc w:val="both"/>
        <w:rPr>
          <w:rFonts w:ascii="Arial" w:hAnsi="Arial" w:cs="Arial"/>
          <w:color w:val="000000" w:themeColor="text1"/>
        </w:rPr>
      </w:pPr>
    </w:p>
    <w:p w14:paraId="0961C67B" w14:textId="3D9D0B5A" w:rsidR="00BC5E66" w:rsidRPr="00D74025" w:rsidRDefault="0051039F" w:rsidP="00F929C3">
      <w:pPr>
        <w:pStyle w:val="Heading3"/>
        <w:spacing w:line="360" w:lineRule="auto"/>
        <w:ind w:firstLine="1440"/>
        <w:rPr>
          <w:rFonts w:ascii="Arial" w:hAnsi="Arial" w:cs="Arial"/>
          <w:b/>
          <w:bCs/>
          <w:color w:val="000000" w:themeColor="text1"/>
        </w:rPr>
      </w:pPr>
      <w:bookmarkStart w:id="82" w:name="_Toc100051020"/>
      <w:bookmarkStart w:id="83" w:name="_Toc113362838"/>
      <w:bookmarkStart w:id="84" w:name="_Toc115429680"/>
      <w:bookmarkStart w:id="85" w:name="_Toc121217255"/>
      <w:r w:rsidRPr="00D74025">
        <w:rPr>
          <w:rFonts w:ascii="Arial" w:hAnsi="Arial" w:cs="Arial"/>
          <w:b/>
          <w:bCs/>
          <w:color w:val="000000" w:themeColor="text1"/>
        </w:rPr>
        <w:lastRenderedPageBreak/>
        <w:t>2.</w:t>
      </w:r>
      <w:r w:rsidR="002863FD">
        <w:rPr>
          <w:rFonts w:ascii="Arial" w:hAnsi="Arial" w:cs="Arial"/>
          <w:b/>
          <w:bCs/>
          <w:color w:val="000000" w:themeColor="text1"/>
        </w:rPr>
        <w:t>5</w:t>
      </w:r>
      <w:r w:rsidRPr="00D74025">
        <w:rPr>
          <w:rFonts w:ascii="Arial" w:hAnsi="Arial" w:cs="Arial"/>
          <w:b/>
          <w:bCs/>
          <w:color w:val="000000" w:themeColor="text1"/>
        </w:rPr>
        <w:t xml:space="preserve">.2 </w:t>
      </w:r>
      <w:r w:rsidR="0006615F" w:rsidRPr="00D74025">
        <w:rPr>
          <w:rFonts w:ascii="Arial" w:hAnsi="Arial" w:cs="Arial"/>
          <w:b/>
          <w:bCs/>
          <w:color w:val="000000" w:themeColor="text1"/>
        </w:rPr>
        <w:t>Mice health</w:t>
      </w:r>
      <w:r w:rsidR="00BC5E66" w:rsidRPr="00D74025">
        <w:rPr>
          <w:rFonts w:ascii="Arial" w:hAnsi="Arial" w:cs="Arial"/>
          <w:b/>
          <w:bCs/>
          <w:color w:val="000000" w:themeColor="text1"/>
        </w:rPr>
        <w:t xml:space="preserve"> and </w:t>
      </w:r>
      <w:r w:rsidR="0006615F" w:rsidRPr="00D74025">
        <w:rPr>
          <w:rFonts w:ascii="Arial" w:hAnsi="Arial" w:cs="Arial"/>
          <w:b/>
          <w:bCs/>
          <w:color w:val="000000" w:themeColor="text1"/>
        </w:rPr>
        <w:t>t</w:t>
      </w:r>
      <w:r w:rsidR="00BC5E66" w:rsidRPr="00D74025">
        <w:rPr>
          <w:rFonts w:ascii="Arial" w:hAnsi="Arial" w:cs="Arial"/>
          <w:b/>
          <w:bCs/>
          <w:color w:val="000000" w:themeColor="text1"/>
        </w:rPr>
        <w:t xml:space="preserve">umor </w:t>
      </w:r>
      <w:r w:rsidR="0006615F" w:rsidRPr="00D74025">
        <w:rPr>
          <w:rFonts w:ascii="Arial" w:hAnsi="Arial" w:cs="Arial"/>
          <w:b/>
          <w:bCs/>
          <w:color w:val="000000" w:themeColor="text1"/>
        </w:rPr>
        <w:t>v</w:t>
      </w:r>
      <w:r w:rsidR="00BC5E66" w:rsidRPr="00D74025">
        <w:rPr>
          <w:rFonts w:ascii="Arial" w:hAnsi="Arial" w:cs="Arial"/>
          <w:b/>
          <w:bCs/>
          <w:color w:val="000000" w:themeColor="text1"/>
        </w:rPr>
        <w:t>olume</w:t>
      </w:r>
      <w:bookmarkEnd w:id="82"/>
      <w:bookmarkEnd w:id="83"/>
      <w:bookmarkEnd w:id="84"/>
      <w:r w:rsidR="0006615F" w:rsidRPr="00D74025">
        <w:rPr>
          <w:rFonts w:ascii="Arial" w:hAnsi="Arial" w:cs="Arial"/>
          <w:b/>
          <w:bCs/>
          <w:color w:val="000000" w:themeColor="text1"/>
        </w:rPr>
        <w:t xml:space="preserve"> assessment</w:t>
      </w:r>
      <w:bookmarkEnd w:id="85"/>
      <w:r w:rsidR="0006615F" w:rsidRPr="00D74025">
        <w:rPr>
          <w:rFonts w:ascii="Arial" w:hAnsi="Arial" w:cs="Arial"/>
          <w:b/>
          <w:bCs/>
          <w:color w:val="000000" w:themeColor="text1"/>
        </w:rPr>
        <w:t xml:space="preserve"> </w:t>
      </w:r>
    </w:p>
    <w:p w14:paraId="17D29C59" w14:textId="59D39458" w:rsidR="00F929C3" w:rsidRPr="00D74025" w:rsidRDefault="00F929C3" w:rsidP="00F929C3">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Mice weight and tumor volumes were measured every </w:t>
      </w:r>
      <w:r w:rsidR="00F94F57">
        <w:rPr>
          <w:rFonts w:ascii="Arial" w:hAnsi="Arial" w:cs="Arial"/>
          <w:color w:val="000000" w:themeColor="text1"/>
        </w:rPr>
        <w:t>3 - 5</w:t>
      </w:r>
      <w:r w:rsidRPr="00D74025">
        <w:rPr>
          <w:rFonts w:ascii="Arial" w:hAnsi="Arial" w:cs="Arial"/>
          <w:color w:val="000000" w:themeColor="text1"/>
        </w:rPr>
        <w:t xml:space="preserve"> days during each study. Tumor volumes were measured using a caliper, and volume (V) was determined through the modified ellipsoid formula, where length (L) is the longest diameter of the tumor and the perpendicular diameter is the width (W), as shown in </w:t>
      </w:r>
      <w:r w:rsidR="00E36D85">
        <w:rPr>
          <w:rFonts w:ascii="Arial" w:hAnsi="Arial" w:cs="Arial"/>
          <w:b/>
          <w:bCs/>
          <w:color w:val="000000" w:themeColor="text1"/>
        </w:rPr>
        <w:t>E</w:t>
      </w:r>
      <w:r w:rsidRPr="00E36D85">
        <w:rPr>
          <w:rFonts w:ascii="Arial" w:hAnsi="Arial" w:cs="Arial"/>
          <w:b/>
          <w:bCs/>
          <w:color w:val="000000" w:themeColor="text1"/>
        </w:rPr>
        <w:t>quation 3</w:t>
      </w:r>
      <w:r w:rsidRPr="00D74025">
        <w:rPr>
          <w:rFonts w:ascii="Arial" w:hAnsi="Arial" w:cs="Arial"/>
          <w:color w:val="000000" w:themeColor="text1"/>
        </w:rPr>
        <w:t xml:space="preserve">. </w:t>
      </w:r>
    </w:p>
    <w:p w14:paraId="67642645" w14:textId="41A81B0A" w:rsidR="0034671D" w:rsidRDefault="0034671D" w:rsidP="0063608D">
      <w:pPr>
        <w:spacing w:line="360" w:lineRule="auto"/>
        <w:jc w:val="both"/>
        <w:rPr>
          <w:rFonts w:ascii="Arial" w:hAnsi="Arial" w:cs="Arial"/>
          <w:color w:val="000000" w:themeColor="text1"/>
        </w:rPr>
      </w:pPr>
    </w:p>
    <w:p w14:paraId="692227CC" w14:textId="03D610B5" w:rsidR="00E36D85" w:rsidRPr="00E36D85" w:rsidRDefault="00E36D85" w:rsidP="00E36D85">
      <w:pPr>
        <w:pStyle w:val="Caption"/>
        <w:rPr>
          <w:rFonts w:ascii="Arial" w:hAnsi="Arial" w:cs="Arial"/>
          <w:i w:val="0"/>
          <w:iCs w:val="0"/>
          <w:color w:val="000000" w:themeColor="text1"/>
          <w:sz w:val="24"/>
          <w:szCs w:val="24"/>
        </w:rPr>
      </w:pPr>
      <w:bookmarkStart w:id="86" w:name="_Toc118978574"/>
      <w:r w:rsidRPr="00E36D85">
        <w:rPr>
          <w:rFonts w:ascii="Arial" w:hAnsi="Arial" w:cs="Arial"/>
          <w:i w:val="0"/>
          <w:iCs w:val="0"/>
          <w:color w:val="000000" w:themeColor="text1"/>
          <w:sz w:val="24"/>
          <w:szCs w:val="24"/>
        </w:rPr>
        <w:t xml:space="preserve">Equation </w:t>
      </w:r>
      <w:r w:rsidRPr="00E36D85">
        <w:rPr>
          <w:rFonts w:ascii="Arial" w:hAnsi="Arial" w:cs="Arial"/>
          <w:i w:val="0"/>
          <w:iCs w:val="0"/>
          <w:color w:val="000000" w:themeColor="text1"/>
          <w:sz w:val="24"/>
          <w:szCs w:val="24"/>
        </w:rPr>
        <w:fldChar w:fldCharType="begin"/>
      </w:r>
      <w:r w:rsidRPr="00E36D85">
        <w:rPr>
          <w:rFonts w:ascii="Arial" w:hAnsi="Arial" w:cs="Arial"/>
          <w:i w:val="0"/>
          <w:iCs w:val="0"/>
          <w:color w:val="000000" w:themeColor="text1"/>
          <w:sz w:val="24"/>
          <w:szCs w:val="24"/>
        </w:rPr>
        <w:instrText xml:space="preserve"> SEQ Equation \* ARABIC </w:instrText>
      </w:r>
      <w:r w:rsidRPr="00E36D85">
        <w:rPr>
          <w:rFonts w:ascii="Arial" w:hAnsi="Arial" w:cs="Arial"/>
          <w:i w:val="0"/>
          <w:iCs w:val="0"/>
          <w:color w:val="000000" w:themeColor="text1"/>
          <w:sz w:val="24"/>
          <w:szCs w:val="24"/>
        </w:rPr>
        <w:fldChar w:fldCharType="separate"/>
      </w:r>
      <w:r w:rsidR="002C4B25">
        <w:rPr>
          <w:rFonts w:ascii="Arial" w:hAnsi="Arial" w:cs="Arial"/>
          <w:i w:val="0"/>
          <w:iCs w:val="0"/>
          <w:noProof/>
          <w:color w:val="000000" w:themeColor="text1"/>
          <w:sz w:val="24"/>
          <w:szCs w:val="24"/>
        </w:rPr>
        <w:t>3</w:t>
      </w:r>
      <w:r w:rsidRPr="00E36D85">
        <w:rPr>
          <w:rFonts w:ascii="Arial" w:hAnsi="Arial" w:cs="Arial"/>
          <w:i w:val="0"/>
          <w:iCs w:val="0"/>
          <w:color w:val="000000" w:themeColor="text1"/>
          <w:sz w:val="24"/>
          <w:szCs w:val="24"/>
        </w:rPr>
        <w:fldChar w:fldCharType="end"/>
      </w:r>
      <w:r w:rsidR="00DB2B1E">
        <w:rPr>
          <w:rFonts w:ascii="Arial" w:hAnsi="Arial" w:cs="Arial"/>
          <w:i w:val="0"/>
          <w:iCs w:val="0"/>
          <w:color w:val="000000" w:themeColor="text1"/>
          <w:sz w:val="24"/>
          <w:szCs w:val="24"/>
        </w:rPr>
        <w:t>:</w:t>
      </w:r>
      <w:r w:rsidRPr="00E36D85">
        <w:rPr>
          <w:rFonts w:ascii="Arial" w:hAnsi="Arial" w:cs="Arial"/>
          <w:i w:val="0"/>
          <w:iCs w:val="0"/>
          <w:color w:val="000000" w:themeColor="text1"/>
          <w:sz w:val="24"/>
          <w:szCs w:val="24"/>
        </w:rPr>
        <w:t xml:space="preserve"> Tumor volume from size measurement</w:t>
      </w:r>
      <w:bookmarkEnd w:id="86"/>
    </w:p>
    <w:p w14:paraId="09DE0805" w14:textId="77777777" w:rsidR="0034671D" w:rsidRPr="00D74025" w:rsidRDefault="0034671D" w:rsidP="0063608D">
      <w:pPr>
        <w:spacing w:line="360" w:lineRule="auto"/>
        <w:jc w:val="both"/>
        <w:rPr>
          <w:rFonts w:ascii="Arial" w:eastAsiaTheme="minorEastAsia" w:hAnsi="Arial" w:cs="Arial"/>
          <w:color w:val="000000" w:themeColor="text1"/>
        </w:rPr>
      </w:pPr>
      <m:oMathPara>
        <m:oMath>
          <m:r>
            <w:rPr>
              <w:rFonts w:ascii="Cambria Math" w:hAnsi="Cambria Math" w:cstheme="minorHAnsi"/>
              <w:color w:val="000000" w:themeColor="text1"/>
            </w:rPr>
            <m:t xml:space="preserve">V= </m:t>
          </m:r>
          <m:f>
            <m:fPr>
              <m:ctrlPr>
                <w:rPr>
                  <w:rFonts w:ascii="Cambria Math" w:hAnsi="Cambria Math" w:cstheme="minorHAnsi"/>
                  <w:i/>
                  <w:color w:val="000000" w:themeColor="text1"/>
                </w:rPr>
              </m:ctrlPr>
            </m:fPr>
            <m:num>
              <m:r>
                <w:rPr>
                  <w:rFonts w:ascii="Cambria Math" w:hAnsi="Cambria Math" w:cstheme="minorHAnsi"/>
                  <w:color w:val="000000" w:themeColor="text1"/>
                </w:rPr>
                <m:t>L*</m:t>
              </m:r>
              <m:sSup>
                <m:sSupPr>
                  <m:ctrlPr>
                    <w:rPr>
                      <w:rFonts w:ascii="Cambria Math" w:hAnsi="Cambria Math" w:cstheme="minorHAnsi"/>
                      <w:i/>
                      <w:color w:val="000000" w:themeColor="text1"/>
                    </w:rPr>
                  </m:ctrlPr>
                </m:sSupPr>
                <m:e>
                  <m:r>
                    <w:rPr>
                      <w:rFonts w:ascii="Cambria Math" w:hAnsi="Cambria Math" w:cstheme="minorHAnsi"/>
                      <w:color w:val="000000" w:themeColor="text1"/>
                    </w:rPr>
                    <m:t>W</m:t>
                  </m:r>
                </m:e>
                <m:sup>
                  <m:r>
                    <w:rPr>
                      <w:rFonts w:ascii="Cambria Math" w:hAnsi="Cambria Math" w:cstheme="minorHAnsi"/>
                      <w:color w:val="000000" w:themeColor="text1"/>
                    </w:rPr>
                    <m:t>2</m:t>
                  </m:r>
                </m:sup>
              </m:sSup>
            </m:num>
            <m:den>
              <m:r>
                <w:rPr>
                  <w:rFonts w:ascii="Cambria Math" w:hAnsi="Cambria Math" w:cstheme="minorHAnsi"/>
                  <w:color w:val="000000" w:themeColor="text1"/>
                </w:rPr>
                <m:t>2</m:t>
              </m:r>
            </m:den>
          </m:f>
        </m:oMath>
      </m:oMathPara>
    </w:p>
    <w:p w14:paraId="0D46007E" w14:textId="77777777" w:rsidR="006E0AA8" w:rsidRPr="00D74025" w:rsidRDefault="006E0AA8" w:rsidP="0063608D">
      <w:pPr>
        <w:spacing w:line="360" w:lineRule="auto"/>
        <w:jc w:val="both"/>
        <w:rPr>
          <w:rFonts w:ascii="Arial" w:eastAsiaTheme="minorEastAsia" w:hAnsi="Arial" w:cs="Arial"/>
          <w:color w:val="000000" w:themeColor="text1"/>
        </w:rPr>
      </w:pPr>
    </w:p>
    <w:p w14:paraId="2B93689D" w14:textId="77777777" w:rsidR="00395722" w:rsidRPr="00D74025" w:rsidRDefault="00395722" w:rsidP="00395722">
      <w:pPr>
        <w:spacing w:line="360" w:lineRule="auto"/>
        <w:ind w:firstLine="1440"/>
        <w:jc w:val="both"/>
        <w:rPr>
          <w:rFonts w:ascii="Arial" w:eastAsiaTheme="minorEastAsia" w:hAnsi="Arial" w:cs="Arial"/>
          <w:color w:val="000000" w:themeColor="text1"/>
        </w:rPr>
      </w:pPr>
      <w:r w:rsidRPr="00D74025">
        <w:rPr>
          <w:rFonts w:ascii="Arial" w:eastAsiaTheme="minorEastAsia" w:hAnsi="Arial" w:cs="Arial"/>
          <w:color w:val="000000" w:themeColor="text1"/>
        </w:rPr>
        <w:t>For all the studies, mouse health was assessed every 3-5 days for signs of distress. Mice were euthanized when the tumor size was greater than 15 mm in any of the directions of measurement or when the mice were sick, characterized by dehydration, weight loss greater than 20%, recumbent posture, breathing difficulty, or loss of leg function due to tumor proximity.</w:t>
      </w:r>
    </w:p>
    <w:p w14:paraId="7C626D07" w14:textId="5664433C" w:rsidR="002F77E3" w:rsidRPr="00D74025" w:rsidRDefault="002F77E3" w:rsidP="0063608D">
      <w:pPr>
        <w:spacing w:line="360" w:lineRule="auto"/>
        <w:jc w:val="both"/>
        <w:rPr>
          <w:rFonts w:ascii="Arial" w:eastAsiaTheme="minorEastAsia" w:hAnsi="Arial" w:cs="Arial"/>
          <w:color w:val="000000" w:themeColor="text1"/>
        </w:rPr>
      </w:pPr>
    </w:p>
    <w:p w14:paraId="06301BB1" w14:textId="0DE185BA" w:rsidR="00FA220C" w:rsidRPr="00BB2156" w:rsidRDefault="00FA220C" w:rsidP="00BB2156">
      <w:pPr>
        <w:pStyle w:val="Heading3"/>
        <w:rPr>
          <w:rFonts w:ascii="Arial" w:eastAsiaTheme="minorEastAsia" w:hAnsi="Arial" w:cs="Arial"/>
          <w:b/>
          <w:bCs/>
          <w:color w:val="000000" w:themeColor="text1"/>
        </w:rPr>
      </w:pPr>
      <w:bookmarkStart w:id="87" w:name="_Toc121217256"/>
      <w:r w:rsidRPr="00BB2156">
        <w:rPr>
          <w:rFonts w:ascii="Arial" w:eastAsiaTheme="minorEastAsia" w:hAnsi="Arial" w:cs="Arial"/>
          <w:b/>
          <w:bCs/>
          <w:color w:val="000000" w:themeColor="text1"/>
        </w:rPr>
        <w:t>2.</w:t>
      </w:r>
      <w:r w:rsidR="005A0279">
        <w:rPr>
          <w:rFonts w:ascii="Arial" w:eastAsiaTheme="minorEastAsia" w:hAnsi="Arial" w:cs="Arial"/>
          <w:b/>
          <w:bCs/>
          <w:color w:val="000000" w:themeColor="text1"/>
        </w:rPr>
        <w:t>5.3</w:t>
      </w:r>
      <w:r w:rsidRPr="00BB2156">
        <w:rPr>
          <w:rFonts w:ascii="Arial" w:eastAsiaTheme="minorEastAsia" w:hAnsi="Arial" w:cs="Arial"/>
          <w:b/>
          <w:bCs/>
          <w:color w:val="000000" w:themeColor="text1"/>
        </w:rPr>
        <w:t xml:space="preserve"> </w:t>
      </w:r>
      <w:r w:rsidR="00D94B05" w:rsidRPr="00BB2156">
        <w:rPr>
          <w:rFonts w:ascii="Arial" w:eastAsiaTheme="minorEastAsia" w:hAnsi="Arial" w:cs="Arial"/>
          <w:b/>
          <w:bCs/>
          <w:color w:val="000000" w:themeColor="text1"/>
        </w:rPr>
        <w:t>C</w:t>
      </w:r>
      <w:r w:rsidRPr="00BB2156">
        <w:rPr>
          <w:rFonts w:ascii="Arial" w:eastAsiaTheme="minorEastAsia" w:hAnsi="Arial" w:cs="Arial"/>
          <w:b/>
          <w:bCs/>
          <w:color w:val="000000" w:themeColor="text1"/>
        </w:rPr>
        <w:t xml:space="preserve">ytokine release in EMT6 tumors </w:t>
      </w:r>
      <w:r w:rsidR="0008674D" w:rsidRPr="00BB2156">
        <w:rPr>
          <w:rFonts w:ascii="Arial" w:eastAsiaTheme="minorEastAsia" w:hAnsi="Arial" w:cs="Arial"/>
          <w:b/>
          <w:bCs/>
          <w:color w:val="000000" w:themeColor="text1"/>
        </w:rPr>
        <w:t>treated with combination therapy of PTT and anti-CTLA-4</w:t>
      </w:r>
      <w:bookmarkEnd w:id="87"/>
    </w:p>
    <w:p w14:paraId="41998852" w14:textId="3A0F8A48" w:rsidR="00FA220C" w:rsidRPr="00D74025" w:rsidRDefault="00FA220C" w:rsidP="0063608D">
      <w:pPr>
        <w:spacing w:line="360" w:lineRule="auto"/>
        <w:jc w:val="both"/>
        <w:rPr>
          <w:rFonts w:ascii="Arial" w:eastAsiaTheme="minorEastAsia" w:hAnsi="Arial" w:cs="Arial"/>
          <w:color w:val="000000" w:themeColor="text1"/>
        </w:rPr>
      </w:pPr>
    </w:p>
    <w:p w14:paraId="783D70EC" w14:textId="021FA31C" w:rsidR="00BE6341" w:rsidRPr="00D74025" w:rsidRDefault="00BE6341" w:rsidP="00BE6341">
      <w:pPr>
        <w:spacing w:line="360" w:lineRule="auto"/>
        <w:ind w:firstLine="1440"/>
        <w:jc w:val="both"/>
        <w:rPr>
          <w:rFonts w:ascii="Arial" w:eastAsiaTheme="minorEastAsia" w:hAnsi="Arial" w:cs="Arial"/>
          <w:color w:val="000000" w:themeColor="text1"/>
        </w:rPr>
      </w:pPr>
      <w:r w:rsidRPr="00D74025">
        <w:rPr>
          <w:rFonts w:ascii="Arial" w:eastAsiaTheme="minorEastAsia" w:hAnsi="Arial" w:cs="Arial"/>
          <w:color w:val="000000" w:themeColor="text1"/>
        </w:rPr>
        <w:t xml:space="preserve">In previous work in our laboratory, Patrick McKernan </w:t>
      </w:r>
      <w:r w:rsidRPr="00D74025">
        <w:rPr>
          <w:rFonts w:ascii="Arial" w:eastAsiaTheme="minorEastAsia" w:hAnsi="Arial" w:cs="Arial"/>
          <w:i/>
          <w:iCs/>
          <w:color w:val="000000" w:themeColor="text1"/>
        </w:rPr>
        <w:t>et al</w:t>
      </w:r>
      <w:r w:rsidRPr="00D74025">
        <w:rPr>
          <w:rFonts w:ascii="Arial" w:eastAsiaTheme="minorEastAsia" w:hAnsi="Arial" w:cs="Arial"/>
          <w:color w:val="000000" w:themeColor="text1"/>
        </w:rPr>
        <w:t>.</w:t>
      </w:r>
      <w:r w:rsidRPr="00D74025">
        <w:rPr>
          <w:rFonts w:ascii="Arial" w:eastAsiaTheme="minorEastAsia" w:hAnsi="Arial" w:cs="Arial"/>
          <w:color w:val="000000" w:themeColor="text1"/>
        </w:rPr>
        <w:fldChar w:fldCharType="begin"/>
      </w:r>
      <w:r w:rsidR="000F4F53">
        <w:rPr>
          <w:rFonts w:ascii="Arial" w:eastAsiaTheme="minorEastAsia" w:hAnsi="Arial" w:cs="Arial"/>
          <w:color w:val="000000" w:themeColor="text1"/>
        </w:rPr>
        <w:instrText xml:space="preserve"> ADDIN ZOTERO_ITEM CSL_CITATION {"citationID":"adl2kkgihr","properties":{"formattedCitation":"\\super 283\\nosupersub{}","plainCitation":"283","noteIndex":0},"citationItems":[{"id":375,"uris":["http://zotero.org/users/7661987/items/CYBISZI9"],"itemData":{"id":375,"type":"article-journal","abstract":"The greatest contributors to cancer mortality are metastasis and the consequences of its treatment. Here, we present a novel treatment of metastatic breast cancer that combines photothermal therapy with targeted single-walled carbon nanotubes (SWCNTs) and immunostimulation with a checkpoint inhibitor. We find that the selective near-infrared photothermal ablation of primary orthotopic EMT6 breast tumors in syngeneic BALB/cJ mice using an annexin A5 (ANXA5) functionalized SWCNT bioconjugate synergistically enhances an anti-cytotoxic T-lymphocyte-associated protein 4 (anti-CTLA-4)-dependent abscopal response, resulting in an increased survival (55%) at 100 days after tumor inoculation. In comparison, there was no survival at 100 days for either photothermal therapy by itself or immunostimulation by itself. Prior to photothermal therapy, the SWCNT-ANXA5 bioconjugate was administered systemically at a relatively low dose of 1.2 mg/kg, where it then accumulated in tumor vasculature via ANXA5-dependent binding. During photothermal therapy, the average maximum temperature in the tumor reached 54 °C (duration 175 s). The mechanism of prolonged survival resulting from combinatorial photothermal ablation and immune stimulation was evaluated by flow cytometric quantification of splenic antitumoral immune effector cells and serum cytokine quantification.","container-title":"Nanoscale Research Letters","DOI":"10.1186/s11671-020-03459-x","ISSN":"1556-276X","issue":"1","journalAbbreviation":"Nanoscale Research Letters","page":"9","title":"Targeted Single-Walled Carbon Nanotubes for Photothermal Therapy Combined with Immune Checkpoint Inhibition for the Treatment of Metastatic Breast Cancer","volume":"16","author":[{"family":"McKernan","given":"Patrick"},{"family":"Virani","given":"Needa A."},{"family":"Faria","given":"Gabriela N. F."},{"family":"Karch","given":"Clément G."},{"family":"Prada Silvy","given":"Ricardo"},{"family":"Resasco","given":"Daniel E."},{"family":"Thompson","given":"Linda F."},{"family":"Harrison","given":"Roger G."}],"issued":{"date-parts":[["2021",1,7]]}}}],"schema":"https://github.com/citation-style-language/schema/raw/master/csl-citation.json"} </w:instrText>
      </w:r>
      <w:r w:rsidRPr="00D74025">
        <w:rPr>
          <w:rFonts w:ascii="Arial" w:eastAsiaTheme="minorEastAsia" w:hAnsi="Arial" w:cs="Arial"/>
          <w:color w:val="000000" w:themeColor="text1"/>
        </w:rPr>
        <w:fldChar w:fldCharType="separate"/>
      </w:r>
      <w:r w:rsidR="000F4F53" w:rsidRPr="000F4F53">
        <w:rPr>
          <w:rFonts w:ascii="Arial" w:hAnsi="Arial" w:cs="Arial"/>
          <w:color w:val="000000"/>
          <w:vertAlign w:val="superscript"/>
        </w:rPr>
        <w:t>283</w:t>
      </w:r>
      <w:r w:rsidRPr="00D74025">
        <w:rPr>
          <w:rFonts w:ascii="Arial" w:eastAsiaTheme="minorEastAsia" w:hAnsi="Arial" w:cs="Arial"/>
          <w:color w:val="000000" w:themeColor="text1"/>
        </w:rPr>
        <w:fldChar w:fldCharType="end"/>
      </w:r>
      <w:r w:rsidRPr="00D74025">
        <w:rPr>
          <w:rFonts w:ascii="Arial" w:eastAsiaTheme="minorEastAsia" w:hAnsi="Arial" w:cs="Arial"/>
          <w:color w:val="000000" w:themeColor="text1"/>
        </w:rPr>
        <w:t xml:space="preserve"> treated BALB/</w:t>
      </w:r>
      <w:proofErr w:type="spellStart"/>
      <w:r w:rsidRPr="00D74025">
        <w:rPr>
          <w:rFonts w:ascii="Arial" w:eastAsiaTheme="minorEastAsia" w:hAnsi="Arial" w:cs="Arial"/>
          <w:color w:val="000000" w:themeColor="text1"/>
        </w:rPr>
        <w:t>cJ</w:t>
      </w:r>
      <w:proofErr w:type="spellEnd"/>
      <w:r w:rsidRPr="00D74025">
        <w:rPr>
          <w:rFonts w:ascii="Arial" w:eastAsiaTheme="minorEastAsia" w:hAnsi="Arial" w:cs="Arial"/>
          <w:color w:val="000000" w:themeColor="text1"/>
        </w:rPr>
        <w:t xml:space="preserve"> mice bearing EMT6 tumors with SWCNT-ANXA5 mediated photothermal therapy in combination with checkpoint inhibition of anti-CTLA-4. EMT6 tumors were induced orthotopically, as previously described. Tumors were allowed to grow for 12 days, and when they reached a volume of 60 mm</w:t>
      </w:r>
      <w:r w:rsidRPr="00D74025">
        <w:rPr>
          <w:rFonts w:ascii="Arial" w:eastAsiaTheme="minorEastAsia" w:hAnsi="Arial" w:cs="Arial"/>
          <w:color w:val="000000" w:themeColor="text1"/>
          <w:vertAlign w:val="superscript"/>
        </w:rPr>
        <w:t>3</w:t>
      </w:r>
      <w:r w:rsidRPr="00D74025">
        <w:rPr>
          <w:rFonts w:ascii="Arial" w:eastAsiaTheme="minorEastAsia" w:hAnsi="Arial" w:cs="Arial"/>
          <w:color w:val="000000" w:themeColor="text1"/>
        </w:rPr>
        <w:t xml:space="preserve"> (~ 5 mm in diameter), mice received a systemic </w:t>
      </w:r>
      <w:proofErr w:type="spellStart"/>
      <w:r w:rsidRPr="00D74025">
        <w:rPr>
          <w:rFonts w:ascii="Arial" w:eastAsiaTheme="minorEastAsia" w:hAnsi="Arial" w:cs="Arial"/>
          <w:color w:val="000000" w:themeColor="text1"/>
        </w:rPr>
        <w:t>i.v.</w:t>
      </w:r>
      <w:proofErr w:type="spellEnd"/>
      <w:r w:rsidRPr="00D74025">
        <w:rPr>
          <w:rFonts w:ascii="Arial" w:eastAsiaTheme="minorEastAsia" w:hAnsi="Arial" w:cs="Arial"/>
          <w:color w:val="000000" w:themeColor="text1"/>
        </w:rPr>
        <w:t xml:space="preserve"> Injection of 1.2 mg/kg of SWCNT-ANXA5 (mg SWCNT per kg body weight) bioconjugate via the lateral tail vein. After 3 h, a region 5 mm around the tumor boundary was irradiated with NIR light (980 nm) at an energy and power level of 175 J/cm</w:t>
      </w:r>
      <w:r w:rsidRPr="00D74025">
        <w:rPr>
          <w:rFonts w:ascii="Arial" w:eastAsiaTheme="minorEastAsia" w:hAnsi="Arial" w:cs="Arial"/>
          <w:color w:val="000000" w:themeColor="text1"/>
          <w:vertAlign w:val="superscript"/>
        </w:rPr>
        <w:t>2</w:t>
      </w:r>
      <w:r w:rsidRPr="00D74025">
        <w:rPr>
          <w:rFonts w:ascii="Arial" w:eastAsiaTheme="minorEastAsia" w:hAnsi="Arial" w:cs="Arial"/>
          <w:color w:val="000000" w:themeColor="text1"/>
        </w:rPr>
        <w:t xml:space="preserve"> and 1 W/cm</w:t>
      </w:r>
      <w:r w:rsidRPr="00D74025">
        <w:rPr>
          <w:rFonts w:ascii="Arial" w:eastAsiaTheme="minorEastAsia" w:hAnsi="Arial" w:cs="Arial"/>
          <w:color w:val="000000" w:themeColor="text1"/>
          <w:vertAlign w:val="superscript"/>
        </w:rPr>
        <w:t>2</w:t>
      </w:r>
      <w:r w:rsidRPr="00D74025">
        <w:rPr>
          <w:rFonts w:ascii="Arial" w:eastAsiaTheme="minorEastAsia" w:hAnsi="Arial" w:cs="Arial"/>
          <w:color w:val="000000" w:themeColor="text1"/>
        </w:rPr>
        <w:t xml:space="preserve">, respectively (time of 175 s; Diodevet-50 NIR laser, B&amp;W Tek Inc., Newark, DE). </w:t>
      </w:r>
      <w:r w:rsidRPr="00D74025">
        <w:rPr>
          <w:rFonts w:ascii="Arial" w:eastAsiaTheme="minorEastAsia" w:hAnsi="Arial" w:cs="Arial"/>
          <w:color w:val="000000" w:themeColor="text1"/>
        </w:rPr>
        <w:lastRenderedPageBreak/>
        <w:t xml:space="preserve">Checkpoint inhibition was accomplished by serial </w:t>
      </w:r>
      <w:proofErr w:type="spellStart"/>
      <w:r w:rsidRPr="00D74025">
        <w:rPr>
          <w:rFonts w:ascii="Arial" w:eastAsiaTheme="minorEastAsia" w:hAnsi="Arial" w:cs="Arial"/>
          <w:color w:val="000000" w:themeColor="text1"/>
        </w:rPr>
        <w:t>i.p.</w:t>
      </w:r>
      <w:proofErr w:type="spellEnd"/>
      <w:r w:rsidRPr="00D74025">
        <w:rPr>
          <w:rFonts w:ascii="Arial" w:eastAsiaTheme="minorEastAsia" w:hAnsi="Arial" w:cs="Arial"/>
          <w:color w:val="000000" w:themeColor="text1"/>
        </w:rPr>
        <w:t xml:space="preserve"> administration of 200 µg anti-CTLA-4 antibody in 100 µl of PBS on days 8, 11, and 16 following tumor inoculation. Mice were separated into five groups (n = 5):</w:t>
      </w:r>
    </w:p>
    <w:p w14:paraId="62C7DF3D" w14:textId="77777777" w:rsidR="00BE6341" w:rsidRPr="00D74025" w:rsidRDefault="00BE6341" w:rsidP="00472F9F">
      <w:pPr>
        <w:spacing w:line="360" w:lineRule="auto"/>
        <w:ind w:firstLine="1440"/>
        <w:jc w:val="both"/>
        <w:rPr>
          <w:rFonts w:ascii="Arial" w:eastAsiaTheme="minorEastAsia" w:hAnsi="Arial" w:cs="Arial"/>
          <w:color w:val="000000" w:themeColor="text1"/>
        </w:rPr>
      </w:pPr>
    </w:p>
    <w:p w14:paraId="7DA73340" w14:textId="294437C2" w:rsidR="00A50463" w:rsidRPr="00D97547" w:rsidRDefault="00D97547" w:rsidP="00D97547">
      <w:pPr>
        <w:pStyle w:val="ListParagraph"/>
        <w:spacing w:line="360" w:lineRule="auto"/>
        <w:ind w:left="0" w:firstLine="0"/>
        <w:rPr>
          <w:rFonts w:ascii="Arial" w:eastAsiaTheme="minorEastAsia" w:hAnsi="Arial" w:cs="Arial"/>
          <w:b/>
          <w:bCs/>
          <w:color w:val="000000" w:themeColor="text1"/>
        </w:rPr>
      </w:pPr>
      <w:r w:rsidRPr="00D97547">
        <w:rPr>
          <w:rFonts w:ascii="Arial" w:eastAsiaTheme="minorEastAsia" w:hAnsi="Arial" w:cs="Arial"/>
          <w:color w:val="000000" w:themeColor="text1"/>
        </w:rPr>
        <w:t>1</w:t>
      </w:r>
      <w:r>
        <w:rPr>
          <w:rFonts w:ascii="Arial" w:eastAsiaTheme="minorEastAsia" w:hAnsi="Arial" w:cs="Arial"/>
          <w:color w:val="000000" w:themeColor="text1"/>
        </w:rPr>
        <w:t xml:space="preserve"> </w:t>
      </w:r>
      <w:r w:rsidRPr="00D97547">
        <w:rPr>
          <w:rFonts w:ascii="Arial" w:eastAsiaTheme="minorEastAsia" w:hAnsi="Arial" w:cs="Arial"/>
          <w:color w:val="000000" w:themeColor="text1"/>
        </w:rPr>
        <w:t>-</w:t>
      </w:r>
      <w:r>
        <w:rPr>
          <w:rFonts w:ascii="Arial" w:eastAsiaTheme="minorEastAsia" w:hAnsi="Arial" w:cs="Arial"/>
          <w:b/>
          <w:bCs/>
          <w:color w:val="000000" w:themeColor="text1"/>
        </w:rPr>
        <w:t xml:space="preserve"> </w:t>
      </w:r>
      <w:r w:rsidR="00A50463" w:rsidRPr="00D97547">
        <w:rPr>
          <w:rFonts w:ascii="Arial" w:eastAsiaTheme="minorEastAsia" w:hAnsi="Arial" w:cs="Arial"/>
          <w:b/>
          <w:bCs/>
          <w:color w:val="000000" w:themeColor="text1"/>
        </w:rPr>
        <w:t>Control:</w:t>
      </w:r>
      <w:r w:rsidR="00A50463" w:rsidRPr="00D97547">
        <w:rPr>
          <w:rFonts w:ascii="Arial" w:eastAsiaTheme="minorEastAsia" w:hAnsi="Arial" w:cs="Arial"/>
          <w:color w:val="000000" w:themeColor="text1"/>
        </w:rPr>
        <w:t xml:space="preserve"> untreated group. </w:t>
      </w:r>
    </w:p>
    <w:p w14:paraId="2B13D5CE" w14:textId="391BC4A0" w:rsidR="00D97547" w:rsidRDefault="00D97547" w:rsidP="00D97547">
      <w:pPr>
        <w:pStyle w:val="ListParagraph"/>
        <w:spacing w:line="360" w:lineRule="auto"/>
        <w:ind w:left="0" w:firstLine="0"/>
        <w:rPr>
          <w:rFonts w:ascii="Arial" w:eastAsiaTheme="minorEastAsia" w:hAnsi="Arial" w:cs="Arial"/>
          <w:color w:val="000000" w:themeColor="text1"/>
        </w:rPr>
      </w:pPr>
      <w:r w:rsidRPr="00D97547">
        <w:rPr>
          <w:rFonts w:ascii="Arial" w:eastAsiaTheme="minorEastAsia" w:hAnsi="Arial" w:cs="Arial"/>
          <w:color w:val="000000" w:themeColor="text1"/>
        </w:rPr>
        <w:t>2</w:t>
      </w:r>
      <w:r>
        <w:rPr>
          <w:rFonts w:ascii="Arial" w:eastAsiaTheme="minorEastAsia" w:hAnsi="Arial" w:cs="Arial"/>
          <w:color w:val="000000" w:themeColor="text1"/>
        </w:rPr>
        <w:t xml:space="preserve"> </w:t>
      </w:r>
      <w:r w:rsidRPr="00D97547">
        <w:rPr>
          <w:rFonts w:ascii="Arial" w:eastAsiaTheme="minorEastAsia" w:hAnsi="Arial" w:cs="Arial"/>
          <w:color w:val="000000" w:themeColor="text1"/>
        </w:rPr>
        <w:t>-</w:t>
      </w:r>
      <w:r>
        <w:rPr>
          <w:rFonts w:ascii="Arial" w:eastAsiaTheme="minorEastAsia" w:hAnsi="Arial" w:cs="Arial"/>
          <w:b/>
          <w:bCs/>
          <w:color w:val="000000" w:themeColor="text1"/>
        </w:rPr>
        <w:t xml:space="preserve"> </w:t>
      </w:r>
      <w:r w:rsidR="00A50463" w:rsidRPr="00D97547">
        <w:rPr>
          <w:rFonts w:ascii="Arial" w:eastAsiaTheme="minorEastAsia" w:hAnsi="Arial" w:cs="Arial"/>
          <w:b/>
          <w:bCs/>
          <w:color w:val="000000" w:themeColor="text1"/>
        </w:rPr>
        <w:t>SWCNT:</w:t>
      </w:r>
      <w:r w:rsidR="00A50463" w:rsidRPr="00D97547">
        <w:rPr>
          <w:rFonts w:ascii="Arial" w:eastAsiaTheme="minorEastAsia" w:hAnsi="Arial" w:cs="Arial"/>
          <w:color w:val="000000" w:themeColor="text1"/>
        </w:rPr>
        <w:t xml:space="preserve"> mice injected with SWCNT-ANXA5.</w:t>
      </w:r>
    </w:p>
    <w:p w14:paraId="54982AB9" w14:textId="7952FBF9" w:rsidR="00A50463" w:rsidRPr="00D97547" w:rsidRDefault="00D97547" w:rsidP="00D97547">
      <w:pPr>
        <w:pStyle w:val="ListParagraph"/>
        <w:spacing w:line="360" w:lineRule="auto"/>
        <w:ind w:left="0" w:firstLine="0"/>
        <w:rPr>
          <w:rFonts w:ascii="Arial" w:eastAsiaTheme="minorEastAsia" w:hAnsi="Arial" w:cs="Arial"/>
          <w:color w:val="000000" w:themeColor="text1"/>
        </w:rPr>
      </w:pPr>
      <w:r>
        <w:rPr>
          <w:rFonts w:ascii="Arial" w:eastAsiaTheme="minorEastAsia" w:hAnsi="Arial" w:cs="Arial"/>
          <w:color w:val="000000" w:themeColor="text1"/>
        </w:rPr>
        <w:t xml:space="preserve">3 - </w:t>
      </w:r>
      <w:r w:rsidR="005D79FB" w:rsidRPr="00D74025">
        <w:rPr>
          <w:rFonts w:eastAsiaTheme="minorEastAsia"/>
          <w:b/>
          <w:bCs/>
        </w:rPr>
        <w:sym w:font="Symbol" w:char="F061"/>
      </w:r>
      <w:r w:rsidR="005D79FB" w:rsidRPr="00D97547">
        <w:rPr>
          <w:rFonts w:ascii="Arial" w:eastAsiaTheme="minorEastAsia" w:hAnsi="Arial" w:cs="Arial"/>
          <w:b/>
          <w:bCs/>
          <w:color w:val="000000" w:themeColor="text1"/>
        </w:rPr>
        <w:t>-CTLA-4:</w:t>
      </w:r>
      <w:r w:rsidR="005D79FB" w:rsidRPr="00D97547">
        <w:rPr>
          <w:rFonts w:ascii="Arial" w:eastAsiaTheme="minorEastAsia" w:hAnsi="Arial" w:cs="Arial"/>
          <w:color w:val="000000" w:themeColor="text1"/>
        </w:rPr>
        <w:t xml:space="preserve"> m</w:t>
      </w:r>
      <w:r w:rsidR="00A50463" w:rsidRPr="00D97547">
        <w:rPr>
          <w:rFonts w:ascii="Arial" w:eastAsiaTheme="minorEastAsia" w:hAnsi="Arial" w:cs="Arial"/>
          <w:color w:val="000000" w:themeColor="text1"/>
        </w:rPr>
        <w:t>ice injected with anti-CTLA-4</w:t>
      </w:r>
    </w:p>
    <w:p w14:paraId="676937E1" w14:textId="7F997517" w:rsidR="00A50463" w:rsidRPr="00D74025" w:rsidRDefault="00D97547" w:rsidP="00D97547">
      <w:pPr>
        <w:pStyle w:val="ListParagraph"/>
        <w:spacing w:line="360" w:lineRule="auto"/>
        <w:ind w:left="0" w:firstLine="0"/>
        <w:rPr>
          <w:rFonts w:ascii="Arial" w:eastAsiaTheme="minorEastAsia" w:hAnsi="Arial" w:cs="Arial"/>
          <w:color w:val="000000" w:themeColor="text1"/>
        </w:rPr>
      </w:pPr>
      <w:r w:rsidRPr="00D97547">
        <w:rPr>
          <w:rFonts w:ascii="Arial" w:eastAsiaTheme="minorEastAsia" w:hAnsi="Arial" w:cs="Arial"/>
          <w:color w:val="000000" w:themeColor="text1"/>
        </w:rPr>
        <w:t>4</w:t>
      </w:r>
      <w:r>
        <w:rPr>
          <w:rFonts w:ascii="Arial" w:eastAsiaTheme="minorEastAsia" w:hAnsi="Arial" w:cs="Arial"/>
          <w:color w:val="000000" w:themeColor="text1"/>
        </w:rPr>
        <w:t xml:space="preserve"> </w:t>
      </w:r>
      <w:r w:rsidRPr="00D97547">
        <w:rPr>
          <w:rFonts w:ascii="Arial" w:eastAsiaTheme="minorEastAsia" w:hAnsi="Arial" w:cs="Arial"/>
          <w:color w:val="000000" w:themeColor="text1"/>
        </w:rPr>
        <w:t>-</w:t>
      </w:r>
      <w:r>
        <w:rPr>
          <w:rFonts w:ascii="Arial" w:eastAsiaTheme="minorEastAsia" w:hAnsi="Arial" w:cs="Arial"/>
          <w:b/>
          <w:bCs/>
          <w:color w:val="000000" w:themeColor="text1"/>
        </w:rPr>
        <w:t xml:space="preserve"> </w:t>
      </w:r>
      <w:r w:rsidR="00A50463" w:rsidRPr="00D74025">
        <w:rPr>
          <w:rFonts w:ascii="Arial" w:eastAsiaTheme="minorEastAsia" w:hAnsi="Arial" w:cs="Arial"/>
          <w:b/>
          <w:bCs/>
          <w:color w:val="000000" w:themeColor="text1"/>
        </w:rPr>
        <w:t>PTT:</w:t>
      </w:r>
      <w:r w:rsidR="00A50463" w:rsidRPr="00D74025">
        <w:rPr>
          <w:rFonts w:ascii="Arial" w:eastAsiaTheme="minorEastAsia" w:hAnsi="Arial" w:cs="Arial"/>
          <w:color w:val="000000" w:themeColor="text1"/>
        </w:rPr>
        <w:t xml:space="preserve"> </w:t>
      </w:r>
      <w:r w:rsidR="005D79FB" w:rsidRPr="00D74025">
        <w:rPr>
          <w:rFonts w:ascii="Arial" w:eastAsiaTheme="minorEastAsia" w:hAnsi="Arial" w:cs="Arial"/>
          <w:color w:val="000000" w:themeColor="text1"/>
        </w:rPr>
        <w:t>m</w:t>
      </w:r>
      <w:r w:rsidR="00A50463" w:rsidRPr="00D74025">
        <w:rPr>
          <w:rFonts w:ascii="Arial" w:eastAsiaTheme="minorEastAsia" w:hAnsi="Arial" w:cs="Arial"/>
          <w:color w:val="000000" w:themeColor="text1"/>
        </w:rPr>
        <w:t>ice injected with SWCNT-ANXA5 and treated with photothermal therapy.</w:t>
      </w:r>
    </w:p>
    <w:p w14:paraId="4AB5C39C" w14:textId="3D2DFA74" w:rsidR="00A50463" w:rsidRPr="00D74025" w:rsidRDefault="00D97547" w:rsidP="00D97547">
      <w:pPr>
        <w:pStyle w:val="ListParagraph"/>
        <w:spacing w:line="360" w:lineRule="auto"/>
        <w:ind w:left="0" w:firstLine="0"/>
        <w:rPr>
          <w:rFonts w:ascii="Arial" w:eastAsiaTheme="minorEastAsia" w:hAnsi="Arial" w:cs="Arial"/>
          <w:color w:val="000000" w:themeColor="text1"/>
        </w:rPr>
      </w:pPr>
      <w:r w:rsidRPr="00D97547">
        <w:rPr>
          <w:rFonts w:ascii="Arial" w:eastAsiaTheme="minorEastAsia" w:hAnsi="Arial" w:cs="Arial"/>
          <w:color w:val="000000" w:themeColor="text1"/>
        </w:rPr>
        <w:t>5</w:t>
      </w:r>
      <w:r>
        <w:rPr>
          <w:rFonts w:ascii="Arial" w:eastAsiaTheme="minorEastAsia" w:hAnsi="Arial" w:cs="Arial"/>
          <w:color w:val="000000" w:themeColor="text1"/>
        </w:rPr>
        <w:t xml:space="preserve"> </w:t>
      </w:r>
      <w:r w:rsidRPr="00D97547">
        <w:rPr>
          <w:rFonts w:ascii="Arial" w:eastAsiaTheme="minorEastAsia" w:hAnsi="Arial" w:cs="Arial"/>
          <w:color w:val="000000" w:themeColor="text1"/>
        </w:rPr>
        <w:t xml:space="preserve">- </w:t>
      </w:r>
      <w:r w:rsidR="005D79FB" w:rsidRPr="00D74025">
        <w:rPr>
          <w:rFonts w:ascii="Arial" w:eastAsiaTheme="minorEastAsia" w:hAnsi="Arial" w:cs="Arial"/>
          <w:b/>
          <w:bCs/>
          <w:color w:val="000000" w:themeColor="text1"/>
        </w:rPr>
        <w:sym w:font="Symbol" w:char="F061"/>
      </w:r>
      <w:r w:rsidR="005D79FB" w:rsidRPr="00D74025">
        <w:rPr>
          <w:rFonts w:ascii="Arial" w:eastAsiaTheme="minorEastAsia" w:hAnsi="Arial" w:cs="Arial"/>
          <w:b/>
          <w:bCs/>
          <w:color w:val="000000" w:themeColor="text1"/>
        </w:rPr>
        <w:t>-CTLA-4 &amp; PTT:</w:t>
      </w:r>
      <w:r w:rsidR="005D79FB" w:rsidRPr="00D74025">
        <w:rPr>
          <w:rFonts w:ascii="Arial" w:eastAsiaTheme="minorEastAsia" w:hAnsi="Arial" w:cs="Arial"/>
          <w:color w:val="000000" w:themeColor="text1"/>
        </w:rPr>
        <w:t xml:space="preserve"> m</w:t>
      </w:r>
      <w:r w:rsidR="00A50463" w:rsidRPr="00D74025">
        <w:rPr>
          <w:rFonts w:ascii="Arial" w:eastAsiaTheme="minorEastAsia" w:hAnsi="Arial" w:cs="Arial"/>
          <w:color w:val="000000" w:themeColor="text1"/>
        </w:rPr>
        <w:t>ice injected with SW</w:t>
      </w:r>
      <w:r w:rsidR="005D79FB" w:rsidRPr="00D74025">
        <w:rPr>
          <w:rFonts w:ascii="Arial" w:eastAsiaTheme="minorEastAsia" w:hAnsi="Arial" w:cs="Arial"/>
          <w:color w:val="000000" w:themeColor="text1"/>
        </w:rPr>
        <w:t>C</w:t>
      </w:r>
      <w:r w:rsidR="00A50463" w:rsidRPr="00D74025">
        <w:rPr>
          <w:rFonts w:ascii="Arial" w:eastAsiaTheme="minorEastAsia" w:hAnsi="Arial" w:cs="Arial"/>
          <w:color w:val="000000" w:themeColor="text1"/>
        </w:rPr>
        <w:t>NT-ANXA5 and anti-CTLA-4 and treated with PTT.</w:t>
      </w:r>
    </w:p>
    <w:p w14:paraId="602FF168" w14:textId="77777777" w:rsidR="00E20EDF" w:rsidRPr="00D74025" w:rsidRDefault="00E20EDF" w:rsidP="00A50463">
      <w:pPr>
        <w:spacing w:line="360" w:lineRule="auto"/>
        <w:ind w:firstLine="1440"/>
        <w:jc w:val="both"/>
        <w:rPr>
          <w:rFonts w:ascii="Arial" w:eastAsiaTheme="minorEastAsia" w:hAnsi="Arial" w:cs="Arial"/>
          <w:color w:val="000000" w:themeColor="text1"/>
        </w:rPr>
      </w:pPr>
    </w:p>
    <w:p w14:paraId="2339CAFA" w14:textId="4D86FAB2" w:rsidR="00E20EDF" w:rsidRPr="00D74025" w:rsidRDefault="00E20EDF" w:rsidP="00E20EDF">
      <w:pPr>
        <w:spacing w:line="360" w:lineRule="auto"/>
        <w:ind w:firstLine="1440"/>
        <w:jc w:val="both"/>
        <w:rPr>
          <w:rFonts w:ascii="Arial" w:eastAsiaTheme="minorEastAsia" w:hAnsi="Arial" w:cs="Arial"/>
          <w:color w:val="000000" w:themeColor="text1"/>
        </w:rPr>
      </w:pPr>
      <w:r w:rsidRPr="00D74025">
        <w:rPr>
          <w:rFonts w:ascii="Arial" w:eastAsiaTheme="minorEastAsia" w:hAnsi="Arial" w:cs="Arial"/>
          <w:color w:val="000000" w:themeColor="text1"/>
        </w:rPr>
        <w:t xml:space="preserve">Seven days </w:t>
      </w:r>
      <w:r w:rsidR="00421A3B" w:rsidRPr="00D74025">
        <w:rPr>
          <w:rFonts w:ascii="Arial" w:eastAsiaTheme="minorEastAsia" w:hAnsi="Arial" w:cs="Arial"/>
          <w:color w:val="000000" w:themeColor="text1"/>
        </w:rPr>
        <w:t>after</w:t>
      </w:r>
      <w:r w:rsidRPr="00D74025">
        <w:rPr>
          <w:rFonts w:ascii="Arial" w:eastAsiaTheme="minorEastAsia" w:hAnsi="Arial" w:cs="Arial"/>
          <w:color w:val="000000" w:themeColor="text1"/>
        </w:rPr>
        <w:t xml:space="preserve"> photothermal therapy, mice were euthanized for blood collection. Taken samples were centrifugated to collect the serum, and enzyme-linked immunosorbent assays (ELISA) were performed to quantify serum levels of proinflammatory cytokines (TNF-</w:t>
      </w:r>
      <w:r w:rsidRPr="00D74025">
        <w:rPr>
          <w:rFonts w:ascii="Arial" w:eastAsiaTheme="minorEastAsia" w:hAnsi="Arial" w:cs="Arial"/>
          <w:color w:val="000000" w:themeColor="text1"/>
        </w:rPr>
        <w:sym w:font="Symbol" w:char="F061"/>
      </w:r>
      <w:r w:rsidRPr="00D74025">
        <w:rPr>
          <w:rFonts w:ascii="Arial" w:eastAsiaTheme="minorEastAsia" w:hAnsi="Arial" w:cs="Arial"/>
          <w:color w:val="000000" w:themeColor="text1"/>
        </w:rPr>
        <w:t>, IL-6, IFN-</w:t>
      </w:r>
      <w:r w:rsidRPr="00D74025">
        <w:rPr>
          <w:rFonts w:ascii="Arial" w:eastAsiaTheme="minorEastAsia" w:hAnsi="Arial" w:cs="Arial"/>
          <w:color w:val="000000" w:themeColor="text1"/>
        </w:rPr>
        <w:sym w:font="Symbol" w:char="F067"/>
      </w:r>
      <w:r w:rsidRPr="00D74025">
        <w:rPr>
          <w:rFonts w:ascii="Arial" w:eastAsiaTheme="minorEastAsia" w:hAnsi="Arial" w:cs="Arial"/>
          <w:color w:val="000000" w:themeColor="text1"/>
        </w:rPr>
        <w:t xml:space="preserve"> and IL-12 [p70]). Standard curves were obtained for each cytokine to quantify the concentration in serum samples.   </w:t>
      </w:r>
    </w:p>
    <w:p w14:paraId="0138B37E" w14:textId="77777777" w:rsidR="00FA220C" w:rsidRPr="00D74025" w:rsidRDefault="00FA220C" w:rsidP="007F36F9">
      <w:pPr>
        <w:spacing w:line="360" w:lineRule="auto"/>
        <w:ind w:firstLine="1440"/>
        <w:jc w:val="both"/>
        <w:rPr>
          <w:rFonts w:ascii="Arial" w:eastAsiaTheme="minorEastAsia" w:hAnsi="Arial" w:cs="Arial"/>
          <w:color w:val="000000" w:themeColor="text1"/>
        </w:rPr>
      </w:pPr>
    </w:p>
    <w:p w14:paraId="51E54791" w14:textId="77777777" w:rsidR="002F77E3" w:rsidRPr="00D74025" w:rsidRDefault="002F77E3" w:rsidP="007F36F9">
      <w:pPr>
        <w:spacing w:line="360" w:lineRule="auto"/>
        <w:ind w:firstLine="1440"/>
        <w:jc w:val="both"/>
        <w:rPr>
          <w:rFonts w:ascii="Arial" w:eastAsiaTheme="minorEastAsia" w:hAnsi="Arial" w:cs="Arial"/>
          <w:color w:val="000000" w:themeColor="text1"/>
        </w:rPr>
      </w:pPr>
    </w:p>
    <w:p w14:paraId="7EC571E1" w14:textId="664E264D" w:rsidR="00DA01DA" w:rsidRPr="005A0279" w:rsidRDefault="006C3CAB" w:rsidP="005A0279">
      <w:pPr>
        <w:pStyle w:val="Heading3"/>
        <w:rPr>
          <w:rFonts w:ascii="Arial" w:eastAsiaTheme="minorEastAsia" w:hAnsi="Arial" w:cs="Arial"/>
          <w:b/>
          <w:bCs/>
          <w:color w:val="000000" w:themeColor="text1"/>
        </w:rPr>
      </w:pPr>
      <w:bookmarkStart w:id="88" w:name="_Toc121217257"/>
      <w:r w:rsidRPr="005A0279">
        <w:rPr>
          <w:rFonts w:ascii="Arial" w:eastAsiaTheme="minorEastAsia" w:hAnsi="Arial" w:cs="Arial"/>
          <w:b/>
          <w:bCs/>
          <w:color w:val="000000" w:themeColor="text1"/>
        </w:rPr>
        <w:t>2.</w:t>
      </w:r>
      <w:r w:rsidR="005A0279">
        <w:rPr>
          <w:rFonts w:ascii="Arial" w:eastAsiaTheme="minorEastAsia" w:hAnsi="Arial" w:cs="Arial"/>
          <w:b/>
          <w:bCs/>
          <w:color w:val="000000" w:themeColor="text1"/>
        </w:rPr>
        <w:t>5.4</w:t>
      </w:r>
      <w:r w:rsidRPr="005A0279">
        <w:rPr>
          <w:rFonts w:ascii="Arial" w:eastAsiaTheme="minorEastAsia" w:hAnsi="Arial" w:cs="Arial"/>
          <w:b/>
          <w:bCs/>
          <w:color w:val="000000" w:themeColor="text1"/>
        </w:rPr>
        <w:t xml:space="preserve"> </w:t>
      </w:r>
      <w:r w:rsidR="007D23B9" w:rsidRPr="005A0279">
        <w:rPr>
          <w:rFonts w:ascii="Arial" w:eastAsiaTheme="minorEastAsia" w:hAnsi="Arial" w:cs="Arial"/>
          <w:b/>
          <w:bCs/>
          <w:color w:val="000000" w:themeColor="text1"/>
        </w:rPr>
        <w:t>Cytokine release related to i</w:t>
      </w:r>
      <w:r w:rsidR="00A8248B" w:rsidRPr="005A0279">
        <w:rPr>
          <w:rFonts w:ascii="Arial" w:eastAsiaTheme="minorEastAsia" w:hAnsi="Arial" w:cs="Arial"/>
          <w:b/>
          <w:bCs/>
          <w:color w:val="000000" w:themeColor="text1"/>
        </w:rPr>
        <w:t xml:space="preserve">ntravenous versus </w:t>
      </w:r>
      <w:proofErr w:type="spellStart"/>
      <w:r w:rsidR="00A8248B" w:rsidRPr="005A0279">
        <w:rPr>
          <w:rFonts w:ascii="Arial" w:eastAsiaTheme="minorEastAsia" w:hAnsi="Arial" w:cs="Arial"/>
          <w:b/>
          <w:bCs/>
          <w:color w:val="000000" w:themeColor="text1"/>
        </w:rPr>
        <w:t>intratumoral</w:t>
      </w:r>
      <w:proofErr w:type="spellEnd"/>
      <w:r w:rsidR="00A8248B" w:rsidRPr="005A0279">
        <w:rPr>
          <w:rFonts w:ascii="Arial" w:eastAsiaTheme="minorEastAsia" w:hAnsi="Arial" w:cs="Arial"/>
          <w:b/>
          <w:bCs/>
          <w:color w:val="000000" w:themeColor="text1"/>
        </w:rPr>
        <w:t xml:space="preserve"> </w:t>
      </w:r>
      <w:r w:rsidR="00DC56A8" w:rsidRPr="005A0279">
        <w:rPr>
          <w:rFonts w:ascii="Arial" w:eastAsiaTheme="minorEastAsia" w:hAnsi="Arial" w:cs="Arial"/>
          <w:b/>
          <w:bCs/>
          <w:color w:val="000000" w:themeColor="text1"/>
        </w:rPr>
        <w:t xml:space="preserve">injection </w:t>
      </w:r>
      <w:r w:rsidR="00A8248B" w:rsidRPr="005A0279">
        <w:rPr>
          <w:rFonts w:ascii="Arial" w:eastAsiaTheme="minorEastAsia" w:hAnsi="Arial" w:cs="Arial"/>
          <w:b/>
          <w:bCs/>
          <w:color w:val="000000" w:themeColor="text1"/>
        </w:rPr>
        <w:t>in EMT6 tumor</w:t>
      </w:r>
      <w:r w:rsidR="007D23B9" w:rsidRPr="005A0279">
        <w:rPr>
          <w:rFonts w:ascii="Arial" w:eastAsiaTheme="minorEastAsia" w:hAnsi="Arial" w:cs="Arial"/>
          <w:b/>
          <w:bCs/>
          <w:color w:val="000000" w:themeColor="text1"/>
        </w:rPr>
        <w:t xml:space="preserve"> bearing mice</w:t>
      </w:r>
      <w:bookmarkEnd w:id="88"/>
    </w:p>
    <w:p w14:paraId="440E0987" w14:textId="77777777" w:rsidR="003F39B3" w:rsidRPr="00D74025" w:rsidRDefault="003F39B3" w:rsidP="003F39B3">
      <w:pPr>
        <w:spacing w:line="360" w:lineRule="auto"/>
        <w:jc w:val="both"/>
        <w:rPr>
          <w:rFonts w:ascii="Arial" w:eastAsiaTheme="minorEastAsia" w:hAnsi="Arial" w:cs="Arial"/>
          <w:color w:val="000000" w:themeColor="text1"/>
        </w:rPr>
      </w:pPr>
    </w:p>
    <w:p w14:paraId="63C08EA8" w14:textId="77777777" w:rsidR="003F39B3" w:rsidRPr="00D74025" w:rsidRDefault="003F39B3" w:rsidP="003F39B3">
      <w:pPr>
        <w:spacing w:line="360" w:lineRule="auto"/>
        <w:jc w:val="both"/>
        <w:rPr>
          <w:rFonts w:ascii="Arial" w:eastAsiaTheme="minorEastAsia" w:hAnsi="Arial" w:cs="Arial"/>
          <w:color w:val="000000" w:themeColor="text1"/>
        </w:rPr>
      </w:pPr>
    </w:p>
    <w:p w14:paraId="2B76A8DA" w14:textId="77777777" w:rsidR="00D409FC" w:rsidRPr="00D74025" w:rsidRDefault="00D409FC" w:rsidP="00D409FC">
      <w:pPr>
        <w:spacing w:line="360" w:lineRule="auto"/>
        <w:ind w:firstLine="1440"/>
        <w:jc w:val="both"/>
        <w:rPr>
          <w:rFonts w:ascii="Arial" w:eastAsiaTheme="minorEastAsia" w:hAnsi="Arial" w:cs="Arial"/>
          <w:color w:val="000000" w:themeColor="text1"/>
        </w:rPr>
      </w:pPr>
      <w:r w:rsidRPr="00D74025">
        <w:rPr>
          <w:rFonts w:ascii="Arial" w:eastAsiaTheme="minorEastAsia" w:hAnsi="Arial" w:cs="Arial"/>
          <w:color w:val="000000" w:themeColor="text1"/>
        </w:rPr>
        <w:t>Six-week-old female BALB/</w:t>
      </w:r>
      <w:proofErr w:type="spellStart"/>
      <w:r w:rsidRPr="00D74025">
        <w:rPr>
          <w:rFonts w:ascii="Arial" w:eastAsiaTheme="minorEastAsia" w:hAnsi="Arial" w:cs="Arial"/>
          <w:color w:val="000000" w:themeColor="text1"/>
        </w:rPr>
        <w:t>cJ</w:t>
      </w:r>
      <w:proofErr w:type="spellEnd"/>
      <w:r w:rsidRPr="00D74025">
        <w:rPr>
          <w:rFonts w:ascii="Arial" w:eastAsiaTheme="minorEastAsia" w:hAnsi="Arial" w:cs="Arial"/>
          <w:color w:val="000000" w:themeColor="text1"/>
        </w:rPr>
        <w:t xml:space="preserve"> mice bearing EMT6 tumors were injected with either intravenous or </w:t>
      </w:r>
      <w:proofErr w:type="spellStart"/>
      <w:r w:rsidRPr="00D74025">
        <w:rPr>
          <w:rFonts w:ascii="Arial" w:eastAsiaTheme="minorEastAsia" w:hAnsi="Arial" w:cs="Arial"/>
          <w:color w:val="000000" w:themeColor="text1"/>
        </w:rPr>
        <w:t>intratumoral</w:t>
      </w:r>
      <w:proofErr w:type="spellEnd"/>
      <w:r w:rsidRPr="00D74025">
        <w:rPr>
          <w:rFonts w:ascii="Arial" w:eastAsiaTheme="minorEastAsia" w:hAnsi="Arial" w:cs="Arial"/>
          <w:color w:val="000000" w:themeColor="text1"/>
        </w:rPr>
        <w:t xml:space="preserve"> injections of SWCNT-ANXA5 (1.2 mg/kg of SWCNT) when the tumors were around 5 mm in diameter (~60 mm</w:t>
      </w:r>
      <w:r w:rsidRPr="00D74025">
        <w:rPr>
          <w:rFonts w:ascii="Arial" w:eastAsiaTheme="minorEastAsia" w:hAnsi="Arial" w:cs="Arial"/>
          <w:color w:val="000000" w:themeColor="text1"/>
          <w:vertAlign w:val="superscript"/>
        </w:rPr>
        <w:t>3</w:t>
      </w:r>
      <w:r w:rsidRPr="00D74025">
        <w:rPr>
          <w:rFonts w:ascii="Arial" w:eastAsiaTheme="minorEastAsia" w:hAnsi="Arial" w:cs="Arial"/>
          <w:color w:val="000000" w:themeColor="text1"/>
        </w:rPr>
        <w:t>). Three hours after injections, the tumors were treated by a 980-nm NIR laser for 175 s at 1 W/cm</w:t>
      </w:r>
      <w:r w:rsidRPr="00D74025">
        <w:rPr>
          <w:rFonts w:ascii="Arial" w:eastAsiaTheme="minorEastAsia" w:hAnsi="Arial" w:cs="Arial"/>
          <w:color w:val="000000" w:themeColor="text1"/>
          <w:vertAlign w:val="superscript"/>
        </w:rPr>
        <w:t>2</w:t>
      </w:r>
      <w:r w:rsidRPr="00D74025">
        <w:rPr>
          <w:rFonts w:ascii="Arial" w:eastAsiaTheme="minorEastAsia" w:hAnsi="Arial" w:cs="Arial"/>
          <w:color w:val="000000" w:themeColor="text1"/>
        </w:rPr>
        <w:t>. One day after irradiation, blood samples were collected during euthanasia. The concentration of TNF-</w:t>
      </w:r>
      <w:r w:rsidRPr="00D74025">
        <w:rPr>
          <w:rFonts w:ascii="Arial" w:eastAsiaTheme="minorEastAsia" w:hAnsi="Arial" w:cs="Arial"/>
          <w:color w:val="000000" w:themeColor="text1"/>
        </w:rPr>
        <w:sym w:font="Symbol" w:char="F061"/>
      </w:r>
      <w:r w:rsidRPr="00D74025">
        <w:rPr>
          <w:rFonts w:ascii="Arial" w:eastAsiaTheme="minorEastAsia" w:hAnsi="Arial" w:cs="Arial"/>
          <w:color w:val="000000" w:themeColor="text1"/>
        </w:rPr>
        <w:t xml:space="preserve"> in the serum was quantified by ELISA following procedures from the supplier. Results </w:t>
      </w:r>
      <w:r w:rsidRPr="00D74025">
        <w:rPr>
          <w:rFonts w:ascii="Arial" w:eastAsiaTheme="minorEastAsia" w:hAnsi="Arial" w:cs="Arial"/>
          <w:color w:val="000000" w:themeColor="text1"/>
        </w:rPr>
        <w:lastRenderedPageBreak/>
        <w:t xml:space="preserve">from intravenous and </w:t>
      </w:r>
      <w:proofErr w:type="spellStart"/>
      <w:r w:rsidRPr="00D74025">
        <w:rPr>
          <w:rFonts w:ascii="Arial" w:eastAsiaTheme="minorEastAsia" w:hAnsi="Arial" w:cs="Arial"/>
          <w:color w:val="000000" w:themeColor="text1"/>
        </w:rPr>
        <w:t>intratumoral</w:t>
      </w:r>
      <w:proofErr w:type="spellEnd"/>
      <w:r w:rsidRPr="00D74025">
        <w:rPr>
          <w:rFonts w:ascii="Arial" w:eastAsiaTheme="minorEastAsia" w:hAnsi="Arial" w:cs="Arial"/>
          <w:color w:val="000000" w:themeColor="text1"/>
        </w:rPr>
        <w:t xml:space="preserve"> injections were compared to the untreated group (no injection), as shown in the groups below:</w:t>
      </w:r>
    </w:p>
    <w:p w14:paraId="53FA66A0" w14:textId="77777777" w:rsidR="00D409FC" w:rsidRPr="00D74025" w:rsidRDefault="00D409FC" w:rsidP="00F705FE">
      <w:pPr>
        <w:spacing w:line="360" w:lineRule="auto"/>
        <w:ind w:firstLine="1440"/>
        <w:jc w:val="both"/>
        <w:rPr>
          <w:rFonts w:ascii="Arial" w:eastAsiaTheme="minorEastAsia" w:hAnsi="Arial" w:cs="Arial"/>
          <w:color w:val="000000" w:themeColor="text1"/>
        </w:rPr>
      </w:pPr>
    </w:p>
    <w:p w14:paraId="3A2A813A" w14:textId="286690BD" w:rsidR="00A779B7" w:rsidRPr="00D74025" w:rsidRDefault="00A779B7">
      <w:pPr>
        <w:pStyle w:val="ListParagraph"/>
        <w:numPr>
          <w:ilvl w:val="0"/>
          <w:numId w:val="77"/>
        </w:numPr>
        <w:spacing w:line="360" w:lineRule="auto"/>
        <w:ind w:left="360"/>
        <w:rPr>
          <w:rFonts w:ascii="Arial" w:eastAsiaTheme="minorEastAsia" w:hAnsi="Arial" w:cs="Arial"/>
          <w:color w:val="000000" w:themeColor="text1"/>
        </w:rPr>
      </w:pPr>
      <w:r w:rsidRPr="00D74025">
        <w:rPr>
          <w:rFonts w:ascii="Arial" w:eastAsiaTheme="minorEastAsia" w:hAnsi="Arial" w:cs="Arial"/>
          <w:b/>
          <w:bCs/>
          <w:color w:val="000000" w:themeColor="text1"/>
        </w:rPr>
        <w:t>Control:</w:t>
      </w:r>
      <w:r w:rsidRPr="00D74025">
        <w:rPr>
          <w:rFonts w:ascii="Arial" w:eastAsiaTheme="minorEastAsia" w:hAnsi="Arial" w:cs="Arial"/>
          <w:color w:val="000000" w:themeColor="text1"/>
        </w:rPr>
        <w:t xml:space="preserve"> </w:t>
      </w:r>
      <w:r w:rsidR="00C10F8E" w:rsidRPr="00D74025">
        <w:rPr>
          <w:rFonts w:ascii="Arial" w:eastAsiaTheme="minorEastAsia" w:hAnsi="Arial" w:cs="Arial"/>
          <w:color w:val="000000" w:themeColor="text1"/>
        </w:rPr>
        <w:t xml:space="preserve">untreated mice; </w:t>
      </w:r>
      <w:r w:rsidR="00F94F57">
        <w:rPr>
          <w:rFonts w:ascii="Arial" w:eastAsiaTheme="minorEastAsia" w:hAnsi="Arial" w:cs="Arial"/>
          <w:color w:val="000000" w:themeColor="text1"/>
        </w:rPr>
        <w:t>M</w:t>
      </w:r>
      <w:r w:rsidR="00C10F8E" w:rsidRPr="00D74025">
        <w:rPr>
          <w:rFonts w:ascii="Arial" w:eastAsiaTheme="minorEastAsia" w:hAnsi="Arial" w:cs="Arial"/>
          <w:color w:val="000000" w:themeColor="text1"/>
        </w:rPr>
        <w:t>ice wer</w:t>
      </w:r>
      <w:r w:rsidR="00F94F57">
        <w:rPr>
          <w:rFonts w:ascii="Arial" w:eastAsiaTheme="minorEastAsia" w:hAnsi="Arial" w:cs="Arial"/>
          <w:color w:val="000000" w:themeColor="text1"/>
        </w:rPr>
        <w:t>e not</w:t>
      </w:r>
      <w:r w:rsidR="00C10F8E" w:rsidRPr="00D74025">
        <w:rPr>
          <w:rFonts w:ascii="Arial" w:eastAsiaTheme="minorEastAsia" w:hAnsi="Arial" w:cs="Arial"/>
          <w:color w:val="000000" w:themeColor="text1"/>
        </w:rPr>
        <w:t xml:space="preserve"> injected with</w:t>
      </w:r>
      <w:r w:rsidRPr="00D74025">
        <w:rPr>
          <w:rFonts w:ascii="Arial" w:eastAsiaTheme="minorEastAsia" w:hAnsi="Arial" w:cs="Arial"/>
          <w:color w:val="000000" w:themeColor="text1"/>
        </w:rPr>
        <w:t xml:space="preserve"> SWCNT-ANXA5 injection</w:t>
      </w:r>
      <w:r w:rsidR="00C10F8E" w:rsidRPr="00D74025">
        <w:rPr>
          <w:rFonts w:ascii="Arial" w:eastAsiaTheme="minorEastAsia" w:hAnsi="Arial" w:cs="Arial"/>
          <w:color w:val="000000" w:themeColor="text1"/>
        </w:rPr>
        <w:t xml:space="preserve"> and</w:t>
      </w:r>
      <w:r w:rsidRPr="00D74025">
        <w:rPr>
          <w:rFonts w:ascii="Arial" w:eastAsiaTheme="minorEastAsia" w:hAnsi="Arial" w:cs="Arial"/>
          <w:color w:val="000000" w:themeColor="text1"/>
        </w:rPr>
        <w:t xml:space="preserve"> </w:t>
      </w:r>
      <w:r w:rsidR="00C10F8E" w:rsidRPr="00D74025">
        <w:rPr>
          <w:rFonts w:ascii="Arial" w:eastAsiaTheme="minorEastAsia" w:hAnsi="Arial" w:cs="Arial"/>
          <w:color w:val="000000" w:themeColor="text1"/>
        </w:rPr>
        <w:t>were</w:t>
      </w:r>
      <w:r w:rsidR="003623BE">
        <w:rPr>
          <w:rFonts w:ascii="Arial" w:eastAsiaTheme="minorEastAsia" w:hAnsi="Arial" w:cs="Arial"/>
          <w:color w:val="000000" w:themeColor="text1"/>
        </w:rPr>
        <w:t xml:space="preserve"> not</w:t>
      </w:r>
      <w:r w:rsidR="00C10F8E" w:rsidRPr="00D74025">
        <w:rPr>
          <w:rFonts w:ascii="Arial" w:eastAsiaTheme="minorEastAsia" w:hAnsi="Arial" w:cs="Arial"/>
          <w:color w:val="000000" w:themeColor="text1"/>
        </w:rPr>
        <w:t xml:space="preserve"> treated with</w:t>
      </w:r>
      <w:r w:rsidRPr="00D74025">
        <w:rPr>
          <w:rFonts w:ascii="Arial" w:eastAsiaTheme="minorEastAsia" w:hAnsi="Arial" w:cs="Arial"/>
          <w:color w:val="000000" w:themeColor="text1"/>
        </w:rPr>
        <w:t xml:space="preserve"> PTT</w:t>
      </w:r>
      <w:r w:rsidR="00C10F8E" w:rsidRPr="00D74025">
        <w:rPr>
          <w:rFonts w:ascii="Arial" w:eastAsiaTheme="minorEastAsia" w:hAnsi="Arial" w:cs="Arial"/>
          <w:color w:val="000000" w:themeColor="text1"/>
        </w:rPr>
        <w:t>.</w:t>
      </w:r>
    </w:p>
    <w:p w14:paraId="6A82E73D" w14:textId="484528AA" w:rsidR="00A779B7" w:rsidRPr="00D74025" w:rsidRDefault="00F72F48">
      <w:pPr>
        <w:pStyle w:val="ListParagraph"/>
        <w:numPr>
          <w:ilvl w:val="0"/>
          <w:numId w:val="77"/>
        </w:numPr>
        <w:spacing w:line="360" w:lineRule="auto"/>
        <w:ind w:left="360"/>
        <w:rPr>
          <w:rFonts w:ascii="Arial" w:eastAsiaTheme="minorEastAsia" w:hAnsi="Arial" w:cs="Arial"/>
          <w:color w:val="000000" w:themeColor="text1"/>
        </w:rPr>
      </w:pPr>
      <w:r w:rsidRPr="00D74025">
        <w:rPr>
          <w:rFonts w:ascii="Arial" w:eastAsiaTheme="minorEastAsia" w:hAnsi="Arial" w:cs="Arial"/>
          <w:b/>
          <w:bCs/>
          <w:color w:val="000000" w:themeColor="text1"/>
        </w:rPr>
        <w:t>Intravenous injection:</w:t>
      </w:r>
      <w:r w:rsidRPr="00D74025">
        <w:rPr>
          <w:rFonts w:ascii="Arial" w:eastAsiaTheme="minorEastAsia" w:hAnsi="Arial" w:cs="Arial"/>
          <w:color w:val="000000" w:themeColor="text1"/>
        </w:rPr>
        <w:t xml:space="preserve"> </w:t>
      </w:r>
      <w:r w:rsidR="003623BE">
        <w:rPr>
          <w:rFonts w:ascii="Arial" w:eastAsiaTheme="minorEastAsia" w:hAnsi="Arial" w:cs="Arial"/>
          <w:color w:val="000000" w:themeColor="text1"/>
        </w:rPr>
        <w:t>M</w:t>
      </w:r>
      <w:r w:rsidR="00EF5AA6" w:rsidRPr="00D74025">
        <w:rPr>
          <w:rFonts w:ascii="Arial" w:eastAsiaTheme="minorEastAsia" w:hAnsi="Arial" w:cs="Arial"/>
          <w:color w:val="000000" w:themeColor="text1"/>
        </w:rPr>
        <w:t xml:space="preserve">ice were </w:t>
      </w:r>
      <w:r w:rsidR="00253815" w:rsidRPr="00D74025">
        <w:rPr>
          <w:rFonts w:ascii="Arial" w:eastAsiaTheme="minorEastAsia" w:hAnsi="Arial" w:cs="Arial"/>
          <w:color w:val="000000" w:themeColor="text1"/>
        </w:rPr>
        <w:t xml:space="preserve">intravenously </w:t>
      </w:r>
      <w:r w:rsidR="00EF5AA6" w:rsidRPr="00D74025">
        <w:rPr>
          <w:rFonts w:ascii="Arial" w:eastAsiaTheme="minorEastAsia" w:hAnsi="Arial" w:cs="Arial"/>
          <w:color w:val="000000" w:themeColor="text1"/>
        </w:rPr>
        <w:t>injected with SWCNT-ANXA5</w:t>
      </w:r>
      <w:r w:rsidR="00253815" w:rsidRPr="00D74025">
        <w:rPr>
          <w:rFonts w:ascii="Arial" w:eastAsiaTheme="minorEastAsia" w:hAnsi="Arial" w:cs="Arial"/>
          <w:color w:val="000000" w:themeColor="text1"/>
        </w:rPr>
        <w:t xml:space="preserve"> in lateral tail vein</w:t>
      </w:r>
      <w:r w:rsidR="00EF5AA6" w:rsidRPr="00D74025">
        <w:rPr>
          <w:rFonts w:ascii="Arial" w:eastAsiaTheme="minorEastAsia" w:hAnsi="Arial" w:cs="Arial"/>
          <w:color w:val="000000" w:themeColor="text1"/>
        </w:rPr>
        <w:t xml:space="preserve"> and subjected to PTT treatment</w:t>
      </w:r>
      <w:r w:rsidR="0042161A" w:rsidRPr="00D74025">
        <w:rPr>
          <w:rFonts w:ascii="Arial" w:eastAsiaTheme="minorEastAsia" w:hAnsi="Arial" w:cs="Arial"/>
          <w:color w:val="000000" w:themeColor="text1"/>
        </w:rPr>
        <w:t>.</w:t>
      </w:r>
    </w:p>
    <w:p w14:paraId="3D709D3F" w14:textId="4F86739D" w:rsidR="0042161A" w:rsidRPr="00D74025" w:rsidRDefault="0042161A">
      <w:pPr>
        <w:pStyle w:val="ListParagraph"/>
        <w:numPr>
          <w:ilvl w:val="0"/>
          <w:numId w:val="77"/>
        </w:numPr>
        <w:spacing w:line="360" w:lineRule="auto"/>
        <w:ind w:left="360"/>
        <w:rPr>
          <w:rFonts w:ascii="Arial" w:eastAsiaTheme="minorEastAsia" w:hAnsi="Arial" w:cs="Arial"/>
          <w:color w:val="000000" w:themeColor="text1"/>
        </w:rPr>
      </w:pPr>
      <w:proofErr w:type="spellStart"/>
      <w:r w:rsidRPr="00D74025">
        <w:rPr>
          <w:rFonts w:ascii="Arial" w:eastAsiaTheme="minorEastAsia" w:hAnsi="Arial" w:cs="Arial"/>
          <w:b/>
          <w:bCs/>
          <w:color w:val="000000" w:themeColor="text1"/>
        </w:rPr>
        <w:t>Intratumoral</w:t>
      </w:r>
      <w:proofErr w:type="spellEnd"/>
      <w:r w:rsidRPr="00D74025">
        <w:rPr>
          <w:rFonts w:ascii="Arial" w:eastAsiaTheme="minorEastAsia" w:hAnsi="Arial" w:cs="Arial"/>
          <w:b/>
          <w:bCs/>
          <w:color w:val="000000" w:themeColor="text1"/>
        </w:rPr>
        <w:t xml:space="preserve"> injection:</w:t>
      </w:r>
      <w:r w:rsidRPr="00D74025">
        <w:rPr>
          <w:rFonts w:ascii="Arial" w:eastAsiaTheme="minorEastAsia" w:hAnsi="Arial" w:cs="Arial"/>
          <w:color w:val="000000" w:themeColor="text1"/>
        </w:rPr>
        <w:t xml:space="preserve"> </w:t>
      </w:r>
      <w:r w:rsidR="003623BE">
        <w:rPr>
          <w:rFonts w:ascii="Arial" w:eastAsiaTheme="minorEastAsia" w:hAnsi="Arial" w:cs="Arial"/>
          <w:color w:val="000000" w:themeColor="text1"/>
        </w:rPr>
        <w:t>M</w:t>
      </w:r>
      <w:r w:rsidR="00EF5AA6" w:rsidRPr="00D74025">
        <w:rPr>
          <w:rFonts w:ascii="Arial" w:eastAsiaTheme="minorEastAsia" w:hAnsi="Arial" w:cs="Arial"/>
          <w:color w:val="000000" w:themeColor="text1"/>
        </w:rPr>
        <w:t xml:space="preserve">ice were </w:t>
      </w:r>
      <w:r w:rsidR="00253815" w:rsidRPr="00D74025">
        <w:rPr>
          <w:rFonts w:ascii="Arial" w:eastAsiaTheme="minorEastAsia" w:hAnsi="Arial" w:cs="Arial"/>
          <w:color w:val="000000" w:themeColor="text1"/>
        </w:rPr>
        <w:t xml:space="preserve">intratumorally </w:t>
      </w:r>
      <w:r w:rsidR="00EF5AA6" w:rsidRPr="00D74025">
        <w:rPr>
          <w:rFonts w:ascii="Arial" w:eastAsiaTheme="minorEastAsia" w:hAnsi="Arial" w:cs="Arial"/>
          <w:color w:val="000000" w:themeColor="text1"/>
        </w:rPr>
        <w:t xml:space="preserve">injected with </w:t>
      </w:r>
      <w:r w:rsidRPr="00D74025">
        <w:rPr>
          <w:rFonts w:ascii="Arial" w:eastAsiaTheme="minorEastAsia" w:hAnsi="Arial" w:cs="Arial"/>
          <w:color w:val="000000" w:themeColor="text1"/>
        </w:rPr>
        <w:t xml:space="preserve">SWCNT-ANXA5 and </w:t>
      </w:r>
      <w:r w:rsidR="00EF5AA6" w:rsidRPr="00D74025">
        <w:rPr>
          <w:rFonts w:ascii="Arial" w:eastAsiaTheme="minorEastAsia" w:hAnsi="Arial" w:cs="Arial"/>
          <w:color w:val="000000" w:themeColor="text1"/>
        </w:rPr>
        <w:t xml:space="preserve">subjected to </w:t>
      </w:r>
      <w:r w:rsidRPr="00D74025">
        <w:rPr>
          <w:rFonts w:ascii="Arial" w:eastAsiaTheme="minorEastAsia" w:hAnsi="Arial" w:cs="Arial"/>
          <w:color w:val="000000" w:themeColor="text1"/>
        </w:rPr>
        <w:t>PTT treatment.</w:t>
      </w:r>
    </w:p>
    <w:p w14:paraId="2C8D14D9" w14:textId="34EB5E43" w:rsidR="00F705FE" w:rsidRPr="00D74025" w:rsidRDefault="00F705FE" w:rsidP="00F705FE">
      <w:pPr>
        <w:spacing w:line="360" w:lineRule="auto"/>
        <w:ind w:firstLine="1440"/>
        <w:jc w:val="both"/>
        <w:rPr>
          <w:rFonts w:ascii="Arial" w:eastAsiaTheme="minorEastAsia" w:hAnsi="Arial" w:cs="Arial"/>
          <w:color w:val="000000" w:themeColor="text1"/>
        </w:rPr>
      </w:pPr>
    </w:p>
    <w:p w14:paraId="448BF114" w14:textId="64F61A50" w:rsidR="00DE362A" w:rsidRPr="005A0279" w:rsidRDefault="00DE362A" w:rsidP="005A0279">
      <w:pPr>
        <w:pStyle w:val="Heading3"/>
        <w:rPr>
          <w:rFonts w:ascii="Arial" w:eastAsiaTheme="minorEastAsia" w:hAnsi="Arial" w:cs="Arial"/>
          <w:b/>
          <w:bCs/>
          <w:color w:val="000000" w:themeColor="text1"/>
        </w:rPr>
      </w:pPr>
      <w:bookmarkStart w:id="89" w:name="_Toc121217258"/>
      <w:r w:rsidRPr="005A0279">
        <w:rPr>
          <w:rFonts w:ascii="Arial" w:eastAsiaTheme="minorEastAsia" w:hAnsi="Arial" w:cs="Arial"/>
          <w:b/>
          <w:bCs/>
          <w:color w:val="000000" w:themeColor="text1"/>
        </w:rPr>
        <w:t>2.</w:t>
      </w:r>
      <w:r w:rsidR="005A0279">
        <w:rPr>
          <w:rFonts w:ascii="Arial" w:eastAsiaTheme="minorEastAsia" w:hAnsi="Arial" w:cs="Arial"/>
          <w:b/>
          <w:bCs/>
          <w:color w:val="000000" w:themeColor="text1"/>
        </w:rPr>
        <w:t>5.5</w:t>
      </w:r>
      <w:r w:rsidRPr="005A0279">
        <w:rPr>
          <w:rFonts w:ascii="Arial" w:eastAsiaTheme="minorEastAsia" w:hAnsi="Arial" w:cs="Arial"/>
          <w:b/>
          <w:bCs/>
          <w:color w:val="000000" w:themeColor="text1"/>
        </w:rPr>
        <w:t xml:space="preserve"> </w:t>
      </w:r>
      <w:r w:rsidR="004A545D" w:rsidRPr="005A0279">
        <w:rPr>
          <w:rFonts w:ascii="Arial" w:eastAsiaTheme="minorEastAsia" w:hAnsi="Arial" w:cs="Arial"/>
          <w:b/>
          <w:bCs/>
          <w:color w:val="000000" w:themeColor="text1"/>
        </w:rPr>
        <w:t>Cytokine release related to t</w:t>
      </w:r>
      <w:r w:rsidRPr="005A0279">
        <w:rPr>
          <w:rFonts w:ascii="Arial" w:eastAsiaTheme="minorEastAsia" w:hAnsi="Arial" w:cs="Arial"/>
          <w:b/>
          <w:bCs/>
          <w:color w:val="000000" w:themeColor="text1"/>
        </w:rPr>
        <w:t>umor surface temperature</w:t>
      </w:r>
      <w:r w:rsidR="007D23B9" w:rsidRPr="005A0279">
        <w:rPr>
          <w:rFonts w:ascii="Arial" w:eastAsiaTheme="minorEastAsia" w:hAnsi="Arial" w:cs="Arial"/>
          <w:b/>
          <w:bCs/>
          <w:color w:val="000000" w:themeColor="text1"/>
        </w:rPr>
        <w:t xml:space="preserve"> in EMT6 tumor bearing mice</w:t>
      </w:r>
      <w:bookmarkEnd w:id="89"/>
    </w:p>
    <w:p w14:paraId="0D7ADA78" w14:textId="5D941FF1" w:rsidR="009A72E3" w:rsidRPr="00D74025" w:rsidRDefault="009A72E3" w:rsidP="009A72E3">
      <w:pPr>
        <w:spacing w:line="360" w:lineRule="auto"/>
        <w:ind w:firstLine="1440"/>
        <w:jc w:val="both"/>
        <w:rPr>
          <w:rFonts w:ascii="Arial" w:hAnsi="Arial" w:cs="Arial"/>
          <w:color w:val="000000" w:themeColor="text1"/>
        </w:rPr>
      </w:pPr>
      <w:r w:rsidRPr="00D74025">
        <w:rPr>
          <w:rFonts w:ascii="Arial" w:eastAsiaTheme="minorEastAsia" w:hAnsi="Arial" w:cs="Arial"/>
          <w:color w:val="000000" w:themeColor="text1"/>
        </w:rPr>
        <w:t>Six-week-old female BALB/</w:t>
      </w:r>
      <w:proofErr w:type="spellStart"/>
      <w:r w:rsidRPr="00D74025">
        <w:rPr>
          <w:rFonts w:ascii="Arial" w:eastAsiaTheme="minorEastAsia" w:hAnsi="Arial" w:cs="Arial"/>
          <w:color w:val="000000" w:themeColor="text1"/>
        </w:rPr>
        <w:t>cJ</w:t>
      </w:r>
      <w:proofErr w:type="spellEnd"/>
      <w:r w:rsidRPr="00D74025">
        <w:rPr>
          <w:rFonts w:ascii="Arial" w:eastAsiaTheme="minorEastAsia" w:hAnsi="Arial" w:cs="Arial"/>
          <w:color w:val="000000" w:themeColor="text1"/>
        </w:rPr>
        <w:t xml:space="preserve"> mice bearing EMT6 tumors were injected intratumorally with SWCNT-ANXA5 (1.2 mg/kg of </w:t>
      </w:r>
      <w:proofErr w:type="gramStart"/>
      <w:r w:rsidRPr="00D74025">
        <w:rPr>
          <w:rFonts w:ascii="Arial" w:eastAsiaTheme="minorEastAsia" w:hAnsi="Arial" w:cs="Arial"/>
          <w:color w:val="000000" w:themeColor="text1"/>
        </w:rPr>
        <w:t>SWCNT)  when</w:t>
      </w:r>
      <w:proofErr w:type="gramEnd"/>
      <w:r w:rsidRPr="00D74025">
        <w:rPr>
          <w:rFonts w:ascii="Arial" w:eastAsiaTheme="minorEastAsia" w:hAnsi="Arial" w:cs="Arial"/>
          <w:color w:val="000000" w:themeColor="text1"/>
        </w:rPr>
        <w:t xml:space="preserve"> the tumors were around 5 mm in diameter (~60 mm</w:t>
      </w:r>
      <w:r w:rsidRPr="00D74025">
        <w:rPr>
          <w:rFonts w:ascii="Arial" w:eastAsiaTheme="minorEastAsia" w:hAnsi="Arial" w:cs="Arial"/>
          <w:color w:val="000000" w:themeColor="text1"/>
          <w:vertAlign w:val="superscript"/>
        </w:rPr>
        <w:t>3</w:t>
      </w:r>
      <w:r w:rsidRPr="00D74025">
        <w:rPr>
          <w:rFonts w:ascii="Arial" w:eastAsiaTheme="minorEastAsia" w:hAnsi="Arial" w:cs="Arial"/>
          <w:color w:val="000000" w:themeColor="text1"/>
        </w:rPr>
        <w:t>). The tumors were treated by a 980-nm NIR laser at 1 W/cm</w:t>
      </w:r>
      <w:r w:rsidRPr="00D74025">
        <w:rPr>
          <w:rFonts w:ascii="Arial" w:eastAsiaTheme="minorEastAsia" w:hAnsi="Arial" w:cs="Arial"/>
          <w:color w:val="000000" w:themeColor="text1"/>
          <w:vertAlign w:val="superscript"/>
        </w:rPr>
        <w:t>2</w:t>
      </w:r>
      <w:r w:rsidRPr="00D74025">
        <w:rPr>
          <w:rFonts w:ascii="Arial" w:hAnsi="Arial" w:cs="Arial"/>
          <w:color w:val="000000" w:themeColor="text1"/>
        </w:rPr>
        <w:t xml:space="preserve">. The tumor surface temperature was monitored during the irradiation by a thermal camera (FLIR </w:t>
      </w:r>
      <w:r w:rsidR="000A7D4D" w:rsidRPr="00D74025">
        <w:rPr>
          <w:rFonts w:ascii="Arial" w:hAnsi="Arial" w:cs="Arial"/>
          <w:color w:val="000000" w:themeColor="text1"/>
        </w:rPr>
        <w:t>E5-XT</w:t>
      </w:r>
      <w:r w:rsidRPr="00D74025">
        <w:rPr>
          <w:rFonts w:ascii="Arial" w:hAnsi="Arial" w:cs="Arial"/>
          <w:color w:val="000000" w:themeColor="text1"/>
        </w:rPr>
        <w:t xml:space="preserve">), adjusting emissivity to 0.93. Irradiation ceased immediately after the tumor surface reached the temperature assigned to the groups of 45, 50, 55, or 60°C. Mice were euthanized either </w:t>
      </w:r>
      <w:r w:rsidR="003623BE">
        <w:rPr>
          <w:rFonts w:ascii="Arial" w:hAnsi="Arial" w:cs="Arial"/>
          <w:color w:val="000000" w:themeColor="text1"/>
        </w:rPr>
        <w:t>1</w:t>
      </w:r>
      <w:r w:rsidRPr="00D74025">
        <w:rPr>
          <w:rFonts w:ascii="Arial" w:hAnsi="Arial" w:cs="Arial"/>
          <w:color w:val="000000" w:themeColor="text1"/>
        </w:rPr>
        <w:t xml:space="preserve"> or </w:t>
      </w:r>
      <w:r w:rsidR="003623BE">
        <w:rPr>
          <w:rFonts w:ascii="Arial" w:hAnsi="Arial" w:cs="Arial"/>
          <w:color w:val="000000" w:themeColor="text1"/>
        </w:rPr>
        <w:t>7</w:t>
      </w:r>
      <w:r w:rsidRPr="00D74025">
        <w:rPr>
          <w:rFonts w:ascii="Arial" w:hAnsi="Arial" w:cs="Arial"/>
          <w:color w:val="000000" w:themeColor="text1"/>
        </w:rPr>
        <w:t xml:space="preserve"> days after PTT for blood collection (respectively 24 h and 168 h). The concentration of four cytokines was measured in the serum by ELISA. The control group was intratumorally injected with SWCNT-ANXA5 but not treated with PTT. The groups in this experiment were (n = 5):</w:t>
      </w:r>
    </w:p>
    <w:p w14:paraId="56B5A553" w14:textId="77777777" w:rsidR="00320A9F" w:rsidRPr="00D74025" w:rsidRDefault="00320A9F" w:rsidP="00E51EBB">
      <w:pPr>
        <w:spacing w:line="360" w:lineRule="auto"/>
        <w:ind w:firstLine="1440"/>
        <w:jc w:val="both"/>
        <w:rPr>
          <w:rFonts w:ascii="Arial" w:hAnsi="Arial" w:cs="Arial"/>
          <w:color w:val="000000" w:themeColor="text1"/>
        </w:rPr>
      </w:pPr>
    </w:p>
    <w:p w14:paraId="6BA7A12A" w14:textId="4DB1C203" w:rsidR="00AC7A75" w:rsidRPr="00D74025" w:rsidRDefault="00AC7A75">
      <w:pPr>
        <w:pStyle w:val="ListParagraph"/>
        <w:numPr>
          <w:ilvl w:val="0"/>
          <w:numId w:val="78"/>
        </w:numPr>
        <w:spacing w:line="360" w:lineRule="auto"/>
        <w:ind w:left="360"/>
        <w:rPr>
          <w:rFonts w:ascii="Arial" w:hAnsi="Arial" w:cs="Arial"/>
          <w:color w:val="000000" w:themeColor="text1"/>
        </w:rPr>
      </w:pPr>
      <w:r w:rsidRPr="00D74025">
        <w:rPr>
          <w:rFonts w:ascii="Arial" w:hAnsi="Arial" w:cs="Arial"/>
          <w:b/>
          <w:bCs/>
          <w:color w:val="000000" w:themeColor="text1"/>
        </w:rPr>
        <w:t>Control</w:t>
      </w:r>
      <w:r w:rsidRPr="00D74025">
        <w:rPr>
          <w:rFonts w:ascii="Arial" w:hAnsi="Arial" w:cs="Arial"/>
          <w:color w:val="000000" w:themeColor="text1"/>
        </w:rPr>
        <w:t xml:space="preserve">: untreated; </w:t>
      </w:r>
      <w:r w:rsidR="00167998">
        <w:rPr>
          <w:rFonts w:ascii="Arial" w:hAnsi="Arial" w:cs="Arial"/>
          <w:color w:val="000000" w:themeColor="text1"/>
        </w:rPr>
        <w:t>M</w:t>
      </w:r>
      <w:r w:rsidRPr="00D74025">
        <w:rPr>
          <w:rFonts w:ascii="Arial" w:hAnsi="Arial" w:cs="Arial"/>
          <w:color w:val="000000" w:themeColor="text1"/>
        </w:rPr>
        <w:t>ice were intratumorally injected with SWCNT-ANXA5, but wer</w:t>
      </w:r>
      <w:r w:rsidR="006E4038" w:rsidRPr="00D74025">
        <w:rPr>
          <w:rFonts w:ascii="Arial" w:hAnsi="Arial" w:cs="Arial"/>
          <w:color w:val="000000" w:themeColor="text1"/>
        </w:rPr>
        <w:t>e not treated with PTT</w:t>
      </w:r>
    </w:p>
    <w:p w14:paraId="148F2AC1" w14:textId="6149B5F5" w:rsidR="006E4038" w:rsidRPr="00D74025" w:rsidRDefault="006E4038">
      <w:pPr>
        <w:pStyle w:val="ListParagraph"/>
        <w:numPr>
          <w:ilvl w:val="0"/>
          <w:numId w:val="78"/>
        </w:numPr>
        <w:spacing w:line="360" w:lineRule="auto"/>
        <w:ind w:left="360"/>
        <w:rPr>
          <w:rFonts w:ascii="Arial" w:hAnsi="Arial" w:cs="Arial"/>
          <w:color w:val="000000" w:themeColor="text1"/>
        </w:rPr>
      </w:pPr>
      <w:r w:rsidRPr="00D74025">
        <w:rPr>
          <w:rFonts w:ascii="Arial" w:hAnsi="Arial" w:cs="Arial"/>
          <w:b/>
          <w:bCs/>
          <w:color w:val="000000" w:themeColor="text1"/>
        </w:rPr>
        <w:t>45°C</w:t>
      </w:r>
      <w:r w:rsidRPr="00D74025">
        <w:rPr>
          <w:rFonts w:ascii="Arial" w:hAnsi="Arial" w:cs="Arial"/>
          <w:color w:val="000000" w:themeColor="text1"/>
        </w:rPr>
        <w:t>:</w:t>
      </w:r>
      <w:r w:rsidR="007A2C77" w:rsidRPr="00D74025">
        <w:rPr>
          <w:rFonts w:ascii="Arial" w:hAnsi="Arial" w:cs="Arial"/>
          <w:color w:val="000000" w:themeColor="text1"/>
        </w:rPr>
        <w:t xml:space="preserve"> </w:t>
      </w:r>
      <w:r w:rsidR="00167998">
        <w:rPr>
          <w:rFonts w:ascii="Arial" w:hAnsi="Arial" w:cs="Arial"/>
          <w:color w:val="000000" w:themeColor="text1"/>
        </w:rPr>
        <w:t>M</w:t>
      </w:r>
      <w:r w:rsidR="007A2C77" w:rsidRPr="00D74025">
        <w:rPr>
          <w:rFonts w:ascii="Arial" w:hAnsi="Arial" w:cs="Arial"/>
          <w:color w:val="000000" w:themeColor="text1"/>
        </w:rPr>
        <w:t xml:space="preserve">ice were intratumorally injected with SWCNT-ANXA5 and treated with PTT </w:t>
      </w:r>
      <w:r w:rsidR="00525FA3" w:rsidRPr="00D74025">
        <w:rPr>
          <w:rFonts w:ascii="Arial" w:hAnsi="Arial" w:cs="Arial"/>
          <w:color w:val="000000" w:themeColor="text1"/>
        </w:rPr>
        <w:t>(1</w:t>
      </w:r>
      <w:r w:rsidR="009D7CA1" w:rsidRPr="00D74025">
        <w:rPr>
          <w:rFonts w:ascii="Arial" w:hAnsi="Arial" w:cs="Arial"/>
          <w:color w:val="000000" w:themeColor="text1"/>
        </w:rPr>
        <w:t> </w:t>
      </w:r>
      <w:r w:rsidR="00525FA3" w:rsidRPr="00D74025">
        <w:rPr>
          <w:rFonts w:ascii="Arial" w:hAnsi="Arial" w:cs="Arial"/>
          <w:color w:val="000000" w:themeColor="text1"/>
        </w:rPr>
        <w:t>W/cm</w:t>
      </w:r>
      <w:r w:rsidR="00525FA3" w:rsidRPr="00D74025">
        <w:rPr>
          <w:rFonts w:ascii="Arial" w:hAnsi="Arial" w:cs="Arial"/>
          <w:color w:val="000000" w:themeColor="text1"/>
          <w:vertAlign w:val="superscript"/>
        </w:rPr>
        <w:t>2</w:t>
      </w:r>
      <w:r w:rsidR="00525FA3" w:rsidRPr="00D74025">
        <w:rPr>
          <w:rFonts w:ascii="Arial" w:hAnsi="Arial" w:cs="Arial"/>
          <w:color w:val="000000" w:themeColor="text1"/>
        </w:rPr>
        <w:t xml:space="preserve">) </w:t>
      </w:r>
      <w:r w:rsidR="007A2C77" w:rsidRPr="00D74025">
        <w:rPr>
          <w:rFonts w:ascii="Arial" w:hAnsi="Arial" w:cs="Arial"/>
          <w:color w:val="000000" w:themeColor="text1"/>
        </w:rPr>
        <w:t>until tumor surface temperature reached 45°C.</w:t>
      </w:r>
    </w:p>
    <w:p w14:paraId="0BFEE001" w14:textId="30539A0A" w:rsidR="006E4038" w:rsidRPr="00D74025" w:rsidRDefault="006E4038">
      <w:pPr>
        <w:pStyle w:val="ListParagraph"/>
        <w:numPr>
          <w:ilvl w:val="0"/>
          <w:numId w:val="78"/>
        </w:numPr>
        <w:spacing w:line="360" w:lineRule="auto"/>
        <w:ind w:left="360"/>
        <w:rPr>
          <w:rFonts w:ascii="Arial" w:hAnsi="Arial" w:cs="Arial"/>
          <w:color w:val="000000" w:themeColor="text1"/>
        </w:rPr>
      </w:pPr>
      <w:r w:rsidRPr="00D74025">
        <w:rPr>
          <w:rFonts w:ascii="Arial" w:hAnsi="Arial" w:cs="Arial"/>
          <w:b/>
          <w:bCs/>
          <w:color w:val="000000" w:themeColor="text1"/>
        </w:rPr>
        <w:lastRenderedPageBreak/>
        <w:t>50°C</w:t>
      </w:r>
      <w:r w:rsidR="00525FA3" w:rsidRPr="00D74025">
        <w:rPr>
          <w:rFonts w:ascii="Arial" w:hAnsi="Arial" w:cs="Arial"/>
          <w:color w:val="000000" w:themeColor="text1"/>
        </w:rPr>
        <w:t xml:space="preserve">: </w:t>
      </w:r>
      <w:r w:rsidR="00167998">
        <w:rPr>
          <w:rFonts w:ascii="Arial" w:hAnsi="Arial" w:cs="Arial"/>
          <w:color w:val="000000" w:themeColor="text1"/>
        </w:rPr>
        <w:t>M</w:t>
      </w:r>
      <w:r w:rsidR="00525FA3" w:rsidRPr="00D74025">
        <w:rPr>
          <w:rFonts w:ascii="Arial" w:hAnsi="Arial" w:cs="Arial"/>
          <w:color w:val="000000" w:themeColor="text1"/>
        </w:rPr>
        <w:t>ice were intratumorally injected with SWCNT-ANXA5 and treated with PTT (</w:t>
      </w:r>
      <w:r w:rsidR="00E36564" w:rsidRPr="00D74025">
        <w:rPr>
          <w:rFonts w:ascii="Arial" w:hAnsi="Arial" w:cs="Arial"/>
          <w:color w:val="000000" w:themeColor="text1"/>
        </w:rPr>
        <w:t>1</w:t>
      </w:r>
      <w:r w:rsidR="00A0332A" w:rsidRPr="00D74025">
        <w:rPr>
          <w:rFonts w:ascii="Arial" w:hAnsi="Arial" w:cs="Arial"/>
          <w:color w:val="000000" w:themeColor="text1"/>
        </w:rPr>
        <w:t> </w:t>
      </w:r>
      <w:r w:rsidR="00525FA3" w:rsidRPr="00D74025">
        <w:rPr>
          <w:rFonts w:ascii="Arial" w:hAnsi="Arial" w:cs="Arial"/>
          <w:color w:val="000000" w:themeColor="text1"/>
        </w:rPr>
        <w:t>W/cm</w:t>
      </w:r>
      <w:r w:rsidR="00525FA3" w:rsidRPr="00D74025">
        <w:rPr>
          <w:rFonts w:ascii="Arial" w:hAnsi="Arial" w:cs="Arial"/>
          <w:color w:val="000000" w:themeColor="text1"/>
          <w:vertAlign w:val="superscript"/>
        </w:rPr>
        <w:t>2</w:t>
      </w:r>
      <w:r w:rsidR="00525FA3" w:rsidRPr="00D74025">
        <w:rPr>
          <w:rFonts w:ascii="Arial" w:hAnsi="Arial" w:cs="Arial"/>
          <w:color w:val="000000" w:themeColor="text1"/>
        </w:rPr>
        <w:t>) until tumor surface temperature reached 50°C.</w:t>
      </w:r>
    </w:p>
    <w:p w14:paraId="419D1C2C" w14:textId="1D7D19B0" w:rsidR="006E4038" w:rsidRPr="00D74025" w:rsidRDefault="006E4038">
      <w:pPr>
        <w:pStyle w:val="ListParagraph"/>
        <w:numPr>
          <w:ilvl w:val="0"/>
          <w:numId w:val="78"/>
        </w:numPr>
        <w:spacing w:line="360" w:lineRule="auto"/>
        <w:ind w:left="360"/>
        <w:rPr>
          <w:rFonts w:ascii="Arial" w:hAnsi="Arial" w:cs="Arial"/>
          <w:color w:val="000000" w:themeColor="text1"/>
        </w:rPr>
      </w:pPr>
      <w:r w:rsidRPr="00D74025">
        <w:rPr>
          <w:rFonts w:ascii="Arial" w:hAnsi="Arial" w:cs="Arial"/>
          <w:b/>
          <w:bCs/>
          <w:color w:val="000000" w:themeColor="text1"/>
        </w:rPr>
        <w:t>55°C</w:t>
      </w:r>
      <w:r w:rsidR="00525FA3" w:rsidRPr="00D74025">
        <w:rPr>
          <w:rFonts w:ascii="Arial" w:hAnsi="Arial" w:cs="Arial"/>
          <w:color w:val="000000" w:themeColor="text1"/>
        </w:rPr>
        <w:t xml:space="preserve">: </w:t>
      </w:r>
      <w:r w:rsidR="00167998">
        <w:rPr>
          <w:rFonts w:ascii="Arial" w:hAnsi="Arial" w:cs="Arial"/>
          <w:color w:val="000000" w:themeColor="text1"/>
        </w:rPr>
        <w:t>M</w:t>
      </w:r>
      <w:r w:rsidR="00525FA3" w:rsidRPr="00D74025">
        <w:rPr>
          <w:rFonts w:ascii="Arial" w:hAnsi="Arial" w:cs="Arial"/>
          <w:color w:val="000000" w:themeColor="text1"/>
        </w:rPr>
        <w:t>ice were intratumorally injected with SWCNT-ANXA5 and treated with PTT (1</w:t>
      </w:r>
      <w:r w:rsidR="002371F0" w:rsidRPr="00D74025">
        <w:rPr>
          <w:rFonts w:ascii="Arial" w:hAnsi="Arial" w:cs="Arial"/>
          <w:color w:val="000000" w:themeColor="text1"/>
        </w:rPr>
        <w:t> </w:t>
      </w:r>
      <w:r w:rsidR="00525FA3" w:rsidRPr="00D74025">
        <w:rPr>
          <w:rFonts w:ascii="Arial" w:hAnsi="Arial" w:cs="Arial"/>
          <w:color w:val="000000" w:themeColor="text1"/>
        </w:rPr>
        <w:t>W/cm</w:t>
      </w:r>
      <w:r w:rsidR="00525FA3" w:rsidRPr="00D74025">
        <w:rPr>
          <w:rFonts w:ascii="Arial" w:hAnsi="Arial" w:cs="Arial"/>
          <w:color w:val="000000" w:themeColor="text1"/>
          <w:vertAlign w:val="superscript"/>
        </w:rPr>
        <w:t>2</w:t>
      </w:r>
      <w:r w:rsidR="00525FA3" w:rsidRPr="00D74025">
        <w:rPr>
          <w:rFonts w:ascii="Arial" w:hAnsi="Arial" w:cs="Arial"/>
          <w:color w:val="000000" w:themeColor="text1"/>
        </w:rPr>
        <w:t>) until tumor surface temperature reached 55°C.</w:t>
      </w:r>
    </w:p>
    <w:p w14:paraId="5CB6F717" w14:textId="71469FBA" w:rsidR="00525FA3" w:rsidRPr="00D74025" w:rsidRDefault="007A2C77">
      <w:pPr>
        <w:pStyle w:val="ListParagraph"/>
        <w:numPr>
          <w:ilvl w:val="0"/>
          <w:numId w:val="78"/>
        </w:numPr>
        <w:spacing w:line="360" w:lineRule="auto"/>
        <w:ind w:left="360"/>
        <w:rPr>
          <w:rFonts w:ascii="Arial" w:hAnsi="Arial" w:cs="Arial"/>
          <w:color w:val="000000" w:themeColor="text1"/>
        </w:rPr>
      </w:pPr>
      <w:r w:rsidRPr="00D74025">
        <w:rPr>
          <w:rFonts w:ascii="Arial" w:hAnsi="Arial" w:cs="Arial"/>
          <w:b/>
          <w:bCs/>
          <w:color w:val="000000" w:themeColor="text1"/>
        </w:rPr>
        <w:t>60°C</w:t>
      </w:r>
      <w:r w:rsidR="00525FA3" w:rsidRPr="00D74025">
        <w:rPr>
          <w:rFonts w:ascii="Arial" w:hAnsi="Arial" w:cs="Arial"/>
          <w:color w:val="000000" w:themeColor="text1"/>
        </w:rPr>
        <w:t xml:space="preserve">: </w:t>
      </w:r>
      <w:r w:rsidR="00167998">
        <w:rPr>
          <w:rFonts w:ascii="Arial" w:hAnsi="Arial" w:cs="Arial"/>
          <w:color w:val="000000" w:themeColor="text1"/>
        </w:rPr>
        <w:t>M</w:t>
      </w:r>
      <w:r w:rsidR="00525FA3" w:rsidRPr="00D74025">
        <w:rPr>
          <w:rFonts w:ascii="Arial" w:hAnsi="Arial" w:cs="Arial"/>
          <w:color w:val="000000" w:themeColor="text1"/>
        </w:rPr>
        <w:t>ice were intratumorally injected with SWCNT-ANXA5 and treated with PTT (1</w:t>
      </w:r>
      <w:r w:rsidR="002371F0" w:rsidRPr="00D74025">
        <w:rPr>
          <w:rFonts w:ascii="Arial" w:hAnsi="Arial" w:cs="Arial"/>
          <w:color w:val="000000" w:themeColor="text1"/>
        </w:rPr>
        <w:t> </w:t>
      </w:r>
      <w:r w:rsidR="00525FA3" w:rsidRPr="00D74025">
        <w:rPr>
          <w:rFonts w:ascii="Arial" w:hAnsi="Arial" w:cs="Arial"/>
          <w:color w:val="000000" w:themeColor="text1"/>
        </w:rPr>
        <w:t>W/cm</w:t>
      </w:r>
      <w:r w:rsidR="00525FA3" w:rsidRPr="00D74025">
        <w:rPr>
          <w:rFonts w:ascii="Arial" w:hAnsi="Arial" w:cs="Arial"/>
          <w:color w:val="000000" w:themeColor="text1"/>
          <w:vertAlign w:val="superscript"/>
        </w:rPr>
        <w:t>2</w:t>
      </w:r>
      <w:r w:rsidR="00525FA3" w:rsidRPr="00D74025">
        <w:rPr>
          <w:rFonts w:ascii="Arial" w:hAnsi="Arial" w:cs="Arial"/>
          <w:color w:val="000000" w:themeColor="text1"/>
        </w:rPr>
        <w:t>) until tumor surface temperature reached 60°C.</w:t>
      </w:r>
    </w:p>
    <w:p w14:paraId="0FC3D0DE" w14:textId="77777777" w:rsidR="00E51EBB" w:rsidRPr="00D74025" w:rsidRDefault="00E51EBB" w:rsidP="009A72E3">
      <w:pPr>
        <w:spacing w:line="360" w:lineRule="auto"/>
        <w:jc w:val="both"/>
        <w:rPr>
          <w:rFonts w:ascii="Arial" w:hAnsi="Arial" w:cs="Arial"/>
          <w:color w:val="000000" w:themeColor="text1"/>
        </w:rPr>
      </w:pPr>
    </w:p>
    <w:p w14:paraId="6E6A4ABA" w14:textId="77777777" w:rsidR="00E51EBB" w:rsidRPr="00D74025" w:rsidRDefault="00E51EBB" w:rsidP="00E51EBB">
      <w:pPr>
        <w:spacing w:line="360" w:lineRule="auto"/>
        <w:ind w:firstLine="1440"/>
        <w:jc w:val="both"/>
        <w:rPr>
          <w:rFonts w:ascii="Arial" w:hAnsi="Arial" w:cs="Arial"/>
          <w:color w:val="000000" w:themeColor="text1"/>
        </w:rPr>
      </w:pPr>
    </w:p>
    <w:p w14:paraId="4AB626D7" w14:textId="04B9D8BB" w:rsidR="00E51EBB" w:rsidRPr="005A0279" w:rsidRDefault="00E51EBB" w:rsidP="005A0279">
      <w:pPr>
        <w:pStyle w:val="Heading3"/>
        <w:rPr>
          <w:rFonts w:ascii="Arial" w:hAnsi="Arial" w:cs="Arial"/>
          <w:b/>
          <w:bCs/>
          <w:color w:val="000000" w:themeColor="text1"/>
        </w:rPr>
      </w:pPr>
      <w:bookmarkStart w:id="90" w:name="_Toc121217259"/>
      <w:r w:rsidRPr="005A0279">
        <w:rPr>
          <w:rFonts w:ascii="Arial" w:hAnsi="Arial" w:cs="Arial"/>
          <w:b/>
          <w:bCs/>
          <w:color w:val="000000" w:themeColor="text1"/>
        </w:rPr>
        <w:t>2.</w:t>
      </w:r>
      <w:r w:rsidR="005A0279">
        <w:rPr>
          <w:rFonts w:ascii="Arial" w:hAnsi="Arial" w:cs="Arial"/>
          <w:b/>
          <w:bCs/>
          <w:color w:val="000000" w:themeColor="text1"/>
        </w:rPr>
        <w:t>5.6</w:t>
      </w:r>
      <w:r w:rsidRPr="005A0279">
        <w:rPr>
          <w:rFonts w:ascii="Arial" w:hAnsi="Arial" w:cs="Arial"/>
          <w:b/>
          <w:bCs/>
          <w:color w:val="000000" w:themeColor="text1"/>
        </w:rPr>
        <w:t xml:space="preserve"> Survival of EMT6</w:t>
      </w:r>
      <w:r w:rsidR="00251EB5" w:rsidRPr="005A0279">
        <w:rPr>
          <w:rFonts w:ascii="Arial" w:hAnsi="Arial" w:cs="Arial"/>
          <w:b/>
          <w:bCs/>
          <w:color w:val="000000" w:themeColor="text1"/>
        </w:rPr>
        <w:t xml:space="preserve"> tumor</w:t>
      </w:r>
      <w:r w:rsidRPr="005A0279">
        <w:rPr>
          <w:rFonts w:ascii="Arial" w:hAnsi="Arial" w:cs="Arial"/>
          <w:b/>
          <w:bCs/>
          <w:color w:val="000000" w:themeColor="text1"/>
        </w:rPr>
        <w:t xml:space="preserve"> </w:t>
      </w:r>
      <w:r w:rsidR="00504D69" w:rsidRPr="005A0279">
        <w:rPr>
          <w:rFonts w:ascii="Arial" w:hAnsi="Arial" w:cs="Arial"/>
          <w:b/>
          <w:bCs/>
          <w:color w:val="000000" w:themeColor="text1"/>
        </w:rPr>
        <w:t xml:space="preserve">bearing mice in combination therapy of PTT </w:t>
      </w:r>
      <w:r w:rsidR="00525FA3" w:rsidRPr="005A0279">
        <w:rPr>
          <w:rFonts w:ascii="Arial" w:hAnsi="Arial" w:cs="Arial"/>
          <w:b/>
          <w:bCs/>
          <w:color w:val="000000" w:themeColor="text1"/>
        </w:rPr>
        <w:t>at 45</w:t>
      </w:r>
      <w:r w:rsidR="009E7FDA" w:rsidRPr="005A0279">
        <w:rPr>
          <w:rFonts w:ascii="Arial" w:hAnsi="Arial" w:cs="Arial"/>
          <w:b/>
          <w:bCs/>
          <w:color w:val="000000" w:themeColor="text1"/>
        </w:rPr>
        <w:sym w:font="Symbol" w:char="F0B0"/>
      </w:r>
      <w:r w:rsidR="009E7FDA" w:rsidRPr="005A0279">
        <w:rPr>
          <w:rFonts w:ascii="Arial" w:hAnsi="Arial" w:cs="Arial"/>
          <w:b/>
          <w:bCs/>
          <w:color w:val="000000" w:themeColor="text1"/>
        </w:rPr>
        <w:t xml:space="preserve">C </w:t>
      </w:r>
      <w:r w:rsidR="00504D69" w:rsidRPr="005A0279">
        <w:rPr>
          <w:rFonts w:ascii="Arial" w:hAnsi="Arial" w:cs="Arial"/>
          <w:b/>
          <w:bCs/>
          <w:color w:val="000000" w:themeColor="text1"/>
        </w:rPr>
        <w:t>and anti-PD-1</w:t>
      </w:r>
      <w:bookmarkEnd w:id="90"/>
    </w:p>
    <w:p w14:paraId="1CEE5F0C" w14:textId="77777777" w:rsidR="00504D69" w:rsidRPr="00D74025" w:rsidRDefault="00504D69" w:rsidP="00504D69">
      <w:pPr>
        <w:rPr>
          <w:color w:val="000000" w:themeColor="text1"/>
        </w:rPr>
      </w:pPr>
    </w:p>
    <w:p w14:paraId="74895CCE" w14:textId="364BA75B" w:rsidR="00F41AEC" w:rsidRDefault="00F41AEC" w:rsidP="00F41AEC">
      <w:pPr>
        <w:spacing w:line="360" w:lineRule="auto"/>
        <w:ind w:firstLine="1440"/>
        <w:jc w:val="both"/>
        <w:rPr>
          <w:rFonts w:ascii="Arial" w:eastAsiaTheme="minorEastAsia" w:hAnsi="Arial" w:cs="Arial"/>
          <w:color w:val="000000" w:themeColor="text1"/>
        </w:rPr>
      </w:pPr>
      <w:r w:rsidRPr="00D74025">
        <w:rPr>
          <w:rFonts w:ascii="Arial" w:eastAsiaTheme="minorEastAsia" w:hAnsi="Arial" w:cs="Arial"/>
          <w:color w:val="000000" w:themeColor="text1"/>
        </w:rPr>
        <w:t>Six-week-old female BALB/</w:t>
      </w:r>
      <w:proofErr w:type="spellStart"/>
      <w:r w:rsidRPr="00D74025">
        <w:rPr>
          <w:rFonts w:ascii="Arial" w:eastAsiaTheme="minorEastAsia" w:hAnsi="Arial" w:cs="Arial"/>
          <w:color w:val="000000" w:themeColor="text1"/>
        </w:rPr>
        <w:t>cJ</w:t>
      </w:r>
      <w:proofErr w:type="spellEnd"/>
      <w:r w:rsidRPr="00D74025">
        <w:rPr>
          <w:rFonts w:ascii="Arial" w:eastAsiaTheme="minorEastAsia" w:hAnsi="Arial" w:cs="Arial"/>
          <w:color w:val="000000" w:themeColor="text1"/>
        </w:rPr>
        <w:t xml:space="preserve"> mice were inoculated with EMT6 tumors on day </w:t>
      </w:r>
      <w:r w:rsidR="00167998">
        <w:rPr>
          <w:rFonts w:ascii="Arial" w:eastAsiaTheme="minorEastAsia" w:hAnsi="Arial" w:cs="Arial"/>
          <w:color w:val="000000" w:themeColor="text1"/>
        </w:rPr>
        <w:t>0</w:t>
      </w:r>
      <w:r w:rsidRPr="00D74025">
        <w:rPr>
          <w:rFonts w:ascii="Arial" w:eastAsiaTheme="minorEastAsia" w:hAnsi="Arial" w:cs="Arial"/>
          <w:color w:val="000000" w:themeColor="text1"/>
        </w:rPr>
        <w:t xml:space="preserve">. On day </w:t>
      </w:r>
      <w:r w:rsidR="00167998">
        <w:rPr>
          <w:rFonts w:ascii="Arial" w:eastAsiaTheme="minorEastAsia" w:hAnsi="Arial" w:cs="Arial"/>
          <w:color w:val="000000" w:themeColor="text1"/>
        </w:rPr>
        <w:t>7</w:t>
      </w:r>
      <w:r w:rsidRPr="00D74025">
        <w:rPr>
          <w:rFonts w:ascii="Arial" w:eastAsiaTheme="minorEastAsia" w:hAnsi="Arial" w:cs="Arial"/>
          <w:color w:val="000000" w:themeColor="text1"/>
        </w:rPr>
        <w:t>, when tumors were around 3 mm in diameter, treatment started for the assigned groups with an intraperitoneal injection of anti-PD-1 checkpoint inhibitor at 10 mg/kg. The same injection was performed two more times on days 10 and 15. On day 11, mice were injected intratumorally with SWCNT-ANXA5 (1.2 mg/kg of SWCNT) when the tumors were around 5 mm in diameter (~60 mm</w:t>
      </w:r>
      <w:r w:rsidRPr="00D74025">
        <w:rPr>
          <w:rFonts w:ascii="Arial" w:eastAsiaTheme="minorEastAsia" w:hAnsi="Arial" w:cs="Arial"/>
          <w:color w:val="000000" w:themeColor="text1"/>
          <w:vertAlign w:val="superscript"/>
        </w:rPr>
        <w:t>3</w:t>
      </w:r>
      <w:r w:rsidRPr="00D74025">
        <w:rPr>
          <w:rFonts w:ascii="Arial" w:eastAsiaTheme="minorEastAsia" w:hAnsi="Arial" w:cs="Arial"/>
          <w:color w:val="000000" w:themeColor="text1"/>
        </w:rPr>
        <w:t xml:space="preserve">) treated with PTT. The treatment schedule is shown in </w:t>
      </w:r>
      <w:r w:rsidR="00E36D85">
        <w:rPr>
          <w:rFonts w:ascii="Arial" w:eastAsiaTheme="minorEastAsia" w:hAnsi="Arial" w:cs="Arial"/>
          <w:b/>
          <w:bCs/>
          <w:color w:val="000000" w:themeColor="text1"/>
        </w:rPr>
        <w:t>F</w:t>
      </w:r>
      <w:r w:rsidRPr="00E36D85">
        <w:rPr>
          <w:rFonts w:ascii="Arial" w:eastAsiaTheme="minorEastAsia" w:hAnsi="Arial" w:cs="Arial"/>
          <w:b/>
          <w:bCs/>
          <w:color w:val="000000" w:themeColor="text1"/>
        </w:rPr>
        <w:t xml:space="preserve">igure </w:t>
      </w:r>
      <w:r w:rsidR="00E36D85">
        <w:rPr>
          <w:rFonts w:ascii="Arial" w:eastAsiaTheme="minorEastAsia" w:hAnsi="Arial" w:cs="Arial"/>
          <w:b/>
          <w:bCs/>
          <w:color w:val="000000" w:themeColor="text1"/>
        </w:rPr>
        <w:t>25</w:t>
      </w:r>
      <w:r w:rsidRPr="00D74025">
        <w:rPr>
          <w:rFonts w:ascii="Arial" w:eastAsiaTheme="minorEastAsia" w:hAnsi="Arial" w:cs="Arial"/>
          <w:color w:val="000000" w:themeColor="text1"/>
        </w:rPr>
        <w:t>:</w:t>
      </w:r>
    </w:p>
    <w:p w14:paraId="353DEC45" w14:textId="77777777" w:rsidR="00ED1FF3" w:rsidRPr="00D74025" w:rsidRDefault="00ED1FF3" w:rsidP="00F41AEC">
      <w:pPr>
        <w:spacing w:line="360" w:lineRule="auto"/>
        <w:ind w:firstLine="1440"/>
        <w:jc w:val="both"/>
        <w:rPr>
          <w:rFonts w:ascii="Arial" w:eastAsiaTheme="minorEastAsia"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5B77BB1E" w14:textId="77777777" w:rsidTr="00AB66B6">
        <w:tc>
          <w:tcPr>
            <w:tcW w:w="9350" w:type="dxa"/>
          </w:tcPr>
          <w:p w14:paraId="5A49C782" w14:textId="66BDADEC" w:rsidR="00AB66B6" w:rsidRPr="00D74025" w:rsidRDefault="00AB66B6" w:rsidP="00AB66B6">
            <w:pPr>
              <w:spacing w:line="360" w:lineRule="auto"/>
              <w:ind w:firstLine="0"/>
              <w:rPr>
                <w:rFonts w:ascii="Arial" w:eastAsiaTheme="minorEastAsia" w:hAnsi="Arial" w:cs="Arial"/>
                <w:color w:val="000000" w:themeColor="text1"/>
              </w:rPr>
            </w:pPr>
            <w:r w:rsidRPr="00D74025">
              <w:rPr>
                <w:rFonts w:ascii="Arial" w:eastAsiaTheme="minorEastAsia" w:hAnsi="Arial" w:cs="Arial"/>
                <w:noProof/>
                <w:color w:val="000000" w:themeColor="text1"/>
              </w:rPr>
              <w:drawing>
                <wp:inline distT="0" distB="0" distL="0" distR="0" wp14:anchorId="15C61AFE" wp14:editId="6C063718">
                  <wp:extent cx="5943600" cy="2353310"/>
                  <wp:effectExtent l="0" t="0" r="0" b="0"/>
                  <wp:docPr id="42" name="Picture 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Diagram&#10;&#10;Description automatically generated"/>
                          <pic:cNvPicPr/>
                        </pic:nvPicPr>
                        <pic:blipFill>
                          <a:blip r:embed="rId41"/>
                          <a:stretch>
                            <a:fillRect/>
                          </a:stretch>
                        </pic:blipFill>
                        <pic:spPr>
                          <a:xfrm>
                            <a:off x="0" y="0"/>
                            <a:ext cx="5943600" cy="2353310"/>
                          </a:xfrm>
                          <a:prstGeom prst="rect">
                            <a:avLst/>
                          </a:prstGeom>
                        </pic:spPr>
                      </pic:pic>
                    </a:graphicData>
                  </a:graphic>
                </wp:inline>
              </w:drawing>
            </w:r>
          </w:p>
        </w:tc>
      </w:tr>
      <w:tr w:rsidR="00AB66B6" w:rsidRPr="00D74025" w14:paraId="3E5A920C" w14:textId="77777777" w:rsidTr="00AB66B6">
        <w:tc>
          <w:tcPr>
            <w:tcW w:w="9350" w:type="dxa"/>
          </w:tcPr>
          <w:p w14:paraId="1B52462B" w14:textId="6D63F129" w:rsidR="00AB66B6" w:rsidRPr="006B3894" w:rsidRDefault="006B3894" w:rsidP="00AB66B6">
            <w:pPr>
              <w:spacing w:line="360" w:lineRule="auto"/>
              <w:ind w:firstLine="0"/>
              <w:rPr>
                <w:rFonts w:ascii="Arial" w:eastAsiaTheme="minorEastAsia" w:hAnsi="Arial" w:cs="Arial"/>
                <w:b/>
                <w:bCs/>
                <w:color w:val="000000" w:themeColor="text1"/>
              </w:rPr>
            </w:pPr>
            <w:bookmarkStart w:id="91" w:name="_Toc121217347"/>
            <w:r w:rsidRPr="006B3894">
              <w:rPr>
                <w:rFonts w:ascii="Arial" w:eastAsiaTheme="minorEastAsia" w:hAnsi="Arial" w:cs="Arial"/>
                <w:b/>
                <w:bCs/>
                <w:color w:val="000000" w:themeColor="text1"/>
              </w:rPr>
              <w:lastRenderedPageBreak/>
              <w:t xml:space="preserve">Figure </w:t>
            </w:r>
            <w:r w:rsidRPr="006B3894">
              <w:rPr>
                <w:rFonts w:ascii="Arial" w:eastAsiaTheme="minorEastAsia" w:hAnsi="Arial" w:cs="Arial"/>
                <w:b/>
                <w:bCs/>
                <w:color w:val="000000" w:themeColor="text1"/>
              </w:rPr>
              <w:fldChar w:fldCharType="begin"/>
            </w:r>
            <w:r w:rsidRPr="006B3894">
              <w:rPr>
                <w:rFonts w:ascii="Arial" w:eastAsiaTheme="minorEastAsia" w:hAnsi="Arial" w:cs="Arial"/>
                <w:b/>
                <w:bCs/>
                <w:color w:val="000000" w:themeColor="text1"/>
              </w:rPr>
              <w:instrText xml:space="preserve"> SEQ Figure \* ARABIC </w:instrText>
            </w:r>
            <w:r w:rsidRPr="006B3894">
              <w:rPr>
                <w:rFonts w:ascii="Arial" w:eastAsiaTheme="minorEastAsia" w:hAnsi="Arial" w:cs="Arial"/>
                <w:b/>
                <w:bCs/>
                <w:color w:val="000000" w:themeColor="text1"/>
              </w:rPr>
              <w:fldChar w:fldCharType="separate"/>
            </w:r>
            <w:r w:rsidR="002C4B25">
              <w:rPr>
                <w:rFonts w:ascii="Arial" w:eastAsiaTheme="minorEastAsia" w:hAnsi="Arial" w:cs="Arial"/>
                <w:b/>
                <w:bCs/>
                <w:noProof/>
                <w:color w:val="000000" w:themeColor="text1"/>
              </w:rPr>
              <w:t>25</w:t>
            </w:r>
            <w:r w:rsidRPr="006B3894">
              <w:rPr>
                <w:rFonts w:ascii="Arial" w:eastAsiaTheme="minorEastAsia" w:hAnsi="Arial" w:cs="Arial"/>
                <w:b/>
                <w:bCs/>
                <w:color w:val="000000" w:themeColor="text1"/>
              </w:rPr>
              <w:fldChar w:fldCharType="end"/>
            </w:r>
            <w:r w:rsidR="00AB66B6" w:rsidRPr="006B3894">
              <w:rPr>
                <w:rFonts w:ascii="Arial" w:eastAsiaTheme="minorEastAsia" w:hAnsi="Arial" w:cs="Arial"/>
                <w:b/>
                <w:bCs/>
                <w:color w:val="000000" w:themeColor="text1"/>
              </w:rPr>
              <w:t xml:space="preserve">: </w:t>
            </w:r>
            <w:r w:rsidR="00AB66B6" w:rsidRPr="004F39AA">
              <w:rPr>
                <w:rFonts w:ascii="Arial" w:eastAsiaTheme="minorEastAsia" w:hAnsi="Arial" w:cs="Arial"/>
                <w:color w:val="000000" w:themeColor="text1"/>
              </w:rPr>
              <w:t>treatment schedule for the combination therapy of</w:t>
            </w:r>
            <w:r w:rsidR="002C6E45" w:rsidRPr="004F39AA">
              <w:rPr>
                <w:rFonts w:ascii="Arial" w:eastAsiaTheme="minorEastAsia" w:hAnsi="Arial" w:cs="Arial"/>
                <w:color w:val="000000" w:themeColor="text1"/>
              </w:rPr>
              <w:t xml:space="preserve"> EMT6 tumor models with</w:t>
            </w:r>
            <w:r w:rsidR="00AB66B6" w:rsidRPr="004F39AA">
              <w:rPr>
                <w:rFonts w:ascii="Arial" w:eastAsiaTheme="minorEastAsia" w:hAnsi="Arial" w:cs="Arial"/>
                <w:color w:val="000000" w:themeColor="text1"/>
              </w:rPr>
              <w:t xml:space="preserve"> SW</w:t>
            </w:r>
            <w:r w:rsidR="00187AE6" w:rsidRPr="004F39AA">
              <w:rPr>
                <w:rFonts w:ascii="Arial" w:eastAsiaTheme="minorEastAsia" w:hAnsi="Arial" w:cs="Arial"/>
                <w:color w:val="000000" w:themeColor="text1"/>
              </w:rPr>
              <w:t>CN</w:t>
            </w:r>
            <w:r w:rsidR="00AB66B6" w:rsidRPr="004F39AA">
              <w:rPr>
                <w:rFonts w:ascii="Arial" w:eastAsiaTheme="minorEastAsia" w:hAnsi="Arial" w:cs="Arial"/>
                <w:color w:val="000000" w:themeColor="text1"/>
              </w:rPr>
              <w:t>T-ANXA5 mediated photothermal therapy until 45</w:t>
            </w:r>
            <w:r w:rsidR="00AB66B6" w:rsidRPr="004F39AA">
              <w:rPr>
                <w:rFonts w:ascii="Arial" w:eastAsiaTheme="minorEastAsia" w:hAnsi="Arial" w:cs="Arial"/>
                <w:color w:val="000000" w:themeColor="text1"/>
              </w:rPr>
              <w:sym w:font="Symbol" w:char="F0B0"/>
            </w:r>
            <w:r w:rsidR="00AB66B6" w:rsidRPr="004F39AA">
              <w:rPr>
                <w:rFonts w:ascii="Arial" w:eastAsiaTheme="minorEastAsia" w:hAnsi="Arial" w:cs="Arial"/>
                <w:color w:val="000000" w:themeColor="text1"/>
              </w:rPr>
              <w:t>C and anti-PD-1.</w:t>
            </w:r>
            <w:bookmarkEnd w:id="91"/>
          </w:p>
        </w:tc>
      </w:tr>
    </w:tbl>
    <w:p w14:paraId="09FCDB20" w14:textId="77777777" w:rsidR="006B3894" w:rsidRDefault="006B3894" w:rsidP="00EC2780">
      <w:pPr>
        <w:spacing w:line="360" w:lineRule="auto"/>
        <w:ind w:firstLine="1440"/>
        <w:jc w:val="both"/>
        <w:rPr>
          <w:rFonts w:ascii="Arial" w:eastAsiaTheme="minorEastAsia" w:hAnsi="Arial" w:cs="Arial"/>
          <w:color w:val="000000" w:themeColor="text1"/>
        </w:rPr>
      </w:pPr>
    </w:p>
    <w:p w14:paraId="6BC90E9E" w14:textId="1B7F9ED4" w:rsidR="00301C3C" w:rsidRPr="00D74025" w:rsidRDefault="007B704B" w:rsidP="00EC2780">
      <w:pPr>
        <w:spacing w:line="360" w:lineRule="auto"/>
        <w:ind w:firstLine="1440"/>
        <w:jc w:val="both"/>
        <w:rPr>
          <w:rFonts w:ascii="Arial" w:hAnsi="Arial" w:cs="Arial"/>
          <w:color w:val="000000" w:themeColor="text1"/>
        </w:rPr>
      </w:pPr>
      <w:r w:rsidRPr="00D74025">
        <w:rPr>
          <w:rFonts w:ascii="Arial" w:eastAsiaTheme="minorEastAsia" w:hAnsi="Arial" w:cs="Arial"/>
          <w:color w:val="000000" w:themeColor="text1"/>
        </w:rPr>
        <w:t>The tumors were treated by 980 nm NIR laser for at 1 W/cm</w:t>
      </w:r>
      <w:r w:rsidRPr="00D74025">
        <w:rPr>
          <w:rFonts w:ascii="Arial" w:eastAsiaTheme="minorEastAsia" w:hAnsi="Arial" w:cs="Arial"/>
          <w:color w:val="000000" w:themeColor="text1"/>
          <w:vertAlign w:val="superscript"/>
        </w:rPr>
        <w:t>2</w:t>
      </w:r>
      <w:r w:rsidR="00445D59" w:rsidRPr="00D74025">
        <w:rPr>
          <w:rFonts w:ascii="Arial" w:hAnsi="Arial" w:cs="Arial"/>
          <w:color w:val="000000" w:themeColor="text1"/>
        </w:rPr>
        <w:t xml:space="preserve">. </w:t>
      </w:r>
      <w:r w:rsidRPr="00D74025">
        <w:rPr>
          <w:rFonts w:ascii="Arial" w:hAnsi="Arial" w:cs="Arial"/>
          <w:color w:val="000000" w:themeColor="text1"/>
        </w:rPr>
        <w:t>The tumor surface temperature was monitored during the irradiation by thermal camera (FLIR e-</w:t>
      </w:r>
      <w:r w:rsidR="004B2315" w:rsidRPr="00D74025">
        <w:rPr>
          <w:rFonts w:ascii="Arial" w:hAnsi="Arial" w:cs="Arial"/>
          <w:color w:val="000000" w:themeColor="text1"/>
        </w:rPr>
        <w:t>5</w:t>
      </w:r>
      <w:r w:rsidRPr="00D74025">
        <w:rPr>
          <w:rFonts w:ascii="Arial" w:hAnsi="Arial" w:cs="Arial"/>
          <w:color w:val="000000" w:themeColor="text1"/>
        </w:rPr>
        <w:t>), adjusting emissivity to 0.93</w:t>
      </w:r>
      <w:r w:rsidR="004E4EE6" w:rsidRPr="00D74025">
        <w:rPr>
          <w:rFonts w:ascii="Arial" w:hAnsi="Arial" w:cs="Arial"/>
          <w:color w:val="000000" w:themeColor="text1"/>
        </w:rPr>
        <w:t xml:space="preserve"> and </w:t>
      </w:r>
      <w:r w:rsidR="004E4EE6" w:rsidRPr="00E36D85">
        <w:rPr>
          <w:rFonts w:ascii="Arial" w:hAnsi="Arial" w:cs="Arial"/>
          <w:color w:val="000000" w:themeColor="text1"/>
        </w:rPr>
        <w:t>central focus</w:t>
      </w:r>
      <w:r w:rsidRPr="00D74025">
        <w:rPr>
          <w:rFonts w:ascii="Arial" w:hAnsi="Arial" w:cs="Arial"/>
          <w:color w:val="000000" w:themeColor="text1"/>
        </w:rPr>
        <w:t>. Irradiation was ceased immediately after the tumor surface temperature reached 45</w:t>
      </w:r>
      <w:r w:rsidR="002B7FE6" w:rsidRPr="00D74025">
        <w:rPr>
          <w:rFonts w:ascii="Arial" w:hAnsi="Arial" w:cs="Arial"/>
          <w:color w:val="000000" w:themeColor="text1"/>
        </w:rPr>
        <w:t> </w:t>
      </w:r>
      <w:r w:rsidRPr="00D74025">
        <w:rPr>
          <w:rFonts w:ascii="Arial" w:hAnsi="Arial" w:cs="Arial"/>
          <w:color w:val="000000" w:themeColor="text1"/>
        </w:rPr>
        <w:t xml:space="preserve">°C. </w:t>
      </w:r>
      <w:r w:rsidR="006A201D" w:rsidRPr="00D74025">
        <w:rPr>
          <w:rFonts w:ascii="Arial" w:hAnsi="Arial" w:cs="Arial"/>
          <w:color w:val="000000" w:themeColor="text1"/>
        </w:rPr>
        <w:t>Mice were assigned to four different groups:</w:t>
      </w:r>
    </w:p>
    <w:p w14:paraId="5F9D62F4" w14:textId="63B5CB18" w:rsidR="00301C3C" w:rsidRPr="00D74025" w:rsidRDefault="0021491E">
      <w:pPr>
        <w:pStyle w:val="ListParagraph"/>
        <w:numPr>
          <w:ilvl w:val="0"/>
          <w:numId w:val="76"/>
        </w:numPr>
        <w:spacing w:line="360" w:lineRule="auto"/>
        <w:ind w:left="360"/>
        <w:rPr>
          <w:rFonts w:ascii="Arial" w:eastAsiaTheme="minorHAnsi" w:hAnsi="Arial" w:cs="Arial"/>
          <w:color w:val="000000" w:themeColor="text1"/>
        </w:rPr>
      </w:pPr>
      <w:r w:rsidRPr="00D74025">
        <w:rPr>
          <w:rFonts w:ascii="Arial" w:eastAsiaTheme="minorHAnsi" w:hAnsi="Arial" w:cs="Arial"/>
          <w:b/>
          <w:bCs/>
          <w:color w:val="000000" w:themeColor="text1"/>
        </w:rPr>
        <w:t>Control</w:t>
      </w:r>
      <w:r w:rsidRPr="00D74025">
        <w:rPr>
          <w:rFonts w:ascii="Arial" w:eastAsiaTheme="minorHAnsi" w:hAnsi="Arial" w:cs="Arial"/>
          <w:color w:val="000000" w:themeColor="text1"/>
        </w:rPr>
        <w:t xml:space="preserve">: </w:t>
      </w:r>
      <w:r w:rsidR="00EC2780" w:rsidRPr="00D74025">
        <w:rPr>
          <w:rFonts w:ascii="Arial" w:eastAsiaTheme="minorHAnsi" w:hAnsi="Arial" w:cs="Arial"/>
          <w:color w:val="000000" w:themeColor="text1"/>
        </w:rPr>
        <w:t>untreated.</w:t>
      </w:r>
    </w:p>
    <w:p w14:paraId="3E238175" w14:textId="5E41651F" w:rsidR="0021491E" w:rsidRPr="00D74025" w:rsidRDefault="00105CFA">
      <w:pPr>
        <w:pStyle w:val="ListParagraph"/>
        <w:numPr>
          <w:ilvl w:val="0"/>
          <w:numId w:val="76"/>
        </w:numPr>
        <w:spacing w:line="360" w:lineRule="auto"/>
        <w:ind w:left="360"/>
        <w:rPr>
          <w:rFonts w:ascii="Arial" w:eastAsiaTheme="minorHAnsi" w:hAnsi="Arial" w:cs="Arial"/>
          <w:color w:val="000000" w:themeColor="text1"/>
        </w:rPr>
      </w:pPr>
      <w:r w:rsidRPr="00D74025">
        <w:rPr>
          <w:rFonts w:ascii="Arial" w:eastAsiaTheme="minorHAnsi" w:hAnsi="Arial" w:cs="Arial"/>
          <w:b/>
          <w:bCs/>
          <w:color w:val="000000" w:themeColor="text1"/>
        </w:rPr>
        <w:t>Anti-PD-1:</w:t>
      </w:r>
      <w:r w:rsidRPr="00D74025">
        <w:rPr>
          <w:rFonts w:ascii="Arial" w:eastAsiaTheme="minorHAnsi" w:hAnsi="Arial" w:cs="Arial"/>
          <w:color w:val="000000" w:themeColor="text1"/>
        </w:rPr>
        <w:t xml:space="preserve"> </w:t>
      </w:r>
      <w:r w:rsidR="004B3231">
        <w:rPr>
          <w:rFonts w:ascii="Arial" w:eastAsiaTheme="minorHAnsi" w:hAnsi="Arial" w:cs="Arial"/>
          <w:color w:val="000000" w:themeColor="text1"/>
        </w:rPr>
        <w:t>M</w:t>
      </w:r>
      <w:r w:rsidRPr="00D74025">
        <w:rPr>
          <w:rFonts w:ascii="Arial" w:eastAsiaTheme="minorHAnsi" w:hAnsi="Arial" w:cs="Arial"/>
          <w:color w:val="000000" w:themeColor="text1"/>
        </w:rPr>
        <w:t>ice treated with 3 injections of anti-PD-1</w:t>
      </w:r>
      <w:r w:rsidR="00EC2780" w:rsidRPr="00D74025">
        <w:rPr>
          <w:rFonts w:ascii="Arial" w:eastAsiaTheme="minorHAnsi" w:hAnsi="Arial" w:cs="Arial"/>
          <w:color w:val="000000" w:themeColor="text1"/>
        </w:rPr>
        <w:t>.</w:t>
      </w:r>
    </w:p>
    <w:p w14:paraId="45E56E03" w14:textId="1CEB2714" w:rsidR="00105CFA" w:rsidRPr="00D74025" w:rsidRDefault="00105CFA">
      <w:pPr>
        <w:pStyle w:val="ListParagraph"/>
        <w:numPr>
          <w:ilvl w:val="0"/>
          <w:numId w:val="76"/>
        </w:numPr>
        <w:spacing w:line="360" w:lineRule="auto"/>
        <w:ind w:left="360"/>
        <w:rPr>
          <w:rFonts w:ascii="Arial" w:eastAsiaTheme="minorHAnsi" w:hAnsi="Arial" w:cs="Arial"/>
          <w:color w:val="000000" w:themeColor="text1"/>
        </w:rPr>
      </w:pPr>
      <w:r w:rsidRPr="00D74025">
        <w:rPr>
          <w:rFonts w:ascii="Arial" w:eastAsiaTheme="minorHAnsi" w:hAnsi="Arial" w:cs="Arial"/>
          <w:b/>
          <w:bCs/>
          <w:color w:val="000000" w:themeColor="text1"/>
        </w:rPr>
        <w:t>PTT:</w:t>
      </w:r>
      <w:r w:rsidRPr="00D74025">
        <w:rPr>
          <w:rFonts w:ascii="Arial" w:eastAsiaTheme="minorHAnsi" w:hAnsi="Arial" w:cs="Arial"/>
          <w:color w:val="000000" w:themeColor="text1"/>
        </w:rPr>
        <w:t xml:space="preserve"> </w:t>
      </w:r>
      <w:r w:rsidR="004B3231">
        <w:rPr>
          <w:rFonts w:ascii="Arial" w:eastAsiaTheme="minorHAnsi" w:hAnsi="Arial" w:cs="Arial"/>
          <w:color w:val="000000" w:themeColor="text1"/>
        </w:rPr>
        <w:t>M</w:t>
      </w:r>
      <w:r w:rsidRPr="00D74025">
        <w:rPr>
          <w:rFonts w:ascii="Arial" w:eastAsiaTheme="minorHAnsi" w:hAnsi="Arial" w:cs="Arial"/>
          <w:color w:val="000000" w:themeColor="text1"/>
        </w:rPr>
        <w:t>ice intratumorally injected with SWCNT-ANXA5</w:t>
      </w:r>
      <w:r w:rsidR="000255CE" w:rsidRPr="00D74025">
        <w:rPr>
          <w:rFonts w:ascii="Arial" w:eastAsiaTheme="minorHAnsi" w:hAnsi="Arial" w:cs="Arial"/>
          <w:color w:val="000000" w:themeColor="text1"/>
        </w:rPr>
        <w:t xml:space="preserve"> and treated with PTT until 45</w:t>
      </w:r>
      <w:r w:rsidR="002B7FE6" w:rsidRPr="00D74025">
        <w:rPr>
          <w:rFonts w:ascii="Arial" w:eastAsiaTheme="minorHAnsi" w:hAnsi="Arial" w:cs="Arial"/>
          <w:color w:val="000000" w:themeColor="text1"/>
        </w:rPr>
        <w:t> </w:t>
      </w:r>
      <w:r w:rsidR="000255CE" w:rsidRPr="00D74025">
        <w:rPr>
          <w:rFonts w:ascii="Arial" w:eastAsiaTheme="minorHAnsi" w:hAnsi="Arial" w:cs="Arial"/>
          <w:color w:val="000000" w:themeColor="text1"/>
        </w:rPr>
        <w:sym w:font="Symbol" w:char="F0B0"/>
      </w:r>
      <w:r w:rsidR="000255CE" w:rsidRPr="00D74025">
        <w:rPr>
          <w:rFonts w:ascii="Arial" w:eastAsiaTheme="minorHAnsi" w:hAnsi="Arial" w:cs="Arial"/>
          <w:color w:val="000000" w:themeColor="text1"/>
        </w:rPr>
        <w:t>C</w:t>
      </w:r>
      <w:r w:rsidR="00EC2780" w:rsidRPr="00D74025">
        <w:rPr>
          <w:rFonts w:ascii="Arial" w:eastAsiaTheme="minorHAnsi" w:hAnsi="Arial" w:cs="Arial"/>
          <w:color w:val="000000" w:themeColor="text1"/>
        </w:rPr>
        <w:t>.</w:t>
      </w:r>
    </w:p>
    <w:p w14:paraId="066C49E5" w14:textId="2EAD75EB" w:rsidR="005E4DB6" w:rsidRPr="00D74025" w:rsidRDefault="000255CE">
      <w:pPr>
        <w:pStyle w:val="ListParagraph"/>
        <w:numPr>
          <w:ilvl w:val="0"/>
          <w:numId w:val="76"/>
        </w:numPr>
        <w:spacing w:line="360" w:lineRule="auto"/>
        <w:ind w:left="360"/>
        <w:rPr>
          <w:rFonts w:ascii="Arial" w:eastAsiaTheme="minorHAnsi" w:hAnsi="Arial" w:cs="Arial"/>
          <w:color w:val="000000" w:themeColor="text1"/>
        </w:rPr>
      </w:pPr>
      <w:r w:rsidRPr="00D74025">
        <w:rPr>
          <w:rFonts w:ascii="Arial" w:eastAsiaTheme="minorHAnsi" w:hAnsi="Arial" w:cs="Arial"/>
          <w:b/>
          <w:bCs/>
          <w:color w:val="000000" w:themeColor="text1"/>
        </w:rPr>
        <w:t>Anti-PD-1 + PTT</w:t>
      </w:r>
      <w:r w:rsidR="006E3A94" w:rsidRPr="00D74025">
        <w:rPr>
          <w:rFonts w:ascii="Arial" w:eastAsiaTheme="minorHAnsi" w:hAnsi="Arial" w:cs="Arial"/>
          <w:b/>
          <w:bCs/>
          <w:color w:val="000000" w:themeColor="text1"/>
        </w:rPr>
        <w:t>:</w:t>
      </w:r>
      <w:r w:rsidR="006E3A94" w:rsidRPr="00D74025">
        <w:rPr>
          <w:rFonts w:ascii="Arial" w:eastAsiaTheme="minorHAnsi" w:hAnsi="Arial" w:cs="Arial"/>
          <w:color w:val="000000" w:themeColor="text1"/>
        </w:rPr>
        <w:t xml:space="preserve">  </w:t>
      </w:r>
      <w:r w:rsidR="004B3231">
        <w:rPr>
          <w:rFonts w:ascii="Arial" w:eastAsiaTheme="minorHAnsi" w:hAnsi="Arial" w:cs="Arial"/>
          <w:color w:val="000000" w:themeColor="text1"/>
        </w:rPr>
        <w:t>M</w:t>
      </w:r>
      <w:r w:rsidR="006E3A94" w:rsidRPr="00D74025">
        <w:rPr>
          <w:rFonts w:ascii="Arial" w:eastAsiaTheme="minorHAnsi" w:hAnsi="Arial" w:cs="Arial"/>
          <w:color w:val="000000" w:themeColor="text1"/>
        </w:rPr>
        <w:t>ice treated with 3 injections of anti-PD-1, intratumorally injected with SWCNT-ANXA5 and treated with PTT until 45</w:t>
      </w:r>
      <w:r w:rsidR="002B7FE6" w:rsidRPr="00D74025">
        <w:rPr>
          <w:rFonts w:ascii="Arial" w:eastAsiaTheme="minorHAnsi" w:hAnsi="Arial" w:cs="Arial"/>
          <w:color w:val="000000" w:themeColor="text1"/>
        </w:rPr>
        <w:t xml:space="preserve"> </w:t>
      </w:r>
      <w:r w:rsidR="006E3A94" w:rsidRPr="00D74025">
        <w:rPr>
          <w:rFonts w:ascii="Arial" w:eastAsiaTheme="minorHAnsi" w:hAnsi="Arial" w:cs="Arial"/>
          <w:color w:val="000000" w:themeColor="text1"/>
        </w:rPr>
        <w:sym w:font="Symbol" w:char="F0B0"/>
      </w:r>
      <w:r w:rsidR="006E3A94" w:rsidRPr="00D74025">
        <w:rPr>
          <w:rFonts w:ascii="Arial" w:eastAsiaTheme="minorHAnsi" w:hAnsi="Arial" w:cs="Arial"/>
          <w:color w:val="000000" w:themeColor="text1"/>
        </w:rPr>
        <w:t>C</w:t>
      </w:r>
      <w:r w:rsidR="005E4DB6" w:rsidRPr="00D74025">
        <w:rPr>
          <w:rFonts w:ascii="Arial" w:eastAsiaTheme="minorHAnsi" w:hAnsi="Arial" w:cs="Arial"/>
          <w:color w:val="000000" w:themeColor="text1"/>
        </w:rPr>
        <w:t>.</w:t>
      </w:r>
    </w:p>
    <w:p w14:paraId="719C5D8C" w14:textId="77777777" w:rsidR="00396F83" w:rsidRPr="00D74025" w:rsidRDefault="00396F83" w:rsidP="00D66ABE">
      <w:pPr>
        <w:spacing w:line="360" w:lineRule="auto"/>
        <w:rPr>
          <w:rFonts w:ascii="Arial" w:eastAsiaTheme="minorEastAsia" w:hAnsi="Arial" w:cs="Arial"/>
          <w:color w:val="000000" w:themeColor="text1"/>
        </w:rPr>
      </w:pPr>
      <w:r w:rsidRPr="00D74025">
        <w:rPr>
          <w:rFonts w:ascii="Arial" w:eastAsiaTheme="minorEastAsia" w:hAnsi="Arial" w:cs="Arial"/>
          <w:color w:val="000000" w:themeColor="text1"/>
        </w:rPr>
        <w:t>Tumor volumes and body weights will be monitored daily after PTT. We reduced the monitoring frequency to every 3 days after finding no evidence of pain or distress. Treated or untreated mice that are in pain or distress, as indicated by being recumbent, were euthanized. Animals that exhibited weight loss greater than 20% from the onset of the study were euthanized. Mice-bearing tumors bigger than 15 mm were also euthanized. The study ended 100 days after tumor inoculation when the remaining mice were euthanized by CO</w:t>
      </w:r>
      <w:r w:rsidRPr="00D74025">
        <w:rPr>
          <w:rFonts w:ascii="Arial" w:eastAsiaTheme="minorEastAsia" w:hAnsi="Arial" w:cs="Arial"/>
          <w:color w:val="000000" w:themeColor="text1"/>
          <w:vertAlign w:val="subscript"/>
        </w:rPr>
        <w:t>2</w:t>
      </w:r>
      <w:r w:rsidRPr="00D74025">
        <w:rPr>
          <w:rFonts w:ascii="Arial" w:eastAsiaTheme="minorEastAsia" w:hAnsi="Arial" w:cs="Arial"/>
          <w:color w:val="000000" w:themeColor="text1"/>
        </w:rPr>
        <w:t xml:space="preserve"> asphyxiation.</w:t>
      </w:r>
    </w:p>
    <w:p w14:paraId="0CC58FD2" w14:textId="77777777" w:rsidR="00E675B7" w:rsidRPr="00D74025" w:rsidRDefault="00E675B7" w:rsidP="00F10593">
      <w:pPr>
        <w:spacing w:line="360" w:lineRule="auto"/>
        <w:jc w:val="both"/>
        <w:rPr>
          <w:rFonts w:ascii="Arial" w:eastAsiaTheme="minorEastAsia" w:hAnsi="Arial" w:cs="Arial"/>
          <w:color w:val="000000" w:themeColor="text1"/>
        </w:rPr>
      </w:pPr>
    </w:p>
    <w:p w14:paraId="76AA1EB2" w14:textId="77777777" w:rsidR="00F10593" w:rsidRPr="00D74025" w:rsidRDefault="00F10593" w:rsidP="00F10593">
      <w:pPr>
        <w:spacing w:line="360" w:lineRule="auto"/>
        <w:jc w:val="both"/>
        <w:rPr>
          <w:rFonts w:ascii="Arial" w:eastAsiaTheme="minorEastAsia" w:hAnsi="Arial" w:cs="Arial"/>
          <w:color w:val="000000" w:themeColor="text1"/>
        </w:rPr>
      </w:pPr>
    </w:p>
    <w:p w14:paraId="6C8BECA5" w14:textId="6BFF598B" w:rsidR="00251EB5" w:rsidRPr="005A0279" w:rsidRDefault="00251EB5" w:rsidP="005A0279">
      <w:pPr>
        <w:pStyle w:val="Heading3"/>
        <w:rPr>
          <w:rFonts w:ascii="Arial" w:hAnsi="Arial" w:cs="Arial"/>
          <w:b/>
          <w:bCs/>
          <w:color w:val="000000" w:themeColor="text1"/>
        </w:rPr>
      </w:pPr>
      <w:bookmarkStart w:id="92" w:name="_Toc121217260"/>
      <w:r w:rsidRPr="005A0279">
        <w:rPr>
          <w:rFonts w:ascii="Arial" w:eastAsiaTheme="minorEastAsia" w:hAnsi="Arial" w:cs="Arial"/>
          <w:b/>
          <w:bCs/>
          <w:color w:val="000000" w:themeColor="text1"/>
        </w:rPr>
        <w:t>2.</w:t>
      </w:r>
      <w:r w:rsidR="00D23372">
        <w:rPr>
          <w:rFonts w:ascii="Arial" w:eastAsiaTheme="minorEastAsia" w:hAnsi="Arial" w:cs="Arial"/>
          <w:b/>
          <w:bCs/>
          <w:color w:val="000000" w:themeColor="text1"/>
        </w:rPr>
        <w:t>5.7</w:t>
      </w:r>
      <w:r w:rsidRPr="005A0279">
        <w:rPr>
          <w:rFonts w:ascii="Arial" w:eastAsiaTheme="minorEastAsia" w:hAnsi="Arial" w:cs="Arial"/>
          <w:b/>
          <w:bCs/>
          <w:color w:val="000000" w:themeColor="text1"/>
        </w:rPr>
        <w:t xml:space="preserve"> Immune response of </w:t>
      </w:r>
      <w:r w:rsidRPr="005A0279">
        <w:rPr>
          <w:rFonts w:ascii="Arial" w:hAnsi="Arial" w:cs="Arial"/>
          <w:b/>
          <w:bCs/>
          <w:color w:val="000000" w:themeColor="text1"/>
        </w:rPr>
        <w:t>in combination therapy of PTT at 45</w:t>
      </w:r>
      <w:r w:rsidRPr="005A0279">
        <w:rPr>
          <w:rFonts w:ascii="Arial" w:hAnsi="Arial" w:cs="Arial"/>
          <w:b/>
          <w:bCs/>
          <w:color w:val="000000" w:themeColor="text1"/>
        </w:rPr>
        <w:sym w:font="Symbol" w:char="F0B0"/>
      </w:r>
      <w:r w:rsidRPr="005A0279">
        <w:rPr>
          <w:rFonts w:ascii="Arial" w:hAnsi="Arial" w:cs="Arial"/>
          <w:b/>
          <w:bCs/>
          <w:color w:val="000000" w:themeColor="text1"/>
        </w:rPr>
        <w:t>C and anti-PD-1 in EMT6 tumor-bearing mice.</w:t>
      </w:r>
      <w:bookmarkEnd w:id="92"/>
    </w:p>
    <w:p w14:paraId="319AF7A2" w14:textId="299C0DCB" w:rsidR="00DB54AB" w:rsidRPr="00D74025" w:rsidRDefault="00DB54AB" w:rsidP="00DB54AB">
      <w:pPr>
        <w:spacing w:line="360" w:lineRule="auto"/>
        <w:ind w:firstLine="1440"/>
        <w:jc w:val="both"/>
        <w:rPr>
          <w:rFonts w:ascii="Arial" w:eastAsiaTheme="minorEastAsia" w:hAnsi="Arial" w:cs="Arial"/>
          <w:color w:val="000000" w:themeColor="text1"/>
          <w:lang w:bidi="en-US"/>
        </w:rPr>
      </w:pPr>
      <w:r w:rsidRPr="00D74025">
        <w:rPr>
          <w:rFonts w:ascii="Arial" w:eastAsiaTheme="minorEastAsia" w:hAnsi="Arial" w:cs="Arial"/>
          <w:color w:val="000000" w:themeColor="text1"/>
        </w:rPr>
        <w:t>Six-week-old female BALB/</w:t>
      </w:r>
      <w:proofErr w:type="spellStart"/>
      <w:r w:rsidRPr="00D74025">
        <w:rPr>
          <w:rFonts w:ascii="Arial" w:eastAsiaTheme="minorEastAsia" w:hAnsi="Arial" w:cs="Arial"/>
          <w:color w:val="000000" w:themeColor="text1"/>
        </w:rPr>
        <w:t>cJ</w:t>
      </w:r>
      <w:proofErr w:type="spellEnd"/>
      <w:r w:rsidRPr="00D74025">
        <w:rPr>
          <w:rFonts w:ascii="Arial" w:eastAsiaTheme="minorEastAsia" w:hAnsi="Arial" w:cs="Arial"/>
          <w:color w:val="000000" w:themeColor="text1"/>
        </w:rPr>
        <w:t xml:space="preserve"> mice were inoculated with EMT6 tumors on day </w:t>
      </w:r>
      <w:r w:rsidR="004B3231">
        <w:rPr>
          <w:rFonts w:ascii="Arial" w:eastAsiaTheme="minorEastAsia" w:hAnsi="Arial" w:cs="Arial"/>
          <w:color w:val="000000" w:themeColor="text1"/>
        </w:rPr>
        <w:t>0</w:t>
      </w:r>
      <w:r w:rsidRPr="00D74025">
        <w:rPr>
          <w:rFonts w:ascii="Arial" w:eastAsiaTheme="minorEastAsia" w:hAnsi="Arial" w:cs="Arial"/>
          <w:color w:val="000000" w:themeColor="text1"/>
        </w:rPr>
        <w:t>. Combination therapy of PTT at 45 </w:t>
      </w:r>
      <w:r w:rsidRPr="00D74025">
        <w:rPr>
          <w:rFonts w:ascii="Arial" w:eastAsiaTheme="minorEastAsia" w:hAnsi="Arial" w:cs="Arial"/>
          <w:color w:val="000000" w:themeColor="text1"/>
        </w:rPr>
        <w:sym w:font="Symbol" w:char="F0B0"/>
      </w:r>
      <w:r w:rsidRPr="00D74025">
        <w:rPr>
          <w:rFonts w:ascii="Arial" w:eastAsiaTheme="minorEastAsia" w:hAnsi="Arial" w:cs="Arial"/>
          <w:color w:val="000000" w:themeColor="text1"/>
        </w:rPr>
        <w:t xml:space="preserve">C and three injections of anti-PD-1 were </w:t>
      </w:r>
      <w:r w:rsidRPr="00D74025">
        <w:rPr>
          <w:rFonts w:ascii="Arial" w:eastAsiaTheme="minorEastAsia" w:hAnsi="Arial" w:cs="Arial"/>
          <w:color w:val="000000" w:themeColor="text1"/>
        </w:rPr>
        <w:lastRenderedPageBreak/>
        <w:t xml:space="preserve">performed according to schedule and groups (n = 4) in </w:t>
      </w:r>
      <w:r w:rsidRPr="00EA1443">
        <w:rPr>
          <w:rFonts w:ascii="Arial" w:eastAsiaTheme="minorEastAsia" w:hAnsi="Arial" w:cs="Arial"/>
          <w:color w:val="000000" w:themeColor="text1"/>
        </w:rPr>
        <w:t>section 2.</w:t>
      </w:r>
      <w:r w:rsidR="00EA1443" w:rsidRPr="00EA1443">
        <w:rPr>
          <w:rFonts w:ascii="Arial" w:eastAsiaTheme="minorEastAsia" w:hAnsi="Arial" w:cs="Arial"/>
          <w:color w:val="000000" w:themeColor="text1"/>
        </w:rPr>
        <w:t>5</w:t>
      </w:r>
      <w:r w:rsidRPr="00EA1443">
        <w:rPr>
          <w:rFonts w:ascii="Arial" w:eastAsiaTheme="minorEastAsia" w:hAnsi="Arial" w:cs="Arial"/>
          <w:color w:val="000000" w:themeColor="text1"/>
        </w:rPr>
        <w:t>.</w:t>
      </w:r>
      <w:r w:rsidR="00EA1443" w:rsidRPr="00EA1443">
        <w:rPr>
          <w:rFonts w:ascii="Arial" w:eastAsiaTheme="minorEastAsia" w:hAnsi="Arial" w:cs="Arial"/>
          <w:color w:val="000000" w:themeColor="text1"/>
        </w:rPr>
        <w:t>6</w:t>
      </w:r>
      <w:r w:rsidRPr="00D74025">
        <w:rPr>
          <w:rFonts w:ascii="Arial" w:eastAsiaTheme="minorEastAsia" w:hAnsi="Arial" w:cs="Arial"/>
          <w:color w:val="000000" w:themeColor="text1"/>
        </w:rPr>
        <w:t>. Mice were euthanized by CO</w:t>
      </w:r>
      <w:r w:rsidRPr="00D74025">
        <w:rPr>
          <w:rFonts w:ascii="Arial" w:eastAsiaTheme="minorEastAsia" w:hAnsi="Arial" w:cs="Arial"/>
          <w:color w:val="000000" w:themeColor="text1"/>
          <w:vertAlign w:val="subscript"/>
        </w:rPr>
        <w:t>2</w:t>
      </w:r>
      <w:r w:rsidRPr="00D74025">
        <w:rPr>
          <w:rFonts w:ascii="Arial" w:eastAsiaTheme="minorEastAsia" w:hAnsi="Arial" w:cs="Arial"/>
          <w:color w:val="000000" w:themeColor="text1"/>
        </w:rPr>
        <w:t xml:space="preserve"> asphyxiation 14 days after PTT, and the spleens were harvested. Spleens </w:t>
      </w:r>
      <w:r w:rsidRPr="00D74025">
        <w:rPr>
          <w:rFonts w:ascii="Arial" w:eastAsiaTheme="minorEastAsia" w:hAnsi="Arial" w:cs="Arial"/>
          <w:color w:val="000000" w:themeColor="text1"/>
          <w:lang w:bidi="en-US"/>
        </w:rPr>
        <w:t>were kept in DMEM media 4</w:t>
      </w:r>
      <w:r w:rsidRPr="00D74025">
        <w:rPr>
          <w:rFonts w:ascii="Arial" w:eastAsiaTheme="minorEastAsia" w:hAnsi="Arial" w:cs="Arial"/>
          <w:color w:val="000000" w:themeColor="text1"/>
          <w:lang w:bidi="en-US"/>
        </w:rPr>
        <w:sym w:font="Symbol" w:char="F0B0"/>
      </w:r>
      <w:r w:rsidRPr="00D74025">
        <w:rPr>
          <w:rFonts w:ascii="Arial" w:eastAsiaTheme="minorEastAsia" w:hAnsi="Arial" w:cs="Arial"/>
          <w:color w:val="000000" w:themeColor="text1"/>
          <w:lang w:bidi="en-US"/>
        </w:rPr>
        <w:t xml:space="preserve">C until use. Spleens were mechanically dissociated with a plunger in a </w:t>
      </w:r>
      <w:r w:rsidR="00B53D18">
        <w:rPr>
          <w:rFonts w:ascii="Arial" w:eastAsiaTheme="minorEastAsia" w:hAnsi="Arial" w:cs="Arial"/>
          <w:color w:val="000000" w:themeColor="text1"/>
          <w:lang w:bidi="en-US"/>
        </w:rPr>
        <w:t>P</w:t>
      </w:r>
      <w:r w:rsidRPr="00D74025">
        <w:rPr>
          <w:rFonts w:ascii="Arial" w:eastAsiaTheme="minorEastAsia" w:hAnsi="Arial" w:cs="Arial"/>
          <w:color w:val="000000" w:themeColor="text1"/>
          <w:lang w:bidi="en-US"/>
        </w:rPr>
        <w:t xml:space="preserve">etri dish and strained through a 70 </w:t>
      </w:r>
      <w:proofErr w:type="spellStart"/>
      <w:r w:rsidRPr="00D74025">
        <w:rPr>
          <w:rFonts w:ascii="Arial" w:eastAsiaTheme="minorEastAsia" w:hAnsi="Arial" w:cs="Arial"/>
          <w:color w:val="000000" w:themeColor="text1"/>
          <w:lang w:bidi="en-US"/>
        </w:rPr>
        <w:t>μm</w:t>
      </w:r>
      <w:proofErr w:type="spellEnd"/>
      <w:r w:rsidRPr="00D74025">
        <w:rPr>
          <w:rFonts w:ascii="Arial" w:eastAsiaTheme="minorEastAsia" w:hAnsi="Arial" w:cs="Arial"/>
          <w:color w:val="000000" w:themeColor="text1"/>
          <w:lang w:bidi="en-US"/>
        </w:rPr>
        <w:t xml:space="preserve"> filter with 3 ml of flow cytometry staining buffer. Strained cells were centrifuged at 1000 g for 5 min, and the supernatant was discarded. Another 3 ml of flow cytometry buffer was added to resuspend and recentrifuged the cells. The total number of cells in each spleen was determined by a hemocytometer. Cells were resuspended in flow-cytometry staining buffer to a final concentration of 1 x 10</w:t>
      </w:r>
      <w:r w:rsidRPr="00D74025">
        <w:rPr>
          <w:rFonts w:ascii="Arial" w:eastAsiaTheme="minorEastAsia" w:hAnsi="Arial" w:cs="Arial"/>
          <w:color w:val="000000" w:themeColor="text1"/>
          <w:vertAlign w:val="superscript"/>
          <w:lang w:bidi="en-US"/>
        </w:rPr>
        <w:t>7</w:t>
      </w:r>
      <w:r w:rsidRPr="00D74025">
        <w:rPr>
          <w:rFonts w:ascii="Arial" w:eastAsiaTheme="minorEastAsia" w:hAnsi="Arial" w:cs="Arial"/>
          <w:color w:val="000000" w:themeColor="text1"/>
          <w:lang w:bidi="en-US"/>
        </w:rPr>
        <w:t xml:space="preserve"> cells/ml. Cells (100 </w:t>
      </w:r>
      <w:proofErr w:type="spellStart"/>
      <w:r w:rsidRPr="00D74025">
        <w:rPr>
          <w:rFonts w:ascii="Arial" w:eastAsiaTheme="minorEastAsia" w:hAnsi="Arial" w:cs="Arial"/>
          <w:color w:val="000000" w:themeColor="text1"/>
          <w:lang w:bidi="en-US"/>
        </w:rPr>
        <w:t>μl</w:t>
      </w:r>
      <w:proofErr w:type="spellEnd"/>
      <w:r w:rsidRPr="00D74025">
        <w:rPr>
          <w:rFonts w:ascii="Arial" w:eastAsiaTheme="minorEastAsia" w:hAnsi="Arial" w:cs="Arial"/>
          <w:color w:val="000000" w:themeColor="text1"/>
          <w:lang w:bidi="en-US"/>
        </w:rPr>
        <w:t xml:space="preserve">) were stained and were first blocked with Fc blocker (anti-mouse CD16/32) to prevent non-target staining for 15 min. After the washing step, cells were stained for myeloid-derived spleen cells (MDSCs), macrophages, and T-cells separately with 50 </w:t>
      </w:r>
      <w:proofErr w:type="spellStart"/>
      <w:r w:rsidRPr="00D74025">
        <w:rPr>
          <w:rFonts w:ascii="Arial" w:eastAsiaTheme="minorEastAsia" w:hAnsi="Arial" w:cs="Arial"/>
          <w:color w:val="000000" w:themeColor="text1"/>
          <w:lang w:bidi="en-US"/>
        </w:rPr>
        <w:t>μl</w:t>
      </w:r>
      <w:proofErr w:type="spellEnd"/>
      <w:r w:rsidRPr="00D74025">
        <w:rPr>
          <w:rFonts w:ascii="Arial" w:eastAsiaTheme="minorEastAsia" w:hAnsi="Arial" w:cs="Arial"/>
          <w:color w:val="000000" w:themeColor="text1"/>
          <w:lang w:bidi="en-US"/>
        </w:rPr>
        <w:t xml:space="preserve"> antibody mixture for 1 </w:t>
      </w:r>
      <w:proofErr w:type="spellStart"/>
      <w:r w:rsidRPr="00D74025">
        <w:rPr>
          <w:rFonts w:ascii="Arial" w:eastAsiaTheme="minorEastAsia" w:hAnsi="Arial" w:cs="Arial"/>
          <w:color w:val="000000" w:themeColor="text1"/>
          <w:lang w:bidi="en-US"/>
        </w:rPr>
        <w:t>h at</w:t>
      </w:r>
      <w:proofErr w:type="spellEnd"/>
      <w:r w:rsidRPr="00D74025">
        <w:rPr>
          <w:rFonts w:ascii="Arial" w:eastAsiaTheme="minorEastAsia" w:hAnsi="Arial" w:cs="Arial"/>
          <w:color w:val="000000" w:themeColor="text1"/>
          <w:lang w:bidi="en-US"/>
        </w:rPr>
        <w:t xml:space="preserve"> 4 °C, protected from light. Antibody cocktails for each cell stain are listed </w:t>
      </w:r>
      <w:r w:rsidRPr="00EA1443">
        <w:rPr>
          <w:rFonts w:ascii="Arial" w:eastAsiaTheme="minorEastAsia" w:hAnsi="Arial" w:cs="Arial"/>
          <w:color w:val="000000" w:themeColor="text1"/>
          <w:lang w:bidi="en-US"/>
        </w:rPr>
        <w:t xml:space="preserve">in </w:t>
      </w:r>
      <w:r w:rsidR="00EA1443" w:rsidRPr="00EA1443">
        <w:rPr>
          <w:rFonts w:ascii="Arial" w:eastAsiaTheme="minorEastAsia" w:hAnsi="Arial" w:cs="Arial"/>
          <w:b/>
          <w:bCs/>
          <w:color w:val="000000" w:themeColor="text1"/>
          <w:lang w:bidi="en-US"/>
        </w:rPr>
        <w:t>T</w:t>
      </w:r>
      <w:r w:rsidRPr="00EA1443">
        <w:rPr>
          <w:rFonts w:ascii="Arial" w:eastAsiaTheme="minorEastAsia" w:hAnsi="Arial" w:cs="Arial"/>
          <w:b/>
          <w:bCs/>
          <w:color w:val="000000" w:themeColor="text1"/>
          <w:lang w:bidi="en-US"/>
        </w:rPr>
        <w:t>able 1</w:t>
      </w:r>
      <w:r w:rsidR="00D07170" w:rsidRPr="00D74025">
        <w:rPr>
          <w:rFonts w:ascii="Arial" w:eastAsiaTheme="minorEastAsia" w:hAnsi="Arial" w:cs="Arial"/>
          <w:color w:val="000000" w:themeColor="text1"/>
          <w:lang w:bidi="en-US"/>
        </w:rPr>
        <w:t xml:space="preserve">. </w:t>
      </w:r>
      <w:r w:rsidR="00CB7789" w:rsidRPr="00D74025">
        <w:rPr>
          <w:rFonts w:ascii="Arial" w:eastAsiaTheme="minorEastAsia" w:hAnsi="Arial" w:cs="Arial"/>
          <w:color w:val="000000" w:themeColor="text1"/>
          <w:lang w:bidi="en-US"/>
        </w:rPr>
        <w:t>Fl</w:t>
      </w:r>
      <w:r w:rsidRPr="00D74025">
        <w:rPr>
          <w:rFonts w:ascii="Arial" w:eastAsiaTheme="minorEastAsia" w:hAnsi="Arial" w:cs="Arial"/>
          <w:color w:val="000000" w:themeColor="text1"/>
          <w:lang w:bidi="en-US"/>
        </w:rPr>
        <w:t xml:space="preserve">ow-cytometry staining buffer was used to bring the final volume to 50 </w:t>
      </w:r>
      <w:proofErr w:type="spellStart"/>
      <w:r w:rsidRPr="00D74025">
        <w:rPr>
          <w:rFonts w:ascii="Arial" w:eastAsiaTheme="minorEastAsia" w:hAnsi="Arial" w:cs="Arial"/>
          <w:color w:val="000000" w:themeColor="text1"/>
          <w:lang w:bidi="en-US"/>
        </w:rPr>
        <w:t>μl</w:t>
      </w:r>
      <w:proofErr w:type="spellEnd"/>
      <w:r w:rsidRPr="00D74025">
        <w:rPr>
          <w:rFonts w:ascii="Arial" w:eastAsiaTheme="minorEastAsia" w:hAnsi="Arial" w:cs="Arial"/>
          <w:color w:val="000000" w:themeColor="text1"/>
          <w:lang w:bidi="en-US"/>
        </w:rPr>
        <w:t xml:space="preserve">. </w:t>
      </w:r>
      <w:r w:rsidR="00CB7789" w:rsidRPr="00D74025">
        <w:rPr>
          <w:rFonts w:ascii="Arial" w:eastAsiaTheme="minorEastAsia" w:hAnsi="Arial" w:cs="Arial"/>
          <w:color w:val="000000" w:themeColor="text1"/>
          <w:lang w:bidi="en-US"/>
        </w:rPr>
        <w:t>After staining, c</w:t>
      </w:r>
      <w:r w:rsidRPr="00D74025">
        <w:rPr>
          <w:rFonts w:ascii="Arial" w:eastAsiaTheme="minorEastAsia" w:hAnsi="Arial" w:cs="Arial"/>
          <w:color w:val="000000" w:themeColor="text1"/>
          <w:lang w:bidi="en-US"/>
        </w:rPr>
        <w:t>ells were washed three times with 1 ml of flow cytometry staining buffer followed by 5 min</w:t>
      </w:r>
      <w:r w:rsidR="00E33502">
        <w:rPr>
          <w:rFonts w:ascii="Arial" w:eastAsiaTheme="minorEastAsia" w:hAnsi="Arial" w:cs="Arial"/>
          <w:color w:val="000000" w:themeColor="text1"/>
          <w:lang w:bidi="en-US"/>
        </w:rPr>
        <w:t xml:space="preserve"> </w:t>
      </w:r>
      <w:r w:rsidRPr="00D74025">
        <w:rPr>
          <w:rFonts w:ascii="Arial" w:eastAsiaTheme="minorEastAsia" w:hAnsi="Arial" w:cs="Arial"/>
          <w:color w:val="000000" w:themeColor="text1"/>
          <w:lang w:bidi="en-US"/>
        </w:rPr>
        <w:t xml:space="preserve">centrifugation at 1000 g. After the last wash, cells were suspended in 500 </w:t>
      </w:r>
      <w:proofErr w:type="spellStart"/>
      <w:r w:rsidRPr="00D74025">
        <w:rPr>
          <w:rFonts w:ascii="Arial" w:eastAsiaTheme="minorEastAsia" w:hAnsi="Arial" w:cs="Arial"/>
          <w:color w:val="000000" w:themeColor="text1"/>
          <w:lang w:bidi="en-US"/>
        </w:rPr>
        <w:t>μl</w:t>
      </w:r>
      <w:proofErr w:type="spellEnd"/>
      <w:r w:rsidRPr="00D74025">
        <w:rPr>
          <w:rFonts w:ascii="Arial" w:eastAsiaTheme="minorEastAsia" w:hAnsi="Arial" w:cs="Arial"/>
          <w:color w:val="000000" w:themeColor="text1"/>
          <w:lang w:bidi="en-US"/>
        </w:rPr>
        <w:t xml:space="preserve"> of flow</w:t>
      </w:r>
      <w:r w:rsidR="004D4604" w:rsidRPr="00D74025">
        <w:rPr>
          <w:rFonts w:ascii="Arial" w:eastAsiaTheme="minorEastAsia" w:hAnsi="Arial" w:cs="Arial"/>
          <w:color w:val="000000" w:themeColor="text1"/>
          <w:lang w:bidi="en-US"/>
        </w:rPr>
        <w:t>-</w:t>
      </w:r>
      <w:r w:rsidRPr="00D74025">
        <w:rPr>
          <w:rFonts w:ascii="Arial" w:eastAsiaTheme="minorEastAsia" w:hAnsi="Arial" w:cs="Arial"/>
          <w:color w:val="000000" w:themeColor="text1"/>
          <w:lang w:bidi="en-US"/>
        </w:rPr>
        <w:t xml:space="preserve">cytometry staining buffer and analyzed via a BD </w:t>
      </w:r>
      <w:proofErr w:type="spellStart"/>
      <w:r w:rsidRPr="00D74025">
        <w:rPr>
          <w:rFonts w:ascii="Arial" w:eastAsiaTheme="minorEastAsia" w:hAnsi="Arial" w:cs="Arial"/>
          <w:color w:val="000000" w:themeColor="text1"/>
          <w:lang w:bidi="en-US"/>
        </w:rPr>
        <w:t>Accuri</w:t>
      </w:r>
      <w:proofErr w:type="spellEnd"/>
      <w:r w:rsidRPr="00D74025">
        <w:rPr>
          <w:rFonts w:ascii="Arial" w:eastAsiaTheme="minorEastAsia" w:hAnsi="Arial" w:cs="Arial"/>
          <w:color w:val="000000" w:themeColor="text1"/>
          <w:lang w:bidi="en-US"/>
        </w:rPr>
        <w:t xml:space="preserve"> C6 flow cytometer (San Jose, CA).</w:t>
      </w:r>
      <w:r w:rsidR="00F26D34">
        <w:rPr>
          <w:rFonts w:ascii="Arial" w:eastAsiaTheme="minorEastAsia" w:hAnsi="Arial" w:cs="Arial"/>
          <w:color w:val="000000" w:themeColor="text1"/>
          <w:lang w:bidi="en-US"/>
        </w:rPr>
        <w:t xml:space="preserve"> See Appendix </w:t>
      </w:r>
      <w:r w:rsidR="00E43302">
        <w:rPr>
          <w:rFonts w:ascii="Arial" w:eastAsiaTheme="minorEastAsia" w:hAnsi="Arial" w:cs="Arial"/>
          <w:color w:val="000000" w:themeColor="text1"/>
          <w:lang w:bidi="en-US"/>
        </w:rPr>
        <w:t>D5 for detailed protocol.</w:t>
      </w:r>
    </w:p>
    <w:p w14:paraId="0682B321" w14:textId="77777777" w:rsidR="00950E62" w:rsidRDefault="00950E62" w:rsidP="00623F84">
      <w:pPr>
        <w:spacing w:line="360" w:lineRule="auto"/>
        <w:jc w:val="both"/>
        <w:rPr>
          <w:rFonts w:ascii="Arial" w:eastAsiaTheme="minorEastAsia" w:hAnsi="Arial" w:cs="Arial"/>
          <w:color w:val="000000" w:themeColor="text1"/>
        </w:rPr>
      </w:pPr>
    </w:p>
    <w:p w14:paraId="0347964F" w14:textId="4EB5502E" w:rsidR="00451887" w:rsidRPr="00D74025" w:rsidRDefault="00950E62" w:rsidP="00623F84">
      <w:pPr>
        <w:spacing w:line="360" w:lineRule="auto"/>
        <w:jc w:val="both"/>
        <w:rPr>
          <w:rFonts w:ascii="Arial" w:eastAsiaTheme="minorEastAsia" w:hAnsi="Arial" w:cs="Arial"/>
          <w:color w:val="000000" w:themeColor="text1"/>
        </w:rPr>
      </w:pPr>
      <w:bookmarkStart w:id="93" w:name="_Toc118978429"/>
      <w:r w:rsidRPr="00BD4893">
        <w:rPr>
          <w:rFonts w:ascii="Arial" w:eastAsiaTheme="minorEastAsia" w:hAnsi="Arial" w:cs="Arial"/>
          <w:b/>
          <w:bCs/>
          <w:color w:val="000000" w:themeColor="text1"/>
        </w:rPr>
        <w:t xml:space="preserve">Table </w:t>
      </w:r>
      <w:r w:rsidRPr="00BD4893">
        <w:rPr>
          <w:rFonts w:ascii="Arial" w:eastAsiaTheme="minorEastAsia" w:hAnsi="Arial" w:cs="Arial"/>
          <w:b/>
          <w:bCs/>
          <w:color w:val="000000" w:themeColor="text1"/>
        </w:rPr>
        <w:fldChar w:fldCharType="begin"/>
      </w:r>
      <w:r w:rsidRPr="00BD4893">
        <w:rPr>
          <w:rFonts w:ascii="Arial" w:eastAsiaTheme="minorEastAsia" w:hAnsi="Arial" w:cs="Arial"/>
          <w:b/>
          <w:bCs/>
          <w:color w:val="000000" w:themeColor="text1"/>
        </w:rPr>
        <w:instrText xml:space="preserve"> SEQ Table \* ARABIC </w:instrText>
      </w:r>
      <w:r w:rsidRPr="00BD4893">
        <w:rPr>
          <w:rFonts w:ascii="Arial" w:eastAsiaTheme="minorEastAsia" w:hAnsi="Arial" w:cs="Arial"/>
          <w:b/>
          <w:bCs/>
          <w:color w:val="000000" w:themeColor="text1"/>
        </w:rPr>
        <w:fldChar w:fldCharType="separate"/>
      </w:r>
      <w:r w:rsidR="002C4B25">
        <w:rPr>
          <w:rFonts w:ascii="Arial" w:eastAsiaTheme="minorEastAsia" w:hAnsi="Arial" w:cs="Arial"/>
          <w:b/>
          <w:bCs/>
          <w:noProof/>
          <w:color w:val="000000" w:themeColor="text1"/>
        </w:rPr>
        <w:t>1</w:t>
      </w:r>
      <w:r w:rsidRPr="00BD4893">
        <w:rPr>
          <w:rFonts w:ascii="Arial" w:eastAsiaTheme="minorEastAsia" w:hAnsi="Arial" w:cs="Arial"/>
          <w:b/>
          <w:bCs/>
          <w:color w:val="000000" w:themeColor="text1"/>
        </w:rPr>
        <w:fldChar w:fldCharType="end"/>
      </w:r>
      <w:r w:rsidR="00BB6532" w:rsidRPr="00BD4893">
        <w:rPr>
          <w:rFonts w:ascii="Arial" w:eastAsiaTheme="minorEastAsia" w:hAnsi="Arial" w:cs="Arial"/>
          <w:b/>
          <w:bCs/>
          <w:color w:val="000000" w:themeColor="text1"/>
        </w:rPr>
        <w:t>:</w:t>
      </w:r>
      <w:r w:rsidR="00BB6532" w:rsidRPr="00D74025">
        <w:rPr>
          <w:rFonts w:ascii="Arial" w:eastAsiaTheme="minorEastAsia" w:hAnsi="Arial" w:cs="Arial"/>
          <w:color w:val="000000" w:themeColor="text1"/>
        </w:rPr>
        <w:t xml:space="preserve"> </w:t>
      </w:r>
      <w:r w:rsidR="006A6974" w:rsidRPr="00D74025">
        <w:rPr>
          <w:rFonts w:ascii="Arial" w:eastAsiaTheme="minorEastAsia" w:hAnsi="Arial" w:cs="Arial"/>
          <w:color w:val="000000" w:themeColor="text1"/>
        </w:rPr>
        <w:t>Cell staining a</w:t>
      </w:r>
      <w:r w:rsidR="00BB6532" w:rsidRPr="00D74025">
        <w:rPr>
          <w:rFonts w:ascii="Arial" w:eastAsiaTheme="minorEastAsia" w:hAnsi="Arial" w:cs="Arial"/>
          <w:color w:val="000000" w:themeColor="text1"/>
        </w:rPr>
        <w:t xml:space="preserve">ntibody cocktail for </w:t>
      </w:r>
      <w:r w:rsidR="006A6974" w:rsidRPr="00D74025">
        <w:rPr>
          <w:rFonts w:ascii="Arial" w:eastAsiaTheme="minorEastAsia" w:hAnsi="Arial" w:cs="Arial"/>
          <w:color w:val="000000" w:themeColor="text1"/>
        </w:rPr>
        <w:t>flow cytometric analysis of splenic cells</w:t>
      </w:r>
      <w:bookmarkEnd w:id="93"/>
      <w:r w:rsidR="006A6974" w:rsidRPr="00D74025">
        <w:rPr>
          <w:rFonts w:ascii="Arial" w:eastAsiaTheme="minorEastAsia" w:hAnsi="Arial" w:cs="Arial"/>
          <w:color w:val="000000" w:themeColor="text1"/>
        </w:rPr>
        <w:t xml:space="preserve"> </w:t>
      </w:r>
    </w:p>
    <w:p w14:paraId="4F86A0E7" w14:textId="362184C2" w:rsidR="00623F84" w:rsidRPr="00D74025" w:rsidRDefault="00DB69DF" w:rsidP="00623F84">
      <w:pPr>
        <w:spacing w:line="360" w:lineRule="auto"/>
        <w:jc w:val="both"/>
        <w:rPr>
          <w:rFonts w:ascii="Arial" w:hAnsi="Arial" w:cs="Arial"/>
          <w:color w:val="000000" w:themeColor="text1"/>
        </w:rPr>
      </w:pPr>
      <w:r w:rsidRPr="00DB69DF">
        <w:rPr>
          <w:rFonts w:ascii="Arial" w:hAnsi="Arial" w:cs="Arial"/>
          <w:noProof/>
          <w:color w:val="000000" w:themeColor="text1"/>
        </w:rPr>
        <w:drawing>
          <wp:inline distT="0" distB="0" distL="0" distR="0" wp14:anchorId="3EEEE4E3" wp14:editId="5DF46C47">
            <wp:extent cx="5925061" cy="2625213"/>
            <wp:effectExtent l="0" t="0" r="6350" b="381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pic:nvPicPr>
                  <pic:blipFill>
                    <a:blip r:embed="rId42"/>
                    <a:stretch>
                      <a:fillRect/>
                    </a:stretch>
                  </pic:blipFill>
                  <pic:spPr>
                    <a:xfrm>
                      <a:off x="0" y="0"/>
                      <a:ext cx="5990726" cy="2654307"/>
                    </a:xfrm>
                    <a:prstGeom prst="rect">
                      <a:avLst/>
                    </a:prstGeom>
                  </pic:spPr>
                </pic:pic>
              </a:graphicData>
            </a:graphic>
          </wp:inline>
        </w:drawing>
      </w:r>
    </w:p>
    <w:p w14:paraId="564E45D4" w14:textId="6BB667CC" w:rsidR="00CB2A17" w:rsidRPr="00D23372" w:rsidRDefault="00CB2A17" w:rsidP="00ED1FF3">
      <w:pPr>
        <w:pStyle w:val="Heading3"/>
        <w:spacing w:line="360" w:lineRule="auto"/>
        <w:rPr>
          <w:rFonts w:ascii="Arial" w:hAnsi="Arial" w:cs="Arial"/>
          <w:b/>
          <w:bCs/>
          <w:color w:val="000000" w:themeColor="text1"/>
        </w:rPr>
      </w:pPr>
      <w:bookmarkStart w:id="94" w:name="_Toc121217261"/>
      <w:r w:rsidRPr="00D23372">
        <w:rPr>
          <w:rFonts w:ascii="Arial" w:hAnsi="Arial" w:cs="Arial"/>
          <w:b/>
          <w:bCs/>
          <w:color w:val="000000" w:themeColor="text1"/>
        </w:rPr>
        <w:lastRenderedPageBreak/>
        <w:t>2.</w:t>
      </w:r>
      <w:r w:rsidR="00F06E36">
        <w:rPr>
          <w:rFonts w:ascii="Arial" w:hAnsi="Arial" w:cs="Arial"/>
          <w:b/>
          <w:bCs/>
          <w:color w:val="000000" w:themeColor="text1"/>
        </w:rPr>
        <w:t>5.8</w:t>
      </w:r>
      <w:r w:rsidR="007134F2" w:rsidRPr="00D23372">
        <w:rPr>
          <w:rFonts w:ascii="Arial" w:hAnsi="Arial" w:cs="Arial"/>
          <w:b/>
          <w:bCs/>
          <w:color w:val="000000" w:themeColor="text1"/>
        </w:rPr>
        <w:t xml:space="preserve"> Tumor control with PTT treatment </w:t>
      </w:r>
      <w:r w:rsidR="002626E7" w:rsidRPr="00D23372">
        <w:rPr>
          <w:rFonts w:ascii="Arial" w:hAnsi="Arial" w:cs="Arial"/>
          <w:b/>
          <w:bCs/>
          <w:color w:val="000000" w:themeColor="text1"/>
        </w:rPr>
        <w:t>keeping tumor surface temperature at</w:t>
      </w:r>
      <w:r w:rsidR="007134F2" w:rsidRPr="00D23372">
        <w:rPr>
          <w:rFonts w:ascii="Arial" w:hAnsi="Arial" w:cs="Arial"/>
          <w:b/>
          <w:bCs/>
          <w:color w:val="000000" w:themeColor="text1"/>
        </w:rPr>
        <w:t xml:space="preserve"> 45</w:t>
      </w:r>
      <w:r w:rsidR="007134F2" w:rsidRPr="00D23372">
        <w:rPr>
          <w:rFonts w:ascii="Arial" w:hAnsi="Arial" w:cs="Arial"/>
          <w:b/>
          <w:bCs/>
          <w:color w:val="000000" w:themeColor="text1"/>
        </w:rPr>
        <w:sym w:font="Symbol" w:char="F0B0"/>
      </w:r>
      <w:r w:rsidR="007134F2" w:rsidRPr="00D23372">
        <w:rPr>
          <w:rFonts w:ascii="Arial" w:hAnsi="Arial" w:cs="Arial"/>
          <w:b/>
          <w:bCs/>
          <w:color w:val="000000" w:themeColor="text1"/>
        </w:rPr>
        <w:t>C</w:t>
      </w:r>
      <w:r w:rsidR="002626E7" w:rsidRPr="00D23372">
        <w:rPr>
          <w:rFonts w:ascii="Arial" w:hAnsi="Arial" w:cs="Arial"/>
          <w:b/>
          <w:bCs/>
          <w:color w:val="000000" w:themeColor="text1"/>
        </w:rPr>
        <w:t xml:space="preserve"> for longer </w:t>
      </w:r>
      <w:proofErr w:type="gramStart"/>
      <w:r w:rsidR="002626E7" w:rsidRPr="00D23372">
        <w:rPr>
          <w:rFonts w:ascii="Arial" w:hAnsi="Arial" w:cs="Arial"/>
          <w:b/>
          <w:bCs/>
          <w:color w:val="000000" w:themeColor="text1"/>
        </w:rPr>
        <w:t>period of time</w:t>
      </w:r>
      <w:bookmarkEnd w:id="94"/>
      <w:proofErr w:type="gramEnd"/>
    </w:p>
    <w:p w14:paraId="68B72FA1" w14:textId="77777777" w:rsidR="004A545D" w:rsidRPr="00D74025" w:rsidRDefault="004A545D" w:rsidP="004A545D">
      <w:pPr>
        <w:rPr>
          <w:color w:val="000000" w:themeColor="text1"/>
        </w:rPr>
      </w:pPr>
    </w:p>
    <w:p w14:paraId="77CD4636" w14:textId="4CF7F3E1" w:rsidR="00340083" w:rsidRPr="00D74025" w:rsidRDefault="00340083" w:rsidP="00340083">
      <w:pPr>
        <w:spacing w:line="360" w:lineRule="auto"/>
        <w:ind w:firstLine="1440"/>
        <w:jc w:val="both"/>
        <w:rPr>
          <w:rFonts w:ascii="Arial" w:eastAsiaTheme="minorEastAsia" w:hAnsi="Arial" w:cs="Arial"/>
          <w:color w:val="000000" w:themeColor="text1"/>
        </w:rPr>
      </w:pPr>
      <w:r w:rsidRPr="00D74025">
        <w:rPr>
          <w:rFonts w:ascii="Arial" w:eastAsiaTheme="minorEastAsia" w:hAnsi="Arial" w:cs="Arial"/>
          <w:color w:val="000000" w:themeColor="text1"/>
        </w:rPr>
        <w:t>Six-week-old female BALB/</w:t>
      </w:r>
      <w:proofErr w:type="spellStart"/>
      <w:r w:rsidRPr="00D74025">
        <w:rPr>
          <w:rFonts w:ascii="Arial" w:eastAsiaTheme="minorEastAsia" w:hAnsi="Arial" w:cs="Arial"/>
          <w:color w:val="000000" w:themeColor="text1"/>
        </w:rPr>
        <w:t>cJ</w:t>
      </w:r>
      <w:proofErr w:type="spellEnd"/>
      <w:r w:rsidRPr="00D74025">
        <w:rPr>
          <w:rFonts w:ascii="Arial" w:eastAsiaTheme="minorEastAsia" w:hAnsi="Arial" w:cs="Arial"/>
          <w:color w:val="000000" w:themeColor="text1"/>
        </w:rPr>
        <w:t xml:space="preserve"> bearing EMT6 tumors were intratumorally injected with SWCNT-ANXA5 (1.2 mg/kg of SWCNT) when the tumors were around 5 mm in diameter (~60 mm</w:t>
      </w:r>
      <w:r w:rsidRPr="00D74025">
        <w:rPr>
          <w:rFonts w:ascii="Arial" w:eastAsiaTheme="minorEastAsia" w:hAnsi="Arial" w:cs="Arial"/>
          <w:color w:val="000000" w:themeColor="text1"/>
          <w:vertAlign w:val="superscript"/>
        </w:rPr>
        <w:t>3</w:t>
      </w:r>
      <w:r w:rsidRPr="00D74025">
        <w:rPr>
          <w:rFonts w:ascii="Arial" w:eastAsiaTheme="minorEastAsia" w:hAnsi="Arial" w:cs="Arial"/>
          <w:color w:val="000000" w:themeColor="text1"/>
        </w:rPr>
        <w:t>). The tumors were treated by a 980-nm NIR laser at 1 W/cm</w:t>
      </w:r>
      <w:r w:rsidRPr="00D74025">
        <w:rPr>
          <w:rFonts w:ascii="Arial" w:eastAsiaTheme="minorEastAsia" w:hAnsi="Arial" w:cs="Arial"/>
          <w:color w:val="000000" w:themeColor="text1"/>
          <w:vertAlign w:val="superscript"/>
        </w:rPr>
        <w:t>2</w:t>
      </w:r>
      <w:r w:rsidRPr="00D74025">
        <w:rPr>
          <w:rFonts w:ascii="Arial" w:eastAsiaTheme="minorEastAsia" w:hAnsi="Arial" w:cs="Arial"/>
          <w:color w:val="000000" w:themeColor="text1"/>
        </w:rPr>
        <w:t>. Tumors were irradiated until the surface temperature reached 45°C and then held the temperature at 45</w:t>
      </w:r>
      <w:r w:rsidRPr="00D74025">
        <w:rPr>
          <w:rFonts w:ascii="Arial" w:eastAsiaTheme="minorEastAsia" w:hAnsi="Arial" w:cs="Arial"/>
          <w:color w:val="000000" w:themeColor="text1"/>
          <w:vertAlign w:val="superscript"/>
        </w:rPr>
        <w:t>o</w:t>
      </w:r>
      <w:r w:rsidRPr="00D74025">
        <w:rPr>
          <w:rFonts w:ascii="Arial" w:eastAsiaTheme="minorEastAsia" w:hAnsi="Arial" w:cs="Arial"/>
          <w:color w:val="000000" w:themeColor="text1"/>
        </w:rPr>
        <w:t>C by repeatedly turning the laser off and on.</w:t>
      </w:r>
      <w:r w:rsidRPr="00D74025">
        <w:rPr>
          <w:color w:val="000000" w:themeColor="text1"/>
        </w:rPr>
        <w:t xml:space="preserve"> </w:t>
      </w:r>
      <w:r w:rsidRPr="00D74025">
        <w:rPr>
          <w:rFonts w:ascii="Arial" w:eastAsiaTheme="minorEastAsia" w:hAnsi="Arial" w:cs="Arial"/>
          <w:color w:val="000000" w:themeColor="text1"/>
        </w:rPr>
        <w:t xml:space="preserve">The cycles of turning off and on </w:t>
      </w:r>
      <w:r w:rsidR="00D716C9">
        <w:rPr>
          <w:rFonts w:ascii="Arial" w:eastAsiaTheme="minorEastAsia" w:hAnsi="Arial" w:cs="Arial"/>
          <w:color w:val="000000" w:themeColor="text1"/>
        </w:rPr>
        <w:t>were</w:t>
      </w:r>
      <w:r w:rsidRPr="00D74025">
        <w:rPr>
          <w:rFonts w:ascii="Arial" w:eastAsiaTheme="minorEastAsia" w:hAnsi="Arial" w:cs="Arial"/>
          <w:color w:val="000000" w:themeColor="text1"/>
        </w:rPr>
        <w:t xml:space="preserve"> repeated for the total time of the irradiation session described in the groups (n = 5):</w:t>
      </w:r>
    </w:p>
    <w:p w14:paraId="50FE78F5" w14:textId="77777777" w:rsidR="0069102C" w:rsidRPr="00D74025" w:rsidRDefault="0069102C" w:rsidP="0069102C">
      <w:pPr>
        <w:spacing w:line="360" w:lineRule="auto"/>
        <w:ind w:firstLine="1440"/>
        <w:jc w:val="both"/>
        <w:rPr>
          <w:rFonts w:ascii="Arial" w:eastAsiaTheme="minorEastAsia" w:hAnsi="Arial" w:cs="Arial"/>
          <w:color w:val="000000" w:themeColor="text1"/>
        </w:rPr>
      </w:pPr>
    </w:p>
    <w:p w14:paraId="4D731D14" w14:textId="2CA30EB8" w:rsidR="0069102C" w:rsidRPr="00D74025" w:rsidRDefault="0069102C">
      <w:pPr>
        <w:numPr>
          <w:ilvl w:val="0"/>
          <w:numId w:val="79"/>
        </w:numPr>
        <w:spacing w:line="360" w:lineRule="auto"/>
        <w:ind w:left="360"/>
        <w:jc w:val="both"/>
        <w:rPr>
          <w:rFonts w:ascii="Arial" w:eastAsiaTheme="minorEastAsia" w:hAnsi="Arial" w:cs="Arial"/>
          <w:color w:val="000000" w:themeColor="text1"/>
        </w:rPr>
      </w:pPr>
      <w:r w:rsidRPr="00D74025">
        <w:rPr>
          <w:rFonts w:ascii="Arial" w:eastAsiaTheme="minorEastAsia" w:hAnsi="Arial" w:cs="Arial"/>
          <w:b/>
          <w:bCs/>
          <w:color w:val="000000" w:themeColor="text1"/>
        </w:rPr>
        <w:t>Control</w:t>
      </w:r>
      <w:r w:rsidRPr="00D74025">
        <w:rPr>
          <w:rFonts w:ascii="Arial" w:eastAsiaTheme="minorEastAsia" w:hAnsi="Arial" w:cs="Arial"/>
          <w:color w:val="000000" w:themeColor="text1"/>
        </w:rPr>
        <w:t>: NIR-irradiation of tumor until surface peak temperature reach</w:t>
      </w:r>
      <w:r w:rsidR="00D716C9">
        <w:rPr>
          <w:rFonts w:ascii="Arial" w:eastAsiaTheme="minorEastAsia" w:hAnsi="Arial" w:cs="Arial"/>
          <w:color w:val="000000" w:themeColor="text1"/>
        </w:rPr>
        <w:t>ed</w:t>
      </w:r>
      <w:r w:rsidRPr="00D74025">
        <w:rPr>
          <w:rFonts w:ascii="Arial" w:eastAsiaTheme="minorEastAsia" w:hAnsi="Arial" w:cs="Arial"/>
          <w:color w:val="000000" w:themeColor="text1"/>
        </w:rPr>
        <w:t xml:space="preserve"> 45°C and turn laser off.</w:t>
      </w:r>
    </w:p>
    <w:p w14:paraId="542F6C72" w14:textId="5457B1FE" w:rsidR="0069102C" w:rsidRPr="00D74025" w:rsidRDefault="0069102C">
      <w:pPr>
        <w:numPr>
          <w:ilvl w:val="0"/>
          <w:numId w:val="79"/>
        </w:numPr>
        <w:spacing w:line="360" w:lineRule="auto"/>
        <w:ind w:left="360"/>
        <w:jc w:val="both"/>
        <w:rPr>
          <w:rFonts w:ascii="Arial" w:eastAsiaTheme="minorEastAsia" w:hAnsi="Arial" w:cs="Arial"/>
          <w:color w:val="000000" w:themeColor="text1"/>
        </w:rPr>
      </w:pPr>
      <w:r w:rsidRPr="00D74025">
        <w:rPr>
          <w:rFonts w:ascii="Arial" w:eastAsiaTheme="minorEastAsia" w:hAnsi="Arial" w:cs="Arial"/>
          <w:b/>
          <w:bCs/>
          <w:color w:val="000000" w:themeColor="text1"/>
        </w:rPr>
        <w:t>1 min irradiation session</w:t>
      </w:r>
      <w:r w:rsidRPr="00D74025">
        <w:rPr>
          <w:rFonts w:ascii="Arial" w:eastAsiaTheme="minorEastAsia" w:hAnsi="Arial" w:cs="Arial"/>
          <w:color w:val="000000" w:themeColor="text1"/>
        </w:rPr>
        <w:t>: NIR-irradiation of tumor until surface peak temperature reach</w:t>
      </w:r>
      <w:r w:rsidR="00D716C9">
        <w:rPr>
          <w:rFonts w:ascii="Arial" w:eastAsiaTheme="minorEastAsia" w:hAnsi="Arial" w:cs="Arial"/>
          <w:color w:val="000000" w:themeColor="text1"/>
        </w:rPr>
        <w:t>ed</w:t>
      </w:r>
      <w:r w:rsidRPr="00D74025">
        <w:rPr>
          <w:rFonts w:ascii="Arial" w:eastAsiaTheme="minorEastAsia" w:hAnsi="Arial" w:cs="Arial"/>
          <w:color w:val="000000" w:themeColor="text1"/>
        </w:rPr>
        <w:t xml:space="preserve"> 45°C (start timer) + cycles of off/on laser irradiation to maintain the tumor at 45°C; stop session when timer reaches 60 s.</w:t>
      </w:r>
    </w:p>
    <w:p w14:paraId="3A6025A2" w14:textId="11B91ADD" w:rsidR="0069102C" w:rsidRPr="00D74025" w:rsidRDefault="0069102C">
      <w:pPr>
        <w:numPr>
          <w:ilvl w:val="0"/>
          <w:numId w:val="79"/>
        </w:numPr>
        <w:spacing w:line="360" w:lineRule="auto"/>
        <w:ind w:left="360"/>
        <w:jc w:val="both"/>
        <w:rPr>
          <w:rFonts w:ascii="Arial" w:eastAsiaTheme="minorEastAsia" w:hAnsi="Arial" w:cs="Arial"/>
          <w:color w:val="000000" w:themeColor="text1"/>
        </w:rPr>
      </w:pPr>
      <w:r w:rsidRPr="00D74025">
        <w:rPr>
          <w:rFonts w:ascii="Arial" w:eastAsiaTheme="minorEastAsia" w:hAnsi="Arial" w:cs="Arial"/>
          <w:b/>
          <w:bCs/>
          <w:color w:val="000000" w:themeColor="text1"/>
        </w:rPr>
        <w:t>2 min irradiation session</w:t>
      </w:r>
      <w:r w:rsidRPr="00D74025">
        <w:rPr>
          <w:rFonts w:ascii="Arial" w:eastAsiaTheme="minorEastAsia" w:hAnsi="Arial" w:cs="Arial"/>
          <w:color w:val="000000" w:themeColor="text1"/>
        </w:rPr>
        <w:t>: NIR-irradiation of tumor until surface peak temperature reach</w:t>
      </w:r>
      <w:r w:rsidR="00D716C9">
        <w:rPr>
          <w:rFonts w:ascii="Arial" w:eastAsiaTheme="minorEastAsia" w:hAnsi="Arial" w:cs="Arial"/>
          <w:color w:val="000000" w:themeColor="text1"/>
        </w:rPr>
        <w:t>ed</w:t>
      </w:r>
      <w:r w:rsidRPr="00D74025">
        <w:rPr>
          <w:rFonts w:ascii="Arial" w:eastAsiaTheme="minorEastAsia" w:hAnsi="Arial" w:cs="Arial"/>
          <w:color w:val="000000" w:themeColor="text1"/>
        </w:rPr>
        <w:t xml:space="preserve"> 45°C (start timer) + cycles of off/on laser irradiation to maintain the tumor at 45°C; stop session when timer reaches 120 s.</w:t>
      </w:r>
    </w:p>
    <w:p w14:paraId="159097FD" w14:textId="42A10763" w:rsidR="0069102C" w:rsidRPr="00D74025" w:rsidRDefault="0069102C">
      <w:pPr>
        <w:numPr>
          <w:ilvl w:val="0"/>
          <w:numId w:val="79"/>
        </w:numPr>
        <w:spacing w:line="360" w:lineRule="auto"/>
        <w:ind w:left="360"/>
        <w:jc w:val="both"/>
        <w:rPr>
          <w:rFonts w:ascii="Arial" w:eastAsiaTheme="minorEastAsia" w:hAnsi="Arial" w:cs="Arial"/>
          <w:color w:val="000000" w:themeColor="text1"/>
        </w:rPr>
      </w:pPr>
      <w:r w:rsidRPr="00D74025">
        <w:rPr>
          <w:rFonts w:ascii="Arial" w:eastAsiaTheme="minorEastAsia" w:hAnsi="Arial" w:cs="Arial"/>
          <w:b/>
          <w:bCs/>
          <w:color w:val="000000" w:themeColor="text1"/>
        </w:rPr>
        <w:t>5 min irradiation session</w:t>
      </w:r>
      <w:r w:rsidRPr="00D74025">
        <w:rPr>
          <w:rFonts w:ascii="Arial" w:eastAsiaTheme="minorEastAsia" w:hAnsi="Arial" w:cs="Arial"/>
          <w:color w:val="000000" w:themeColor="text1"/>
        </w:rPr>
        <w:t>: NIR-irradiation of tumor until surface peak temperature reach</w:t>
      </w:r>
      <w:r w:rsidR="00D716C9">
        <w:rPr>
          <w:rFonts w:ascii="Arial" w:eastAsiaTheme="minorEastAsia" w:hAnsi="Arial" w:cs="Arial"/>
          <w:color w:val="000000" w:themeColor="text1"/>
        </w:rPr>
        <w:t>ed</w:t>
      </w:r>
      <w:r w:rsidRPr="00D74025">
        <w:rPr>
          <w:rFonts w:ascii="Arial" w:eastAsiaTheme="minorEastAsia" w:hAnsi="Arial" w:cs="Arial"/>
          <w:color w:val="000000" w:themeColor="text1"/>
        </w:rPr>
        <w:t xml:space="preserve"> 45°C (start timer) + cycles of off/on laser irradiation to maintain the tumor at 45°C; stop session when timer reaches 300 s.</w:t>
      </w:r>
    </w:p>
    <w:p w14:paraId="2DEBB9F7" w14:textId="67237A1B" w:rsidR="00284243" w:rsidRPr="00D74025" w:rsidRDefault="00284243" w:rsidP="00284243">
      <w:pPr>
        <w:spacing w:line="360" w:lineRule="auto"/>
        <w:ind w:firstLine="1440"/>
        <w:jc w:val="both"/>
        <w:rPr>
          <w:rFonts w:ascii="Arial" w:eastAsiaTheme="minorEastAsia" w:hAnsi="Arial" w:cs="Arial"/>
          <w:color w:val="000000" w:themeColor="text1"/>
        </w:rPr>
      </w:pPr>
    </w:p>
    <w:p w14:paraId="4D3FB486" w14:textId="5974A7FD" w:rsidR="00ED4D23" w:rsidRPr="00D74025" w:rsidRDefault="00ED4D23" w:rsidP="00ED4D23">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After irradiation sessions, tumor volumes and body weights were monitored daily. After finding no evidence of pain or distress daily, monitoring frequency was reduced to every 3-5 days. Animals that are in pain or distress, indicated by being recumbent or anorexic, or when tumors were </w:t>
      </w:r>
      <w:r w:rsidR="00D4317D">
        <w:rPr>
          <w:rFonts w:ascii="Arial" w:hAnsi="Arial" w:cs="Arial"/>
          <w:color w:val="000000" w:themeColor="text1"/>
        </w:rPr>
        <w:t>larger</w:t>
      </w:r>
      <w:r w:rsidRPr="00D74025">
        <w:rPr>
          <w:rFonts w:ascii="Arial" w:hAnsi="Arial" w:cs="Arial"/>
          <w:color w:val="000000" w:themeColor="text1"/>
        </w:rPr>
        <w:t xml:space="preserve"> than 15 mm were euthanized by CO</w:t>
      </w:r>
      <w:r w:rsidRPr="00D74025">
        <w:rPr>
          <w:rFonts w:ascii="Arial" w:hAnsi="Arial" w:cs="Arial"/>
          <w:color w:val="000000" w:themeColor="text1"/>
          <w:vertAlign w:val="subscript"/>
        </w:rPr>
        <w:t>2</w:t>
      </w:r>
      <w:r w:rsidRPr="00D74025">
        <w:rPr>
          <w:rFonts w:ascii="Arial" w:hAnsi="Arial" w:cs="Arial"/>
          <w:color w:val="000000" w:themeColor="text1"/>
        </w:rPr>
        <w:t xml:space="preserve"> asphyxiation and bilateral thoracotomy. The experiment was finalized 15 days after PTT when the remaining mice were euthanized. </w:t>
      </w:r>
    </w:p>
    <w:p w14:paraId="212C1E73" w14:textId="474A0B60" w:rsidR="007D23B9" w:rsidRPr="00D74025" w:rsidRDefault="007D23B9" w:rsidP="007212FB">
      <w:pPr>
        <w:spacing w:line="360" w:lineRule="auto"/>
        <w:jc w:val="both"/>
        <w:rPr>
          <w:rFonts w:ascii="Arial" w:eastAsiaTheme="minorEastAsia" w:hAnsi="Arial" w:cs="Arial"/>
          <w:color w:val="000000" w:themeColor="text1"/>
        </w:rPr>
      </w:pPr>
    </w:p>
    <w:p w14:paraId="2FFC232D" w14:textId="41FF4FD4" w:rsidR="00451887" w:rsidRPr="00F06E36" w:rsidRDefault="005A30C8" w:rsidP="00F06E36">
      <w:pPr>
        <w:pStyle w:val="Heading3"/>
        <w:rPr>
          <w:rFonts w:ascii="Arial" w:hAnsi="Arial" w:cs="Arial"/>
          <w:b/>
          <w:bCs/>
          <w:color w:val="000000" w:themeColor="text1"/>
        </w:rPr>
      </w:pPr>
      <w:bookmarkStart w:id="95" w:name="_Toc121217262"/>
      <w:r w:rsidRPr="00F06E36">
        <w:rPr>
          <w:rFonts w:ascii="Arial" w:hAnsi="Arial" w:cs="Arial"/>
          <w:b/>
          <w:bCs/>
          <w:color w:val="000000" w:themeColor="text1"/>
        </w:rPr>
        <w:lastRenderedPageBreak/>
        <w:t>2.</w:t>
      </w:r>
      <w:r w:rsidR="00F06E36">
        <w:rPr>
          <w:rFonts w:ascii="Arial" w:hAnsi="Arial" w:cs="Arial"/>
          <w:b/>
          <w:bCs/>
          <w:color w:val="000000" w:themeColor="text1"/>
        </w:rPr>
        <w:t>5</w:t>
      </w:r>
      <w:r w:rsidR="00DD00D9">
        <w:rPr>
          <w:rFonts w:ascii="Arial" w:hAnsi="Arial" w:cs="Arial"/>
          <w:b/>
          <w:bCs/>
          <w:color w:val="000000" w:themeColor="text1"/>
        </w:rPr>
        <w:t>.9</w:t>
      </w:r>
      <w:r w:rsidR="00ED4509" w:rsidRPr="00F06E36">
        <w:rPr>
          <w:rFonts w:ascii="Arial" w:hAnsi="Arial" w:cs="Arial"/>
          <w:b/>
          <w:bCs/>
          <w:color w:val="000000" w:themeColor="text1"/>
        </w:rPr>
        <w:t xml:space="preserve"> Long-term survival of combination therapy of anti-PD-1 and </w:t>
      </w:r>
      <w:r w:rsidR="00710E01" w:rsidRPr="00F06E36">
        <w:rPr>
          <w:rFonts w:ascii="Arial" w:hAnsi="Arial" w:cs="Arial"/>
          <w:b/>
          <w:bCs/>
          <w:color w:val="000000" w:themeColor="text1"/>
        </w:rPr>
        <w:t>PTT at 45</w:t>
      </w:r>
      <w:r w:rsidR="00710E01" w:rsidRPr="00F06E36">
        <w:rPr>
          <w:rFonts w:ascii="Arial" w:hAnsi="Arial" w:cs="Arial"/>
          <w:b/>
          <w:bCs/>
          <w:color w:val="000000" w:themeColor="text1"/>
        </w:rPr>
        <w:sym w:font="Symbol" w:char="F0B0"/>
      </w:r>
      <w:r w:rsidR="00710E01" w:rsidRPr="00F06E36">
        <w:rPr>
          <w:rFonts w:ascii="Arial" w:hAnsi="Arial" w:cs="Arial"/>
          <w:b/>
          <w:bCs/>
          <w:color w:val="000000" w:themeColor="text1"/>
        </w:rPr>
        <w:t>C for 5 min in mice bearing EMT6 and 4T1 tumors</w:t>
      </w:r>
      <w:bookmarkEnd w:id="95"/>
    </w:p>
    <w:p w14:paraId="3CE20E63" w14:textId="2C64C43B" w:rsidR="00D06641" w:rsidRPr="00D74025" w:rsidRDefault="00D06641" w:rsidP="00D06641">
      <w:pPr>
        <w:spacing w:line="360" w:lineRule="auto"/>
        <w:ind w:firstLine="1440"/>
        <w:jc w:val="both"/>
        <w:rPr>
          <w:rFonts w:ascii="Arial" w:eastAsiaTheme="minorEastAsia" w:hAnsi="Arial" w:cs="Arial"/>
          <w:color w:val="000000" w:themeColor="text1"/>
        </w:rPr>
      </w:pPr>
      <w:r w:rsidRPr="00D74025">
        <w:rPr>
          <w:rFonts w:ascii="Arial" w:hAnsi="Arial" w:cs="Arial"/>
          <w:color w:val="000000" w:themeColor="text1"/>
        </w:rPr>
        <w:t>Two similar experiments were performed to analyze the combination therapy of anti-PD-1 and PTT at 45</w:t>
      </w:r>
      <w:r w:rsidRPr="00D74025">
        <w:rPr>
          <w:rFonts w:ascii="Arial" w:hAnsi="Arial" w:cs="Arial"/>
          <w:color w:val="000000" w:themeColor="text1"/>
        </w:rPr>
        <w:sym w:font="Symbol" w:char="F0B0"/>
      </w:r>
      <w:r w:rsidRPr="00D74025">
        <w:rPr>
          <w:rFonts w:ascii="Arial" w:hAnsi="Arial" w:cs="Arial"/>
          <w:color w:val="000000" w:themeColor="text1"/>
        </w:rPr>
        <w:t xml:space="preserve">C for 5 min in mice bearing either EMT6 or 4T1 tumors. Tumor inoculation was performed as before (100 </w:t>
      </w:r>
      <w:r w:rsidR="00FF588A">
        <w:rPr>
          <w:rFonts w:ascii="Arial" w:hAnsi="Arial" w:cs="Arial"/>
          <w:color w:val="000000" w:themeColor="text1"/>
          <w:lang w:val="en"/>
        </w:rPr>
        <w:sym w:font="Symbol" w:char="F06D"/>
      </w:r>
      <w:r w:rsidR="00FF588A" w:rsidRPr="00E56710">
        <w:rPr>
          <w:rFonts w:ascii="Arial" w:hAnsi="Arial" w:cs="Arial"/>
          <w:color w:val="000000" w:themeColor="text1"/>
          <w:lang w:val="en"/>
        </w:rPr>
        <w:t>L</w:t>
      </w:r>
      <w:r w:rsidRPr="00D74025">
        <w:rPr>
          <w:rFonts w:ascii="Arial" w:hAnsi="Arial" w:cs="Arial"/>
          <w:color w:val="000000" w:themeColor="text1"/>
        </w:rPr>
        <w:t xml:space="preserve"> of PBS subcutaneously injected in the fourth mammary fat pad). EMT6 tumor inoculation was achieved with a suspension of </w:t>
      </w:r>
      <w:r w:rsidRPr="00D74025">
        <w:rPr>
          <w:rFonts w:ascii="Arial" w:eastAsiaTheme="minorEastAsia" w:hAnsi="Arial" w:cs="Arial"/>
          <w:color w:val="000000" w:themeColor="text1"/>
        </w:rPr>
        <w:t>1</w:t>
      </w:r>
      <w:r w:rsidRPr="00D74025">
        <w:rPr>
          <w:rFonts w:ascii="Arial" w:eastAsiaTheme="minorEastAsia" w:hAnsi="Arial" w:cs="Arial"/>
          <w:color w:val="000000" w:themeColor="text1"/>
        </w:rPr>
        <w:sym w:font="Symbol" w:char="F0B4"/>
      </w:r>
      <w:r w:rsidRPr="00D74025">
        <w:rPr>
          <w:rFonts w:ascii="Arial" w:eastAsiaTheme="minorEastAsia" w:hAnsi="Arial" w:cs="Arial"/>
          <w:color w:val="000000" w:themeColor="text1"/>
        </w:rPr>
        <w:t>10</w:t>
      </w:r>
      <w:r w:rsidRPr="00D74025">
        <w:rPr>
          <w:rFonts w:ascii="Arial" w:eastAsiaTheme="minorEastAsia" w:hAnsi="Arial" w:cs="Arial"/>
          <w:color w:val="000000" w:themeColor="text1"/>
          <w:vertAlign w:val="superscript"/>
        </w:rPr>
        <w:t>6</w:t>
      </w:r>
      <w:r w:rsidRPr="00D74025">
        <w:rPr>
          <w:rFonts w:ascii="Arial" w:eastAsiaTheme="minorEastAsia" w:hAnsi="Arial" w:cs="Arial"/>
          <w:color w:val="000000" w:themeColor="text1"/>
        </w:rPr>
        <w:t xml:space="preserve"> cells,</w:t>
      </w:r>
      <w:r w:rsidR="00090295">
        <w:rPr>
          <w:rFonts w:ascii="Arial" w:eastAsiaTheme="minorEastAsia" w:hAnsi="Arial" w:cs="Arial"/>
          <w:color w:val="000000" w:themeColor="text1"/>
        </w:rPr>
        <w:t xml:space="preserve"> while</w:t>
      </w:r>
      <w:r w:rsidRPr="00D74025">
        <w:rPr>
          <w:rFonts w:ascii="Arial" w:eastAsiaTheme="minorEastAsia" w:hAnsi="Arial" w:cs="Arial"/>
          <w:color w:val="000000" w:themeColor="text1"/>
        </w:rPr>
        <w:t xml:space="preserve"> 4T1 tumor</w:t>
      </w:r>
      <w:r w:rsidR="00E25A48" w:rsidRPr="00D74025">
        <w:rPr>
          <w:rFonts w:ascii="Arial" w:eastAsiaTheme="minorEastAsia" w:hAnsi="Arial" w:cs="Arial"/>
          <w:color w:val="000000" w:themeColor="text1"/>
        </w:rPr>
        <w:t>s</w:t>
      </w:r>
      <w:r w:rsidRPr="00D74025">
        <w:rPr>
          <w:rFonts w:ascii="Arial" w:eastAsiaTheme="minorEastAsia" w:hAnsi="Arial" w:cs="Arial"/>
          <w:color w:val="000000" w:themeColor="text1"/>
        </w:rPr>
        <w:t xml:space="preserve"> </w:t>
      </w:r>
      <w:r w:rsidR="00090295">
        <w:rPr>
          <w:rFonts w:ascii="Arial" w:eastAsiaTheme="minorEastAsia" w:hAnsi="Arial" w:cs="Arial"/>
          <w:color w:val="000000" w:themeColor="text1"/>
        </w:rPr>
        <w:t>were</w:t>
      </w:r>
      <w:r w:rsidRPr="00D74025">
        <w:rPr>
          <w:rFonts w:ascii="Arial" w:eastAsiaTheme="minorEastAsia" w:hAnsi="Arial" w:cs="Arial"/>
          <w:color w:val="000000" w:themeColor="text1"/>
        </w:rPr>
        <w:t xml:space="preserve"> established with 1</w:t>
      </w:r>
      <w:r w:rsidRPr="00D74025">
        <w:rPr>
          <w:rFonts w:ascii="Arial" w:eastAsiaTheme="minorEastAsia" w:hAnsi="Arial" w:cs="Arial"/>
          <w:color w:val="000000" w:themeColor="text1"/>
        </w:rPr>
        <w:sym w:font="Symbol" w:char="F0B4"/>
      </w:r>
      <w:r w:rsidRPr="00D74025">
        <w:rPr>
          <w:rFonts w:ascii="Arial" w:eastAsiaTheme="minorEastAsia" w:hAnsi="Arial" w:cs="Arial"/>
          <w:color w:val="000000" w:themeColor="text1"/>
        </w:rPr>
        <w:t>10</w:t>
      </w:r>
      <w:r w:rsidRPr="00D74025">
        <w:rPr>
          <w:rFonts w:ascii="Arial" w:eastAsiaTheme="minorEastAsia" w:hAnsi="Arial" w:cs="Arial"/>
          <w:color w:val="000000" w:themeColor="text1"/>
          <w:vertAlign w:val="superscript"/>
        </w:rPr>
        <w:t>5</w:t>
      </w:r>
      <w:r w:rsidRPr="00D74025">
        <w:rPr>
          <w:rFonts w:ascii="Arial" w:eastAsiaTheme="minorEastAsia" w:hAnsi="Arial" w:cs="Arial"/>
          <w:color w:val="000000" w:themeColor="text1"/>
        </w:rPr>
        <w:t xml:space="preserve"> cells. From experience, the speed of tumor growth is similar for those two tumor models when those numbers are used. Therefore, the same schedule for treatment was used, as seen in </w:t>
      </w:r>
      <w:r w:rsidR="0077135A" w:rsidRPr="0077135A">
        <w:rPr>
          <w:rFonts w:ascii="Arial" w:eastAsiaTheme="minorEastAsia" w:hAnsi="Arial" w:cs="Arial"/>
          <w:b/>
          <w:bCs/>
          <w:color w:val="000000" w:themeColor="text1"/>
        </w:rPr>
        <w:t>F</w:t>
      </w:r>
      <w:r w:rsidRPr="0077135A">
        <w:rPr>
          <w:rFonts w:ascii="Arial" w:eastAsiaTheme="minorEastAsia" w:hAnsi="Arial" w:cs="Arial"/>
          <w:b/>
          <w:bCs/>
          <w:color w:val="000000" w:themeColor="text1"/>
        </w:rPr>
        <w:t xml:space="preserve">igure </w:t>
      </w:r>
      <w:r w:rsidR="0077135A" w:rsidRPr="0077135A">
        <w:rPr>
          <w:rFonts w:ascii="Arial" w:eastAsiaTheme="minorEastAsia" w:hAnsi="Arial" w:cs="Arial"/>
          <w:b/>
          <w:bCs/>
          <w:color w:val="000000" w:themeColor="text1"/>
        </w:rPr>
        <w:t>25</w:t>
      </w:r>
      <w:r w:rsidRPr="0077135A">
        <w:rPr>
          <w:rFonts w:ascii="Arial" w:eastAsiaTheme="minorEastAsia" w:hAnsi="Arial" w:cs="Arial"/>
          <w:color w:val="000000" w:themeColor="text1"/>
        </w:rPr>
        <w:t>.</w:t>
      </w:r>
    </w:p>
    <w:p w14:paraId="07C60637" w14:textId="13FDA2A1" w:rsidR="00E17B5D" w:rsidRPr="00D74025" w:rsidRDefault="00E17B5D" w:rsidP="00E17B5D">
      <w:pPr>
        <w:spacing w:line="360" w:lineRule="auto"/>
        <w:ind w:firstLine="1440"/>
        <w:jc w:val="both"/>
        <w:rPr>
          <w:rFonts w:ascii="Arial" w:eastAsiaTheme="minorEastAsia" w:hAnsi="Arial" w:cs="Arial"/>
          <w:color w:val="000000" w:themeColor="text1"/>
        </w:rPr>
      </w:pPr>
      <w:r w:rsidRPr="00D74025">
        <w:rPr>
          <w:rFonts w:ascii="Arial" w:eastAsiaTheme="minorEastAsia" w:hAnsi="Arial" w:cs="Arial"/>
          <w:color w:val="000000" w:themeColor="text1"/>
        </w:rPr>
        <w:t>In this experiment, tumor-bearing mice were treated with three injections of anti-PD-1 (intraperitoneal injection on days 7,11, and 15 at 10 mg/kg), and the tumors were treated by 980 nm NIR laser at 1 W/cm</w:t>
      </w:r>
      <w:r w:rsidRPr="00D74025">
        <w:rPr>
          <w:rFonts w:ascii="Arial" w:eastAsiaTheme="minorEastAsia" w:hAnsi="Arial" w:cs="Arial"/>
          <w:color w:val="000000" w:themeColor="text1"/>
          <w:vertAlign w:val="superscript"/>
        </w:rPr>
        <w:t>2</w:t>
      </w:r>
      <w:r w:rsidRPr="00D74025">
        <w:rPr>
          <w:rFonts w:ascii="Arial" w:eastAsiaTheme="minorEastAsia" w:hAnsi="Arial" w:cs="Arial"/>
          <w:color w:val="000000" w:themeColor="text1"/>
        </w:rPr>
        <w:t xml:space="preserve"> after </w:t>
      </w:r>
      <w:proofErr w:type="spellStart"/>
      <w:r w:rsidRPr="00D74025">
        <w:rPr>
          <w:rFonts w:ascii="Arial" w:eastAsiaTheme="minorEastAsia" w:hAnsi="Arial" w:cs="Arial"/>
          <w:color w:val="000000" w:themeColor="text1"/>
        </w:rPr>
        <w:t>intratumoral</w:t>
      </w:r>
      <w:proofErr w:type="spellEnd"/>
      <w:r w:rsidRPr="00D74025">
        <w:rPr>
          <w:rFonts w:ascii="Arial" w:eastAsiaTheme="minorEastAsia" w:hAnsi="Arial" w:cs="Arial"/>
          <w:color w:val="000000" w:themeColor="text1"/>
        </w:rPr>
        <w:t xml:space="preserve"> injection of SWCNT-ANXA5 (1.2 mg/kg), following the schedule in </w:t>
      </w:r>
      <w:r w:rsidRPr="00FF3CD7">
        <w:rPr>
          <w:rFonts w:ascii="Arial" w:eastAsiaTheme="minorEastAsia" w:hAnsi="Arial" w:cs="Arial"/>
          <w:b/>
          <w:bCs/>
          <w:color w:val="000000" w:themeColor="text1"/>
        </w:rPr>
        <w:t xml:space="preserve">Figure </w:t>
      </w:r>
      <w:r w:rsidR="0077135A" w:rsidRPr="00FF3CD7">
        <w:rPr>
          <w:rFonts w:ascii="Arial" w:eastAsiaTheme="minorEastAsia" w:hAnsi="Arial" w:cs="Arial"/>
          <w:b/>
          <w:bCs/>
          <w:color w:val="000000" w:themeColor="text1"/>
        </w:rPr>
        <w:t>25</w:t>
      </w:r>
      <w:r w:rsidRPr="00D74025">
        <w:rPr>
          <w:rFonts w:ascii="Arial" w:eastAsiaTheme="minorEastAsia" w:hAnsi="Arial" w:cs="Arial"/>
          <w:color w:val="000000" w:themeColor="text1"/>
        </w:rPr>
        <w:t>. Mice were assigned to groups (n = 10) as follows:</w:t>
      </w:r>
    </w:p>
    <w:p w14:paraId="15B19BE3" w14:textId="6C667039" w:rsidR="008F0AF6" w:rsidRPr="00D74025" w:rsidRDefault="008F0AF6" w:rsidP="00512C8A">
      <w:pPr>
        <w:spacing w:line="360" w:lineRule="auto"/>
        <w:jc w:val="both"/>
        <w:rPr>
          <w:rFonts w:ascii="Arial" w:hAnsi="Arial" w:cs="Arial"/>
          <w:color w:val="000000" w:themeColor="text1"/>
        </w:rPr>
      </w:pPr>
    </w:p>
    <w:p w14:paraId="59B183F6" w14:textId="7F28EF4C" w:rsidR="00512C8A" w:rsidRPr="00D74025" w:rsidRDefault="00512C8A">
      <w:pPr>
        <w:pStyle w:val="ListParagraph"/>
        <w:numPr>
          <w:ilvl w:val="0"/>
          <w:numId w:val="80"/>
        </w:numPr>
        <w:spacing w:line="360" w:lineRule="auto"/>
        <w:ind w:left="360"/>
        <w:rPr>
          <w:rFonts w:ascii="Arial" w:eastAsiaTheme="minorEastAsia" w:hAnsi="Arial" w:cs="Arial"/>
          <w:color w:val="000000" w:themeColor="text1"/>
        </w:rPr>
      </w:pPr>
      <w:r w:rsidRPr="00D74025">
        <w:rPr>
          <w:rFonts w:ascii="Arial" w:eastAsiaTheme="minorEastAsia" w:hAnsi="Arial" w:cs="Arial"/>
          <w:b/>
          <w:bCs/>
          <w:color w:val="000000" w:themeColor="text1"/>
        </w:rPr>
        <w:t>Control</w:t>
      </w:r>
      <w:r w:rsidRPr="00D74025">
        <w:rPr>
          <w:rFonts w:ascii="Arial" w:eastAsiaTheme="minorEastAsia" w:hAnsi="Arial" w:cs="Arial"/>
          <w:color w:val="000000" w:themeColor="text1"/>
        </w:rPr>
        <w:t xml:space="preserve">: </w:t>
      </w:r>
      <w:r w:rsidR="00E16888" w:rsidRPr="00D74025">
        <w:rPr>
          <w:rFonts w:ascii="Arial" w:eastAsiaTheme="minorEastAsia" w:hAnsi="Arial" w:cs="Arial"/>
          <w:color w:val="000000" w:themeColor="text1"/>
        </w:rPr>
        <w:t>untreated</w:t>
      </w:r>
    </w:p>
    <w:p w14:paraId="0A2058ED" w14:textId="031A4E83" w:rsidR="00512C8A" w:rsidRPr="00D74025" w:rsidRDefault="00E16888">
      <w:pPr>
        <w:numPr>
          <w:ilvl w:val="0"/>
          <w:numId w:val="80"/>
        </w:numPr>
        <w:spacing w:line="360" w:lineRule="auto"/>
        <w:ind w:left="360"/>
        <w:jc w:val="both"/>
        <w:rPr>
          <w:rFonts w:ascii="Arial" w:eastAsiaTheme="minorEastAsia" w:hAnsi="Arial" w:cs="Arial"/>
          <w:color w:val="000000" w:themeColor="text1"/>
        </w:rPr>
      </w:pPr>
      <w:r w:rsidRPr="00D74025">
        <w:rPr>
          <w:rFonts w:ascii="Arial" w:eastAsiaTheme="minorEastAsia" w:hAnsi="Arial" w:cs="Arial"/>
          <w:b/>
          <w:bCs/>
          <w:color w:val="000000" w:themeColor="text1"/>
        </w:rPr>
        <w:t>Anti-PD-1</w:t>
      </w:r>
      <w:r w:rsidR="00BE3F4C" w:rsidRPr="00D74025">
        <w:rPr>
          <w:rFonts w:ascii="Arial" w:eastAsiaTheme="minorEastAsia" w:hAnsi="Arial" w:cs="Arial"/>
          <w:b/>
          <w:bCs/>
          <w:color w:val="000000" w:themeColor="text1"/>
        </w:rPr>
        <w:t xml:space="preserve"> + </w:t>
      </w:r>
      <w:r w:rsidR="001051B8" w:rsidRPr="00D74025">
        <w:rPr>
          <w:rFonts w:ascii="Arial" w:eastAsiaTheme="minorEastAsia" w:hAnsi="Arial" w:cs="Arial"/>
          <w:b/>
          <w:bCs/>
          <w:color w:val="000000" w:themeColor="text1"/>
        </w:rPr>
        <w:t xml:space="preserve">PTT </w:t>
      </w:r>
      <w:r w:rsidRPr="00D74025">
        <w:rPr>
          <w:rFonts w:ascii="Arial" w:eastAsiaTheme="minorEastAsia" w:hAnsi="Arial" w:cs="Arial"/>
          <w:b/>
          <w:bCs/>
          <w:color w:val="000000" w:themeColor="text1"/>
        </w:rPr>
        <w:t>45</w:t>
      </w:r>
      <w:r w:rsidR="001051B8" w:rsidRPr="00D74025">
        <w:rPr>
          <w:rFonts w:ascii="Arial" w:eastAsiaTheme="minorEastAsia" w:hAnsi="Arial" w:cs="Arial"/>
          <w:b/>
          <w:bCs/>
          <w:color w:val="000000" w:themeColor="text1"/>
        </w:rPr>
        <w:sym w:font="Symbol" w:char="F0B0"/>
      </w:r>
      <w:r w:rsidR="001051B8" w:rsidRPr="00D74025">
        <w:rPr>
          <w:rFonts w:ascii="Arial" w:eastAsiaTheme="minorEastAsia" w:hAnsi="Arial" w:cs="Arial"/>
          <w:b/>
          <w:bCs/>
          <w:color w:val="000000" w:themeColor="text1"/>
        </w:rPr>
        <w:t>C (0 min)</w:t>
      </w:r>
      <w:r w:rsidR="00512C8A" w:rsidRPr="00D74025">
        <w:rPr>
          <w:rFonts w:ascii="Arial" w:eastAsiaTheme="minorEastAsia" w:hAnsi="Arial" w:cs="Arial"/>
          <w:color w:val="000000" w:themeColor="text1"/>
        </w:rPr>
        <w:t xml:space="preserve">: </w:t>
      </w:r>
      <w:r w:rsidR="00BE3F4C" w:rsidRPr="00D74025">
        <w:rPr>
          <w:rFonts w:ascii="Arial" w:eastAsiaTheme="minorEastAsia" w:hAnsi="Arial" w:cs="Arial"/>
          <w:color w:val="000000" w:themeColor="text1"/>
        </w:rPr>
        <w:t>three injections of anti-PD-1</w:t>
      </w:r>
      <w:r w:rsidR="000D6AA6" w:rsidRPr="00D74025">
        <w:rPr>
          <w:rFonts w:ascii="Arial" w:eastAsiaTheme="minorEastAsia" w:hAnsi="Arial" w:cs="Arial"/>
          <w:color w:val="000000" w:themeColor="text1"/>
        </w:rPr>
        <w:t xml:space="preserve"> and</w:t>
      </w:r>
      <w:r w:rsidR="00BE3F4C" w:rsidRPr="00D74025">
        <w:rPr>
          <w:rFonts w:ascii="Arial" w:eastAsiaTheme="minorEastAsia" w:hAnsi="Arial" w:cs="Arial"/>
          <w:color w:val="000000" w:themeColor="text1"/>
        </w:rPr>
        <w:t xml:space="preserve"> </w:t>
      </w:r>
      <w:r w:rsidR="00512C8A" w:rsidRPr="00D74025">
        <w:rPr>
          <w:rFonts w:ascii="Arial" w:eastAsiaTheme="minorEastAsia" w:hAnsi="Arial" w:cs="Arial"/>
          <w:color w:val="000000" w:themeColor="text1"/>
        </w:rPr>
        <w:t>NIR-irradiation of tumor until surface peak temperature reach</w:t>
      </w:r>
      <w:r w:rsidR="00090295">
        <w:rPr>
          <w:rFonts w:ascii="Arial" w:eastAsiaTheme="minorEastAsia" w:hAnsi="Arial" w:cs="Arial"/>
          <w:color w:val="000000" w:themeColor="text1"/>
        </w:rPr>
        <w:t>ed</w:t>
      </w:r>
      <w:r w:rsidR="00512C8A" w:rsidRPr="00D74025">
        <w:rPr>
          <w:rFonts w:ascii="Arial" w:eastAsiaTheme="minorEastAsia" w:hAnsi="Arial" w:cs="Arial"/>
          <w:color w:val="000000" w:themeColor="text1"/>
        </w:rPr>
        <w:t xml:space="preserve"> 45°C </w:t>
      </w:r>
      <w:r w:rsidR="000D6AA6" w:rsidRPr="00D74025">
        <w:rPr>
          <w:rFonts w:ascii="Arial" w:eastAsiaTheme="minorEastAsia" w:hAnsi="Arial" w:cs="Arial"/>
          <w:color w:val="000000" w:themeColor="text1"/>
        </w:rPr>
        <w:t>a</w:t>
      </w:r>
      <w:r w:rsidR="0084422B" w:rsidRPr="00D74025">
        <w:rPr>
          <w:rFonts w:ascii="Arial" w:eastAsiaTheme="minorEastAsia" w:hAnsi="Arial" w:cs="Arial"/>
          <w:color w:val="000000" w:themeColor="text1"/>
        </w:rPr>
        <w:t xml:space="preserve">nd </w:t>
      </w:r>
      <w:r w:rsidR="00512C8A" w:rsidRPr="00D74025">
        <w:rPr>
          <w:rFonts w:ascii="Arial" w:eastAsiaTheme="minorEastAsia" w:hAnsi="Arial" w:cs="Arial"/>
          <w:color w:val="000000" w:themeColor="text1"/>
        </w:rPr>
        <w:t xml:space="preserve">stop session </w:t>
      </w:r>
      <w:r w:rsidR="0084422B" w:rsidRPr="00D74025">
        <w:rPr>
          <w:rFonts w:ascii="Arial" w:eastAsiaTheme="minorEastAsia" w:hAnsi="Arial" w:cs="Arial"/>
          <w:color w:val="000000" w:themeColor="text1"/>
        </w:rPr>
        <w:t>immediately</w:t>
      </w:r>
      <w:r w:rsidR="00512C8A" w:rsidRPr="00D74025">
        <w:rPr>
          <w:rFonts w:ascii="Arial" w:eastAsiaTheme="minorEastAsia" w:hAnsi="Arial" w:cs="Arial"/>
          <w:color w:val="000000" w:themeColor="text1"/>
        </w:rPr>
        <w:t>.</w:t>
      </w:r>
    </w:p>
    <w:p w14:paraId="4DCF1C15" w14:textId="4EC72921" w:rsidR="00104CDD" w:rsidRPr="00D74025" w:rsidRDefault="00BE3F4C">
      <w:pPr>
        <w:numPr>
          <w:ilvl w:val="0"/>
          <w:numId w:val="80"/>
        </w:numPr>
        <w:spacing w:line="360" w:lineRule="auto"/>
        <w:ind w:left="360"/>
        <w:jc w:val="both"/>
        <w:rPr>
          <w:rFonts w:ascii="Arial" w:eastAsiaTheme="minorEastAsia" w:hAnsi="Arial" w:cs="Arial"/>
          <w:color w:val="000000" w:themeColor="text1"/>
        </w:rPr>
      </w:pPr>
      <w:r w:rsidRPr="00D74025">
        <w:rPr>
          <w:rFonts w:ascii="Arial" w:eastAsiaTheme="minorEastAsia" w:hAnsi="Arial" w:cs="Arial"/>
          <w:b/>
          <w:bCs/>
          <w:color w:val="000000" w:themeColor="text1"/>
        </w:rPr>
        <w:t>Anti-PD-1 + PTT 45</w:t>
      </w:r>
      <w:r w:rsidRPr="00D74025">
        <w:rPr>
          <w:rFonts w:ascii="Arial" w:eastAsiaTheme="minorEastAsia" w:hAnsi="Arial" w:cs="Arial"/>
          <w:b/>
          <w:bCs/>
          <w:color w:val="000000" w:themeColor="text1"/>
        </w:rPr>
        <w:sym w:font="Symbol" w:char="F0B0"/>
      </w:r>
      <w:r w:rsidRPr="00D74025">
        <w:rPr>
          <w:rFonts w:ascii="Arial" w:eastAsiaTheme="minorEastAsia" w:hAnsi="Arial" w:cs="Arial"/>
          <w:b/>
          <w:bCs/>
          <w:color w:val="000000" w:themeColor="text1"/>
        </w:rPr>
        <w:t>C (5 min)</w:t>
      </w:r>
      <w:r w:rsidRPr="00D74025">
        <w:rPr>
          <w:rFonts w:ascii="Arial" w:eastAsiaTheme="minorEastAsia" w:hAnsi="Arial" w:cs="Arial"/>
          <w:color w:val="000000" w:themeColor="text1"/>
        </w:rPr>
        <w:t>:</w:t>
      </w:r>
      <w:r w:rsidR="00512C8A" w:rsidRPr="00D74025">
        <w:rPr>
          <w:rFonts w:ascii="Arial" w:eastAsiaTheme="minorEastAsia" w:hAnsi="Arial" w:cs="Arial"/>
          <w:color w:val="000000" w:themeColor="text1"/>
        </w:rPr>
        <w:t xml:space="preserve"> </w:t>
      </w:r>
      <w:r w:rsidR="0084422B" w:rsidRPr="00D74025">
        <w:rPr>
          <w:rFonts w:ascii="Arial" w:eastAsiaTheme="minorEastAsia" w:hAnsi="Arial" w:cs="Arial"/>
          <w:color w:val="000000" w:themeColor="text1"/>
        </w:rPr>
        <w:t xml:space="preserve">three injections of anti-PD-1 and </w:t>
      </w:r>
      <w:r w:rsidR="00512C8A" w:rsidRPr="00D74025">
        <w:rPr>
          <w:rFonts w:ascii="Arial" w:eastAsiaTheme="minorEastAsia" w:hAnsi="Arial" w:cs="Arial"/>
          <w:color w:val="000000" w:themeColor="text1"/>
        </w:rPr>
        <w:t>NIR-irradiation of tumor until surface peak temperature reach</w:t>
      </w:r>
      <w:r w:rsidR="00090295">
        <w:rPr>
          <w:rFonts w:ascii="Arial" w:eastAsiaTheme="minorEastAsia" w:hAnsi="Arial" w:cs="Arial"/>
          <w:color w:val="000000" w:themeColor="text1"/>
        </w:rPr>
        <w:t>ed</w:t>
      </w:r>
      <w:r w:rsidR="00512C8A" w:rsidRPr="00D74025">
        <w:rPr>
          <w:rFonts w:ascii="Arial" w:eastAsiaTheme="minorEastAsia" w:hAnsi="Arial" w:cs="Arial"/>
          <w:color w:val="000000" w:themeColor="text1"/>
        </w:rPr>
        <w:t xml:space="preserve"> 45°C (start timer) + cycles of off/on laser irradiation to maintain the tumor at 45°C; stop session when timer reaches </w:t>
      </w:r>
      <w:r w:rsidR="0084422B" w:rsidRPr="00D74025">
        <w:rPr>
          <w:rFonts w:ascii="Arial" w:eastAsiaTheme="minorEastAsia" w:hAnsi="Arial" w:cs="Arial"/>
          <w:color w:val="000000" w:themeColor="text1"/>
        </w:rPr>
        <w:t>300</w:t>
      </w:r>
      <w:r w:rsidR="00090295">
        <w:rPr>
          <w:rFonts w:ascii="Arial" w:eastAsiaTheme="minorEastAsia" w:hAnsi="Arial" w:cs="Arial"/>
          <w:color w:val="000000" w:themeColor="text1"/>
        </w:rPr>
        <w:t> </w:t>
      </w:r>
      <w:r w:rsidR="00512C8A" w:rsidRPr="00D74025">
        <w:rPr>
          <w:rFonts w:ascii="Arial" w:eastAsiaTheme="minorEastAsia" w:hAnsi="Arial" w:cs="Arial"/>
          <w:color w:val="000000" w:themeColor="text1"/>
        </w:rPr>
        <w:t>s.</w:t>
      </w:r>
    </w:p>
    <w:p w14:paraId="313441BC" w14:textId="77777777" w:rsidR="00104CDD" w:rsidRPr="00D74025" w:rsidRDefault="00104CDD" w:rsidP="00663109">
      <w:pPr>
        <w:spacing w:line="360" w:lineRule="auto"/>
        <w:ind w:firstLine="1440"/>
        <w:jc w:val="both"/>
        <w:rPr>
          <w:rFonts w:ascii="Arial" w:hAnsi="Arial" w:cs="Arial"/>
          <w:color w:val="000000" w:themeColor="text1"/>
        </w:rPr>
      </w:pPr>
    </w:p>
    <w:p w14:paraId="723430AB" w14:textId="7F4B758A" w:rsidR="00C14446" w:rsidRPr="00D74025" w:rsidRDefault="00663109" w:rsidP="00C14446">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 </w:t>
      </w:r>
      <w:r w:rsidR="00C14446" w:rsidRPr="00D74025">
        <w:rPr>
          <w:rFonts w:ascii="Arial" w:hAnsi="Arial" w:cs="Arial"/>
          <w:color w:val="000000" w:themeColor="text1"/>
        </w:rPr>
        <w:t xml:space="preserve">After irradiation sessions, tumor volumes and body weights were monitored daily. After finding no evidence of pain or distress from day to day, monitoring frequency was reduced to every 3-5 days. Animals that are in pain or distress, indicated by being recumbent or anorexic, or when tumors were </w:t>
      </w:r>
      <w:r w:rsidR="00035A39">
        <w:rPr>
          <w:rFonts w:ascii="Arial" w:hAnsi="Arial" w:cs="Arial"/>
          <w:color w:val="000000" w:themeColor="text1"/>
        </w:rPr>
        <w:t>larger</w:t>
      </w:r>
      <w:r w:rsidR="00C14446" w:rsidRPr="00D74025">
        <w:rPr>
          <w:rFonts w:ascii="Arial" w:hAnsi="Arial" w:cs="Arial"/>
          <w:color w:val="000000" w:themeColor="text1"/>
        </w:rPr>
        <w:t xml:space="preserve"> than 15 mm were euthanized by CO</w:t>
      </w:r>
      <w:r w:rsidR="00C14446" w:rsidRPr="00D74025">
        <w:rPr>
          <w:rFonts w:ascii="Arial" w:hAnsi="Arial" w:cs="Arial"/>
          <w:color w:val="000000" w:themeColor="text1"/>
          <w:vertAlign w:val="subscript"/>
        </w:rPr>
        <w:t>2</w:t>
      </w:r>
      <w:r w:rsidR="00C14446" w:rsidRPr="00D74025">
        <w:rPr>
          <w:rFonts w:ascii="Arial" w:hAnsi="Arial" w:cs="Arial"/>
          <w:color w:val="000000" w:themeColor="text1"/>
        </w:rPr>
        <w:t xml:space="preserve"> asphyxiation and bilateral thoracotomy. The experiment was finalized 100 days after PTT when the remaining mice were euthanized. </w:t>
      </w:r>
    </w:p>
    <w:p w14:paraId="1BBAB3D6" w14:textId="573C08D4" w:rsidR="00A84FA7" w:rsidRPr="00D74025" w:rsidRDefault="00A84FA7" w:rsidP="00C14446">
      <w:pPr>
        <w:spacing w:line="360" w:lineRule="auto"/>
        <w:ind w:firstLine="1440"/>
        <w:jc w:val="both"/>
        <w:rPr>
          <w:rFonts w:ascii="Arial" w:hAnsi="Arial" w:cs="Arial"/>
          <w:color w:val="000000" w:themeColor="text1"/>
        </w:rPr>
      </w:pPr>
    </w:p>
    <w:p w14:paraId="6BFE2A18" w14:textId="3C9E9833" w:rsidR="00F00BE5" w:rsidRPr="00DD00D9" w:rsidRDefault="00F00BE5" w:rsidP="00B42E0A">
      <w:pPr>
        <w:pStyle w:val="Heading3"/>
        <w:spacing w:line="360" w:lineRule="auto"/>
        <w:rPr>
          <w:rFonts w:ascii="Arial" w:hAnsi="Arial" w:cs="Arial"/>
          <w:b/>
          <w:bCs/>
          <w:color w:val="000000" w:themeColor="text1"/>
        </w:rPr>
      </w:pPr>
      <w:bookmarkStart w:id="96" w:name="_Toc121217263"/>
      <w:r w:rsidRPr="00DD00D9">
        <w:rPr>
          <w:rFonts w:ascii="Arial" w:hAnsi="Arial" w:cs="Arial"/>
          <w:b/>
          <w:bCs/>
          <w:color w:val="000000" w:themeColor="text1"/>
        </w:rPr>
        <w:t>2.</w:t>
      </w:r>
      <w:r w:rsidR="00DD00D9">
        <w:rPr>
          <w:rFonts w:ascii="Arial" w:hAnsi="Arial" w:cs="Arial"/>
          <w:b/>
          <w:bCs/>
          <w:color w:val="000000" w:themeColor="text1"/>
        </w:rPr>
        <w:t>5.10</w:t>
      </w:r>
      <w:r w:rsidRPr="00DD00D9">
        <w:rPr>
          <w:rFonts w:ascii="Arial" w:hAnsi="Arial" w:cs="Arial"/>
          <w:b/>
          <w:bCs/>
          <w:color w:val="000000" w:themeColor="text1"/>
        </w:rPr>
        <w:t xml:space="preserve"> </w:t>
      </w:r>
      <w:r w:rsidR="007C545A" w:rsidRPr="00DD00D9">
        <w:rPr>
          <w:rFonts w:ascii="Arial" w:hAnsi="Arial" w:cs="Arial"/>
          <w:b/>
          <w:bCs/>
          <w:color w:val="000000" w:themeColor="text1"/>
        </w:rPr>
        <w:t>Carbon nanotube b</w:t>
      </w:r>
      <w:r w:rsidR="00374938" w:rsidRPr="00DD00D9">
        <w:rPr>
          <w:rFonts w:ascii="Arial" w:hAnsi="Arial" w:cs="Arial"/>
          <w:b/>
          <w:bCs/>
          <w:color w:val="000000" w:themeColor="text1"/>
        </w:rPr>
        <w:t xml:space="preserve">iodistribution </w:t>
      </w:r>
      <w:r w:rsidR="00D11AF6" w:rsidRPr="00DD00D9">
        <w:rPr>
          <w:rFonts w:ascii="Arial" w:hAnsi="Arial" w:cs="Arial"/>
          <w:b/>
          <w:bCs/>
          <w:color w:val="000000" w:themeColor="text1"/>
        </w:rPr>
        <w:t xml:space="preserve">after </w:t>
      </w:r>
      <w:proofErr w:type="spellStart"/>
      <w:r w:rsidR="00374938" w:rsidRPr="00DD00D9">
        <w:rPr>
          <w:rFonts w:ascii="Arial" w:hAnsi="Arial" w:cs="Arial"/>
          <w:b/>
          <w:bCs/>
          <w:color w:val="000000" w:themeColor="text1"/>
        </w:rPr>
        <w:t>intratumoral</w:t>
      </w:r>
      <w:proofErr w:type="spellEnd"/>
      <w:r w:rsidR="00374938" w:rsidRPr="00DD00D9">
        <w:rPr>
          <w:rFonts w:ascii="Arial" w:hAnsi="Arial" w:cs="Arial"/>
          <w:b/>
          <w:bCs/>
          <w:color w:val="000000" w:themeColor="text1"/>
        </w:rPr>
        <w:t xml:space="preserve"> injection</w:t>
      </w:r>
      <w:r w:rsidR="007C545A" w:rsidRPr="00DD00D9">
        <w:rPr>
          <w:rFonts w:ascii="Arial" w:hAnsi="Arial" w:cs="Arial"/>
          <w:b/>
          <w:bCs/>
          <w:color w:val="000000" w:themeColor="text1"/>
        </w:rPr>
        <w:t xml:space="preserve"> SWCNT-ANXA5</w:t>
      </w:r>
      <w:bookmarkEnd w:id="96"/>
    </w:p>
    <w:p w14:paraId="0D88B89F" w14:textId="511F7351" w:rsidR="00FC6D0F" w:rsidRPr="00D74025" w:rsidRDefault="00FC6D0F" w:rsidP="00FC6D0F">
      <w:pPr>
        <w:rPr>
          <w:color w:val="000000" w:themeColor="text1"/>
        </w:rPr>
      </w:pPr>
    </w:p>
    <w:p w14:paraId="081E505B" w14:textId="77777777" w:rsidR="00C85680" w:rsidRPr="00D74025" w:rsidRDefault="00C85680" w:rsidP="00C85680">
      <w:pPr>
        <w:spacing w:line="360" w:lineRule="auto"/>
        <w:ind w:firstLine="1440"/>
        <w:jc w:val="both"/>
        <w:rPr>
          <w:rFonts w:ascii="Arial" w:eastAsiaTheme="minorEastAsia" w:hAnsi="Arial" w:cs="Arial"/>
          <w:color w:val="000000" w:themeColor="text1"/>
        </w:rPr>
      </w:pPr>
      <w:r w:rsidRPr="00D74025">
        <w:rPr>
          <w:rFonts w:ascii="Arial" w:eastAsiaTheme="minorEastAsia" w:hAnsi="Arial" w:cs="Arial"/>
          <w:color w:val="000000" w:themeColor="text1"/>
        </w:rPr>
        <w:t>Six-week-old female BALB/</w:t>
      </w:r>
      <w:proofErr w:type="spellStart"/>
      <w:r w:rsidRPr="00D74025">
        <w:rPr>
          <w:rFonts w:ascii="Arial" w:eastAsiaTheme="minorEastAsia" w:hAnsi="Arial" w:cs="Arial"/>
          <w:color w:val="000000" w:themeColor="text1"/>
        </w:rPr>
        <w:t>cJ</w:t>
      </w:r>
      <w:proofErr w:type="spellEnd"/>
      <w:r w:rsidRPr="00D74025">
        <w:rPr>
          <w:rFonts w:ascii="Arial" w:eastAsiaTheme="minorEastAsia" w:hAnsi="Arial" w:cs="Arial"/>
          <w:color w:val="000000" w:themeColor="text1"/>
        </w:rPr>
        <w:t xml:space="preserve"> (n = 3) were inoculated with EMT6 tumors and were intratumorally injected with SWCNT-ANXA5 (1.2 mg/kg of SWCNT) when the tumors were around 5 mm in diameter (~60 mm</w:t>
      </w:r>
      <w:r w:rsidRPr="00D74025">
        <w:rPr>
          <w:rFonts w:ascii="Arial" w:eastAsiaTheme="minorEastAsia" w:hAnsi="Arial" w:cs="Arial"/>
          <w:color w:val="000000" w:themeColor="text1"/>
          <w:vertAlign w:val="superscript"/>
        </w:rPr>
        <w:t>3</w:t>
      </w:r>
      <w:r w:rsidRPr="00D74025">
        <w:rPr>
          <w:rFonts w:ascii="Arial" w:eastAsiaTheme="minorEastAsia" w:hAnsi="Arial" w:cs="Arial"/>
          <w:color w:val="000000" w:themeColor="text1"/>
        </w:rPr>
        <w:t>). The tumors were treated by a 980-nm NIR laser at 1 W/cm</w:t>
      </w:r>
      <w:r w:rsidRPr="00D74025">
        <w:rPr>
          <w:rFonts w:ascii="Arial" w:eastAsiaTheme="minorEastAsia" w:hAnsi="Arial" w:cs="Arial"/>
          <w:color w:val="000000" w:themeColor="text1"/>
          <w:vertAlign w:val="superscript"/>
        </w:rPr>
        <w:t>2</w:t>
      </w:r>
      <w:r w:rsidRPr="00D74025">
        <w:rPr>
          <w:rFonts w:ascii="Arial" w:eastAsiaTheme="minorEastAsia" w:hAnsi="Arial" w:cs="Arial"/>
          <w:color w:val="000000" w:themeColor="text1"/>
        </w:rPr>
        <w:t>. Tumors were irradiated until the surface temperature reached 45°C.</w:t>
      </w:r>
      <w:r w:rsidRPr="00D74025">
        <w:rPr>
          <w:color w:val="000000" w:themeColor="text1"/>
        </w:rPr>
        <w:t xml:space="preserve"> </w:t>
      </w:r>
      <w:r w:rsidRPr="00D74025">
        <w:rPr>
          <w:rFonts w:ascii="Arial" w:eastAsiaTheme="minorEastAsia" w:hAnsi="Arial" w:cs="Arial"/>
          <w:color w:val="000000" w:themeColor="text1"/>
        </w:rPr>
        <w:t>Mice were euthanized by CO</w:t>
      </w:r>
      <w:r w:rsidRPr="00035A39">
        <w:rPr>
          <w:rFonts w:ascii="Arial" w:eastAsiaTheme="minorEastAsia" w:hAnsi="Arial" w:cs="Arial"/>
          <w:color w:val="000000" w:themeColor="text1"/>
          <w:vertAlign w:val="subscript"/>
        </w:rPr>
        <w:t>2</w:t>
      </w:r>
      <w:r w:rsidRPr="00D74025">
        <w:rPr>
          <w:rFonts w:ascii="Arial" w:eastAsiaTheme="minorEastAsia" w:hAnsi="Arial" w:cs="Arial"/>
          <w:color w:val="000000" w:themeColor="text1"/>
        </w:rPr>
        <w:t xml:space="preserve"> asphyxiation 1, 2, 3, and 4 weeks after PTT. Major organs were harvested and weighed. Organs were frozen and stored in a -80</w:t>
      </w:r>
      <w:r w:rsidRPr="00D74025">
        <w:rPr>
          <w:rFonts w:ascii="Arial" w:eastAsiaTheme="minorEastAsia" w:hAnsi="Arial" w:cs="Arial"/>
          <w:color w:val="000000" w:themeColor="text1"/>
        </w:rPr>
        <w:sym w:font="Symbol" w:char="F0B0"/>
      </w:r>
      <w:r w:rsidRPr="00D74025">
        <w:rPr>
          <w:rFonts w:ascii="Arial" w:eastAsiaTheme="minorEastAsia" w:hAnsi="Arial" w:cs="Arial"/>
          <w:color w:val="000000" w:themeColor="text1"/>
        </w:rPr>
        <w:t>C freezer.</w:t>
      </w:r>
    </w:p>
    <w:p w14:paraId="785440ED" w14:textId="3A6ECCDE" w:rsidR="00F739B4" w:rsidRPr="00D74025" w:rsidRDefault="00F739B4" w:rsidP="00F739B4">
      <w:pPr>
        <w:spacing w:line="360" w:lineRule="auto"/>
        <w:ind w:firstLine="1440"/>
        <w:jc w:val="both"/>
        <w:rPr>
          <w:rFonts w:ascii="Arial" w:eastAsiaTheme="minorEastAsia" w:hAnsi="Arial" w:cs="Arial"/>
          <w:color w:val="000000" w:themeColor="text1"/>
        </w:rPr>
      </w:pPr>
      <w:r w:rsidRPr="00D74025">
        <w:rPr>
          <w:rFonts w:ascii="Arial" w:eastAsiaTheme="minorEastAsia" w:hAnsi="Arial" w:cs="Arial"/>
          <w:color w:val="000000" w:themeColor="text1"/>
        </w:rPr>
        <w:t xml:space="preserve">Tissue lysates for analysis of SWCNT concentration were prepared according to the protocol from Liu </w:t>
      </w:r>
      <w:r w:rsidRPr="00D74025">
        <w:rPr>
          <w:rFonts w:ascii="Arial" w:eastAsiaTheme="minorEastAsia" w:hAnsi="Arial" w:cs="Arial"/>
          <w:i/>
          <w:iCs/>
          <w:color w:val="000000" w:themeColor="text1"/>
        </w:rPr>
        <w:t>et al.</w:t>
      </w:r>
      <w:r w:rsidRPr="00D74025">
        <w:rPr>
          <w:rFonts w:ascii="Arial" w:eastAsiaTheme="minorEastAsia" w:hAnsi="Arial" w:cs="Arial"/>
          <w:color w:val="000000" w:themeColor="text1"/>
        </w:rPr>
        <w:fldChar w:fldCharType="begin"/>
      </w:r>
      <w:r w:rsidR="000F4F53">
        <w:rPr>
          <w:rFonts w:ascii="Arial" w:eastAsiaTheme="minorEastAsia" w:hAnsi="Arial" w:cs="Arial"/>
          <w:color w:val="000000" w:themeColor="text1"/>
        </w:rPr>
        <w:instrText xml:space="preserve"> ADDIN ZOTERO_ITEM CSL_CITATION {"citationID":"a21ror6abv7","properties":{"formattedCitation":"\\super 284\\nosupersub{}","plainCitation":"284","noteIndex":0},"citationItems":[{"id":1056,"uris":["http://zotero.org/users/7661987/items/Q5WZECC5"],"itemData":{"id":1056,"type":"article-journal","abstract":"Carbon nanotubes are promising new materials for molecular delivery in biological systems. The long-term fate of nanotubes intravenously injected into animals\n              in vivo\n              is currently unknown, an issue critical to potential clinical applications of these materials. Here, using the intrinsic Raman spectroscopic signatures of single-walled carbon nanotubes (SWNTs), we measured the blood circulation of intravenously injected SWNTs and detect SWNTs in various organs and tissues of mice\n              ex vivo\n              over a period of three months. Functionalization of SWNTs by branched polyethylene-glycol (PEG) chains was developed, enabling thus far the longest SWNT blood circulation up to 1 day, relatively low uptake in the reticuloendothelial system (RES), and near-complete clearance from the main organs in ≈2 months. Raman spectroscopy detected SWNT in the intestine, feces, kidney, and bladder of mice, suggesting excretion and clearance of SWNTs from mice via the biliary and renal pathways. No toxic side effect of SWNTs to mice was observed in necropsy, histology, and blood chemistry measurements. These findings pave the way to future biomedical applications of carbon nanotubes.","container-title":"Proceedings of the National Academy of Sciences","DOI":"10.1073/pnas.0707654105","ISSN":"0027-8424, 1091-6490","issue":"5","journalAbbreviation":"Proc. Natl. Acad. Sci. U.S.A.","language":"en","page":"1410-1415","source":"DOI.org (Crossref)","title":"Circulation and long-term fate of functionalized, biocompatible single-walled carbon nanotubes in mice probed by Raman spectroscopy","volume":"105","author":[{"family":"Liu","given":"Zhuang"},{"family":"Davis","given":"Corrine"},{"family":"Cai","given":"Weibo"},{"family":"He","given":"Lina"},{"family":"Chen","given":"Xiaoyuan"},{"family":"Dai","given":"Hongjie"}],"issued":{"date-parts":[["2008",2,5]]}}}],"schema":"https://github.com/citation-style-language/schema/raw/master/csl-citation.json"} </w:instrText>
      </w:r>
      <w:r w:rsidRPr="00D74025">
        <w:rPr>
          <w:rFonts w:ascii="Arial" w:eastAsiaTheme="minorEastAsia" w:hAnsi="Arial" w:cs="Arial"/>
          <w:color w:val="000000" w:themeColor="text1"/>
        </w:rPr>
        <w:fldChar w:fldCharType="separate"/>
      </w:r>
      <w:r w:rsidR="000F4F53" w:rsidRPr="000F4F53">
        <w:rPr>
          <w:rFonts w:ascii="Arial" w:hAnsi="Arial" w:cs="Arial"/>
          <w:color w:val="000000"/>
          <w:vertAlign w:val="superscript"/>
        </w:rPr>
        <w:t>284</w:t>
      </w:r>
      <w:r w:rsidRPr="00D74025">
        <w:rPr>
          <w:rFonts w:ascii="Arial" w:eastAsiaTheme="minorEastAsia" w:hAnsi="Arial" w:cs="Arial"/>
          <w:color w:val="000000" w:themeColor="text1"/>
        </w:rPr>
        <w:fldChar w:fldCharType="end"/>
      </w:r>
      <w:r w:rsidRPr="00D74025">
        <w:rPr>
          <w:rFonts w:ascii="Arial" w:eastAsiaTheme="minorEastAsia" w:hAnsi="Arial" w:cs="Arial"/>
          <w:color w:val="000000" w:themeColor="text1"/>
        </w:rPr>
        <w:t xml:space="preserve">. Briefly, after thawing samples, organs were individually </w:t>
      </w:r>
      <w:r w:rsidR="00A62E67">
        <w:rPr>
          <w:rFonts w:ascii="Arial" w:eastAsiaTheme="minorEastAsia" w:hAnsi="Arial" w:cs="Arial"/>
          <w:color w:val="000000" w:themeColor="text1"/>
        </w:rPr>
        <w:t>ground</w:t>
      </w:r>
      <w:r w:rsidRPr="00D74025">
        <w:rPr>
          <w:rFonts w:ascii="Arial" w:eastAsiaTheme="minorEastAsia" w:hAnsi="Arial" w:cs="Arial"/>
          <w:color w:val="000000" w:themeColor="text1"/>
        </w:rPr>
        <w:t xml:space="preserve"> in a tissue grinder added to lysing buffer composed of 1% SDS, 1% Triton X-100, 10 </w:t>
      </w:r>
      <w:proofErr w:type="spellStart"/>
      <w:r w:rsidRPr="00D74025">
        <w:rPr>
          <w:rFonts w:ascii="Arial" w:eastAsiaTheme="minorEastAsia" w:hAnsi="Arial" w:cs="Arial"/>
          <w:color w:val="000000" w:themeColor="text1"/>
        </w:rPr>
        <w:t>nM</w:t>
      </w:r>
      <w:proofErr w:type="spellEnd"/>
      <w:r w:rsidRPr="00D74025">
        <w:rPr>
          <w:rFonts w:ascii="Arial" w:eastAsiaTheme="minorEastAsia" w:hAnsi="Arial" w:cs="Arial"/>
          <w:color w:val="000000" w:themeColor="text1"/>
        </w:rPr>
        <w:t xml:space="preserve"> DTT (dithiothreitol), and 40 mM tris-acetate-EDTA buffer to complete volume of 10 ml. Tissue was digested overnight in an incubator at 70</w:t>
      </w:r>
      <w:r w:rsidRPr="00D74025">
        <w:rPr>
          <w:rFonts w:ascii="Arial" w:eastAsiaTheme="minorEastAsia" w:hAnsi="Arial" w:cs="Arial"/>
          <w:color w:val="000000" w:themeColor="text1"/>
        </w:rPr>
        <w:sym w:font="Symbol" w:char="F0B0"/>
      </w:r>
      <w:r w:rsidRPr="00D74025">
        <w:rPr>
          <w:rFonts w:ascii="Arial" w:eastAsiaTheme="minorEastAsia" w:hAnsi="Arial" w:cs="Arial"/>
          <w:color w:val="000000" w:themeColor="text1"/>
        </w:rPr>
        <w:t xml:space="preserve">C. Each sample was sonicated for 1 h to resuspend SWCNT from digested tissue. Samples were analyzed using intrinsic SWCNT fluorescence by single excitation fluorescence measurement using </w:t>
      </w:r>
      <w:r w:rsidR="00A62E67">
        <w:rPr>
          <w:rFonts w:ascii="Arial" w:eastAsiaTheme="minorEastAsia" w:hAnsi="Arial" w:cs="Arial"/>
          <w:color w:val="000000" w:themeColor="text1"/>
        </w:rPr>
        <w:t xml:space="preserve">an </w:t>
      </w:r>
      <w:r w:rsidRPr="00D74025">
        <w:rPr>
          <w:rFonts w:ascii="Arial" w:eastAsiaTheme="minorEastAsia" w:hAnsi="Arial" w:cs="Arial"/>
          <w:color w:val="000000" w:themeColor="text1"/>
        </w:rPr>
        <w:t xml:space="preserve">NS </w:t>
      </w:r>
      <w:proofErr w:type="spellStart"/>
      <w:r w:rsidRPr="00D74025">
        <w:rPr>
          <w:rFonts w:ascii="Arial" w:eastAsiaTheme="minorEastAsia" w:hAnsi="Arial" w:cs="Arial"/>
          <w:color w:val="000000" w:themeColor="text1"/>
        </w:rPr>
        <w:t>MiniTracer</w:t>
      </w:r>
      <w:proofErr w:type="spellEnd"/>
      <w:r w:rsidRPr="00D74025">
        <w:rPr>
          <w:rFonts w:ascii="Arial" w:eastAsiaTheme="minorEastAsia" w:hAnsi="Arial" w:cs="Arial"/>
          <w:color w:val="000000" w:themeColor="text1"/>
        </w:rPr>
        <w:t xml:space="preserve"> (Applied </w:t>
      </w:r>
      <w:proofErr w:type="spellStart"/>
      <w:r w:rsidRPr="00D74025">
        <w:rPr>
          <w:rFonts w:ascii="Arial" w:eastAsiaTheme="minorEastAsia" w:hAnsi="Arial" w:cs="Arial"/>
          <w:color w:val="000000" w:themeColor="text1"/>
        </w:rPr>
        <w:t>Nanofluorescence</w:t>
      </w:r>
      <w:proofErr w:type="spellEnd"/>
      <w:r w:rsidR="00A62E67">
        <w:rPr>
          <w:rFonts w:ascii="Arial" w:eastAsiaTheme="minorEastAsia" w:hAnsi="Arial" w:cs="Arial"/>
          <w:color w:val="000000" w:themeColor="text1"/>
        </w:rPr>
        <w:t>, Houston, TX</w:t>
      </w:r>
      <w:r w:rsidRPr="00D74025">
        <w:rPr>
          <w:rFonts w:ascii="Arial" w:eastAsiaTheme="minorEastAsia" w:hAnsi="Arial" w:cs="Arial"/>
          <w:color w:val="000000" w:themeColor="text1"/>
        </w:rPr>
        <w:t>).</w:t>
      </w:r>
    </w:p>
    <w:p w14:paraId="3E97D62C" w14:textId="77777777" w:rsidR="00FC6D0F" w:rsidRPr="00D74025" w:rsidRDefault="00FC6D0F" w:rsidP="00FC6D0F">
      <w:pPr>
        <w:rPr>
          <w:color w:val="000000" w:themeColor="text1"/>
        </w:rPr>
      </w:pPr>
    </w:p>
    <w:p w14:paraId="10B94934" w14:textId="01851C59" w:rsidR="00FC6D0F" w:rsidRPr="00DD00D9" w:rsidRDefault="00FC6D0F" w:rsidP="00B42E0A">
      <w:pPr>
        <w:pStyle w:val="Heading3"/>
        <w:spacing w:line="360" w:lineRule="auto"/>
        <w:rPr>
          <w:rFonts w:ascii="Arial" w:hAnsi="Arial" w:cs="Arial"/>
          <w:b/>
          <w:bCs/>
          <w:color w:val="000000" w:themeColor="text1"/>
        </w:rPr>
      </w:pPr>
      <w:bookmarkStart w:id="97" w:name="_Toc121217264"/>
      <w:r w:rsidRPr="00A8251A">
        <w:rPr>
          <w:rFonts w:ascii="Arial" w:hAnsi="Arial" w:cs="Arial"/>
          <w:b/>
          <w:bCs/>
          <w:color w:val="000000" w:themeColor="text1"/>
        </w:rPr>
        <w:t>2</w:t>
      </w:r>
      <w:r w:rsidR="005420D0" w:rsidRPr="00A8251A">
        <w:rPr>
          <w:rFonts w:ascii="Arial" w:hAnsi="Arial" w:cs="Arial"/>
          <w:b/>
          <w:bCs/>
          <w:color w:val="000000" w:themeColor="text1"/>
        </w:rPr>
        <w:t>.5.11</w:t>
      </w:r>
      <w:r w:rsidRPr="00A8251A">
        <w:rPr>
          <w:rFonts w:ascii="Arial" w:hAnsi="Arial" w:cs="Arial"/>
          <w:b/>
          <w:bCs/>
          <w:color w:val="000000" w:themeColor="text1"/>
        </w:rPr>
        <w:t xml:space="preserve"> Long-term survival of combination therapy of anti-PD-1, </w:t>
      </w:r>
      <w:r w:rsidR="00511FEE" w:rsidRPr="00A8251A">
        <w:rPr>
          <w:rFonts w:ascii="Arial" w:hAnsi="Arial" w:cs="Arial"/>
          <w:b/>
          <w:bCs/>
          <w:color w:val="000000" w:themeColor="text1"/>
        </w:rPr>
        <w:t>immunoadjuvant</w:t>
      </w:r>
      <w:r w:rsidR="00CE24F5" w:rsidRPr="00A8251A">
        <w:rPr>
          <w:rFonts w:ascii="Arial" w:hAnsi="Arial" w:cs="Arial"/>
          <w:b/>
          <w:bCs/>
          <w:color w:val="000000" w:themeColor="text1"/>
        </w:rPr>
        <w:t xml:space="preserve"> imiquimod and PTT</w:t>
      </w:r>
      <w:r w:rsidR="00511FEE" w:rsidRPr="00A8251A">
        <w:rPr>
          <w:rFonts w:ascii="Arial" w:hAnsi="Arial" w:cs="Arial"/>
          <w:b/>
          <w:bCs/>
          <w:color w:val="000000" w:themeColor="text1"/>
        </w:rPr>
        <w:t xml:space="preserve"> in 4T1 tumor-bearing mice</w:t>
      </w:r>
      <w:bookmarkEnd w:id="97"/>
    </w:p>
    <w:p w14:paraId="7347D56D" w14:textId="66AF14AA" w:rsidR="00552C42" w:rsidRPr="00D74025" w:rsidRDefault="00FF403F" w:rsidP="00FF403F">
      <w:pPr>
        <w:rPr>
          <w:color w:val="000000" w:themeColor="text1"/>
        </w:rPr>
      </w:pPr>
      <w:r w:rsidRPr="00D74025">
        <w:rPr>
          <w:color w:val="000000" w:themeColor="text1"/>
        </w:rPr>
        <w:t>﻿</w:t>
      </w:r>
    </w:p>
    <w:p w14:paraId="41C62F0B" w14:textId="61B68393" w:rsidR="0098163E" w:rsidRPr="00D74025" w:rsidRDefault="008A30D5" w:rsidP="0098163E">
      <w:pPr>
        <w:spacing w:line="360" w:lineRule="auto"/>
        <w:ind w:firstLine="1440"/>
        <w:jc w:val="both"/>
        <w:rPr>
          <w:rFonts w:ascii="Arial" w:hAnsi="Arial" w:cs="Arial"/>
          <w:color w:val="000000" w:themeColor="text1"/>
        </w:rPr>
      </w:pPr>
      <w:r w:rsidRPr="00D74025">
        <w:rPr>
          <w:color w:val="000000" w:themeColor="text1"/>
        </w:rPr>
        <w:t>﻿</w:t>
      </w:r>
      <w:r w:rsidR="0098163E" w:rsidRPr="00D74025">
        <w:rPr>
          <w:rFonts w:ascii="Arial" w:hAnsi="Arial" w:cs="Arial"/>
          <w:color w:val="000000" w:themeColor="text1"/>
        </w:rPr>
        <w:t xml:space="preserve"> Six-week-old female </w:t>
      </w:r>
      <w:proofErr w:type="spellStart"/>
      <w:r w:rsidR="0098163E" w:rsidRPr="00D74025">
        <w:rPr>
          <w:rFonts w:ascii="Arial" w:hAnsi="Arial" w:cs="Arial"/>
          <w:color w:val="000000" w:themeColor="text1"/>
        </w:rPr>
        <w:t>Balb</w:t>
      </w:r>
      <w:proofErr w:type="spellEnd"/>
      <w:r w:rsidR="0098163E" w:rsidRPr="00D74025">
        <w:rPr>
          <w:rFonts w:ascii="Arial" w:hAnsi="Arial" w:cs="Arial"/>
          <w:color w:val="000000" w:themeColor="text1"/>
        </w:rPr>
        <w:t>/</w:t>
      </w:r>
      <w:proofErr w:type="spellStart"/>
      <w:r w:rsidR="0098163E" w:rsidRPr="00D74025">
        <w:rPr>
          <w:rFonts w:ascii="Arial" w:hAnsi="Arial" w:cs="Arial"/>
          <w:color w:val="000000" w:themeColor="text1"/>
        </w:rPr>
        <w:t>cJ</w:t>
      </w:r>
      <w:proofErr w:type="spellEnd"/>
      <w:r w:rsidR="0098163E" w:rsidRPr="00D74025">
        <w:rPr>
          <w:rFonts w:ascii="Arial" w:hAnsi="Arial" w:cs="Arial"/>
          <w:color w:val="000000" w:themeColor="text1"/>
        </w:rPr>
        <w:t xml:space="preserve"> mice were inoculated with 4T1 mouse mammary tumor cells in the left mammary fat pad. When the tumors reach a size of ~3 mm (day 7), treatment started with </w:t>
      </w:r>
      <w:proofErr w:type="spellStart"/>
      <w:r w:rsidR="0098163E" w:rsidRPr="00D74025">
        <w:rPr>
          <w:rFonts w:ascii="Arial" w:hAnsi="Arial" w:cs="Arial"/>
          <w:color w:val="000000" w:themeColor="text1"/>
        </w:rPr>
        <w:t>intratumoral</w:t>
      </w:r>
      <w:proofErr w:type="spellEnd"/>
      <w:r w:rsidR="0098163E" w:rsidRPr="00D74025">
        <w:rPr>
          <w:rFonts w:ascii="Arial" w:hAnsi="Arial" w:cs="Arial"/>
          <w:color w:val="000000" w:themeColor="text1"/>
        </w:rPr>
        <w:t xml:space="preserve"> injection of a hydrogel loaded with IMQ (50 micrograms) and intraperitoneal (</w:t>
      </w:r>
      <w:proofErr w:type="spellStart"/>
      <w:r w:rsidR="0098163E" w:rsidRPr="00D74025">
        <w:rPr>
          <w:rFonts w:ascii="Arial" w:hAnsi="Arial" w:cs="Arial"/>
          <w:color w:val="000000" w:themeColor="text1"/>
        </w:rPr>
        <w:t>i.p.</w:t>
      </w:r>
      <w:proofErr w:type="spellEnd"/>
      <w:r w:rsidR="0098163E" w:rsidRPr="00D74025">
        <w:rPr>
          <w:rFonts w:ascii="Arial" w:hAnsi="Arial" w:cs="Arial"/>
          <w:color w:val="000000" w:themeColor="text1"/>
        </w:rPr>
        <w:t xml:space="preserve">) injection of anti-PD-1 (10 mg/kg). On day 10, the second dose of anti-PD-1 </w:t>
      </w:r>
      <w:r w:rsidR="00DA0F4B">
        <w:rPr>
          <w:rFonts w:ascii="Arial" w:hAnsi="Arial" w:cs="Arial"/>
          <w:color w:val="000000" w:themeColor="text1"/>
        </w:rPr>
        <w:t>was</w:t>
      </w:r>
      <w:r w:rsidR="0098163E" w:rsidRPr="00D74025">
        <w:rPr>
          <w:rFonts w:ascii="Arial" w:hAnsi="Arial" w:cs="Arial"/>
          <w:color w:val="000000" w:themeColor="text1"/>
        </w:rPr>
        <w:t xml:space="preserve"> the administered. On day 11, SWCNT-ANXA5-mediated PTT was performed by intratumorally (IT) injecting the conjugate and irradiating the tumor with 980-nm laser with a power density of 1 W/cm</w:t>
      </w:r>
      <w:r w:rsidR="0098163E" w:rsidRPr="00D74025">
        <w:rPr>
          <w:rFonts w:ascii="Arial" w:hAnsi="Arial" w:cs="Arial"/>
          <w:color w:val="000000" w:themeColor="text1"/>
          <w:vertAlign w:val="superscript"/>
        </w:rPr>
        <w:t>2</w:t>
      </w:r>
      <w:r w:rsidR="0098163E" w:rsidRPr="00D74025">
        <w:rPr>
          <w:rFonts w:ascii="Arial" w:hAnsi="Arial" w:cs="Arial"/>
          <w:color w:val="000000" w:themeColor="text1"/>
        </w:rPr>
        <w:t xml:space="preserve"> until the tumor surface </w:t>
      </w:r>
      <w:r w:rsidR="0098163E" w:rsidRPr="00D74025">
        <w:rPr>
          <w:rFonts w:ascii="Arial" w:hAnsi="Arial" w:cs="Arial"/>
          <w:color w:val="000000" w:themeColor="text1"/>
        </w:rPr>
        <w:lastRenderedPageBreak/>
        <w:t xml:space="preserve">temperature reached 55°C. On day 15, mice were again injected intraperitoneally with another dose of anti-PD-1. </w:t>
      </w:r>
      <w:r w:rsidR="0098163E" w:rsidRPr="00FF3CD7">
        <w:rPr>
          <w:rFonts w:ascii="Arial" w:hAnsi="Arial" w:cs="Arial"/>
          <w:b/>
          <w:bCs/>
          <w:color w:val="000000" w:themeColor="text1"/>
        </w:rPr>
        <w:t xml:space="preserve">Figure </w:t>
      </w:r>
      <w:r w:rsidR="00FF3CD7" w:rsidRPr="00FF3CD7">
        <w:rPr>
          <w:rFonts w:ascii="Arial" w:hAnsi="Arial" w:cs="Arial"/>
          <w:b/>
          <w:bCs/>
          <w:color w:val="000000" w:themeColor="text1"/>
        </w:rPr>
        <w:t>26</w:t>
      </w:r>
      <w:r w:rsidR="0098163E" w:rsidRPr="00D74025">
        <w:rPr>
          <w:rFonts w:ascii="Arial" w:hAnsi="Arial" w:cs="Arial"/>
          <w:color w:val="000000" w:themeColor="text1"/>
        </w:rPr>
        <w:t xml:space="preserve"> shows the treatment schedule.</w:t>
      </w:r>
    </w:p>
    <w:p w14:paraId="165F1E8A" w14:textId="6B078F16" w:rsidR="005D73F5" w:rsidRPr="00D74025" w:rsidRDefault="005D73F5" w:rsidP="0098163E">
      <w:pPr>
        <w:spacing w:line="360" w:lineRule="auto"/>
        <w:ind w:firstLine="1440"/>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496C4D10" w14:textId="77777777" w:rsidTr="005D73F5">
        <w:tc>
          <w:tcPr>
            <w:tcW w:w="9350" w:type="dxa"/>
          </w:tcPr>
          <w:p w14:paraId="06320EBE" w14:textId="7CE7286A" w:rsidR="005D73F5" w:rsidRPr="00D74025" w:rsidRDefault="005D73F5" w:rsidP="000D71A7">
            <w:pPr>
              <w:spacing w:beforeAutospacing="0" w:line="360" w:lineRule="auto"/>
              <w:ind w:firstLine="0"/>
              <w:rPr>
                <w:rFonts w:ascii="Arial" w:hAnsi="Arial" w:cs="Arial"/>
                <w:color w:val="000000" w:themeColor="text1"/>
              </w:rPr>
            </w:pPr>
            <w:r w:rsidRPr="00D74025">
              <w:rPr>
                <w:rFonts w:ascii="Arial" w:hAnsi="Arial" w:cs="Arial"/>
                <w:noProof/>
                <w:color w:val="000000" w:themeColor="text1"/>
              </w:rPr>
              <w:drawing>
                <wp:inline distT="0" distB="0" distL="0" distR="0" wp14:anchorId="4B066C35" wp14:editId="50721747">
                  <wp:extent cx="5943600" cy="2246630"/>
                  <wp:effectExtent l="0" t="0" r="0" b="1270"/>
                  <wp:docPr id="40" name="Picture 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10;&#10;Description automatically generated"/>
                          <pic:cNvPicPr/>
                        </pic:nvPicPr>
                        <pic:blipFill>
                          <a:blip r:embed="rId43"/>
                          <a:stretch>
                            <a:fillRect/>
                          </a:stretch>
                        </pic:blipFill>
                        <pic:spPr>
                          <a:xfrm>
                            <a:off x="0" y="0"/>
                            <a:ext cx="5943600" cy="2246630"/>
                          </a:xfrm>
                          <a:prstGeom prst="rect">
                            <a:avLst/>
                          </a:prstGeom>
                        </pic:spPr>
                      </pic:pic>
                    </a:graphicData>
                  </a:graphic>
                </wp:inline>
              </w:drawing>
            </w:r>
          </w:p>
        </w:tc>
      </w:tr>
      <w:tr w:rsidR="005D73F5" w:rsidRPr="00D74025" w14:paraId="433595F5" w14:textId="77777777" w:rsidTr="005D73F5">
        <w:tc>
          <w:tcPr>
            <w:tcW w:w="9350" w:type="dxa"/>
          </w:tcPr>
          <w:p w14:paraId="5AD547F0" w14:textId="07AFD18B" w:rsidR="005D73F5" w:rsidRPr="004F39AA" w:rsidRDefault="00950E62" w:rsidP="002C6E45">
            <w:pPr>
              <w:spacing w:line="360" w:lineRule="auto"/>
              <w:ind w:firstLine="0"/>
              <w:rPr>
                <w:rFonts w:ascii="Arial" w:hAnsi="Arial" w:cs="Arial"/>
                <w:color w:val="000000" w:themeColor="text1"/>
              </w:rPr>
            </w:pPr>
            <w:bookmarkStart w:id="98" w:name="_Toc121217348"/>
            <w:r w:rsidRPr="004F39AA">
              <w:rPr>
                <w:rFonts w:ascii="Arial" w:eastAsiaTheme="minorEastAsia" w:hAnsi="Arial" w:cs="Arial"/>
                <w:b/>
                <w:bCs/>
                <w:color w:val="000000" w:themeColor="text1"/>
              </w:rPr>
              <w:t xml:space="preserve">Figure </w:t>
            </w:r>
            <w:r w:rsidRPr="004F39AA">
              <w:rPr>
                <w:rFonts w:ascii="Arial" w:eastAsiaTheme="minorEastAsia" w:hAnsi="Arial" w:cs="Arial"/>
                <w:b/>
                <w:bCs/>
                <w:color w:val="000000" w:themeColor="text1"/>
              </w:rPr>
              <w:fldChar w:fldCharType="begin"/>
            </w:r>
            <w:r w:rsidRPr="004F39AA">
              <w:rPr>
                <w:rFonts w:ascii="Arial" w:eastAsiaTheme="minorEastAsia" w:hAnsi="Arial" w:cs="Arial"/>
                <w:b/>
                <w:bCs/>
                <w:color w:val="000000" w:themeColor="text1"/>
              </w:rPr>
              <w:instrText xml:space="preserve"> SEQ Figure \* ARABIC </w:instrText>
            </w:r>
            <w:r w:rsidRPr="004F39AA">
              <w:rPr>
                <w:rFonts w:ascii="Arial" w:eastAsiaTheme="minorEastAsia" w:hAnsi="Arial" w:cs="Arial"/>
                <w:b/>
                <w:bCs/>
                <w:color w:val="000000" w:themeColor="text1"/>
              </w:rPr>
              <w:fldChar w:fldCharType="separate"/>
            </w:r>
            <w:r w:rsidR="002C4B25">
              <w:rPr>
                <w:rFonts w:ascii="Arial" w:eastAsiaTheme="minorEastAsia" w:hAnsi="Arial" w:cs="Arial"/>
                <w:b/>
                <w:bCs/>
                <w:noProof/>
                <w:color w:val="000000" w:themeColor="text1"/>
              </w:rPr>
              <w:t>26</w:t>
            </w:r>
            <w:r w:rsidRPr="004F39AA">
              <w:rPr>
                <w:rFonts w:ascii="Arial" w:eastAsiaTheme="minorEastAsia" w:hAnsi="Arial" w:cs="Arial"/>
                <w:b/>
                <w:bCs/>
                <w:color w:val="000000" w:themeColor="text1"/>
              </w:rPr>
              <w:fldChar w:fldCharType="end"/>
            </w:r>
            <w:r w:rsidR="005D73F5" w:rsidRPr="004F39AA">
              <w:rPr>
                <w:rFonts w:ascii="Arial" w:eastAsiaTheme="minorEastAsia" w:hAnsi="Arial" w:cs="Arial"/>
                <w:b/>
                <w:bCs/>
                <w:color w:val="000000" w:themeColor="text1"/>
              </w:rPr>
              <w:t>:</w:t>
            </w:r>
            <w:r w:rsidR="005D73F5" w:rsidRPr="004F39AA">
              <w:rPr>
                <w:rFonts w:ascii="Arial" w:eastAsiaTheme="minorEastAsia" w:hAnsi="Arial" w:cs="Arial"/>
                <w:color w:val="000000" w:themeColor="text1"/>
              </w:rPr>
              <w:t xml:space="preserve"> </w:t>
            </w:r>
            <w:r w:rsidR="0098163E" w:rsidRPr="004F39AA">
              <w:rPr>
                <w:rFonts w:ascii="Arial" w:eastAsiaTheme="minorEastAsia" w:hAnsi="Arial" w:cs="Arial"/>
                <w:color w:val="000000" w:themeColor="text1"/>
              </w:rPr>
              <w:t>T</w:t>
            </w:r>
            <w:r w:rsidR="005D73F5" w:rsidRPr="004F39AA">
              <w:rPr>
                <w:rFonts w:ascii="Arial" w:eastAsiaTheme="minorEastAsia" w:hAnsi="Arial" w:cs="Arial"/>
                <w:color w:val="000000" w:themeColor="text1"/>
              </w:rPr>
              <w:t>reatment schedule for the combination therapy of 4T1 tumor models</w:t>
            </w:r>
            <w:r w:rsidR="002C6E45" w:rsidRPr="004F39AA">
              <w:rPr>
                <w:rFonts w:ascii="Arial" w:eastAsiaTheme="minorEastAsia" w:hAnsi="Arial" w:cs="Arial"/>
                <w:color w:val="000000" w:themeColor="text1"/>
              </w:rPr>
              <w:t xml:space="preserve"> with </w:t>
            </w:r>
            <w:r w:rsidR="005D73F5" w:rsidRPr="004F39AA">
              <w:rPr>
                <w:rFonts w:ascii="Arial" w:eastAsiaTheme="minorEastAsia" w:hAnsi="Arial" w:cs="Arial"/>
                <w:color w:val="000000" w:themeColor="text1"/>
              </w:rPr>
              <w:t>SWC</w:t>
            </w:r>
            <w:r w:rsidR="00187AE6" w:rsidRPr="004F39AA">
              <w:rPr>
                <w:rFonts w:ascii="Arial" w:eastAsiaTheme="minorEastAsia" w:hAnsi="Arial" w:cs="Arial"/>
                <w:color w:val="000000" w:themeColor="text1"/>
              </w:rPr>
              <w:t>N</w:t>
            </w:r>
            <w:r w:rsidR="005D73F5" w:rsidRPr="004F39AA">
              <w:rPr>
                <w:rFonts w:ascii="Arial" w:eastAsiaTheme="minorEastAsia" w:hAnsi="Arial" w:cs="Arial"/>
                <w:color w:val="000000" w:themeColor="text1"/>
              </w:rPr>
              <w:t xml:space="preserve">T-ANXA5 mediated photothermal therapy until </w:t>
            </w:r>
            <w:r w:rsidR="002C6E45" w:rsidRPr="004F39AA">
              <w:rPr>
                <w:rFonts w:ascii="Arial" w:eastAsiaTheme="minorEastAsia" w:hAnsi="Arial" w:cs="Arial"/>
                <w:color w:val="000000" w:themeColor="text1"/>
              </w:rPr>
              <w:t>5</w:t>
            </w:r>
            <w:r w:rsidR="005D73F5" w:rsidRPr="004F39AA">
              <w:rPr>
                <w:rFonts w:ascii="Arial" w:eastAsiaTheme="minorEastAsia" w:hAnsi="Arial" w:cs="Arial"/>
                <w:color w:val="000000" w:themeColor="text1"/>
              </w:rPr>
              <w:t>5</w:t>
            </w:r>
            <w:r w:rsidR="005D73F5" w:rsidRPr="004F39AA">
              <w:rPr>
                <w:rFonts w:ascii="Arial" w:eastAsiaTheme="minorEastAsia" w:hAnsi="Arial" w:cs="Arial"/>
                <w:color w:val="000000" w:themeColor="text1"/>
              </w:rPr>
              <w:sym w:font="Symbol" w:char="F0B0"/>
            </w:r>
            <w:r w:rsidR="005D73F5" w:rsidRPr="004F39AA">
              <w:rPr>
                <w:rFonts w:ascii="Arial" w:eastAsiaTheme="minorEastAsia" w:hAnsi="Arial" w:cs="Arial"/>
                <w:color w:val="000000" w:themeColor="text1"/>
              </w:rPr>
              <w:t>C</w:t>
            </w:r>
            <w:r w:rsidR="002C6E45" w:rsidRPr="004F39AA">
              <w:rPr>
                <w:rFonts w:ascii="Arial" w:eastAsiaTheme="minorEastAsia" w:hAnsi="Arial" w:cs="Arial"/>
                <w:color w:val="000000" w:themeColor="text1"/>
              </w:rPr>
              <w:t>,</w:t>
            </w:r>
            <w:r w:rsidR="005D73F5" w:rsidRPr="004F39AA">
              <w:rPr>
                <w:rFonts w:ascii="Arial" w:eastAsiaTheme="minorEastAsia" w:hAnsi="Arial" w:cs="Arial"/>
                <w:color w:val="000000" w:themeColor="text1"/>
              </w:rPr>
              <w:t xml:space="preserve"> anti-PD-1</w:t>
            </w:r>
            <w:r w:rsidR="002C6E45" w:rsidRPr="004F39AA">
              <w:rPr>
                <w:rFonts w:ascii="Arial" w:eastAsiaTheme="minorEastAsia" w:hAnsi="Arial" w:cs="Arial"/>
                <w:color w:val="000000" w:themeColor="text1"/>
              </w:rPr>
              <w:t xml:space="preserve"> and immunoadjuvant imiquimod</w:t>
            </w:r>
            <w:r w:rsidR="005D73F5" w:rsidRPr="004F39AA">
              <w:rPr>
                <w:rFonts w:ascii="Arial" w:eastAsiaTheme="minorEastAsia" w:hAnsi="Arial" w:cs="Arial"/>
                <w:color w:val="000000" w:themeColor="text1"/>
              </w:rPr>
              <w:t>.</w:t>
            </w:r>
            <w:bookmarkEnd w:id="98"/>
          </w:p>
        </w:tc>
      </w:tr>
    </w:tbl>
    <w:p w14:paraId="617DB4EC" w14:textId="77777777" w:rsidR="00950E62" w:rsidRDefault="00950E62" w:rsidP="00107D1C">
      <w:pPr>
        <w:spacing w:line="360" w:lineRule="auto"/>
        <w:ind w:firstLine="1440"/>
        <w:jc w:val="both"/>
        <w:rPr>
          <w:rFonts w:ascii="Arial" w:hAnsi="Arial" w:cs="Arial"/>
          <w:color w:val="000000" w:themeColor="text1"/>
        </w:rPr>
      </w:pPr>
    </w:p>
    <w:p w14:paraId="4FE2679D" w14:textId="04AC4FCA" w:rsidR="00107D1C" w:rsidRPr="00D74025" w:rsidRDefault="00107D1C" w:rsidP="00107D1C">
      <w:pPr>
        <w:spacing w:line="360" w:lineRule="auto"/>
        <w:ind w:firstLine="1440"/>
        <w:jc w:val="both"/>
        <w:rPr>
          <w:rFonts w:ascii="Arial" w:hAnsi="Arial" w:cs="Arial"/>
          <w:color w:val="000000" w:themeColor="text1"/>
        </w:rPr>
      </w:pPr>
      <w:r w:rsidRPr="00D74025">
        <w:rPr>
          <w:rFonts w:ascii="Arial" w:hAnsi="Arial" w:cs="Arial"/>
          <w:color w:val="000000" w:themeColor="text1"/>
        </w:rPr>
        <w:t>Mice w</w:t>
      </w:r>
      <w:r w:rsidR="0088490E" w:rsidRPr="00D74025">
        <w:rPr>
          <w:rFonts w:ascii="Arial" w:hAnsi="Arial" w:cs="Arial"/>
          <w:color w:val="000000" w:themeColor="text1"/>
        </w:rPr>
        <w:t>ere</w:t>
      </w:r>
      <w:r w:rsidRPr="00D74025">
        <w:rPr>
          <w:rFonts w:ascii="Arial" w:hAnsi="Arial" w:cs="Arial"/>
          <w:color w:val="000000" w:themeColor="text1"/>
        </w:rPr>
        <w:t xml:space="preserve"> assigned to groups (n = 10), as shown:</w:t>
      </w:r>
    </w:p>
    <w:p w14:paraId="5667521E" w14:textId="54C63671" w:rsidR="00107D1C" w:rsidRPr="00D74025" w:rsidRDefault="00107D1C" w:rsidP="00107D1C">
      <w:pPr>
        <w:spacing w:line="360" w:lineRule="auto"/>
        <w:ind w:firstLine="1440"/>
        <w:jc w:val="both"/>
        <w:rPr>
          <w:rFonts w:ascii="Arial" w:hAnsi="Arial" w:cs="Arial"/>
          <w:color w:val="000000" w:themeColor="text1"/>
        </w:rPr>
      </w:pPr>
    </w:p>
    <w:p w14:paraId="6F905A1B" w14:textId="77777777" w:rsidR="00107D1C" w:rsidRPr="00D74025" w:rsidRDefault="00107D1C" w:rsidP="00C467B8">
      <w:pPr>
        <w:spacing w:line="360" w:lineRule="auto"/>
        <w:jc w:val="both"/>
        <w:rPr>
          <w:rFonts w:ascii="Arial" w:hAnsi="Arial" w:cs="Arial"/>
          <w:color w:val="000000" w:themeColor="text1"/>
        </w:rPr>
      </w:pPr>
      <w:r w:rsidRPr="00D74025">
        <w:rPr>
          <w:rFonts w:ascii="Calibri" w:hAnsi="Calibri" w:cs="Calibri"/>
          <w:color w:val="000000" w:themeColor="text1"/>
        </w:rPr>
        <w:t>﻿</w:t>
      </w:r>
      <w:r w:rsidRPr="00D74025">
        <w:rPr>
          <w:rFonts w:ascii="Arial" w:hAnsi="Arial" w:cs="Arial"/>
          <w:color w:val="000000" w:themeColor="text1"/>
        </w:rPr>
        <w:t xml:space="preserve">1- </w:t>
      </w:r>
      <w:r w:rsidRPr="00D74025">
        <w:rPr>
          <w:rFonts w:ascii="Arial" w:hAnsi="Arial" w:cs="Arial"/>
          <w:b/>
          <w:bCs/>
          <w:color w:val="000000" w:themeColor="text1"/>
        </w:rPr>
        <w:t>Control</w:t>
      </w:r>
      <w:r w:rsidRPr="00D74025">
        <w:rPr>
          <w:rFonts w:ascii="Arial" w:hAnsi="Arial" w:cs="Arial"/>
          <w:color w:val="000000" w:themeColor="text1"/>
        </w:rPr>
        <w:t xml:space="preserve"> (untreated)</w:t>
      </w:r>
    </w:p>
    <w:p w14:paraId="0FDDB70C" w14:textId="77777777" w:rsidR="00107D1C" w:rsidRPr="00D74025" w:rsidRDefault="00107D1C" w:rsidP="00C467B8">
      <w:pPr>
        <w:spacing w:line="360" w:lineRule="auto"/>
        <w:jc w:val="both"/>
        <w:rPr>
          <w:rFonts w:ascii="Arial" w:hAnsi="Arial" w:cs="Arial"/>
          <w:color w:val="000000" w:themeColor="text1"/>
        </w:rPr>
      </w:pPr>
      <w:r w:rsidRPr="00D74025">
        <w:rPr>
          <w:rFonts w:ascii="Arial" w:hAnsi="Arial" w:cs="Arial"/>
          <w:color w:val="000000" w:themeColor="text1"/>
        </w:rPr>
        <w:t xml:space="preserve">2- </w:t>
      </w:r>
      <w:r w:rsidRPr="00D74025">
        <w:rPr>
          <w:rFonts w:ascii="Arial" w:hAnsi="Arial" w:cs="Arial"/>
          <w:b/>
          <w:bCs/>
          <w:color w:val="000000" w:themeColor="text1"/>
        </w:rPr>
        <w:t>Ab</w:t>
      </w:r>
      <w:r w:rsidRPr="00D74025">
        <w:rPr>
          <w:rFonts w:ascii="Arial" w:hAnsi="Arial" w:cs="Arial"/>
          <w:color w:val="000000" w:themeColor="text1"/>
        </w:rPr>
        <w:t>: injections of anti-PD-1 (3x)</w:t>
      </w:r>
    </w:p>
    <w:p w14:paraId="47C3F6F0" w14:textId="77777777" w:rsidR="00107D1C" w:rsidRPr="00D74025" w:rsidRDefault="00107D1C" w:rsidP="00C467B8">
      <w:pPr>
        <w:spacing w:line="360" w:lineRule="auto"/>
        <w:jc w:val="both"/>
        <w:rPr>
          <w:rFonts w:ascii="Arial" w:hAnsi="Arial" w:cs="Arial"/>
          <w:color w:val="000000" w:themeColor="text1"/>
        </w:rPr>
      </w:pPr>
      <w:r w:rsidRPr="00D74025">
        <w:rPr>
          <w:rFonts w:ascii="Arial" w:hAnsi="Arial" w:cs="Arial"/>
          <w:color w:val="000000" w:themeColor="text1"/>
        </w:rPr>
        <w:t xml:space="preserve">3- </w:t>
      </w:r>
      <w:r w:rsidRPr="00D74025">
        <w:rPr>
          <w:rFonts w:ascii="Arial" w:hAnsi="Arial" w:cs="Arial"/>
          <w:b/>
          <w:bCs/>
          <w:color w:val="000000" w:themeColor="text1"/>
        </w:rPr>
        <w:t>IMQ:</w:t>
      </w:r>
      <w:r w:rsidRPr="00D74025">
        <w:rPr>
          <w:rFonts w:ascii="Arial" w:hAnsi="Arial" w:cs="Arial"/>
          <w:color w:val="000000" w:themeColor="text1"/>
        </w:rPr>
        <w:t xml:space="preserve"> injection IMQ</w:t>
      </w:r>
    </w:p>
    <w:p w14:paraId="43E53C24" w14:textId="726A7AF6" w:rsidR="00107D1C" w:rsidRPr="00D74025" w:rsidRDefault="00107D1C" w:rsidP="00C467B8">
      <w:pPr>
        <w:spacing w:line="360" w:lineRule="auto"/>
        <w:jc w:val="both"/>
        <w:rPr>
          <w:rFonts w:ascii="Arial" w:hAnsi="Arial" w:cs="Arial"/>
          <w:color w:val="000000" w:themeColor="text1"/>
        </w:rPr>
      </w:pPr>
      <w:r w:rsidRPr="00D74025">
        <w:rPr>
          <w:rFonts w:ascii="Arial" w:hAnsi="Arial" w:cs="Arial"/>
          <w:color w:val="000000" w:themeColor="text1"/>
        </w:rPr>
        <w:t xml:space="preserve">4- </w:t>
      </w:r>
      <w:r w:rsidRPr="00D74025">
        <w:rPr>
          <w:rFonts w:ascii="Arial" w:hAnsi="Arial" w:cs="Arial"/>
          <w:b/>
          <w:bCs/>
          <w:color w:val="000000" w:themeColor="text1"/>
        </w:rPr>
        <w:t>PTT:</w:t>
      </w:r>
      <w:r w:rsidRPr="00D74025">
        <w:rPr>
          <w:rFonts w:ascii="Arial" w:hAnsi="Arial" w:cs="Arial"/>
          <w:color w:val="000000" w:themeColor="text1"/>
        </w:rPr>
        <w:t xml:space="preserve"> injection of </w:t>
      </w:r>
      <w:r w:rsidR="00C467B8" w:rsidRPr="00D74025">
        <w:rPr>
          <w:rFonts w:ascii="Arial" w:hAnsi="Arial" w:cs="Arial"/>
          <w:color w:val="000000" w:themeColor="text1"/>
        </w:rPr>
        <w:t>SW</w:t>
      </w:r>
      <w:r w:rsidRPr="00D74025">
        <w:rPr>
          <w:rFonts w:ascii="Arial" w:hAnsi="Arial" w:cs="Arial"/>
          <w:color w:val="000000" w:themeColor="text1"/>
        </w:rPr>
        <w:t>CNT-A</w:t>
      </w:r>
      <w:r w:rsidR="00C467B8" w:rsidRPr="00D74025">
        <w:rPr>
          <w:rFonts w:ascii="Arial" w:hAnsi="Arial" w:cs="Arial"/>
          <w:color w:val="000000" w:themeColor="text1"/>
        </w:rPr>
        <w:t>NXA5</w:t>
      </w:r>
      <w:r w:rsidRPr="00D74025">
        <w:rPr>
          <w:rFonts w:ascii="Arial" w:hAnsi="Arial" w:cs="Arial"/>
          <w:color w:val="000000" w:themeColor="text1"/>
        </w:rPr>
        <w:t xml:space="preserve"> and laser irradiation</w:t>
      </w:r>
    </w:p>
    <w:p w14:paraId="4C40FA95" w14:textId="77777777" w:rsidR="00107D1C" w:rsidRPr="00D74025" w:rsidRDefault="00107D1C" w:rsidP="00C467B8">
      <w:pPr>
        <w:spacing w:line="360" w:lineRule="auto"/>
        <w:jc w:val="both"/>
        <w:rPr>
          <w:rFonts w:ascii="Arial" w:hAnsi="Arial" w:cs="Arial"/>
          <w:color w:val="000000" w:themeColor="text1"/>
        </w:rPr>
      </w:pPr>
      <w:r w:rsidRPr="00D74025">
        <w:rPr>
          <w:rFonts w:ascii="Arial" w:hAnsi="Arial" w:cs="Arial"/>
          <w:color w:val="000000" w:themeColor="text1"/>
        </w:rPr>
        <w:t xml:space="preserve">5- </w:t>
      </w:r>
      <w:r w:rsidRPr="00D74025">
        <w:rPr>
          <w:rFonts w:ascii="Arial" w:hAnsi="Arial" w:cs="Arial"/>
          <w:b/>
          <w:bCs/>
          <w:color w:val="000000" w:themeColor="text1"/>
        </w:rPr>
        <w:t>Ab + IMQ:</w:t>
      </w:r>
      <w:r w:rsidRPr="00D74025">
        <w:rPr>
          <w:rFonts w:ascii="Arial" w:hAnsi="Arial" w:cs="Arial"/>
          <w:color w:val="000000" w:themeColor="text1"/>
        </w:rPr>
        <w:t xml:space="preserve"> injections of anti-PD-1 (3x) + IT injection of IMQ</w:t>
      </w:r>
    </w:p>
    <w:p w14:paraId="73DA073C" w14:textId="725B2A0C" w:rsidR="00107D1C" w:rsidRPr="00D74025" w:rsidRDefault="00107D1C" w:rsidP="00C467B8">
      <w:pPr>
        <w:spacing w:line="360" w:lineRule="auto"/>
        <w:jc w:val="both"/>
        <w:rPr>
          <w:rFonts w:ascii="Arial" w:hAnsi="Arial" w:cs="Arial"/>
          <w:color w:val="000000" w:themeColor="text1"/>
        </w:rPr>
      </w:pPr>
      <w:r w:rsidRPr="00D74025">
        <w:rPr>
          <w:rFonts w:ascii="Arial" w:hAnsi="Arial" w:cs="Arial"/>
          <w:color w:val="000000" w:themeColor="text1"/>
        </w:rPr>
        <w:t xml:space="preserve">6- </w:t>
      </w:r>
      <w:r w:rsidRPr="00D74025">
        <w:rPr>
          <w:rFonts w:ascii="Arial" w:hAnsi="Arial" w:cs="Arial"/>
          <w:b/>
          <w:bCs/>
          <w:color w:val="000000" w:themeColor="text1"/>
        </w:rPr>
        <w:t>Ab + PTT:</w:t>
      </w:r>
      <w:r w:rsidRPr="00D74025">
        <w:rPr>
          <w:rFonts w:ascii="Arial" w:hAnsi="Arial" w:cs="Arial"/>
          <w:color w:val="000000" w:themeColor="text1"/>
        </w:rPr>
        <w:t xml:space="preserve"> injections of anti-PD-1 (3x) + IT injection of </w:t>
      </w:r>
      <w:r w:rsidR="00C467B8" w:rsidRPr="00D74025">
        <w:rPr>
          <w:rFonts w:ascii="Arial" w:hAnsi="Arial" w:cs="Arial"/>
          <w:color w:val="000000" w:themeColor="text1"/>
        </w:rPr>
        <w:t xml:space="preserve">SWCNT-ANXA5 </w:t>
      </w:r>
      <w:r w:rsidRPr="00D74025">
        <w:rPr>
          <w:rFonts w:ascii="Arial" w:hAnsi="Arial" w:cs="Arial"/>
          <w:color w:val="000000" w:themeColor="text1"/>
        </w:rPr>
        <w:t>and laser irradiation</w:t>
      </w:r>
    </w:p>
    <w:p w14:paraId="0E547239" w14:textId="0F15BF6D" w:rsidR="00107D1C" w:rsidRPr="00D74025" w:rsidRDefault="00107D1C" w:rsidP="00C467B8">
      <w:pPr>
        <w:spacing w:line="360" w:lineRule="auto"/>
        <w:jc w:val="both"/>
        <w:rPr>
          <w:rFonts w:ascii="Arial" w:hAnsi="Arial" w:cs="Arial"/>
          <w:color w:val="000000" w:themeColor="text1"/>
        </w:rPr>
      </w:pPr>
      <w:r w:rsidRPr="00D74025">
        <w:rPr>
          <w:rFonts w:ascii="Arial" w:hAnsi="Arial" w:cs="Arial"/>
          <w:color w:val="000000" w:themeColor="text1"/>
        </w:rPr>
        <w:t xml:space="preserve">7- </w:t>
      </w:r>
      <w:r w:rsidRPr="00D74025">
        <w:rPr>
          <w:rFonts w:ascii="Arial" w:hAnsi="Arial" w:cs="Arial"/>
          <w:b/>
          <w:bCs/>
          <w:color w:val="000000" w:themeColor="text1"/>
        </w:rPr>
        <w:t>IMQ + PTT:</w:t>
      </w:r>
      <w:r w:rsidRPr="00D74025">
        <w:rPr>
          <w:rFonts w:ascii="Arial" w:hAnsi="Arial" w:cs="Arial"/>
          <w:color w:val="000000" w:themeColor="text1"/>
        </w:rPr>
        <w:t xml:space="preserve"> injection of IMQ + injection of </w:t>
      </w:r>
      <w:r w:rsidR="00C467B8" w:rsidRPr="00D74025">
        <w:rPr>
          <w:rFonts w:ascii="Arial" w:hAnsi="Arial" w:cs="Arial"/>
          <w:color w:val="000000" w:themeColor="text1"/>
        </w:rPr>
        <w:t>SWCNT-ANXA5</w:t>
      </w:r>
      <w:r w:rsidRPr="00D74025">
        <w:rPr>
          <w:rFonts w:ascii="Arial" w:hAnsi="Arial" w:cs="Arial"/>
          <w:color w:val="000000" w:themeColor="text1"/>
        </w:rPr>
        <w:t xml:space="preserve"> and laser irradiation</w:t>
      </w:r>
    </w:p>
    <w:p w14:paraId="53237C52" w14:textId="2AD14908" w:rsidR="00107D1C" w:rsidRPr="00D74025" w:rsidRDefault="00107D1C" w:rsidP="00C467B8">
      <w:pPr>
        <w:spacing w:line="360" w:lineRule="auto"/>
        <w:jc w:val="both"/>
        <w:rPr>
          <w:rFonts w:ascii="Arial" w:hAnsi="Arial" w:cs="Arial"/>
          <w:color w:val="000000" w:themeColor="text1"/>
        </w:rPr>
      </w:pPr>
      <w:r w:rsidRPr="00D74025">
        <w:rPr>
          <w:rFonts w:ascii="Arial" w:hAnsi="Arial" w:cs="Arial"/>
          <w:color w:val="000000" w:themeColor="text1"/>
        </w:rPr>
        <w:t xml:space="preserve">8- </w:t>
      </w:r>
      <w:r w:rsidRPr="00D74025">
        <w:rPr>
          <w:rFonts w:ascii="Arial" w:hAnsi="Arial" w:cs="Arial"/>
          <w:b/>
          <w:bCs/>
          <w:color w:val="000000" w:themeColor="text1"/>
        </w:rPr>
        <w:t>Ab + IMQ + PTT:</w:t>
      </w:r>
      <w:r w:rsidRPr="00D74025">
        <w:rPr>
          <w:rFonts w:ascii="Arial" w:hAnsi="Arial" w:cs="Arial"/>
          <w:color w:val="000000" w:themeColor="text1"/>
        </w:rPr>
        <w:t xml:space="preserve"> injections of anti-PD-1 (3x) + injection of IMQ + injection of </w:t>
      </w:r>
      <w:r w:rsidR="00C467B8" w:rsidRPr="00D74025">
        <w:rPr>
          <w:rFonts w:ascii="Arial" w:hAnsi="Arial" w:cs="Arial"/>
          <w:color w:val="000000" w:themeColor="text1"/>
        </w:rPr>
        <w:t xml:space="preserve">SWCNT-ANXA5 </w:t>
      </w:r>
      <w:r w:rsidRPr="00D74025">
        <w:rPr>
          <w:rFonts w:ascii="Arial" w:hAnsi="Arial" w:cs="Arial"/>
          <w:color w:val="000000" w:themeColor="text1"/>
        </w:rPr>
        <w:t>and laser irradiation</w:t>
      </w:r>
    </w:p>
    <w:p w14:paraId="60D844CC" w14:textId="54E1A3CF" w:rsidR="00CE24F5" w:rsidRPr="00D74025" w:rsidRDefault="00CE24F5" w:rsidP="00FC6D0F">
      <w:pPr>
        <w:rPr>
          <w:color w:val="000000" w:themeColor="text1"/>
        </w:rPr>
      </w:pPr>
    </w:p>
    <w:p w14:paraId="36BB6571" w14:textId="7A33EC71" w:rsidR="007D230C" w:rsidRPr="00D74025" w:rsidRDefault="007D230C" w:rsidP="007D230C">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The IMQ-loaded hydrogel was prepared as described </w:t>
      </w:r>
      <w:r w:rsidR="00D458F6">
        <w:rPr>
          <w:rFonts w:ascii="Arial" w:hAnsi="Arial" w:cs="Arial"/>
          <w:color w:val="000000" w:themeColor="text1"/>
        </w:rPr>
        <w:t>by</w:t>
      </w:r>
      <w:r w:rsidRPr="00D74025">
        <w:rPr>
          <w:rFonts w:ascii="Arial" w:hAnsi="Arial" w:cs="Arial"/>
          <w:color w:val="000000" w:themeColor="text1"/>
        </w:rPr>
        <w:t xml:space="preserve"> Li </w:t>
      </w:r>
      <w:r w:rsidRPr="00D74025">
        <w:rPr>
          <w:rFonts w:ascii="Arial" w:hAnsi="Arial" w:cs="Arial"/>
          <w:i/>
          <w:iCs/>
          <w:color w:val="000000" w:themeColor="text1"/>
        </w:rPr>
        <w:t>et al.</w:t>
      </w:r>
      <w:r w:rsidRPr="00D74025">
        <w:rPr>
          <w:rFonts w:ascii="Arial" w:hAnsi="Arial" w:cs="Arial"/>
          <w:color w:val="000000" w:themeColor="text1"/>
        </w:rPr>
        <w:t>, 2022</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{"citationID":"a1ppp5sdf4q","properties":{"formattedCitation":"\\super 285\\nosupersub{}","plainCitation":"285","noteIndex":0},"citationItems":[{"id":1058,"uris":["http://zotero.org/users/7661987/items/Q9Y85HV2"],"itemData":{"id":1058,"type":"article-journal","abstract":"Melanoma is a highly aggressive tumor located in the skin, with limited traditional therapies. In order to reduce the side effects caused by traditional administration method and amplify the killing effect of immune system against tumor cells, an in situ injectable hydrogel drug delivery system is developed for the ﬁrst time which codelivers doxorubicin (Dox) and imiquimod (R837) for the synergistic therapy of melanoma. The mechanical properties and stability of the hydrogel are characterized and the optimal doses of hydrogel and drugs are also identiﬁed. As a result, the co-delivery system effectively suppresses melanoma growth and metastatic progression both in vitro and in vivo. Further studies show that the co-delivery system causes immunogenic cell death, activation of antigen presenting cells, comprising dendritic cells and M1 macrophages, and secretion of related cytokines consisted of tumor necrosis factor-α (TNF-α) and interferon-γ (IFN-γ), subsequently with the activation of T lymphocytes and natural killer cells in spleen and tumor area. The co-delivery system also decreases the suppressive immune responses, including inﬁltration of M2 macrophages and secretion of interleukin-10 (IL-10), in vivo. Besides, other death modes are induced by the co-delivery system, including apoptosis and non-apoptotic cell death. In a word, this co-delivery system induces melanoma cell death directly and activates immune system for further tumor killing simultaneously, which shows probability for precise targeted tumor therapy.","container-title":"Materials Today Bio","DOI":"10.1016/j.mtbio.2022.100238","ISSN":"25900064","journalAbbreviation":"Materials Today Bio","language":"en","page":"100238","source":"DOI.org (Crossref)","title":"In situ injectable hydrogel-loaded drugs induce anti-tumor immune responses in melanoma immunochemotherapy","volume":"14","author":[{"family":"Li","given":"Jiehan"},{"family":"Luo","given":"Guang"},{"family":"Zhang","given":"Chuchu"},{"family":"Long","given":"Shuaiyu"},{"family":"Guo","given":"Leiming"},{"family":"Yang","given":"Ge"},{"family":"Wang","given":"Feng"},{"family":"Zhang","given":"Lingling"},{"family":"Shi","given":"Liyang"},{"family":"Fu","given":"Yang"},{"family":"Zhang","given":"Yingjie"}],"issued":{"date-parts":[["2022",3]]}}}],"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285</w:t>
      </w:r>
      <w:r w:rsidRPr="00D74025">
        <w:rPr>
          <w:rFonts w:ascii="Arial" w:hAnsi="Arial" w:cs="Arial"/>
          <w:color w:val="000000" w:themeColor="text1"/>
        </w:rPr>
        <w:fldChar w:fldCharType="end"/>
      </w:r>
      <w:r w:rsidRPr="00D74025">
        <w:rPr>
          <w:rFonts w:ascii="Arial" w:hAnsi="Arial" w:cs="Arial"/>
          <w:color w:val="000000" w:themeColor="text1"/>
        </w:rPr>
        <w:t xml:space="preserve">. </w:t>
      </w:r>
      <w:r w:rsidRPr="00D74025">
        <w:rPr>
          <w:rFonts w:ascii="Calibri" w:hAnsi="Calibri" w:cs="Calibri"/>
          <w:color w:val="000000" w:themeColor="text1"/>
        </w:rPr>
        <w:t>﻿</w:t>
      </w:r>
      <w:r w:rsidRPr="00D74025">
        <w:rPr>
          <w:rFonts w:ascii="Arial" w:hAnsi="Arial" w:cs="Arial"/>
          <w:color w:val="000000" w:themeColor="text1"/>
        </w:rPr>
        <w:t xml:space="preserve">The hydrogel is composed of </w:t>
      </w:r>
      <w:r w:rsidR="00D458F6">
        <w:rPr>
          <w:rFonts w:ascii="Arial" w:hAnsi="Arial" w:cs="Arial"/>
          <w:color w:val="000000" w:themeColor="text1"/>
        </w:rPr>
        <w:t xml:space="preserve">the </w:t>
      </w:r>
      <w:r w:rsidRPr="00D74025">
        <w:rPr>
          <w:rFonts w:ascii="Arial" w:hAnsi="Arial" w:cs="Arial"/>
          <w:color w:val="000000" w:themeColor="text1"/>
        </w:rPr>
        <w:t xml:space="preserve">four-arm polyethylene glycol thiol (PEGSH, </w:t>
      </w:r>
      <w:r w:rsidRPr="00D74025">
        <w:rPr>
          <w:rFonts w:ascii="Arial" w:hAnsi="Arial" w:cs="Arial"/>
          <w:color w:val="000000" w:themeColor="text1"/>
        </w:rPr>
        <w:lastRenderedPageBreak/>
        <w:t xml:space="preserve">95%, MW 5000) and poly (ethylene glycol) diacrylate (PEGDA, MW 700). The gelation occurs due to a Michael addition reaction between PEGSH and PEGDA. For the preparation of 100 </w:t>
      </w:r>
      <w:proofErr w:type="spellStart"/>
      <w:r w:rsidRPr="00D74025">
        <w:rPr>
          <w:rFonts w:ascii="Arial" w:hAnsi="Arial" w:cs="Arial"/>
          <w:color w:val="000000" w:themeColor="text1"/>
        </w:rPr>
        <w:t>μL</w:t>
      </w:r>
      <w:proofErr w:type="spellEnd"/>
      <w:r w:rsidRPr="00D74025">
        <w:rPr>
          <w:rFonts w:ascii="Arial" w:hAnsi="Arial" w:cs="Arial"/>
          <w:color w:val="000000" w:themeColor="text1"/>
        </w:rPr>
        <w:t xml:space="preserve"> hydrogel (12 </w:t>
      </w:r>
      <w:proofErr w:type="spellStart"/>
      <w:r w:rsidRPr="00D74025">
        <w:rPr>
          <w:rFonts w:ascii="Arial" w:hAnsi="Arial" w:cs="Arial"/>
          <w:color w:val="000000" w:themeColor="text1"/>
        </w:rPr>
        <w:t>wt</w:t>
      </w:r>
      <w:proofErr w:type="spellEnd"/>
      <w:r w:rsidRPr="00D74025">
        <w:rPr>
          <w:rFonts w:ascii="Arial" w:hAnsi="Arial" w:cs="Arial"/>
          <w:color w:val="000000" w:themeColor="text1"/>
        </w:rPr>
        <w:t xml:space="preserve">%), 9.375 mg PEGSH and 2.625 mg PEGDA </w:t>
      </w:r>
      <w:r w:rsidR="004215E0">
        <w:rPr>
          <w:rFonts w:ascii="Arial" w:hAnsi="Arial" w:cs="Arial"/>
          <w:color w:val="000000" w:themeColor="text1"/>
        </w:rPr>
        <w:t>(</w:t>
      </w:r>
      <w:r w:rsidRPr="00D74025">
        <w:rPr>
          <w:rFonts w:ascii="Arial" w:hAnsi="Arial" w:cs="Arial"/>
          <w:color w:val="000000" w:themeColor="text1"/>
        </w:rPr>
        <w:t xml:space="preserve">mass ratio of PEGDA to PEGSH </w:t>
      </w:r>
      <w:r w:rsidR="004215E0">
        <w:rPr>
          <w:rFonts w:ascii="Arial" w:hAnsi="Arial" w:cs="Arial"/>
          <w:color w:val="000000" w:themeColor="text1"/>
        </w:rPr>
        <w:t>=</w:t>
      </w:r>
      <w:r w:rsidRPr="00D74025">
        <w:rPr>
          <w:rFonts w:ascii="Arial" w:hAnsi="Arial" w:cs="Arial"/>
          <w:color w:val="000000" w:themeColor="text1"/>
        </w:rPr>
        <w:t xml:space="preserve"> 0.28 in the hydrogel) were separately dissolved in PBS. IMQ solution in DMSO was added to 50 </w:t>
      </w:r>
      <w:proofErr w:type="spellStart"/>
      <w:r w:rsidRPr="00D74025">
        <w:rPr>
          <w:rFonts w:ascii="Arial" w:hAnsi="Arial" w:cs="Arial"/>
          <w:color w:val="000000" w:themeColor="text1"/>
        </w:rPr>
        <w:t>μL</w:t>
      </w:r>
      <w:proofErr w:type="spellEnd"/>
      <w:r w:rsidRPr="00D74025">
        <w:rPr>
          <w:rFonts w:ascii="Arial" w:hAnsi="Arial" w:cs="Arial"/>
          <w:color w:val="000000" w:themeColor="text1"/>
        </w:rPr>
        <w:t xml:space="preserve"> PEGDA solution (50 mg). Solutions were added to one another, and gelation occurred in 5 min. For mouse injection, solutions were prepared freshly and separately sterilized by filtration with a 0.2 </w:t>
      </w:r>
      <w:r w:rsidRPr="00D74025">
        <w:rPr>
          <w:rFonts w:ascii="Arial" w:hAnsi="Arial" w:cs="Arial"/>
          <w:color w:val="000000" w:themeColor="text1"/>
        </w:rPr>
        <w:sym w:font="Symbol" w:char="F06D"/>
      </w:r>
      <w:r w:rsidRPr="00D74025">
        <w:rPr>
          <w:rFonts w:ascii="Arial" w:hAnsi="Arial" w:cs="Arial"/>
          <w:color w:val="000000" w:themeColor="text1"/>
        </w:rPr>
        <w:t xml:space="preserve">m filter. Aliquots of 400 </w:t>
      </w:r>
      <w:r w:rsidRPr="00D74025">
        <w:rPr>
          <w:rFonts w:ascii="Arial" w:hAnsi="Arial" w:cs="Arial"/>
          <w:color w:val="000000" w:themeColor="text1"/>
        </w:rPr>
        <w:sym w:font="Symbol" w:char="F06D"/>
      </w:r>
      <w:r w:rsidRPr="00D74025">
        <w:rPr>
          <w:rFonts w:ascii="Arial" w:hAnsi="Arial" w:cs="Arial"/>
          <w:color w:val="000000" w:themeColor="text1"/>
        </w:rPr>
        <w:t>L of each solution were mixed in a sterile hood inside the procedure room, where mice were located and injected within 5 min to prevent gelation inside the syringe.</w:t>
      </w:r>
    </w:p>
    <w:p w14:paraId="7BDE080A" w14:textId="55B52BC9" w:rsidR="00406225" w:rsidRPr="00D74025" w:rsidRDefault="00365B85" w:rsidP="00406225">
      <w:pPr>
        <w:spacing w:line="360" w:lineRule="auto"/>
        <w:ind w:firstLine="1440"/>
        <w:jc w:val="both"/>
        <w:rPr>
          <w:rFonts w:ascii="Arial" w:hAnsi="Arial" w:cs="Arial"/>
          <w:color w:val="000000" w:themeColor="text1"/>
        </w:rPr>
      </w:pPr>
      <w:r w:rsidRPr="00D74025">
        <w:rPr>
          <w:rFonts w:ascii="Calibri" w:hAnsi="Calibri" w:cs="Calibri"/>
          <w:color w:val="000000" w:themeColor="text1"/>
        </w:rPr>
        <w:t>﻿</w:t>
      </w:r>
      <w:r w:rsidR="00406225" w:rsidRPr="00D74025">
        <w:rPr>
          <w:rFonts w:ascii="Arial" w:hAnsi="Arial" w:cs="Arial"/>
          <w:color w:val="000000" w:themeColor="text1"/>
        </w:rPr>
        <w:t xml:space="preserve"> Tumor volumes and survival was monitored for 100 days when the remaining mice were euthanized by CO</w:t>
      </w:r>
      <w:r w:rsidR="00406225" w:rsidRPr="00D74025">
        <w:rPr>
          <w:rFonts w:ascii="Arial" w:hAnsi="Arial" w:cs="Arial"/>
          <w:color w:val="000000" w:themeColor="text1"/>
          <w:vertAlign w:val="subscript"/>
        </w:rPr>
        <w:t>2</w:t>
      </w:r>
      <w:r w:rsidR="00406225" w:rsidRPr="00D74025">
        <w:rPr>
          <w:rFonts w:ascii="Arial" w:hAnsi="Arial" w:cs="Arial"/>
          <w:color w:val="000000" w:themeColor="text1"/>
        </w:rPr>
        <w:t xml:space="preserve"> asphyxiation followed by bilateral thoracotomy. Tumor volumes and body weights were monitored daily after PTT. After finding no evidence of pain or distress daily, monitoring frequency was reduced to every </w:t>
      </w:r>
      <w:r w:rsidR="00BB4EE0">
        <w:rPr>
          <w:rFonts w:ascii="Arial" w:hAnsi="Arial" w:cs="Arial"/>
          <w:color w:val="000000" w:themeColor="text1"/>
        </w:rPr>
        <w:t>3</w:t>
      </w:r>
      <w:r w:rsidR="00406225" w:rsidRPr="00D74025">
        <w:rPr>
          <w:rFonts w:ascii="Arial" w:hAnsi="Arial" w:cs="Arial"/>
          <w:color w:val="000000" w:themeColor="text1"/>
        </w:rPr>
        <w:t xml:space="preserve"> days. Treated or untreated mice in pain or distress, as indicated by being recumbent, were euthanized. Animals that exhibited greater than 20% weight loss from the onset of the study, or for which tumor size surpassed 15 mm in any direction, or that were dehydrated were euthanized. </w:t>
      </w:r>
    </w:p>
    <w:p w14:paraId="14C287BB" w14:textId="0FE769C9" w:rsidR="00DD0A63" w:rsidRPr="00D74025" w:rsidRDefault="00DD0A63" w:rsidP="0088490E">
      <w:pPr>
        <w:spacing w:line="360" w:lineRule="auto"/>
        <w:ind w:firstLine="1440"/>
        <w:jc w:val="both"/>
        <w:rPr>
          <w:rFonts w:ascii="Arial" w:hAnsi="Arial" w:cs="Arial"/>
          <w:color w:val="000000" w:themeColor="text1"/>
        </w:rPr>
      </w:pPr>
    </w:p>
    <w:p w14:paraId="27CD616E" w14:textId="77777777" w:rsidR="00DD0A63" w:rsidRPr="00D74025" w:rsidRDefault="00DD0A63" w:rsidP="00365B85">
      <w:pPr>
        <w:jc w:val="both"/>
        <w:rPr>
          <w:color w:val="000000" w:themeColor="text1"/>
        </w:rPr>
      </w:pPr>
    </w:p>
    <w:p w14:paraId="784E639A" w14:textId="433E05D9" w:rsidR="004B08F6" w:rsidRPr="005420D0" w:rsidRDefault="00CE24F5" w:rsidP="00B42E0A">
      <w:pPr>
        <w:pStyle w:val="Heading3"/>
        <w:spacing w:line="360" w:lineRule="auto"/>
        <w:rPr>
          <w:rFonts w:ascii="Arial" w:hAnsi="Arial" w:cs="Arial"/>
          <w:b/>
          <w:bCs/>
          <w:color w:val="000000" w:themeColor="text1"/>
        </w:rPr>
      </w:pPr>
      <w:bookmarkStart w:id="99" w:name="_Toc121217265"/>
      <w:r w:rsidRPr="005420D0">
        <w:rPr>
          <w:rFonts w:ascii="Arial" w:hAnsi="Arial" w:cs="Arial"/>
          <w:b/>
          <w:bCs/>
          <w:color w:val="000000" w:themeColor="text1"/>
        </w:rPr>
        <w:t>2.</w:t>
      </w:r>
      <w:r w:rsidR="005420D0">
        <w:rPr>
          <w:rFonts w:ascii="Arial" w:hAnsi="Arial" w:cs="Arial"/>
          <w:b/>
          <w:bCs/>
          <w:color w:val="000000" w:themeColor="text1"/>
        </w:rPr>
        <w:t>5.12</w:t>
      </w:r>
      <w:r w:rsidRPr="005420D0">
        <w:rPr>
          <w:rFonts w:ascii="Arial" w:hAnsi="Arial" w:cs="Arial"/>
          <w:b/>
          <w:bCs/>
          <w:color w:val="000000" w:themeColor="text1"/>
        </w:rPr>
        <w:t xml:space="preserve"> </w:t>
      </w:r>
      <w:r w:rsidR="00B40F4D" w:rsidRPr="005420D0">
        <w:rPr>
          <w:rFonts w:ascii="Arial" w:hAnsi="Arial" w:cs="Arial"/>
          <w:b/>
          <w:bCs/>
          <w:color w:val="000000" w:themeColor="text1"/>
        </w:rPr>
        <w:t>Immune response m</w:t>
      </w:r>
      <w:r w:rsidR="00511FEE" w:rsidRPr="005420D0">
        <w:rPr>
          <w:rFonts w:ascii="Arial" w:hAnsi="Arial" w:cs="Arial"/>
          <w:b/>
          <w:bCs/>
          <w:color w:val="000000" w:themeColor="text1"/>
        </w:rPr>
        <w:t>echanistic analysis of</w:t>
      </w:r>
      <w:r w:rsidR="00B40F4D" w:rsidRPr="005420D0">
        <w:rPr>
          <w:rFonts w:ascii="Arial" w:hAnsi="Arial" w:cs="Arial"/>
          <w:b/>
          <w:bCs/>
          <w:color w:val="000000" w:themeColor="text1"/>
        </w:rPr>
        <w:t xml:space="preserve"> </w:t>
      </w:r>
      <w:r w:rsidR="004B08F6" w:rsidRPr="005420D0">
        <w:rPr>
          <w:rFonts w:ascii="Arial" w:hAnsi="Arial" w:cs="Arial"/>
          <w:b/>
          <w:bCs/>
          <w:color w:val="000000" w:themeColor="text1"/>
        </w:rPr>
        <w:t>combination therapy of anti-PD-1, immunoadjuvant imiquimod and PTT in 4T1 tumor-bearing mice</w:t>
      </w:r>
      <w:bookmarkEnd w:id="99"/>
    </w:p>
    <w:p w14:paraId="3FAB9F9B" w14:textId="398FE9B0" w:rsidR="006768F2" w:rsidRPr="00D74025" w:rsidRDefault="006768F2" w:rsidP="006768F2">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Six-week-old female </w:t>
      </w:r>
      <w:proofErr w:type="spellStart"/>
      <w:r w:rsidRPr="00D74025">
        <w:rPr>
          <w:rFonts w:ascii="Arial" w:hAnsi="Arial" w:cs="Arial"/>
          <w:color w:val="000000" w:themeColor="text1"/>
        </w:rPr>
        <w:t>Balb</w:t>
      </w:r>
      <w:proofErr w:type="spellEnd"/>
      <w:r w:rsidRPr="00D74025">
        <w:rPr>
          <w:rFonts w:ascii="Arial" w:hAnsi="Arial" w:cs="Arial"/>
          <w:color w:val="000000" w:themeColor="text1"/>
        </w:rPr>
        <w:t>/</w:t>
      </w:r>
      <w:proofErr w:type="spellStart"/>
      <w:r w:rsidRPr="00D74025">
        <w:rPr>
          <w:rFonts w:ascii="Arial" w:hAnsi="Arial" w:cs="Arial"/>
          <w:color w:val="000000" w:themeColor="text1"/>
        </w:rPr>
        <w:t>cJ</w:t>
      </w:r>
      <w:proofErr w:type="spellEnd"/>
      <w:r w:rsidRPr="00D74025">
        <w:rPr>
          <w:rFonts w:ascii="Arial" w:hAnsi="Arial" w:cs="Arial"/>
          <w:color w:val="000000" w:themeColor="text1"/>
        </w:rPr>
        <w:t xml:space="preserve"> mice were inoculated with 4T1 mouse mammary tumor cells in the left mammary fat pad. Tumors were treated following the same schedule and assigned to the same groups as in </w:t>
      </w:r>
      <w:r>
        <w:rPr>
          <w:rFonts w:ascii="Arial" w:hAnsi="Arial" w:cs="Arial"/>
          <w:color w:val="000000" w:themeColor="text1"/>
        </w:rPr>
        <w:t xml:space="preserve">the </w:t>
      </w:r>
      <w:r w:rsidRPr="00D74025">
        <w:rPr>
          <w:rFonts w:ascii="Arial" w:hAnsi="Arial" w:cs="Arial"/>
          <w:color w:val="000000" w:themeColor="text1"/>
        </w:rPr>
        <w:t xml:space="preserve">previous </w:t>
      </w:r>
      <w:r w:rsidRPr="00FF3CD7">
        <w:rPr>
          <w:rFonts w:ascii="Arial" w:hAnsi="Arial" w:cs="Arial"/>
          <w:color w:val="000000" w:themeColor="text1"/>
        </w:rPr>
        <w:t>section 2.5.1</w:t>
      </w:r>
      <w:r w:rsidR="00FF3CD7" w:rsidRPr="00FF3CD7">
        <w:rPr>
          <w:rFonts w:ascii="Arial" w:hAnsi="Arial" w:cs="Arial"/>
          <w:color w:val="000000" w:themeColor="text1"/>
        </w:rPr>
        <w:t>1</w:t>
      </w:r>
      <w:r w:rsidRPr="00FF3CD7">
        <w:rPr>
          <w:rFonts w:ascii="Arial" w:hAnsi="Arial" w:cs="Arial"/>
          <w:color w:val="000000" w:themeColor="text1"/>
        </w:rPr>
        <w:t xml:space="preserve"> (see </w:t>
      </w:r>
      <w:r w:rsidR="008763AE">
        <w:rPr>
          <w:rFonts w:ascii="Arial" w:hAnsi="Arial" w:cs="Arial"/>
          <w:b/>
          <w:bCs/>
          <w:color w:val="000000" w:themeColor="text1"/>
        </w:rPr>
        <w:t>F</w:t>
      </w:r>
      <w:r w:rsidRPr="00A529A4">
        <w:rPr>
          <w:rFonts w:ascii="Arial" w:hAnsi="Arial" w:cs="Arial"/>
          <w:b/>
          <w:bCs/>
          <w:color w:val="000000" w:themeColor="text1"/>
        </w:rPr>
        <w:t xml:space="preserve">igure </w:t>
      </w:r>
      <w:r w:rsidR="00FF3CD7" w:rsidRPr="00A529A4">
        <w:rPr>
          <w:rFonts w:ascii="Arial" w:hAnsi="Arial" w:cs="Arial"/>
          <w:b/>
          <w:bCs/>
          <w:color w:val="000000" w:themeColor="text1"/>
        </w:rPr>
        <w:t>2</w:t>
      </w:r>
      <w:r w:rsidR="00A529A4" w:rsidRPr="00A529A4">
        <w:rPr>
          <w:rFonts w:ascii="Arial" w:hAnsi="Arial" w:cs="Arial"/>
          <w:b/>
          <w:bCs/>
          <w:color w:val="000000" w:themeColor="text1"/>
        </w:rPr>
        <w:t>6</w:t>
      </w:r>
      <w:r w:rsidRPr="00FF3CD7">
        <w:rPr>
          <w:rFonts w:ascii="Arial" w:hAnsi="Arial" w:cs="Arial"/>
          <w:color w:val="000000" w:themeColor="text1"/>
        </w:rPr>
        <w:t>).</w:t>
      </w:r>
    </w:p>
    <w:p w14:paraId="1478F73D" w14:textId="52F99E2D" w:rsidR="00054BC1" w:rsidRPr="00D74025" w:rsidRDefault="00054BC1" w:rsidP="00054BC1">
      <w:pPr>
        <w:spacing w:line="360" w:lineRule="auto"/>
        <w:ind w:firstLine="1440"/>
        <w:jc w:val="both"/>
        <w:rPr>
          <w:rFonts w:ascii="Arial" w:eastAsiaTheme="minorEastAsia" w:hAnsi="Arial" w:cs="Arial"/>
          <w:color w:val="000000" w:themeColor="text1"/>
        </w:rPr>
      </w:pPr>
      <w:r>
        <w:rPr>
          <w:rFonts w:ascii="Arial" w:hAnsi="Arial" w:cs="Arial"/>
          <w:color w:val="000000" w:themeColor="text1"/>
        </w:rPr>
        <w:t>M</w:t>
      </w:r>
      <w:r w:rsidRPr="00D74025">
        <w:rPr>
          <w:rFonts w:ascii="Arial" w:eastAsiaTheme="minorEastAsia" w:hAnsi="Arial" w:cs="Arial"/>
          <w:color w:val="000000" w:themeColor="text1"/>
        </w:rPr>
        <w:t xml:space="preserve">ice (n = 5) were euthanized </w:t>
      </w:r>
      <w:r w:rsidR="00BB4EE0">
        <w:rPr>
          <w:rFonts w:ascii="Arial" w:eastAsiaTheme="minorEastAsia" w:hAnsi="Arial" w:cs="Arial"/>
          <w:color w:val="000000" w:themeColor="text1"/>
        </w:rPr>
        <w:t>7</w:t>
      </w:r>
      <w:r w:rsidRPr="00D74025">
        <w:rPr>
          <w:rFonts w:ascii="Arial" w:eastAsiaTheme="minorEastAsia" w:hAnsi="Arial" w:cs="Arial"/>
          <w:color w:val="000000" w:themeColor="text1"/>
        </w:rPr>
        <w:t xml:space="preserve"> days post photothermal therapy to collect blood samples</w:t>
      </w:r>
      <w:r>
        <w:rPr>
          <w:rFonts w:ascii="Arial" w:eastAsiaTheme="minorEastAsia" w:hAnsi="Arial" w:cs="Arial"/>
          <w:color w:val="000000" w:themeColor="text1"/>
        </w:rPr>
        <w:t xml:space="preserve"> for the analysis of cytokine release</w:t>
      </w:r>
      <w:r w:rsidRPr="00D74025">
        <w:rPr>
          <w:rFonts w:ascii="Arial" w:eastAsiaTheme="minorEastAsia" w:hAnsi="Arial" w:cs="Arial"/>
          <w:color w:val="000000" w:themeColor="text1"/>
        </w:rPr>
        <w:t>. Blood was centrifugated to collect the serum, and enzyme-linked immunosorbent assays (ELISA) were performed to quantify serum levels of proinflammatory cytokines (TNF-</w:t>
      </w:r>
      <w:r w:rsidRPr="00D74025">
        <w:rPr>
          <w:rFonts w:ascii="Arial" w:eastAsiaTheme="minorEastAsia" w:hAnsi="Arial" w:cs="Arial"/>
          <w:color w:val="000000" w:themeColor="text1"/>
        </w:rPr>
        <w:sym w:font="Symbol" w:char="F061"/>
      </w:r>
      <w:r w:rsidRPr="00D74025">
        <w:rPr>
          <w:rFonts w:ascii="Arial" w:eastAsiaTheme="minorEastAsia" w:hAnsi="Arial" w:cs="Arial"/>
          <w:color w:val="000000" w:themeColor="text1"/>
        </w:rPr>
        <w:t>, IL-6, IFN-</w:t>
      </w:r>
      <w:r w:rsidRPr="00D74025">
        <w:rPr>
          <w:rFonts w:ascii="Arial" w:eastAsiaTheme="minorEastAsia" w:hAnsi="Arial" w:cs="Arial"/>
          <w:color w:val="000000" w:themeColor="text1"/>
        </w:rPr>
        <w:sym w:font="Symbol" w:char="F067"/>
      </w:r>
      <w:r w:rsidRPr="00D74025">
        <w:rPr>
          <w:rFonts w:ascii="Arial" w:eastAsiaTheme="minorEastAsia" w:hAnsi="Arial" w:cs="Arial"/>
          <w:color w:val="000000" w:themeColor="text1"/>
        </w:rPr>
        <w:t xml:space="preserve"> and IL-12 [p70]) following </w:t>
      </w:r>
      <w:r w:rsidR="00BB4EE0">
        <w:rPr>
          <w:rFonts w:ascii="Arial" w:eastAsiaTheme="minorEastAsia" w:hAnsi="Arial" w:cs="Arial"/>
          <w:color w:val="000000" w:themeColor="text1"/>
        </w:rPr>
        <w:lastRenderedPageBreak/>
        <w:t xml:space="preserve">the </w:t>
      </w:r>
      <w:r w:rsidRPr="00D74025">
        <w:rPr>
          <w:rFonts w:ascii="Arial" w:eastAsiaTheme="minorEastAsia" w:hAnsi="Arial" w:cs="Arial"/>
          <w:color w:val="000000" w:themeColor="text1"/>
        </w:rPr>
        <w:t xml:space="preserve">protocol from </w:t>
      </w:r>
      <w:r>
        <w:rPr>
          <w:rFonts w:ascii="Arial" w:eastAsiaTheme="minorEastAsia" w:hAnsi="Arial" w:cs="Arial"/>
          <w:color w:val="000000" w:themeColor="text1"/>
        </w:rPr>
        <w:t xml:space="preserve">the </w:t>
      </w:r>
      <w:r w:rsidRPr="00D74025">
        <w:rPr>
          <w:rFonts w:ascii="Arial" w:eastAsiaTheme="minorEastAsia" w:hAnsi="Arial" w:cs="Arial"/>
          <w:color w:val="000000" w:themeColor="text1"/>
        </w:rPr>
        <w:t xml:space="preserve">manufacturer. Standard curves were obtained for each cytokine to quantify the concentration in serum samples.   </w:t>
      </w:r>
    </w:p>
    <w:p w14:paraId="5DE776E5" w14:textId="6C5F2C9D" w:rsidR="009079D5" w:rsidRDefault="009079D5" w:rsidP="009079D5">
      <w:pPr>
        <w:spacing w:line="360" w:lineRule="auto"/>
        <w:ind w:firstLine="1440"/>
        <w:jc w:val="both"/>
        <w:rPr>
          <w:rFonts w:ascii="Arial" w:eastAsiaTheme="minorEastAsia" w:hAnsi="Arial" w:cs="Arial"/>
          <w:color w:val="000000" w:themeColor="text1"/>
        </w:rPr>
      </w:pPr>
      <w:r>
        <w:rPr>
          <w:rFonts w:ascii="Arial" w:eastAsiaTheme="minorEastAsia" w:hAnsi="Arial" w:cs="Arial"/>
          <w:color w:val="000000" w:themeColor="text1"/>
        </w:rPr>
        <w:t>In another experiment, mice</w:t>
      </w:r>
      <w:r w:rsidRPr="00D74025">
        <w:rPr>
          <w:rFonts w:ascii="Arial" w:eastAsiaTheme="minorEastAsia" w:hAnsi="Arial" w:cs="Arial"/>
          <w:color w:val="000000" w:themeColor="text1"/>
        </w:rPr>
        <w:t xml:space="preserve"> (n = 4) were euthanized by CO</w:t>
      </w:r>
      <w:r w:rsidRPr="00D74025">
        <w:rPr>
          <w:rFonts w:ascii="Arial" w:eastAsiaTheme="minorEastAsia" w:hAnsi="Arial" w:cs="Arial"/>
          <w:color w:val="000000" w:themeColor="text1"/>
          <w:vertAlign w:val="subscript"/>
        </w:rPr>
        <w:t>2</w:t>
      </w:r>
      <w:r w:rsidRPr="00D74025">
        <w:rPr>
          <w:rFonts w:ascii="Arial" w:eastAsiaTheme="minorEastAsia" w:hAnsi="Arial" w:cs="Arial"/>
          <w:color w:val="000000" w:themeColor="text1"/>
        </w:rPr>
        <w:t xml:space="preserve"> asphyxiation 14 days after PTT, and the spleens were harvested</w:t>
      </w:r>
      <w:r>
        <w:rPr>
          <w:rFonts w:ascii="Arial" w:eastAsiaTheme="minorEastAsia" w:hAnsi="Arial" w:cs="Arial"/>
          <w:color w:val="000000" w:themeColor="text1"/>
        </w:rPr>
        <w:t xml:space="preserve"> for immunophenotypic analysis of splenic cells</w:t>
      </w:r>
      <w:r w:rsidRPr="00D74025">
        <w:rPr>
          <w:rFonts w:ascii="Arial" w:eastAsiaTheme="minorEastAsia" w:hAnsi="Arial" w:cs="Arial"/>
          <w:color w:val="000000" w:themeColor="text1"/>
        </w:rPr>
        <w:t>. Spleens were processed and stained for immunophenotyping</w:t>
      </w:r>
      <w:r w:rsidR="008672FF">
        <w:rPr>
          <w:rFonts w:ascii="Arial" w:eastAsiaTheme="minorEastAsia" w:hAnsi="Arial" w:cs="Arial"/>
          <w:color w:val="000000" w:themeColor="text1"/>
        </w:rPr>
        <w:t xml:space="preserve"> by</w:t>
      </w:r>
      <w:r w:rsidRPr="00D74025">
        <w:rPr>
          <w:rFonts w:ascii="Arial" w:eastAsiaTheme="minorEastAsia" w:hAnsi="Arial" w:cs="Arial"/>
          <w:color w:val="000000" w:themeColor="text1"/>
        </w:rPr>
        <w:t xml:space="preserve"> flow cytometry in the same way </w:t>
      </w:r>
      <w:r w:rsidR="008672FF">
        <w:rPr>
          <w:rFonts w:ascii="Arial" w:eastAsiaTheme="minorEastAsia" w:hAnsi="Arial" w:cs="Arial"/>
          <w:color w:val="000000" w:themeColor="text1"/>
        </w:rPr>
        <w:t xml:space="preserve">as </w:t>
      </w:r>
      <w:r w:rsidRPr="00D74025">
        <w:rPr>
          <w:rFonts w:ascii="Arial" w:eastAsiaTheme="minorEastAsia" w:hAnsi="Arial" w:cs="Arial"/>
          <w:color w:val="000000" w:themeColor="text1"/>
        </w:rPr>
        <w:t xml:space="preserve">described in </w:t>
      </w:r>
      <w:r w:rsidRPr="00A529A4">
        <w:rPr>
          <w:rFonts w:ascii="Arial" w:eastAsiaTheme="minorEastAsia" w:hAnsi="Arial" w:cs="Arial"/>
          <w:color w:val="000000" w:themeColor="text1"/>
        </w:rPr>
        <w:t>section 2.5.7.</w:t>
      </w:r>
    </w:p>
    <w:p w14:paraId="5D69B3A3" w14:textId="3B1D6DE6" w:rsidR="00D05B94" w:rsidRDefault="00D05B94" w:rsidP="00C97D32">
      <w:pPr>
        <w:spacing w:line="360" w:lineRule="auto"/>
        <w:ind w:firstLine="1440"/>
        <w:jc w:val="both"/>
        <w:rPr>
          <w:rFonts w:ascii="Arial" w:eastAsiaTheme="minorEastAsia" w:hAnsi="Arial" w:cs="Arial"/>
          <w:color w:val="000000" w:themeColor="text1"/>
        </w:rPr>
      </w:pPr>
    </w:p>
    <w:p w14:paraId="547B16C6" w14:textId="003F2B01" w:rsidR="00747E44" w:rsidRPr="005420D0" w:rsidRDefault="00747E44" w:rsidP="00747E44">
      <w:pPr>
        <w:pStyle w:val="Heading3"/>
        <w:spacing w:line="360" w:lineRule="auto"/>
        <w:rPr>
          <w:rFonts w:ascii="Arial" w:hAnsi="Arial" w:cs="Arial"/>
          <w:b/>
          <w:bCs/>
          <w:color w:val="000000" w:themeColor="text1"/>
        </w:rPr>
      </w:pPr>
      <w:bookmarkStart w:id="100" w:name="_Toc121217266"/>
      <w:r w:rsidRPr="005420D0">
        <w:rPr>
          <w:rFonts w:ascii="Arial" w:hAnsi="Arial" w:cs="Arial"/>
          <w:b/>
          <w:bCs/>
          <w:color w:val="000000" w:themeColor="text1"/>
        </w:rPr>
        <w:t>2.</w:t>
      </w:r>
      <w:r>
        <w:rPr>
          <w:rFonts w:ascii="Arial" w:hAnsi="Arial" w:cs="Arial"/>
          <w:b/>
          <w:bCs/>
          <w:color w:val="000000" w:themeColor="text1"/>
        </w:rPr>
        <w:t>5.13</w:t>
      </w:r>
      <w:r w:rsidRPr="005420D0">
        <w:rPr>
          <w:rFonts w:ascii="Arial" w:hAnsi="Arial" w:cs="Arial"/>
          <w:b/>
          <w:bCs/>
          <w:color w:val="000000" w:themeColor="text1"/>
        </w:rPr>
        <w:t xml:space="preserve"> </w:t>
      </w:r>
      <w:r w:rsidR="004D6E42">
        <w:rPr>
          <w:rFonts w:ascii="Arial" w:hAnsi="Arial" w:cs="Arial"/>
          <w:b/>
          <w:bCs/>
          <w:color w:val="000000" w:themeColor="text1"/>
        </w:rPr>
        <w:t>Statistical Analysis</w:t>
      </w:r>
      <w:bookmarkEnd w:id="100"/>
    </w:p>
    <w:p w14:paraId="6F888A48" w14:textId="64192102" w:rsidR="007B56A9" w:rsidRDefault="007B56A9" w:rsidP="007B56A9">
      <w:pPr>
        <w:spacing w:line="360" w:lineRule="auto"/>
        <w:ind w:firstLine="1440"/>
        <w:jc w:val="both"/>
      </w:pPr>
      <w:r>
        <w:rPr>
          <w:rFonts w:ascii="Arial" w:eastAsiaTheme="minorEastAsia" w:hAnsi="Arial" w:cs="Arial"/>
          <w:color w:val="000000" w:themeColor="text1"/>
        </w:rPr>
        <w:t>The statistical</w:t>
      </w:r>
      <w:r w:rsidRPr="00AE2D39">
        <w:rPr>
          <w:rFonts w:ascii="Arial" w:eastAsiaTheme="minorEastAsia" w:hAnsi="Arial" w:cs="Arial"/>
          <w:color w:val="000000" w:themeColor="text1"/>
        </w:rPr>
        <w:t xml:space="preserve"> significance of </w:t>
      </w:r>
      <w:r w:rsidRPr="00131C7A">
        <w:rPr>
          <w:rFonts w:ascii="Arial" w:eastAsiaTheme="minorEastAsia" w:hAnsi="Arial" w:cs="Arial"/>
          <w:i/>
          <w:iCs/>
          <w:color w:val="000000" w:themeColor="text1"/>
        </w:rPr>
        <w:t>in vitro</w:t>
      </w:r>
      <w:r w:rsidRPr="00AE2D39">
        <w:rPr>
          <w:rFonts w:ascii="Arial" w:eastAsiaTheme="minorEastAsia" w:hAnsi="Arial" w:cs="Arial"/>
          <w:color w:val="000000" w:themeColor="text1"/>
        </w:rPr>
        <w:t xml:space="preserve"> studies was assessed using </w:t>
      </w:r>
      <w:r>
        <w:rPr>
          <w:rFonts w:ascii="Arial" w:eastAsiaTheme="minorEastAsia" w:hAnsi="Arial" w:cs="Arial"/>
          <w:color w:val="000000" w:themeColor="text1"/>
        </w:rPr>
        <w:t xml:space="preserve">an </w:t>
      </w:r>
      <w:r w:rsidRPr="0043760A">
        <w:rPr>
          <w:rFonts w:ascii="Arial" w:hAnsi="Arial" w:cs="Arial"/>
          <w:color w:val="000000" w:themeColor="text1"/>
        </w:rPr>
        <w:t xml:space="preserve">unpaired </w:t>
      </w:r>
      <w:r>
        <w:rPr>
          <w:rFonts w:ascii="Arial" w:hAnsi="Arial" w:cs="Arial"/>
          <w:color w:val="000000" w:themeColor="text1"/>
        </w:rPr>
        <w:t>t-test</w:t>
      </w:r>
      <w:r w:rsidRPr="0043760A">
        <w:rPr>
          <w:rFonts w:ascii="Arial" w:hAnsi="Arial" w:cs="Arial"/>
          <w:color w:val="000000" w:themeColor="text1"/>
        </w:rPr>
        <w:t xml:space="preserve"> with Welch’s correction for assumed unequal variances</w:t>
      </w:r>
      <w:r>
        <w:rPr>
          <w:rFonts w:ascii="Arial" w:hAnsi="Arial" w:cs="Arial"/>
          <w:color w:val="000000" w:themeColor="text1"/>
        </w:rPr>
        <w:t xml:space="preserve"> for experiments with only two groups. </w:t>
      </w:r>
      <w:r w:rsidRPr="00D74025">
        <w:rPr>
          <w:rFonts w:ascii="Arial" w:hAnsi="Arial" w:cs="Arial"/>
          <w:color w:val="000000" w:themeColor="text1"/>
        </w:rPr>
        <w:t xml:space="preserve">One-way ANOVA </w:t>
      </w:r>
      <w:r>
        <w:rPr>
          <w:rFonts w:ascii="Arial" w:hAnsi="Arial" w:cs="Arial"/>
          <w:color w:val="000000" w:themeColor="text1"/>
        </w:rPr>
        <w:t xml:space="preserve">with </w:t>
      </w:r>
      <w:r w:rsidRPr="00D74025">
        <w:rPr>
          <w:rFonts w:ascii="Arial" w:hAnsi="Arial" w:cs="Arial"/>
          <w:color w:val="000000" w:themeColor="text1"/>
        </w:rPr>
        <w:t>Dunnett</w:t>
      </w:r>
      <w:r>
        <w:rPr>
          <w:rFonts w:ascii="Arial" w:hAnsi="Arial" w:cs="Arial"/>
          <w:color w:val="000000" w:themeColor="text1"/>
        </w:rPr>
        <w:t>’</w:t>
      </w:r>
      <w:r w:rsidRPr="00D74025">
        <w:rPr>
          <w:rFonts w:ascii="Arial" w:hAnsi="Arial" w:cs="Arial"/>
          <w:color w:val="000000" w:themeColor="text1"/>
        </w:rPr>
        <w:t>s multiple comparisons</w:t>
      </w:r>
      <w:r>
        <w:rPr>
          <w:rFonts w:ascii="Arial" w:eastAsiaTheme="minorEastAsia" w:hAnsi="Arial" w:cs="Arial"/>
          <w:color w:val="000000" w:themeColor="text1"/>
        </w:rPr>
        <w:t xml:space="preserve"> was used for tests with more than two groups, comparing treated groups to the control group. The statistical significance of </w:t>
      </w:r>
      <w:r>
        <w:rPr>
          <w:rFonts w:ascii="Arial" w:eastAsiaTheme="minorEastAsia" w:hAnsi="Arial" w:cs="Arial"/>
          <w:i/>
          <w:iCs/>
          <w:color w:val="000000" w:themeColor="text1"/>
        </w:rPr>
        <w:t xml:space="preserve">in vivo </w:t>
      </w:r>
      <w:r>
        <w:rPr>
          <w:rFonts w:ascii="Arial" w:eastAsiaTheme="minorEastAsia" w:hAnsi="Arial" w:cs="Arial"/>
          <w:color w:val="000000" w:themeColor="text1"/>
        </w:rPr>
        <w:t xml:space="preserve">studies was assessed by </w:t>
      </w:r>
      <w:r>
        <w:rPr>
          <w:rFonts w:ascii="Arial" w:hAnsi="Arial" w:cs="Arial"/>
          <w:color w:val="000000" w:themeColor="text1"/>
        </w:rPr>
        <w:t>o</w:t>
      </w:r>
      <w:r w:rsidRPr="00D74025">
        <w:rPr>
          <w:rFonts w:ascii="Arial" w:hAnsi="Arial" w:cs="Arial"/>
          <w:color w:val="000000" w:themeColor="text1"/>
        </w:rPr>
        <w:t xml:space="preserve">ne-way ANOVA </w:t>
      </w:r>
      <w:r>
        <w:rPr>
          <w:rFonts w:ascii="Arial" w:hAnsi="Arial" w:cs="Arial"/>
          <w:color w:val="000000" w:themeColor="text1"/>
        </w:rPr>
        <w:t xml:space="preserve">with </w:t>
      </w:r>
      <w:r w:rsidRPr="00D74025">
        <w:rPr>
          <w:rFonts w:ascii="Arial" w:hAnsi="Arial" w:cs="Arial"/>
          <w:color w:val="000000" w:themeColor="text1"/>
        </w:rPr>
        <w:t>Dunnett</w:t>
      </w:r>
      <w:r>
        <w:rPr>
          <w:rFonts w:ascii="Arial" w:hAnsi="Arial" w:cs="Arial"/>
          <w:color w:val="000000" w:themeColor="text1"/>
        </w:rPr>
        <w:t>’</w:t>
      </w:r>
      <w:r w:rsidRPr="00D74025">
        <w:rPr>
          <w:rFonts w:ascii="Arial" w:hAnsi="Arial" w:cs="Arial"/>
          <w:color w:val="000000" w:themeColor="text1"/>
        </w:rPr>
        <w:t>s multiple comparisons</w:t>
      </w:r>
      <w:r>
        <w:rPr>
          <w:rFonts w:ascii="Arial" w:hAnsi="Arial" w:cs="Arial"/>
          <w:color w:val="000000" w:themeColor="text1"/>
        </w:rPr>
        <w:t xml:space="preserve"> comparing treated groups to the control group. In survival experiments with only three groups, o</w:t>
      </w:r>
      <w:r w:rsidRPr="00D74025">
        <w:rPr>
          <w:rFonts w:ascii="Arial" w:hAnsi="Arial" w:cs="Arial"/>
          <w:color w:val="000000" w:themeColor="text1"/>
        </w:rPr>
        <w:t xml:space="preserve">ne-way ANOVA </w:t>
      </w:r>
      <w:r>
        <w:rPr>
          <w:rFonts w:ascii="Arial" w:hAnsi="Arial" w:cs="Arial"/>
          <w:color w:val="000000" w:themeColor="text1"/>
        </w:rPr>
        <w:t>with Tukey’</w:t>
      </w:r>
      <w:r w:rsidRPr="00D74025">
        <w:rPr>
          <w:rFonts w:ascii="Arial" w:hAnsi="Arial" w:cs="Arial"/>
          <w:color w:val="000000" w:themeColor="text1"/>
        </w:rPr>
        <w:t>s multiple comparisons</w:t>
      </w:r>
      <w:r>
        <w:rPr>
          <w:rFonts w:ascii="Arial" w:hAnsi="Arial" w:cs="Arial"/>
          <w:color w:val="000000" w:themeColor="text1"/>
        </w:rPr>
        <w:t xml:space="preserve"> comparing every pair of groups was used to assess statistical analysis</w:t>
      </w:r>
      <w:r w:rsidR="00E35ED9">
        <w:rPr>
          <w:rFonts w:ascii="Arial" w:hAnsi="Arial" w:cs="Arial"/>
          <w:color w:val="000000" w:themeColor="text1"/>
        </w:rPr>
        <w:t xml:space="preserve"> between tumor volumes</w:t>
      </w:r>
      <w:r>
        <w:rPr>
          <w:rFonts w:ascii="Arial" w:hAnsi="Arial" w:cs="Arial"/>
          <w:color w:val="000000" w:themeColor="text1"/>
        </w:rPr>
        <w:t>. The</w:t>
      </w:r>
      <w:r w:rsidRPr="00D74025">
        <w:rPr>
          <w:rFonts w:ascii="Arial" w:hAnsi="Arial" w:cs="Arial"/>
          <w:color w:val="000000" w:themeColor="text1"/>
        </w:rPr>
        <w:t xml:space="preserve"> Mantel</w:t>
      </w:r>
      <w:r>
        <w:rPr>
          <w:rFonts w:ascii="Arial" w:hAnsi="Arial" w:cs="Arial"/>
          <w:color w:val="000000" w:themeColor="text1"/>
        </w:rPr>
        <w:t>-</w:t>
      </w:r>
      <w:r w:rsidRPr="00D74025">
        <w:rPr>
          <w:rFonts w:ascii="Arial" w:hAnsi="Arial" w:cs="Arial"/>
          <w:color w:val="000000" w:themeColor="text1"/>
        </w:rPr>
        <w:t xml:space="preserve">Haenszel log-rank test </w:t>
      </w:r>
      <w:r>
        <w:rPr>
          <w:rFonts w:ascii="Arial" w:hAnsi="Arial" w:cs="Arial"/>
          <w:color w:val="000000" w:themeColor="text1"/>
        </w:rPr>
        <w:t>determined the statistical</w:t>
      </w:r>
      <w:r w:rsidRPr="00D74025">
        <w:rPr>
          <w:rFonts w:ascii="Arial" w:hAnsi="Arial" w:cs="Arial"/>
          <w:color w:val="000000" w:themeColor="text1"/>
        </w:rPr>
        <w:t xml:space="preserve"> significance of survival curves </w:t>
      </w:r>
      <w:r>
        <w:rPr>
          <w:rFonts w:ascii="Arial" w:hAnsi="Arial" w:cs="Arial"/>
          <w:color w:val="000000" w:themeColor="text1"/>
        </w:rPr>
        <w:t xml:space="preserve">by </w:t>
      </w:r>
      <w:r w:rsidRPr="00D74025">
        <w:rPr>
          <w:rFonts w:ascii="Arial" w:hAnsi="Arial" w:cs="Arial"/>
          <w:color w:val="000000" w:themeColor="text1"/>
        </w:rPr>
        <w:t>compar</w:t>
      </w:r>
      <w:r>
        <w:rPr>
          <w:rFonts w:ascii="Arial" w:hAnsi="Arial" w:cs="Arial"/>
          <w:color w:val="000000" w:themeColor="text1"/>
        </w:rPr>
        <w:t>ing treated groups to</w:t>
      </w:r>
      <w:r w:rsidRPr="00D74025">
        <w:rPr>
          <w:rFonts w:ascii="Arial" w:hAnsi="Arial" w:cs="Arial"/>
          <w:color w:val="000000" w:themeColor="text1"/>
        </w:rPr>
        <w:t xml:space="preserve"> </w:t>
      </w:r>
      <w:r>
        <w:rPr>
          <w:rFonts w:ascii="Arial" w:hAnsi="Arial" w:cs="Arial"/>
          <w:color w:val="000000" w:themeColor="text1"/>
        </w:rPr>
        <w:t xml:space="preserve">the </w:t>
      </w:r>
      <w:r w:rsidRPr="00D74025">
        <w:rPr>
          <w:rFonts w:ascii="Arial" w:hAnsi="Arial" w:cs="Arial"/>
          <w:color w:val="000000" w:themeColor="text1"/>
        </w:rPr>
        <w:t>untreated control</w:t>
      </w:r>
      <w:r>
        <w:rPr>
          <w:rFonts w:ascii="Arial" w:eastAsiaTheme="minorEastAsia" w:hAnsi="Arial" w:cs="Arial"/>
          <w:color w:val="000000" w:themeColor="text1"/>
        </w:rPr>
        <w:t>. All analyses were carried out in GraphPad Prism 8 software.</w:t>
      </w:r>
    </w:p>
    <w:p w14:paraId="019176ED" w14:textId="642DD44E" w:rsidR="00254A8A" w:rsidRPr="00254A8A" w:rsidRDefault="00254A8A" w:rsidP="007E0EE7">
      <w:pPr>
        <w:spacing w:line="360" w:lineRule="auto"/>
        <w:ind w:firstLine="1440"/>
        <w:jc w:val="both"/>
        <w:rPr>
          <w:rFonts w:ascii="Arial" w:eastAsiaTheme="minorEastAsia" w:hAnsi="Arial" w:cs="Arial"/>
          <w:color w:val="000000" w:themeColor="text1"/>
        </w:rPr>
      </w:pPr>
    </w:p>
    <w:p w14:paraId="600201D5" w14:textId="40325856" w:rsidR="00B40F4D" w:rsidRPr="00D74025" w:rsidRDefault="008A0AB1" w:rsidP="00785724">
      <w:pPr>
        <w:pStyle w:val="Heading2"/>
        <w:spacing w:line="360" w:lineRule="auto"/>
        <w:ind w:firstLine="0"/>
        <w:rPr>
          <w:rFonts w:ascii="Arial" w:hAnsi="Arial" w:cs="Arial"/>
          <w:b/>
          <w:bCs/>
          <w:color w:val="000000" w:themeColor="text1"/>
          <w:sz w:val="28"/>
          <w:szCs w:val="28"/>
        </w:rPr>
      </w:pPr>
      <w:bookmarkStart w:id="101" w:name="_Toc121217267"/>
      <w:r w:rsidRPr="00D74025">
        <w:rPr>
          <w:rFonts w:ascii="Arial" w:hAnsi="Arial" w:cs="Arial"/>
          <w:b/>
          <w:bCs/>
          <w:color w:val="000000" w:themeColor="text1"/>
          <w:sz w:val="28"/>
          <w:szCs w:val="28"/>
        </w:rPr>
        <w:t>2.</w:t>
      </w:r>
      <w:r w:rsidR="0072039A">
        <w:rPr>
          <w:rFonts w:ascii="Arial" w:hAnsi="Arial" w:cs="Arial"/>
          <w:b/>
          <w:bCs/>
          <w:color w:val="000000" w:themeColor="text1"/>
          <w:sz w:val="28"/>
          <w:szCs w:val="28"/>
        </w:rPr>
        <w:t>6</w:t>
      </w:r>
      <w:r w:rsidRPr="00D74025">
        <w:rPr>
          <w:rFonts w:ascii="Arial" w:hAnsi="Arial" w:cs="Arial"/>
          <w:b/>
          <w:bCs/>
          <w:color w:val="000000" w:themeColor="text1"/>
          <w:sz w:val="28"/>
          <w:szCs w:val="28"/>
        </w:rPr>
        <w:t xml:space="preserve"> Preliminary</w:t>
      </w:r>
      <w:r w:rsidR="001712F1" w:rsidRPr="00D74025">
        <w:rPr>
          <w:rFonts w:ascii="Arial" w:hAnsi="Arial" w:cs="Arial"/>
          <w:b/>
          <w:bCs/>
          <w:color w:val="000000" w:themeColor="text1"/>
          <w:sz w:val="28"/>
          <w:szCs w:val="28"/>
        </w:rPr>
        <w:t>,</w:t>
      </w:r>
      <w:r w:rsidRPr="00D74025">
        <w:rPr>
          <w:rFonts w:ascii="Arial" w:hAnsi="Arial" w:cs="Arial"/>
          <w:b/>
          <w:bCs/>
          <w:color w:val="000000" w:themeColor="text1"/>
          <w:sz w:val="28"/>
          <w:szCs w:val="28"/>
        </w:rPr>
        <w:t xml:space="preserve"> </w:t>
      </w:r>
      <w:r w:rsidRPr="00D74025">
        <w:rPr>
          <w:rFonts w:ascii="Arial" w:hAnsi="Arial" w:cs="Arial"/>
          <w:b/>
          <w:bCs/>
          <w:i/>
          <w:iCs/>
          <w:color w:val="000000" w:themeColor="text1"/>
          <w:sz w:val="28"/>
          <w:szCs w:val="28"/>
        </w:rPr>
        <w:t xml:space="preserve">in vitro </w:t>
      </w:r>
      <w:r w:rsidRPr="00D74025">
        <w:rPr>
          <w:rFonts w:ascii="Arial" w:hAnsi="Arial" w:cs="Arial"/>
          <w:b/>
          <w:bCs/>
          <w:color w:val="000000" w:themeColor="text1"/>
          <w:sz w:val="28"/>
          <w:szCs w:val="28"/>
        </w:rPr>
        <w:t>and</w:t>
      </w:r>
      <w:r w:rsidRPr="00D74025">
        <w:rPr>
          <w:rFonts w:ascii="Arial" w:hAnsi="Arial" w:cs="Arial"/>
          <w:b/>
          <w:bCs/>
          <w:i/>
          <w:iCs/>
          <w:color w:val="000000" w:themeColor="text1"/>
          <w:sz w:val="28"/>
          <w:szCs w:val="28"/>
        </w:rPr>
        <w:t xml:space="preserve"> in vivo</w:t>
      </w:r>
      <w:r w:rsidRPr="00D74025">
        <w:rPr>
          <w:rFonts w:ascii="Arial" w:hAnsi="Arial" w:cs="Arial"/>
          <w:b/>
          <w:bCs/>
          <w:color w:val="000000" w:themeColor="text1"/>
          <w:sz w:val="28"/>
          <w:szCs w:val="28"/>
        </w:rPr>
        <w:t xml:space="preserve"> studies with SWCNT-ANXA5 mediated radiofrequency ablation</w:t>
      </w:r>
      <w:bookmarkEnd w:id="101"/>
    </w:p>
    <w:p w14:paraId="0DDFFDB0" w14:textId="77777777" w:rsidR="001712F1" w:rsidRPr="00D74025" w:rsidRDefault="001712F1" w:rsidP="00B42E0A">
      <w:pPr>
        <w:spacing w:line="360" w:lineRule="auto"/>
        <w:rPr>
          <w:color w:val="000000" w:themeColor="text1"/>
        </w:rPr>
      </w:pPr>
    </w:p>
    <w:p w14:paraId="5F8674A8" w14:textId="5B4913D4" w:rsidR="00CE24F5" w:rsidRPr="00D74025" w:rsidRDefault="00E450F8" w:rsidP="00B42E0A">
      <w:pPr>
        <w:pStyle w:val="Heading3"/>
        <w:spacing w:line="360" w:lineRule="auto"/>
        <w:rPr>
          <w:rFonts w:ascii="Arial" w:hAnsi="Arial" w:cs="Arial"/>
          <w:b/>
          <w:bCs/>
          <w:color w:val="000000" w:themeColor="text1"/>
        </w:rPr>
      </w:pPr>
      <w:bookmarkStart w:id="102" w:name="_Toc121217268"/>
      <w:r w:rsidRPr="00D74025">
        <w:rPr>
          <w:rFonts w:ascii="Arial" w:hAnsi="Arial" w:cs="Arial"/>
          <w:b/>
          <w:bCs/>
          <w:color w:val="000000" w:themeColor="text1"/>
        </w:rPr>
        <w:t>2.</w:t>
      </w:r>
      <w:r w:rsidR="0072039A">
        <w:rPr>
          <w:rFonts w:ascii="Arial" w:hAnsi="Arial" w:cs="Arial"/>
          <w:b/>
          <w:bCs/>
          <w:color w:val="000000" w:themeColor="text1"/>
        </w:rPr>
        <w:t>6</w:t>
      </w:r>
      <w:r w:rsidRPr="00D74025">
        <w:rPr>
          <w:rFonts w:ascii="Arial" w:hAnsi="Arial" w:cs="Arial"/>
          <w:b/>
          <w:bCs/>
          <w:color w:val="000000" w:themeColor="text1"/>
        </w:rPr>
        <w:t xml:space="preserve">.1 </w:t>
      </w:r>
      <w:r w:rsidR="00412712" w:rsidRPr="00D74025">
        <w:rPr>
          <w:rFonts w:ascii="Arial" w:hAnsi="Arial" w:cs="Arial"/>
          <w:b/>
          <w:bCs/>
          <w:color w:val="000000" w:themeColor="text1"/>
        </w:rPr>
        <w:t>Analysis of</w:t>
      </w:r>
      <w:r w:rsidR="00F70792" w:rsidRPr="00D74025">
        <w:rPr>
          <w:rFonts w:ascii="Arial" w:hAnsi="Arial" w:cs="Arial"/>
          <w:b/>
          <w:bCs/>
          <w:color w:val="000000" w:themeColor="text1"/>
        </w:rPr>
        <w:t xml:space="preserve"> responsiveness </w:t>
      </w:r>
      <w:r w:rsidR="008B6C85" w:rsidRPr="00D74025">
        <w:rPr>
          <w:rFonts w:ascii="Arial" w:hAnsi="Arial" w:cs="Arial"/>
          <w:b/>
          <w:bCs/>
          <w:color w:val="000000" w:themeColor="text1"/>
        </w:rPr>
        <w:t xml:space="preserve">to radiofrequency irradiation </w:t>
      </w:r>
      <w:r w:rsidR="00F70792" w:rsidRPr="00D74025">
        <w:rPr>
          <w:rFonts w:ascii="Arial" w:hAnsi="Arial" w:cs="Arial"/>
          <w:b/>
          <w:bCs/>
          <w:color w:val="000000" w:themeColor="text1"/>
        </w:rPr>
        <w:t>of</w:t>
      </w:r>
      <w:r w:rsidR="003853F8" w:rsidRPr="00D74025">
        <w:rPr>
          <w:rFonts w:ascii="Arial" w:hAnsi="Arial" w:cs="Arial"/>
          <w:b/>
          <w:bCs/>
          <w:color w:val="000000" w:themeColor="text1"/>
        </w:rPr>
        <w:t xml:space="preserve"> (6,5) SWCNT and few walled carbon nanotubes</w:t>
      </w:r>
      <w:r w:rsidR="00DC5C98" w:rsidRPr="00D74025">
        <w:rPr>
          <w:rFonts w:ascii="Arial" w:hAnsi="Arial" w:cs="Arial"/>
          <w:b/>
          <w:bCs/>
          <w:color w:val="000000" w:themeColor="text1"/>
        </w:rPr>
        <w:t xml:space="preserve"> in different surfactants</w:t>
      </w:r>
      <w:bookmarkEnd w:id="102"/>
      <w:r w:rsidR="00F70792" w:rsidRPr="00D74025">
        <w:rPr>
          <w:rFonts w:ascii="Arial" w:hAnsi="Arial" w:cs="Arial"/>
          <w:b/>
          <w:bCs/>
          <w:color w:val="000000" w:themeColor="text1"/>
        </w:rPr>
        <w:t xml:space="preserve"> </w:t>
      </w:r>
    </w:p>
    <w:p w14:paraId="225C61CF" w14:textId="4D20F6CC" w:rsidR="00697719" w:rsidRPr="00D74025" w:rsidRDefault="00697719" w:rsidP="00F64275">
      <w:pPr>
        <w:spacing w:line="360" w:lineRule="auto"/>
        <w:jc w:val="both"/>
        <w:rPr>
          <w:rFonts w:ascii="Arial" w:hAnsi="Arial" w:cs="Arial"/>
          <w:color w:val="000000" w:themeColor="text1"/>
        </w:rPr>
      </w:pPr>
    </w:p>
    <w:p w14:paraId="5655D812" w14:textId="003AC030" w:rsidR="00F4309C" w:rsidRPr="00D74025" w:rsidRDefault="00F4309C" w:rsidP="00F4309C">
      <w:pPr>
        <w:spacing w:line="360" w:lineRule="auto"/>
        <w:ind w:firstLine="1440"/>
        <w:jc w:val="both"/>
        <w:rPr>
          <w:rFonts w:ascii="Arial" w:hAnsi="Arial" w:cs="Arial"/>
          <w:color w:val="000000" w:themeColor="text1"/>
        </w:rPr>
      </w:pPr>
      <w:r w:rsidRPr="00D74025">
        <w:rPr>
          <w:rFonts w:ascii="Arial" w:hAnsi="Arial" w:cs="Arial"/>
          <w:color w:val="000000" w:themeColor="text1"/>
        </w:rPr>
        <w:lastRenderedPageBreak/>
        <w:t>Suspensions of (6,5)</w:t>
      </w:r>
      <w:r w:rsidR="00824C55">
        <w:rPr>
          <w:rFonts w:ascii="Arial" w:hAnsi="Arial" w:cs="Arial"/>
          <w:color w:val="000000" w:themeColor="text1"/>
        </w:rPr>
        <w:t xml:space="preserve"> </w:t>
      </w:r>
      <w:r w:rsidRPr="00D74025">
        <w:rPr>
          <w:rFonts w:ascii="Arial" w:hAnsi="Arial" w:cs="Arial"/>
          <w:color w:val="000000" w:themeColor="text1"/>
        </w:rPr>
        <w:t>SWCNT and few walled carbon nanotubes (FWCNT</w:t>
      </w:r>
      <w:r w:rsidR="00327BAB">
        <w:rPr>
          <w:rFonts w:ascii="Arial" w:hAnsi="Arial" w:cs="Arial"/>
          <w:color w:val="000000" w:themeColor="text1"/>
        </w:rPr>
        <w:t xml:space="preserve">, Dr. </w:t>
      </w:r>
      <w:proofErr w:type="spellStart"/>
      <w:r w:rsidR="00327BAB">
        <w:rPr>
          <w:rFonts w:ascii="Arial" w:hAnsi="Arial" w:cs="Arial"/>
          <w:color w:val="000000" w:themeColor="text1"/>
        </w:rPr>
        <w:t>Resasco’s</w:t>
      </w:r>
      <w:proofErr w:type="spellEnd"/>
      <w:r w:rsidR="00327BAB">
        <w:rPr>
          <w:rFonts w:ascii="Arial" w:hAnsi="Arial" w:cs="Arial"/>
          <w:color w:val="000000" w:themeColor="text1"/>
        </w:rPr>
        <w:t xml:space="preserve"> Lab, OU Chemical Engineering</w:t>
      </w:r>
      <w:r w:rsidRPr="00D74025">
        <w:rPr>
          <w:rFonts w:ascii="Arial" w:hAnsi="Arial" w:cs="Arial"/>
          <w:color w:val="000000" w:themeColor="text1"/>
        </w:rPr>
        <w:t xml:space="preserve">) were prepared as before. In brief, 3.0 mg of each CNT was sonicated for 1 h in 6.0 ml of either 1% sodium dodecyl </w:t>
      </w:r>
      <w:r>
        <w:rPr>
          <w:rFonts w:ascii="Arial" w:hAnsi="Arial" w:cs="Arial"/>
          <w:color w:val="000000" w:themeColor="text1"/>
        </w:rPr>
        <w:t>sulfate</w:t>
      </w:r>
      <w:r w:rsidRPr="00D74025">
        <w:rPr>
          <w:rFonts w:ascii="Arial" w:hAnsi="Arial" w:cs="Arial"/>
          <w:color w:val="000000" w:themeColor="text1"/>
        </w:rPr>
        <w:t xml:space="preserve"> (SDS) solution or 1% sodium deoxycholate (SDC), yielding a concentration of 500 mg/L. Samples were not centrifuged to avoid mass loss and maintain the suspended concentration. For the radiofrequency irradiation, samples of 1 ml were placed in a 6 ml-cuvette (1 cm </w:t>
      </w:r>
      <w:r w:rsidRPr="00D74025">
        <w:rPr>
          <w:rFonts w:ascii="Arial" w:hAnsi="Arial" w:cs="Arial"/>
          <w:color w:val="000000" w:themeColor="text1"/>
        </w:rPr>
        <w:sym w:font="Symbol" w:char="F0B4"/>
      </w:r>
      <w:r w:rsidRPr="00D74025">
        <w:rPr>
          <w:rFonts w:ascii="Arial" w:hAnsi="Arial" w:cs="Arial"/>
          <w:color w:val="000000" w:themeColor="text1"/>
        </w:rPr>
        <w:t xml:space="preserve"> 1 cm </w:t>
      </w:r>
      <w:r w:rsidRPr="00D74025">
        <w:rPr>
          <w:rFonts w:ascii="Arial" w:hAnsi="Arial" w:cs="Arial"/>
          <w:color w:val="000000" w:themeColor="text1"/>
        </w:rPr>
        <w:sym w:font="Symbol" w:char="F0B4"/>
      </w:r>
      <w:r w:rsidRPr="00D74025">
        <w:rPr>
          <w:rFonts w:ascii="Arial" w:hAnsi="Arial" w:cs="Arial"/>
          <w:color w:val="000000" w:themeColor="text1"/>
        </w:rPr>
        <w:t xml:space="preserve"> </w:t>
      </w:r>
      <w:r w:rsidR="00D776EC">
        <w:rPr>
          <w:rFonts w:ascii="Arial" w:hAnsi="Arial" w:cs="Arial"/>
          <w:color w:val="000000" w:themeColor="text1"/>
        </w:rPr>
        <w:t>4.2</w:t>
      </w:r>
      <w:r w:rsidRPr="00D74025">
        <w:rPr>
          <w:rFonts w:ascii="Arial" w:hAnsi="Arial" w:cs="Arial"/>
          <w:color w:val="000000" w:themeColor="text1"/>
        </w:rPr>
        <w:t xml:space="preserve"> cm), creating a 1 cm </w:t>
      </w:r>
      <w:r w:rsidRPr="00D74025">
        <w:rPr>
          <w:rFonts w:ascii="Arial" w:hAnsi="Arial" w:cs="Arial"/>
          <w:color w:val="000000" w:themeColor="text1"/>
        </w:rPr>
        <w:sym w:font="Symbol" w:char="F0B4"/>
      </w:r>
      <w:r w:rsidRPr="00D74025">
        <w:rPr>
          <w:rFonts w:ascii="Arial" w:hAnsi="Arial" w:cs="Arial"/>
          <w:color w:val="000000" w:themeColor="text1"/>
        </w:rPr>
        <w:t xml:space="preserve"> 1 cm </w:t>
      </w:r>
      <w:r w:rsidRPr="00D74025">
        <w:rPr>
          <w:rFonts w:ascii="Arial" w:hAnsi="Arial" w:cs="Arial"/>
          <w:color w:val="000000" w:themeColor="text1"/>
        </w:rPr>
        <w:sym w:font="Symbol" w:char="F0B4"/>
      </w:r>
      <w:r w:rsidRPr="00D74025">
        <w:rPr>
          <w:rFonts w:ascii="Arial" w:hAnsi="Arial" w:cs="Arial"/>
          <w:color w:val="000000" w:themeColor="text1"/>
        </w:rPr>
        <w:t xml:space="preserve"> 1 cm volume of suspension inside of the vial. Samples were placed in the same room of irradiation 30 min before the experiment to reach thermal equilibrium with the environment. </w:t>
      </w:r>
      <w:r>
        <w:rPr>
          <w:rFonts w:ascii="Arial" w:hAnsi="Arial" w:cs="Arial"/>
          <w:color w:val="000000" w:themeColor="text1"/>
        </w:rPr>
        <w:t>The temperature</w:t>
      </w:r>
      <w:r w:rsidRPr="00D74025">
        <w:rPr>
          <w:rFonts w:ascii="Arial" w:hAnsi="Arial" w:cs="Arial"/>
          <w:color w:val="000000" w:themeColor="text1"/>
        </w:rPr>
        <w:t xml:space="preserve"> was measured with </w:t>
      </w:r>
      <w:r>
        <w:rPr>
          <w:rFonts w:ascii="Arial" w:hAnsi="Arial" w:cs="Arial"/>
          <w:color w:val="000000" w:themeColor="text1"/>
        </w:rPr>
        <w:t xml:space="preserve">a </w:t>
      </w:r>
      <w:r w:rsidRPr="00D74025">
        <w:rPr>
          <w:rFonts w:ascii="Arial" w:hAnsi="Arial" w:cs="Arial"/>
          <w:color w:val="000000" w:themeColor="text1"/>
        </w:rPr>
        <w:t xml:space="preserve">type K thermocouple by inserting the thermocouple junction inside </w:t>
      </w:r>
      <w:r>
        <w:rPr>
          <w:rFonts w:ascii="Arial" w:hAnsi="Arial" w:cs="Arial"/>
          <w:color w:val="000000" w:themeColor="text1"/>
        </w:rPr>
        <w:t xml:space="preserve">the </w:t>
      </w:r>
      <w:r w:rsidRPr="00D74025">
        <w:rPr>
          <w:rFonts w:ascii="Arial" w:hAnsi="Arial" w:cs="Arial"/>
          <w:color w:val="000000" w:themeColor="text1"/>
        </w:rPr>
        <w:t xml:space="preserve">liquid phase. </w:t>
      </w:r>
      <w:r>
        <w:rPr>
          <w:rFonts w:ascii="Arial" w:hAnsi="Arial" w:cs="Arial"/>
          <w:color w:val="000000" w:themeColor="text1"/>
        </w:rPr>
        <w:t>The temperature</w:t>
      </w:r>
      <w:r w:rsidRPr="00D74025">
        <w:rPr>
          <w:rFonts w:ascii="Arial" w:hAnsi="Arial" w:cs="Arial"/>
          <w:color w:val="000000" w:themeColor="text1"/>
        </w:rPr>
        <w:t xml:space="preserve"> was measured immediately before and immediately after irradiation. Samples were placed on top of </w:t>
      </w:r>
      <w:r>
        <w:rPr>
          <w:rFonts w:ascii="Arial" w:hAnsi="Arial" w:cs="Arial"/>
          <w:color w:val="000000" w:themeColor="text1"/>
        </w:rPr>
        <w:t xml:space="preserve">the </w:t>
      </w:r>
      <w:r w:rsidRPr="00D74025">
        <w:rPr>
          <w:rFonts w:ascii="Arial" w:hAnsi="Arial" w:cs="Arial"/>
          <w:color w:val="000000" w:themeColor="text1"/>
        </w:rPr>
        <w:t xml:space="preserve">lower plate </w:t>
      </w:r>
      <w:r w:rsidR="00D776EC">
        <w:rPr>
          <w:rFonts w:ascii="Arial" w:hAnsi="Arial" w:cs="Arial"/>
          <w:color w:val="000000" w:themeColor="text1"/>
        </w:rPr>
        <w:t>(</w:t>
      </w:r>
      <w:r w:rsidR="00D776EC" w:rsidRPr="00A529A4">
        <w:rPr>
          <w:rFonts w:ascii="Arial" w:hAnsi="Arial" w:cs="Arial"/>
          <w:color w:val="000000" w:themeColor="text1"/>
        </w:rPr>
        <w:t xml:space="preserve">see </w:t>
      </w:r>
      <w:r w:rsidR="008763AE">
        <w:rPr>
          <w:rFonts w:ascii="Arial" w:hAnsi="Arial" w:cs="Arial"/>
          <w:b/>
          <w:bCs/>
          <w:color w:val="000000" w:themeColor="text1"/>
        </w:rPr>
        <w:t>F</w:t>
      </w:r>
      <w:r w:rsidR="00D776EC" w:rsidRPr="00132319">
        <w:rPr>
          <w:rFonts w:ascii="Arial" w:hAnsi="Arial" w:cs="Arial"/>
          <w:b/>
          <w:bCs/>
          <w:color w:val="000000" w:themeColor="text1"/>
        </w:rPr>
        <w:t xml:space="preserve">igure </w:t>
      </w:r>
      <w:r w:rsidR="00A529A4" w:rsidRPr="00132319">
        <w:rPr>
          <w:rFonts w:ascii="Arial" w:hAnsi="Arial" w:cs="Arial"/>
          <w:b/>
          <w:bCs/>
          <w:color w:val="000000" w:themeColor="text1"/>
        </w:rPr>
        <w:t>27</w:t>
      </w:r>
      <w:r w:rsidR="00D776EC">
        <w:rPr>
          <w:rFonts w:ascii="Arial" w:hAnsi="Arial" w:cs="Arial"/>
          <w:color w:val="000000" w:themeColor="text1"/>
        </w:rPr>
        <w:t xml:space="preserve">) </w:t>
      </w:r>
      <w:r w:rsidRPr="00D74025">
        <w:rPr>
          <w:rFonts w:ascii="Arial" w:hAnsi="Arial" w:cs="Arial"/>
          <w:color w:val="000000" w:themeColor="text1"/>
        </w:rPr>
        <w:t xml:space="preserve">and were individually irradiated for 60 s with </w:t>
      </w:r>
      <w:r>
        <w:rPr>
          <w:rFonts w:ascii="Arial" w:hAnsi="Arial" w:cs="Arial"/>
          <w:color w:val="000000" w:themeColor="text1"/>
        </w:rPr>
        <w:t xml:space="preserve">a </w:t>
      </w:r>
      <w:r w:rsidRPr="00D74025">
        <w:rPr>
          <w:rFonts w:ascii="Arial" w:hAnsi="Arial" w:cs="Arial"/>
          <w:color w:val="000000" w:themeColor="text1"/>
        </w:rPr>
        <w:t>13.56 MHz radiofrequency generator and matching network (</w:t>
      </w:r>
      <w:proofErr w:type="spellStart"/>
      <w:r w:rsidRPr="00D74025">
        <w:rPr>
          <w:rFonts w:ascii="Arial" w:hAnsi="Arial" w:cs="Arial"/>
          <w:color w:val="000000" w:themeColor="text1"/>
        </w:rPr>
        <w:t>Comdel</w:t>
      </w:r>
      <w:proofErr w:type="spellEnd"/>
      <w:r w:rsidRPr="00D74025">
        <w:rPr>
          <w:rFonts w:ascii="Arial" w:hAnsi="Arial" w:cs="Arial"/>
          <w:color w:val="000000" w:themeColor="text1"/>
        </w:rPr>
        <w:t xml:space="preserve"> System CX-600S </w:t>
      </w:r>
      <w:proofErr w:type="spellStart"/>
      <w:r w:rsidRPr="00D74025">
        <w:rPr>
          <w:rFonts w:ascii="Arial" w:hAnsi="Arial" w:cs="Arial"/>
          <w:color w:val="000000" w:themeColor="text1"/>
        </w:rPr>
        <w:t>ultrastable</w:t>
      </w:r>
      <w:proofErr w:type="spellEnd"/>
      <w:r w:rsidRPr="00D74025">
        <w:rPr>
          <w:rFonts w:ascii="Arial" w:hAnsi="Arial" w:cs="Arial"/>
          <w:color w:val="000000" w:themeColor="text1"/>
        </w:rPr>
        <w:t xml:space="preserve"> 13.56 MHz RF generator connected to </w:t>
      </w:r>
      <w:proofErr w:type="spellStart"/>
      <w:r w:rsidRPr="00D74025">
        <w:rPr>
          <w:rFonts w:ascii="Arial" w:hAnsi="Arial" w:cs="Arial"/>
          <w:color w:val="000000" w:themeColor="text1"/>
        </w:rPr>
        <w:t>Comdel</w:t>
      </w:r>
      <w:proofErr w:type="spellEnd"/>
      <w:r w:rsidRPr="00D74025">
        <w:rPr>
          <w:rFonts w:ascii="Arial" w:hAnsi="Arial" w:cs="Arial"/>
          <w:color w:val="000000" w:themeColor="text1"/>
        </w:rPr>
        <w:t xml:space="preserve"> </w:t>
      </w:r>
      <w:proofErr w:type="spellStart"/>
      <w:r w:rsidRPr="00D74025">
        <w:rPr>
          <w:rFonts w:ascii="Arial" w:hAnsi="Arial" w:cs="Arial"/>
          <w:color w:val="000000" w:themeColor="text1"/>
        </w:rPr>
        <w:t>MatchPro</w:t>
      </w:r>
      <w:proofErr w:type="spellEnd"/>
      <w:r w:rsidRPr="00D74025">
        <w:rPr>
          <w:rFonts w:ascii="Arial" w:hAnsi="Arial" w:cs="Arial"/>
          <w:color w:val="000000" w:themeColor="text1"/>
        </w:rPr>
        <w:t xml:space="preserve"> CPMX-6000 matching network). </w:t>
      </w:r>
      <w:r w:rsidR="0012188E">
        <w:rPr>
          <w:rFonts w:ascii="Arial" w:hAnsi="Arial" w:cs="Arial"/>
          <w:color w:val="000000" w:themeColor="text1"/>
        </w:rPr>
        <w:t>A r</w:t>
      </w:r>
      <w:r w:rsidRPr="00D74025">
        <w:rPr>
          <w:rFonts w:ascii="Arial" w:hAnsi="Arial" w:cs="Arial"/>
          <w:color w:val="000000" w:themeColor="text1"/>
        </w:rPr>
        <w:t xml:space="preserve">adiofrequency </w:t>
      </w:r>
      <w:r w:rsidR="0012188E">
        <w:rPr>
          <w:rFonts w:ascii="Arial" w:hAnsi="Arial" w:cs="Arial"/>
          <w:color w:val="000000" w:themeColor="text1"/>
        </w:rPr>
        <w:t>f</w:t>
      </w:r>
      <w:r w:rsidRPr="00D74025">
        <w:rPr>
          <w:rFonts w:ascii="Arial" w:hAnsi="Arial" w:cs="Arial"/>
          <w:color w:val="000000" w:themeColor="text1"/>
        </w:rPr>
        <w:t>ield is generated between plates. Different power outputs were tested (100, 200, 300, 400, 500</w:t>
      </w:r>
      <w:r>
        <w:rPr>
          <w:rFonts w:ascii="Arial" w:hAnsi="Arial" w:cs="Arial"/>
          <w:color w:val="000000" w:themeColor="text1"/>
        </w:rPr>
        <w:t>,</w:t>
      </w:r>
      <w:r w:rsidRPr="00D74025">
        <w:rPr>
          <w:rFonts w:ascii="Arial" w:hAnsi="Arial" w:cs="Arial"/>
          <w:color w:val="000000" w:themeColor="text1"/>
        </w:rPr>
        <w:t xml:space="preserve"> and 600</w:t>
      </w:r>
      <w:r w:rsidR="0012188E">
        <w:rPr>
          <w:rFonts w:ascii="Arial" w:hAnsi="Arial" w:cs="Arial"/>
          <w:color w:val="000000" w:themeColor="text1"/>
        </w:rPr>
        <w:t> </w:t>
      </w:r>
      <w:r w:rsidRPr="00D74025">
        <w:rPr>
          <w:rFonts w:ascii="Arial" w:hAnsi="Arial" w:cs="Arial"/>
          <w:color w:val="000000" w:themeColor="text1"/>
        </w:rPr>
        <w:t xml:space="preserve">W). Samples were tested in triplicate </w:t>
      </w:r>
      <w:r>
        <w:rPr>
          <w:rFonts w:ascii="Arial" w:hAnsi="Arial" w:cs="Arial"/>
          <w:color w:val="000000" w:themeColor="text1"/>
        </w:rPr>
        <w:t>for</w:t>
      </w:r>
      <w:r w:rsidRPr="00D74025">
        <w:rPr>
          <w:rFonts w:ascii="Arial" w:hAnsi="Arial" w:cs="Arial"/>
          <w:color w:val="000000" w:themeColor="text1"/>
        </w:rPr>
        <w:t xml:space="preserve"> each testing condition.</w:t>
      </w:r>
    </w:p>
    <w:p w14:paraId="33D886EB" w14:textId="77777777" w:rsidR="00C85249" w:rsidRPr="00D74025" w:rsidRDefault="00C85249" w:rsidP="00F64275">
      <w:pPr>
        <w:spacing w:line="360" w:lineRule="auto"/>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0325ED7C" w14:textId="77777777" w:rsidTr="000721A4">
        <w:tc>
          <w:tcPr>
            <w:tcW w:w="9350" w:type="dxa"/>
          </w:tcPr>
          <w:p w14:paraId="7E0AE5FC" w14:textId="3ED7DB13" w:rsidR="000721A4" w:rsidRPr="00D74025" w:rsidRDefault="000721A4" w:rsidP="000D71A7">
            <w:pPr>
              <w:spacing w:beforeAutospacing="0" w:line="360" w:lineRule="auto"/>
              <w:ind w:firstLine="0"/>
              <w:jc w:val="center"/>
              <w:rPr>
                <w:rFonts w:ascii="Arial" w:hAnsi="Arial" w:cs="Arial"/>
                <w:color w:val="000000" w:themeColor="text1"/>
              </w:rPr>
            </w:pPr>
            <w:r w:rsidRPr="00D74025">
              <w:rPr>
                <w:rFonts w:ascii="Arial" w:hAnsi="Arial" w:cs="Arial"/>
                <w:noProof/>
                <w:color w:val="000000" w:themeColor="text1"/>
              </w:rPr>
              <w:lastRenderedPageBreak/>
              <w:drawing>
                <wp:inline distT="0" distB="0" distL="0" distR="0" wp14:anchorId="79FC2F15" wp14:editId="5AA727E5">
                  <wp:extent cx="4455970" cy="3947532"/>
                  <wp:effectExtent l="0" t="0" r="1905" b="2540"/>
                  <wp:docPr id="193" name="Picture 9" descr="A picture containing indoor&#10;&#10;Description automatically generated">
                    <a:extLst xmlns:a="http://schemas.openxmlformats.org/drawingml/2006/main">
                      <a:ext uri="{FF2B5EF4-FFF2-40B4-BE49-F238E27FC236}">
                        <a16:creationId xmlns:a16="http://schemas.microsoft.com/office/drawing/2014/main" id="{C0D05345-9822-4AF6-B563-30F6F6EE29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picture containing indoor&#10;&#10;Description automatically generated">
                            <a:extLst>
                              <a:ext uri="{FF2B5EF4-FFF2-40B4-BE49-F238E27FC236}">
                                <a16:creationId xmlns:a16="http://schemas.microsoft.com/office/drawing/2014/main" id="{C0D05345-9822-4AF6-B563-30F6F6EE2902}"/>
                              </a:ext>
                            </a:extLst>
                          </pic:cNvPr>
                          <pic:cNvPicPr>
                            <a:picLocks noChangeAspect="1"/>
                          </pic:cNvPicPr>
                        </pic:nvPicPr>
                        <pic:blipFill rotWithShape="1">
                          <a:blip r:embed="rId44"/>
                          <a:srcRect r="28316" b="15326"/>
                          <a:stretch/>
                        </pic:blipFill>
                        <pic:spPr>
                          <a:xfrm>
                            <a:off x="0" y="0"/>
                            <a:ext cx="4457760" cy="3949118"/>
                          </a:xfrm>
                          <a:prstGeom prst="rect">
                            <a:avLst/>
                          </a:prstGeom>
                        </pic:spPr>
                      </pic:pic>
                    </a:graphicData>
                  </a:graphic>
                </wp:inline>
              </w:drawing>
            </w:r>
          </w:p>
        </w:tc>
      </w:tr>
      <w:tr w:rsidR="00D74025" w:rsidRPr="00D74025" w14:paraId="66EB17F9" w14:textId="77777777" w:rsidTr="000721A4">
        <w:tc>
          <w:tcPr>
            <w:tcW w:w="9350" w:type="dxa"/>
          </w:tcPr>
          <w:p w14:paraId="6114681D" w14:textId="3B16E1EA" w:rsidR="000721A4" w:rsidRPr="00AC3812" w:rsidRDefault="004F39AA" w:rsidP="00EF0090">
            <w:pPr>
              <w:spacing w:line="360" w:lineRule="auto"/>
              <w:ind w:firstLine="0"/>
              <w:rPr>
                <w:rFonts w:ascii="Arial" w:hAnsi="Arial" w:cs="Arial"/>
                <w:b/>
                <w:bCs/>
                <w:color w:val="000000" w:themeColor="text1"/>
              </w:rPr>
            </w:pPr>
            <w:bookmarkStart w:id="103" w:name="_Toc121217349"/>
            <w:r w:rsidRPr="00AC3812">
              <w:rPr>
                <w:rFonts w:ascii="Arial" w:hAnsi="Arial" w:cs="Arial"/>
                <w:b/>
                <w:bCs/>
                <w:color w:val="000000" w:themeColor="text1"/>
              </w:rPr>
              <w:t xml:space="preserve">Figure </w:t>
            </w:r>
            <w:r w:rsidRPr="00AC3812">
              <w:rPr>
                <w:rFonts w:ascii="Arial" w:hAnsi="Arial" w:cs="Arial"/>
                <w:b/>
                <w:bCs/>
                <w:color w:val="000000" w:themeColor="text1"/>
              </w:rPr>
              <w:fldChar w:fldCharType="begin"/>
            </w:r>
            <w:r w:rsidRPr="00AC3812">
              <w:rPr>
                <w:rFonts w:ascii="Arial" w:hAnsi="Arial" w:cs="Arial"/>
                <w:b/>
                <w:bCs/>
                <w:color w:val="000000" w:themeColor="text1"/>
              </w:rPr>
              <w:instrText xml:space="preserve"> SEQ Figure \* ARABIC </w:instrText>
            </w:r>
            <w:r w:rsidRPr="00AC3812">
              <w:rPr>
                <w:rFonts w:ascii="Arial" w:hAnsi="Arial" w:cs="Arial"/>
                <w:b/>
                <w:bCs/>
                <w:color w:val="000000" w:themeColor="text1"/>
              </w:rPr>
              <w:fldChar w:fldCharType="separate"/>
            </w:r>
            <w:r w:rsidR="002C4B25">
              <w:rPr>
                <w:rFonts w:ascii="Arial" w:hAnsi="Arial" w:cs="Arial"/>
                <w:b/>
                <w:bCs/>
                <w:noProof/>
                <w:color w:val="000000" w:themeColor="text1"/>
              </w:rPr>
              <w:t>27</w:t>
            </w:r>
            <w:r w:rsidRPr="00AC3812">
              <w:rPr>
                <w:rFonts w:ascii="Arial" w:hAnsi="Arial" w:cs="Arial"/>
                <w:b/>
                <w:bCs/>
                <w:color w:val="000000" w:themeColor="text1"/>
              </w:rPr>
              <w:fldChar w:fldCharType="end"/>
            </w:r>
            <w:r w:rsidR="00EF0090" w:rsidRPr="00AC3812">
              <w:rPr>
                <w:rFonts w:ascii="Arial" w:hAnsi="Arial" w:cs="Arial"/>
                <w:b/>
                <w:bCs/>
                <w:color w:val="000000" w:themeColor="text1"/>
              </w:rPr>
              <w:t xml:space="preserve">: </w:t>
            </w:r>
            <w:r w:rsidR="00220915" w:rsidRPr="00AC3812">
              <w:rPr>
                <w:rFonts w:ascii="Arial" w:hAnsi="Arial" w:cs="Arial"/>
                <w:b/>
                <w:bCs/>
                <w:color w:val="000000" w:themeColor="text1"/>
              </w:rPr>
              <w:t xml:space="preserve">Matching </w:t>
            </w:r>
            <w:r w:rsidR="006C732A">
              <w:rPr>
                <w:rFonts w:ascii="Arial" w:hAnsi="Arial" w:cs="Arial"/>
                <w:b/>
                <w:bCs/>
                <w:color w:val="000000" w:themeColor="text1"/>
              </w:rPr>
              <w:t>n</w:t>
            </w:r>
            <w:r w:rsidR="00220915" w:rsidRPr="00AC3812">
              <w:rPr>
                <w:rFonts w:ascii="Arial" w:hAnsi="Arial" w:cs="Arial"/>
                <w:b/>
                <w:bCs/>
                <w:color w:val="000000" w:themeColor="text1"/>
              </w:rPr>
              <w:t>etwork loading plates.</w:t>
            </w:r>
            <w:bookmarkEnd w:id="103"/>
          </w:p>
        </w:tc>
      </w:tr>
    </w:tbl>
    <w:p w14:paraId="2921EFEC" w14:textId="77777777" w:rsidR="004F39AA" w:rsidRDefault="004F39AA" w:rsidP="004E5B49">
      <w:pPr>
        <w:rPr>
          <w:rFonts w:ascii="Arial" w:hAnsi="Arial" w:cs="Arial"/>
          <w:b/>
          <w:bCs/>
          <w:color w:val="000000" w:themeColor="text1"/>
        </w:rPr>
      </w:pPr>
    </w:p>
    <w:p w14:paraId="697C3A3B" w14:textId="093AA03D" w:rsidR="009E5A7F" w:rsidRPr="00D74025" w:rsidRDefault="009E5A7F" w:rsidP="000A366D">
      <w:pPr>
        <w:pStyle w:val="Heading3"/>
        <w:spacing w:line="360" w:lineRule="auto"/>
        <w:rPr>
          <w:rFonts w:ascii="Arial" w:hAnsi="Arial" w:cs="Arial"/>
          <w:b/>
          <w:bCs/>
          <w:color w:val="000000" w:themeColor="text1"/>
        </w:rPr>
      </w:pPr>
      <w:bookmarkStart w:id="104" w:name="_Toc121217269"/>
      <w:r w:rsidRPr="00D74025">
        <w:rPr>
          <w:rFonts w:ascii="Arial" w:hAnsi="Arial" w:cs="Arial"/>
          <w:b/>
          <w:bCs/>
          <w:color w:val="000000" w:themeColor="text1"/>
        </w:rPr>
        <w:t>2.</w:t>
      </w:r>
      <w:r w:rsidR="00631C7C">
        <w:rPr>
          <w:rFonts w:ascii="Arial" w:hAnsi="Arial" w:cs="Arial"/>
          <w:b/>
          <w:bCs/>
          <w:color w:val="000000" w:themeColor="text1"/>
        </w:rPr>
        <w:t>6</w:t>
      </w:r>
      <w:r w:rsidRPr="00D74025">
        <w:rPr>
          <w:rFonts w:ascii="Arial" w:hAnsi="Arial" w:cs="Arial"/>
          <w:b/>
          <w:bCs/>
          <w:color w:val="000000" w:themeColor="text1"/>
        </w:rPr>
        <w:t>.</w:t>
      </w:r>
      <w:r w:rsidR="00631C7C">
        <w:rPr>
          <w:rFonts w:ascii="Arial" w:hAnsi="Arial" w:cs="Arial"/>
          <w:b/>
          <w:bCs/>
          <w:color w:val="000000" w:themeColor="text1"/>
        </w:rPr>
        <w:t>2</w:t>
      </w:r>
      <w:r w:rsidRPr="00D74025">
        <w:rPr>
          <w:rFonts w:ascii="Arial" w:hAnsi="Arial" w:cs="Arial"/>
          <w:color w:val="000000" w:themeColor="text1"/>
        </w:rPr>
        <w:t xml:space="preserve"> </w:t>
      </w:r>
      <w:r w:rsidRPr="00D74025">
        <w:rPr>
          <w:rFonts w:ascii="Arial" w:hAnsi="Arial" w:cs="Arial"/>
          <w:b/>
          <w:bCs/>
          <w:color w:val="000000" w:themeColor="text1"/>
        </w:rPr>
        <w:t>Assessment of surfactant effect on radiofrequency responsivity of (6,5) SWCNT</w:t>
      </w:r>
      <w:bookmarkEnd w:id="104"/>
    </w:p>
    <w:p w14:paraId="5DD2C991" w14:textId="77777777" w:rsidR="009E5A7F" w:rsidRPr="00D74025" w:rsidRDefault="009E5A7F" w:rsidP="009E5A7F">
      <w:pPr>
        <w:spacing w:line="360" w:lineRule="auto"/>
        <w:jc w:val="both"/>
        <w:rPr>
          <w:rFonts w:ascii="Arial" w:hAnsi="Arial" w:cs="Arial"/>
          <w:b/>
          <w:bCs/>
          <w:color w:val="000000" w:themeColor="text1"/>
        </w:rPr>
      </w:pPr>
    </w:p>
    <w:p w14:paraId="7A8B9B3C" w14:textId="08B1280A" w:rsidR="009E5A7F" w:rsidRPr="00D74025" w:rsidRDefault="009E5A7F" w:rsidP="009E5A7F">
      <w:pPr>
        <w:spacing w:line="360" w:lineRule="auto"/>
        <w:ind w:firstLine="1440"/>
        <w:jc w:val="both"/>
        <w:rPr>
          <w:rFonts w:ascii="Arial" w:hAnsi="Arial" w:cs="Arial"/>
          <w:color w:val="000000" w:themeColor="text1"/>
        </w:rPr>
      </w:pPr>
      <w:r w:rsidRPr="00D74025">
        <w:rPr>
          <w:rFonts w:ascii="Arial" w:hAnsi="Arial" w:cs="Arial"/>
          <w:color w:val="000000" w:themeColor="text1"/>
        </w:rPr>
        <w:t>The effect of other surfactants was also studied compared to SDS (1%)</w:t>
      </w:r>
      <w:r>
        <w:rPr>
          <w:rFonts w:ascii="Arial" w:hAnsi="Arial" w:cs="Arial"/>
          <w:color w:val="000000" w:themeColor="text1"/>
        </w:rPr>
        <w:t>,</w:t>
      </w:r>
      <w:r w:rsidRPr="00D74025">
        <w:rPr>
          <w:rFonts w:ascii="Arial" w:hAnsi="Arial" w:cs="Arial"/>
          <w:color w:val="000000" w:themeColor="text1"/>
        </w:rPr>
        <w:t xml:space="preserve"> and SDC (1%). The (6,5) SWCNT was suspended in different surfactants following the previous procedures at a 500 mg/L</w:t>
      </w:r>
      <w:r>
        <w:rPr>
          <w:rFonts w:ascii="Arial" w:hAnsi="Arial" w:cs="Arial"/>
          <w:color w:val="000000" w:themeColor="text1"/>
        </w:rPr>
        <w:t xml:space="preserve"> concentration</w:t>
      </w:r>
      <w:r w:rsidRPr="00D74025">
        <w:rPr>
          <w:rFonts w:ascii="Arial" w:hAnsi="Arial" w:cs="Arial"/>
          <w:color w:val="000000" w:themeColor="text1"/>
        </w:rPr>
        <w:t xml:space="preserve">. TRITON X-100 and TWEEN-20 are both non-anionic surfactants and were used at a concentration of 2%. The structure of the different surfactants is shown in </w:t>
      </w:r>
      <w:r w:rsidR="00132319" w:rsidRPr="00132319">
        <w:rPr>
          <w:rFonts w:ascii="Arial" w:hAnsi="Arial" w:cs="Arial"/>
          <w:b/>
          <w:bCs/>
          <w:color w:val="000000" w:themeColor="text1"/>
        </w:rPr>
        <w:t>T</w:t>
      </w:r>
      <w:r w:rsidRPr="00132319">
        <w:rPr>
          <w:rFonts w:ascii="Arial" w:hAnsi="Arial" w:cs="Arial"/>
          <w:b/>
          <w:bCs/>
          <w:color w:val="000000" w:themeColor="text1"/>
        </w:rPr>
        <w:t>able 2</w:t>
      </w:r>
      <w:r w:rsidRPr="00D74025">
        <w:rPr>
          <w:rFonts w:ascii="Arial" w:hAnsi="Arial" w:cs="Arial"/>
          <w:color w:val="000000" w:themeColor="text1"/>
        </w:rPr>
        <w:t>.</w:t>
      </w:r>
    </w:p>
    <w:p w14:paraId="26A62A9F" w14:textId="77777777" w:rsidR="004F39AA" w:rsidRDefault="004F39AA" w:rsidP="009E5A7F">
      <w:pPr>
        <w:contextualSpacing/>
        <w:rPr>
          <w:rFonts w:ascii="Arial" w:hAnsi="Arial" w:cs="Arial"/>
          <w:b/>
          <w:bCs/>
          <w:color w:val="000000" w:themeColor="text1"/>
        </w:rPr>
      </w:pPr>
    </w:p>
    <w:p w14:paraId="433948A7" w14:textId="77777777" w:rsidR="004F39AA" w:rsidRDefault="004F39AA" w:rsidP="009E5A7F">
      <w:pPr>
        <w:contextualSpacing/>
        <w:rPr>
          <w:rFonts w:ascii="Arial" w:hAnsi="Arial" w:cs="Arial"/>
          <w:b/>
          <w:bCs/>
          <w:color w:val="000000" w:themeColor="text1"/>
        </w:rPr>
      </w:pPr>
    </w:p>
    <w:p w14:paraId="630A6077" w14:textId="4E81427A" w:rsidR="004F39AA" w:rsidRDefault="004F39AA" w:rsidP="009E5A7F">
      <w:pPr>
        <w:contextualSpacing/>
        <w:rPr>
          <w:rFonts w:ascii="Arial" w:hAnsi="Arial" w:cs="Arial"/>
          <w:b/>
          <w:bCs/>
          <w:color w:val="000000" w:themeColor="text1"/>
        </w:rPr>
      </w:pPr>
    </w:p>
    <w:p w14:paraId="4FE02467" w14:textId="64E15457" w:rsidR="006C732A" w:rsidRDefault="006C732A" w:rsidP="009E5A7F">
      <w:pPr>
        <w:contextualSpacing/>
        <w:rPr>
          <w:rFonts w:ascii="Arial" w:hAnsi="Arial" w:cs="Arial"/>
          <w:b/>
          <w:bCs/>
          <w:color w:val="000000" w:themeColor="text1"/>
        </w:rPr>
      </w:pPr>
    </w:p>
    <w:p w14:paraId="336D6E0A" w14:textId="77777777" w:rsidR="006C732A" w:rsidRDefault="006C732A" w:rsidP="009E5A7F">
      <w:pPr>
        <w:contextualSpacing/>
        <w:rPr>
          <w:rFonts w:ascii="Arial" w:hAnsi="Arial" w:cs="Arial"/>
          <w:b/>
          <w:bCs/>
          <w:color w:val="000000" w:themeColor="text1"/>
        </w:rPr>
      </w:pPr>
    </w:p>
    <w:p w14:paraId="0F4B762E" w14:textId="77777777" w:rsidR="004F39AA" w:rsidRDefault="004F39AA" w:rsidP="009E5A7F">
      <w:pPr>
        <w:contextualSpacing/>
        <w:rPr>
          <w:rFonts w:ascii="Arial" w:hAnsi="Arial" w:cs="Arial"/>
          <w:b/>
          <w:bCs/>
          <w:color w:val="000000" w:themeColor="text1"/>
        </w:rPr>
      </w:pPr>
    </w:p>
    <w:p w14:paraId="23960D14" w14:textId="7063EC06" w:rsidR="009E5A7F" w:rsidRPr="00D74025" w:rsidRDefault="004F39AA" w:rsidP="009E5A7F">
      <w:pPr>
        <w:contextualSpacing/>
        <w:rPr>
          <w:rFonts w:ascii="Arial" w:hAnsi="Arial" w:cs="Arial"/>
          <w:color w:val="000000" w:themeColor="text1"/>
        </w:rPr>
      </w:pPr>
      <w:bookmarkStart w:id="105" w:name="_Toc118978430"/>
      <w:r w:rsidRPr="004F39AA">
        <w:rPr>
          <w:rFonts w:ascii="Arial" w:hAnsi="Arial" w:cs="Arial"/>
          <w:b/>
          <w:bCs/>
          <w:color w:val="000000" w:themeColor="text1"/>
        </w:rPr>
        <w:lastRenderedPageBreak/>
        <w:t xml:space="preserve">Table </w:t>
      </w:r>
      <w:r w:rsidRPr="004F39AA">
        <w:rPr>
          <w:rFonts w:ascii="Arial" w:hAnsi="Arial" w:cs="Arial"/>
          <w:b/>
          <w:bCs/>
          <w:color w:val="000000" w:themeColor="text1"/>
        </w:rPr>
        <w:fldChar w:fldCharType="begin"/>
      </w:r>
      <w:r w:rsidRPr="004F39AA">
        <w:rPr>
          <w:rFonts w:ascii="Arial" w:hAnsi="Arial" w:cs="Arial"/>
          <w:b/>
          <w:bCs/>
          <w:color w:val="000000" w:themeColor="text1"/>
        </w:rPr>
        <w:instrText xml:space="preserve"> SEQ Table \* ARABIC </w:instrText>
      </w:r>
      <w:r w:rsidRPr="004F39AA">
        <w:rPr>
          <w:rFonts w:ascii="Arial" w:hAnsi="Arial" w:cs="Arial"/>
          <w:b/>
          <w:bCs/>
          <w:color w:val="000000" w:themeColor="text1"/>
        </w:rPr>
        <w:fldChar w:fldCharType="separate"/>
      </w:r>
      <w:r w:rsidR="002C4B25">
        <w:rPr>
          <w:rFonts w:ascii="Arial" w:hAnsi="Arial" w:cs="Arial"/>
          <w:b/>
          <w:bCs/>
          <w:noProof/>
          <w:color w:val="000000" w:themeColor="text1"/>
        </w:rPr>
        <w:t>2</w:t>
      </w:r>
      <w:r w:rsidRPr="004F39AA">
        <w:rPr>
          <w:rFonts w:ascii="Arial" w:hAnsi="Arial" w:cs="Arial"/>
          <w:b/>
          <w:bCs/>
          <w:color w:val="000000" w:themeColor="text1"/>
        </w:rPr>
        <w:fldChar w:fldCharType="end"/>
      </w:r>
      <w:r w:rsidR="00ED0382">
        <w:rPr>
          <w:rFonts w:ascii="Arial" w:hAnsi="Arial" w:cs="Arial"/>
          <w:color w:val="000000" w:themeColor="text1"/>
        </w:rPr>
        <w:t>:</w:t>
      </w:r>
      <w:r w:rsidR="009E5A7F" w:rsidRPr="00D74025">
        <w:rPr>
          <w:rFonts w:ascii="Arial" w:hAnsi="Arial" w:cs="Arial"/>
          <w:color w:val="000000" w:themeColor="text1"/>
        </w:rPr>
        <w:t xml:space="preserve"> Chemical structure of the surfactants used for suspending (6,5) SWCNT</w:t>
      </w:r>
      <w:bookmarkEnd w:id="105"/>
      <w:r w:rsidR="009E5A7F" w:rsidRPr="00D74025">
        <w:rPr>
          <w:rFonts w:ascii="Arial" w:hAnsi="Arial" w:cs="Arial"/>
          <w:color w:val="000000" w:themeColor="text1"/>
        </w:rPr>
        <w:t xml:space="preserve"> </w:t>
      </w:r>
    </w:p>
    <w:p w14:paraId="4E806FB6" w14:textId="77777777" w:rsidR="009E5A7F" w:rsidRPr="00D74025" w:rsidRDefault="009E5A7F" w:rsidP="009E5A7F">
      <w:pPr>
        <w:rPr>
          <w:rFonts w:ascii="Arial" w:hAnsi="Arial" w:cs="Arial"/>
          <w:color w:val="000000" w:themeColor="text1"/>
          <w:sz w:val="20"/>
          <w:szCs w:val="20"/>
        </w:rPr>
      </w:pPr>
      <w:r w:rsidRPr="00D74025">
        <w:rPr>
          <w:rFonts w:ascii="Arial" w:hAnsi="Arial" w:cs="Arial"/>
          <w:noProof/>
          <w:color w:val="000000" w:themeColor="text1"/>
          <w:sz w:val="20"/>
          <w:szCs w:val="20"/>
        </w:rPr>
        <w:drawing>
          <wp:inline distT="0" distB="0" distL="0" distR="0" wp14:anchorId="304A82D8" wp14:editId="358A5742">
            <wp:extent cx="5943600" cy="5592445"/>
            <wp:effectExtent l="0" t="0" r="0" b="0"/>
            <wp:docPr id="202" name="Picture 202" descr="Diagram, engineering drawing,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Diagram, engineering drawing, schematic&#10;&#10;Description automatically generated"/>
                    <pic:cNvPicPr/>
                  </pic:nvPicPr>
                  <pic:blipFill>
                    <a:blip r:embed="rId45"/>
                    <a:stretch>
                      <a:fillRect/>
                    </a:stretch>
                  </pic:blipFill>
                  <pic:spPr>
                    <a:xfrm>
                      <a:off x="0" y="0"/>
                      <a:ext cx="5943600" cy="5592445"/>
                    </a:xfrm>
                    <a:prstGeom prst="rect">
                      <a:avLst/>
                    </a:prstGeom>
                  </pic:spPr>
                </pic:pic>
              </a:graphicData>
            </a:graphic>
          </wp:inline>
        </w:drawing>
      </w:r>
    </w:p>
    <w:p w14:paraId="5D5037DE" w14:textId="77777777" w:rsidR="009E5A7F" w:rsidRPr="00D74025" w:rsidRDefault="009E5A7F" w:rsidP="00F64275">
      <w:pPr>
        <w:spacing w:line="360" w:lineRule="auto"/>
        <w:jc w:val="both"/>
        <w:rPr>
          <w:rFonts w:ascii="Arial" w:hAnsi="Arial" w:cs="Arial"/>
          <w:color w:val="000000" w:themeColor="text1"/>
        </w:rPr>
      </w:pPr>
    </w:p>
    <w:p w14:paraId="0ED6791E" w14:textId="5882040F" w:rsidR="000A53BF" w:rsidRPr="00631C7C" w:rsidRDefault="00631C7C" w:rsidP="00631C7C">
      <w:pPr>
        <w:pStyle w:val="Heading3"/>
        <w:rPr>
          <w:rFonts w:ascii="Arial" w:hAnsi="Arial" w:cs="Arial"/>
          <w:b/>
          <w:bCs/>
          <w:color w:val="000000" w:themeColor="text1"/>
        </w:rPr>
      </w:pPr>
      <w:bookmarkStart w:id="106" w:name="_Toc121217270"/>
      <w:r w:rsidRPr="00631C7C">
        <w:rPr>
          <w:rFonts w:ascii="Arial" w:hAnsi="Arial" w:cs="Arial"/>
          <w:b/>
          <w:bCs/>
          <w:color w:val="000000" w:themeColor="text1"/>
        </w:rPr>
        <w:t>2.6.3 Analysis of suspension of SWC</w:t>
      </w:r>
      <w:r w:rsidR="00187AE6">
        <w:rPr>
          <w:rFonts w:ascii="Arial" w:hAnsi="Arial" w:cs="Arial"/>
          <w:b/>
          <w:bCs/>
          <w:color w:val="000000" w:themeColor="text1"/>
        </w:rPr>
        <w:t>N</w:t>
      </w:r>
      <w:r w:rsidRPr="00631C7C">
        <w:rPr>
          <w:rFonts w:ascii="Arial" w:hAnsi="Arial" w:cs="Arial"/>
          <w:b/>
          <w:bCs/>
          <w:color w:val="000000" w:themeColor="text1"/>
        </w:rPr>
        <w:t>T in solvent ethanol</w:t>
      </w:r>
      <w:bookmarkEnd w:id="106"/>
    </w:p>
    <w:p w14:paraId="1A71C6B6" w14:textId="7EEAF1EF" w:rsidR="00132319" w:rsidRPr="00D74025" w:rsidRDefault="00F940B9" w:rsidP="00D97547">
      <w:pPr>
        <w:spacing w:line="360" w:lineRule="auto"/>
        <w:ind w:firstLine="1440"/>
        <w:jc w:val="both"/>
        <w:rPr>
          <w:rFonts w:ascii="Arial" w:hAnsi="Arial" w:cs="Arial"/>
          <w:color w:val="000000" w:themeColor="text1"/>
        </w:rPr>
      </w:pPr>
      <w:r>
        <w:rPr>
          <w:rFonts w:ascii="Arial" w:hAnsi="Arial" w:cs="Arial"/>
          <w:color w:val="000000" w:themeColor="text1"/>
        </w:rPr>
        <w:t>Instead of using an aqueous environment and surfactants to suspend SWCNT, solvent ethanol was used to analyze if the suspension in solvent improves the responsivity of SWC</w:t>
      </w:r>
      <w:r w:rsidR="00187AE6">
        <w:rPr>
          <w:rFonts w:ascii="Arial" w:hAnsi="Arial" w:cs="Arial"/>
          <w:color w:val="000000" w:themeColor="text1"/>
        </w:rPr>
        <w:t>N</w:t>
      </w:r>
      <w:r>
        <w:rPr>
          <w:rFonts w:ascii="Arial" w:hAnsi="Arial" w:cs="Arial"/>
          <w:color w:val="000000" w:themeColor="text1"/>
        </w:rPr>
        <w:t xml:space="preserve">T in RF compared to surfactant systems. For that, the responsivity of ethanol was analyzed using 1 ml samples in a cuvette. Then, (6,5) SWCNT were suspended at 500 mg/L in HPLC ethanol by sonication for 1 hour. </w:t>
      </w:r>
      <w:r w:rsidR="006C732A">
        <w:rPr>
          <w:rFonts w:ascii="Arial" w:hAnsi="Arial" w:cs="Arial"/>
          <w:color w:val="000000" w:themeColor="text1"/>
        </w:rPr>
        <w:t>A 1 ml</w:t>
      </w:r>
      <w:r>
        <w:rPr>
          <w:rFonts w:ascii="Arial" w:hAnsi="Arial" w:cs="Arial"/>
          <w:color w:val="000000" w:themeColor="text1"/>
        </w:rPr>
        <w:t xml:space="preserve"> sample of that suspension was placed in a cuvette and irradiated with a 13.56 MHz RF field.</w:t>
      </w:r>
    </w:p>
    <w:p w14:paraId="0215848E" w14:textId="69333B72" w:rsidR="00A22CE2" w:rsidRPr="00D74025" w:rsidRDefault="009468A1" w:rsidP="002743C2">
      <w:pPr>
        <w:pStyle w:val="Heading3"/>
        <w:rPr>
          <w:rFonts w:ascii="Arial" w:hAnsi="Arial" w:cs="Arial"/>
          <w:b/>
          <w:bCs/>
          <w:color w:val="000000" w:themeColor="text1"/>
        </w:rPr>
      </w:pPr>
      <w:bookmarkStart w:id="107" w:name="_Toc121217271"/>
      <w:r w:rsidRPr="00D74025">
        <w:rPr>
          <w:rFonts w:ascii="Arial" w:hAnsi="Arial" w:cs="Arial"/>
          <w:b/>
          <w:bCs/>
          <w:color w:val="000000" w:themeColor="text1"/>
        </w:rPr>
        <w:lastRenderedPageBreak/>
        <w:t>2.</w:t>
      </w:r>
      <w:r w:rsidR="0072039A">
        <w:rPr>
          <w:rFonts w:ascii="Arial" w:hAnsi="Arial" w:cs="Arial"/>
          <w:b/>
          <w:bCs/>
          <w:color w:val="000000" w:themeColor="text1"/>
        </w:rPr>
        <w:t>6</w:t>
      </w:r>
      <w:r w:rsidRPr="00D74025">
        <w:rPr>
          <w:rFonts w:ascii="Arial" w:hAnsi="Arial" w:cs="Arial"/>
          <w:b/>
          <w:bCs/>
          <w:color w:val="000000" w:themeColor="text1"/>
        </w:rPr>
        <w:t>.</w:t>
      </w:r>
      <w:r w:rsidR="002A5EE3">
        <w:rPr>
          <w:rFonts w:ascii="Arial" w:hAnsi="Arial" w:cs="Arial"/>
          <w:b/>
          <w:bCs/>
          <w:color w:val="000000" w:themeColor="text1"/>
        </w:rPr>
        <w:t>4</w:t>
      </w:r>
      <w:r w:rsidRPr="00D74025">
        <w:rPr>
          <w:rFonts w:ascii="Arial" w:hAnsi="Arial" w:cs="Arial"/>
          <w:b/>
          <w:bCs/>
          <w:color w:val="000000" w:themeColor="text1"/>
        </w:rPr>
        <w:t xml:space="preserve"> </w:t>
      </w:r>
      <w:r w:rsidR="00895637" w:rsidRPr="00D74025">
        <w:rPr>
          <w:rFonts w:ascii="Arial" w:hAnsi="Arial" w:cs="Arial"/>
          <w:b/>
          <w:bCs/>
          <w:color w:val="000000" w:themeColor="text1"/>
        </w:rPr>
        <w:t xml:space="preserve">Analysis of </w:t>
      </w:r>
      <w:r w:rsidRPr="00D74025">
        <w:rPr>
          <w:rFonts w:ascii="Arial" w:hAnsi="Arial" w:cs="Arial"/>
          <w:b/>
          <w:bCs/>
          <w:color w:val="000000" w:themeColor="text1"/>
        </w:rPr>
        <w:t>SWC</w:t>
      </w:r>
      <w:r w:rsidR="00187AE6">
        <w:rPr>
          <w:rFonts w:ascii="Arial" w:hAnsi="Arial" w:cs="Arial"/>
          <w:b/>
          <w:bCs/>
          <w:color w:val="000000" w:themeColor="text1"/>
        </w:rPr>
        <w:t>N</w:t>
      </w:r>
      <w:r w:rsidRPr="00D74025">
        <w:rPr>
          <w:rFonts w:ascii="Arial" w:hAnsi="Arial" w:cs="Arial"/>
          <w:b/>
          <w:bCs/>
          <w:color w:val="000000" w:themeColor="text1"/>
        </w:rPr>
        <w:t>T-</w:t>
      </w:r>
      <w:r w:rsidR="006A0F58" w:rsidRPr="00D74025">
        <w:rPr>
          <w:rFonts w:ascii="Arial" w:hAnsi="Arial" w:cs="Arial"/>
          <w:b/>
          <w:bCs/>
          <w:color w:val="000000" w:themeColor="text1"/>
        </w:rPr>
        <w:t xml:space="preserve">ANXA5 </w:t>
      </w:r>
      <w:r w:rsidR="00895637" w:rsidRPr="00D74025">
        <w:rPr>
          <w:rFonts w:ascii="Arial" w:hAnsi="Arial" w:cs="Arial"/>
          <w:b/>
          <w:bCs/>
          <w:color w:val="000000" w:themeColor="text1"/>
        </w:rPr>
        <w:t>response to radiofrequency irradiation</w:t>
      </w:r>
      <w:bookmarkEnd w:id="107"/>
    </w:p>
    <w:p w14:paraId="4728B34E" w14:textId="7F739837" w:rsidR="00895637" w:rsidRPr="00D74025" w:rsidRDefault="00895637" w:rsidP="00F845C8">
      <w:pPr>
        <w:spacing w:line="360" w:lineRule="auto"/>
        <w:ind w:firstLine="1440"/>
        <w:jc w:val="both"/>
        <w:rPr>
          <w:rFonts w:ascii="Arial" w:hAnsi="Arial" w:cs="Arial"/>
          <w:color w:val="000000" w:themeColor="text1"/>
        </w:rPr>
      </w:pPr>
    </w:p>
    <w:p w14:paraId="3B8084A0" w14:textId="65329A4F" w:rsidR="00FA6C70" w:rsidRPr="00D74025" w:rsidRDefault="00FA6C70" w:rsidP="00FA6C70">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SWCNT-ANXA5 was produced </w:t>
      </w:r>
      <w:r>
        <w:rPr>
          <w:rFonts w:ascii="Arial" w:hAnsi="Arial" w:cs="Arial"/>
          <w:color w:val="000000" w:themeColor="text1"/>
        </w:rPr>
        <w:t>using protocol from</w:t>
      </w:r>
      <w:r w:rsidRPr="00D74025">
        <w:rPr>
          <w:rFonts w:ascii="Arial" w:hAnsi="Arial" w:cs="Arial"/>
          <w:color w:val="000000" w:themeColor="text1"/>
        </w:rPr>
        <w:t xml:space="preserve"> </w:t>
      </w:r>
      <w:r w:rsidRPr="0031554C">
        <w:rPr>
          <w:rFonts w:ascii="Arial" w:hAnsi="Arial" w:cs="Arial"/>
          <w:color w:val="000000" w:themeColor="text1"/>
        </w:rPr>
        <w:t>section 2.</w:t>
      </w:r>
      <w:r w:rsidR="0031554C" w:rsidRPr="0031554C">
        <w:rPr>
          <w:rFonts w:ascii="Arial" w:hAnsi="Arial" w:cs="Arial"/>
          <w:color w:val="000000" w:themeColor="text1"/>
        </w:rPr>
        <w:t>1</w:t>
      </w:r>
      <w:r w:rsidRPr="0031554C">
        <w:rPr>
          <w:rFonts w:ascii="Arial" w:hAnsi="Arial" w:cs="Arial"/>
          <w:color w:val="000000" w:themeColor="text1"/>
        </w:rPr>
        <w:t>.</w:t>
      </w:r>
      <w:r w:rsidR="0031554C" w:rsidRPr="0031554C">
        <w:rPr>
          <w:rFonts w:ascii="Arial" w:hAnsi="Arial" w:cs="Arial"/>
          <w:color w:val="000000" w:themeColor="text1"/>
        </w:rPr>
        <w:t>2</w:t>
      </w:r>
      <w:r w:rsidRPr="0031554C">
        <w:rPr>
          <w:rFonts w:ascii="Arial" w:hAnsi="Arial" w:cs="Arial"/>
          <w:color w:val="000000" w:themeColor="text1"/>
        </w:rPr>
        <w:t>.</w:t>
      </w:r>
      <w:r w:rsidRPr="00D74025">
        <w:rPr>
          <w:rFonts w:ascii="Arial" w:hAnsi="Arial" w:cs="Arial"/>
          <w:color w:val="000000" w:themeColor="text1"/>
        </w:rPr>
        <w:t xml:space="preserve"> The final concentration of SWCNT in the conjugate was 115 mg/L. </w:t>
      </w:r>
      <w:r w:rsidR="00807B94">
        <w:rPr>
          <w:rFonts w:ascii="Arial" w:hAnsi="Arial" w:cs="Arial"/>
          <w:color w:val="000000" w:themeColor="text1"/>
        </w:rPr>
        <w:t>S</w:t>
      </w:r>
      <w:r w:rsidRPr="00D74025">
        <w:rPr>
          <w:rFonts w:ascii="Arial" w:hAnsi="Arial" w:cs="Arial"/>
          <w:color w:val="000000" w:themeColor="text1"/>
        </w:rPr>
        <w:t xml:space="preserve">amples </w:t>
      </w:r>
      <w:r w:rsidR="00807B94">
        <w:rPr>
          <w:rFonts w:ascii="Arial" w:hAnsi="Arial" w:cs="Arial"/>
          <w:color w:val="000000" w:themeColor="text1"/>
        </w:rPr>
        <w:t xml:space="preserve">(1 ml) </w:t>
      </w:r>
      <w:r w:rsidRPr="00D74025">
        <w:rPr>
          <w:rFonts w:ascii="Arial" w:hAnsi="Arial" w:cs="Arial"/>
          <w:color w:val="000000" w:themeColor="text1"/>
        </w:rPr>
        <w:t xml:space="preserve">were placed in 6 ml-cuvette. </w:t>
      </w:r>
      <w:r>
        <w:rPr>
          <w:rFonts w:ascii="Arial" w:hAnsi="Arial" w:cs="Arial"/>
          <w:color w:val="000000" w:themeColor="text1"/>
        </w:rPr>
        <w:t>The temperature</w:t>
      </w:r>
      <w:r w:rsidRPr="00D74025">
        <w:rPr>
          <w:rFonts w:ascii="Arial" w:hAnsi="Arial" w:cs="Arial"/>
          <w:color w:val="000000" w:themeColor="text1"/>
        </w:rPr>
        <w:t xml:space="preserve"> was assessed with </w:t>
      </w:r>
      <w:r>
        <w:rPr>
          <w:rFonts w:ascii="Arial" w:hAnsi="Arial" w:cs="Arial"/>
          <w:color w:val="000000" w:themeColor="text1"/>
        </w:rPr>
        <w:t xml:space="preserve">a </w:t>
      </w:r>
      <w:r w:rsidRPr="00D74025">
        <w:rPr>
          <w:rFonts w:ascii="Arial" w:hAnsi="Arial" w:cs="Arial"/>
          <w:color w:val="000000" w:themeColor="text1"/>
        </w:rPr>
        <w:t xml:space="preserve">type K thermocouple inserted in </w:t>
      </w:r>
      <w:r>
        <w:rPr>
          <w:rFonts w:ascii="Arial" w:hAnsi="Arial" w:cs="Arial"/>
          <w:color w:val="000000" w:themeColor="text1"/>
        </w:rPr>
        <w:t xml:space="preserve">the </w:t>
      </w:r>
      <w:r w:rsidRPr="00D74025">
        <w:rPr>
          <w:rFonts w:ascii="Arial" w:hAnsi="Arial" w:cs="Arial"/>
          <w:color w:val="000000" w:themeColor="text1"/>
        </w:rPr>
        <w:t xml:space="preserve">liquid phase immediately before and after </w:t>
      </w:r>
      <w:r>
        <w:rPr>
          <w:rFonts w:ascii="Arial" w:hAnsi="Arial" w:cs="Arial"/>
          <w:color w:val="000000" w:themeColor="text1"/>
        </w:rPr>
        <w:t xml:space="preserve">an </w:t>
      </w:r>
      <w:r w:rsidRPr="00D74025">
        <w:rPr>
          <w:rFonts w:ascii="Arial" w:hAnsi="Arial" w:cs="Arial"/>
          <w:color w:val="000000" w:themeColor="text1"/>
        </w:rPr>
        <w:t xml:space="preserve">irradiation session of 60 s. Samples </w:t>
      </w:r>
      <w:r>
        <w:rPr>
          <w:rFonts w:ascii="Arial" w:hAnsi="Arial" w:cs="Arial"/>
          <w:color w:val="000000" w:themeColor="text1"/>
        </w:rPr>
        <w:t>were placed</w:t>
      </w:r>
      <w:r w:rsidRPr="00D74025">
        <w:rPr>
          <w:rFonts w:ascii="Arial" w:hAnsi="Arial" w:cs="Arial"/>
          <w:color w:val="000000" w:themeColor="text1"/>
        </w:rPr>
        <w:t xml:space="preserve"> between loading plates of </w:t>
      </w:r>
      <w:r>
        <w:rPr>
          <w:rFonts w:ascii="Arial" w:hAnsi="Arial" w:cs="Arial"/>
          <w:color w:val="000000" w:themeColor="text1"/>
        </w:rPr>
        <w:t xml:space="preserve">the </w:t>
      </w:r>
      <w:proofErr w:type="spellStart"/>
      <w:r w:rsidRPr="00D74025">
        <w:rPr>
          <w:rFonts w:ascii="Arial" w:hAnsi="Arial" w:cs="Arial"/>
          <w:color w:val="000000" w:themeColor="text1"/>
        </w:rPr>
        <w:t>Comdel</w:t>
      </w:r>
      <w:proofErr w:type="spellEnd"/>
      <w:r w:rsidRPr="00D74025">
        <w:rPr>
          <w:rFonts w:ascii="Arial" w:hAnsi="Arial" w:cs="Arial"/>
          <w:color w:val="000000" w:themeColor="text1"/>
        </w:rPr>
        <w:t xml:space="preserve"> system (13.56 MHz) and irradiated at 300 W power output. Control samples were </w:t>
      </w:r>
      <w:r>
        <w:rPr>
          <w:rFonts w:ascii="Arial" w:hAnsi="Arial" w:cs="Arial"/>
          <w:color w:val="000000" w:themeColor="text1"/>
        </w:rPr>
        <w:t>deionized</w:t>
      </w:r>
      <w:r w:rsidRPr="00D74025">
        <w:rPr>
          <w:rFonts w:ascii="Arial" w:hAnsi="Arial" w:cs="Arial"/>
          <w:color w:val="000000" w:themeColor="text1"/>
        </w:rPr>
        <w:t xml:space="preserve"> water (DI water) and phosphate buffer</w:t>
      </w:r>
      <w:r w:rsidR="00807B94">
        <w:rPr>
          <w:rFonts w:ascii="Arial" w:hAnsi="Arial" w:cs="Arial"/>
          <w:color w:val="000000" w:themeColor="text1"/>
        </w:rPr>
        <w:t>ed</w:t>
      </w:r>
      <w:r w:rsidRPr="00D74025">
        <w:rPr>
          <w:rFonts w:ascii="Arial" w:hAnsi="Arial" w:cs="Arial"/>
          <w:color w:val="000000" w:themeColor="text1"/>
        </w:rPr>
        <w:t xml:space="preserve"> saline (PBS).</w:t>
      </w:r>
    </w:p>
    <w:p w14:paraId="7070A3A7" w14:textId="2C432CB7" w:rsidR="000C173A" w:rsidRPr="00D74025" w:rsidRDefault="000C173A" w:rsidP="000C173A">
      <w:pPr>
        <w:spacing w:line="360" w:lineRule="auto"/>
        <w:jc w:val="both"/>
        <w:rPr>
          <w:rFonts w:ascii="Arial" w:hAnsi="Arial" w:cs="Arial"/>
          <w:color w:val="000000" w:themeColor="text1"/>
        </w:rPr>
      </w:pPr>
    </w:p>
    <w:p w14:paraId="28172373" w14:textId="075A45F6" w:rsidR="000C173A" w:rsidRPr="00D74025" w:rsidRDefault="000C173A" w:rsidP="000A366D">
      <w:pPr>
        <w:pStyle w:val="Heading3"/>
        <w:spacing w:line="360" w:lineRule="auto"/>
        <w:rPr>
          <w:rFonts w:ascii="Arial" w:hAnsi="Arial" w:cs="Arial"/>
          <w:b/>
          <w:bCs/>
          <w:color w:val="000000" w:themeColor="text1"/>
        </w:rPr>
      </w:pPr>
      <w:bookmarkStart w:id="108" w:name="_Toc121217272"/>
      <w:r w:rsidRPr="00D74025">
        <w:rPr>
          <w:rFonts w:ascii="Arial" w:hAnsi="Arial" w:cs="Arial"/>
          <w:b/>
          <w:bCs/>
          <w:color w:val="000000" w:themeColor="text1"/>
        </w:rPr>
        <w:t>2.</w:t>
      </w:r>
      <w:r w:rsidR="0072039A">
        <w:rPr>
          <w:rFonts w:ascii="Arial" w:hAnsi="Arial" w:cs="Arial"/>
          <w:b/>
          <w:bCs/>
          <w:color w:val="000000" w:themeColor="text1"/>
        </w:rPr>
        <w:t>6</w:t>
      </w:r>
      <w:r w:rsidRPr="00D74025">
        <w:rPr>
          <w:rFonts w:ascii="Arial" w:hAnsi="Arial" w:cs="Arial"/>
          <w:b/>
          <w:bCs/>
          <w:color w:val="000000" w:themeColor="text1"/>
        </w:rPr>
        <w:t>.</w:t>
      </w:r>
      <w:r w:rsidR="002A5EE3">
        <w:rPr>
          <w:rFonts w:ascii="Arial" w:hAnsi="Arial" w:cs="Arial"/>
          <w:b/>
          <w:bCs/>
          <w:color w:val="000000" w:themeColor="text1"/>
        </w:rPr>
        <w:t>5</w:t>
      </w:r>
      <w:r w:rsidRPr="00D74025">
        <w:rPr>
          <w:rFonts w:ascii="Arial" w:hAnsi="Arial" w:cs="Arial"/>
          <w:b/>
          <w:bCs/>
          <w:color w:val="000000" w:themeColor="text1"/>
        </w:rPr>
        <w:t xml:space="preserve"> Assessment of radiofrequency responsivity of CNT sample</w:t>
      </w:r>
      <w:r w:rsidR="00447DE2" w:rsidRPr="00D74025">
        <w:rPr>
          <w:rFonts w:ascii="Arial" w:hAnsi="Arial" w:cs="Arial"/>
          <w:b/>
          <w:bCs/>
          <w:color w:val="000000" w:themeColor="text1"/>
        </w:rPr>
        <w:t xml:space="preserve">s with different </w:t>
      </w:r>
      <w:proofErr w:type="spellStart"/>
      <w:r w:rsidR="00447DE2" w:rsidRPr="00D74025">
        <w:rPr>
          <w:rFonts w:ascii="Arial" w:hAnsi="Arial" w:cs="Arial"/>
          <w:b/>
          <w:bCs/>
          <w:color w:val="000000" w:themeColor="text1"/>
        </w:rPr>
        <w:t>chiralities</w:t>
      </w:r>
      <w:bookmarkEnd w:id="108"/>
      <w:proofErr w:type="spellEnd"/>
    </w:p>
    <w:p w14:paraId="0DEEF8B6" w14:textId="19C964B8" w:rsidR="001E1CDC" w:rsidRPr="00D74025" w:rsidRDefault="001E1CDC" w:rsidP="001E1CDC">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The chirality of CNT determines </w:t>
      </w:r>
      <w:r>
        <w:rPr>
          <w:rFonts w:ascii="Arial" w:hAnsi="Arial" w:cs="Arial"/>
          <w:color w:val="000000" w:themeColor="text1"/>
        </w:rPr>
        <w:t xml:space="preserve">the </w:t>
      </w:r>
      <w:r w:rsidRPr="00D74025">
        <w:rPr>
          <w:rFonts w:ascii="Arial" w:hAnsi="Arial" w:cs="Arial"/>
          <w:color w:val="000000" w:themeColor="text1"/>
        </w:rPr>
        <w:t>properties of carbon nanotubes. For the NIR irradiation, it is known that (6,5)</w:t>
      </w:r>
      <w:r>
        <w:rPr>
          <w:rFonts w:ascii="Arial" w:hAnsi="Arial" w:cs="Arial"/>
          <w:color w:val="000000" w:themeColor="text1"/>
        </w:rPr>
        <w:t xml:space="preserve"> </w:t>
      </w:r>
      <w:r w:rsidRPr="00D74025">
        <w:rPr>
          <w:rFonts w:ascii="Arial" w:hAnsi="Arial" w:cs="Arial"/>
          <w:color w:val="000000" w:themeColor="text1"/>
        </w:rPr>
        <w:t xml:space="preserve">SWCNT </w:t>
      </w:r>
      <w:r>
        <w:rPr>
          <w:rFonts w:ascii="Arial" w:hAnsi="Arial" w:cs="Arial"/>
          <w:color w:val="000000" w:themeColor="text1"/>
        </w:rPr>
        <w:t>is</w:t>
      </w:r>
      <w:r w:rsidRPr="00D74025">
        <w:rPr>
          <w:rFonts w:ascii="Arial" w:hAnsi="Arial" w:cs="Arial"/>
          <w:color w:val="000000" w:themeColor="text1"/>
        </w:rPr>
        <w:t xml:space="preserve"> efficient at absorbing that energy and transforming it into heat due to the absorbance spectrum. For RF irradiation, more experiments are necessary to determine which chirality is more responsive for that wavelength. Therefore</w:t>
      </w:r>
      <w:r>
        <w:rPr>
          <w:rFonts w:ascii="Arial" w:hAnsi="Arial" w:cs="Arial"/>
          <w:color w:val="000000" w:themeColor="text1"/>
        </w:rPr>
        <w:t>,</w:t>
      </w:r>
      <w:r w:rsidRPr="00D74025">
        <w:rPr>
          <w:rFonts w:ascii="Arial" w:hAnsi="Arial" w:cs="Arial"/>
          <w:color w:val="000000" w:themeColor="text1"/>
        </w:rPr>
        <w:t xml:space="preserve"> </w:t>
      </w:r>
      <w:r>
        <w:rPr>
          <w:rFonts w:ascii="Arial" w:hAnsi="Arial" w:cs="Arial"/>
          <w:color w:val="000000" w:themeColor="text1"/>
        </w:rPr>
        <w:t>an</w:t>
      </w:r>
      <w:r w:rsidRPr="00D74025">
        <w:rPr>
          <w:rFonts w:ascii="Arial" w:hAnsi="Arial" w:cs="Arial"/>
          <w:color w:val="000000" w:themeColor="text1"/>
        </w:rPr>
        <w:t xml:space="preserve"> experiment was established to assess </w:t>
      </w:r>
      <w:r>
        <w:rPr>
          <w:rFonts w:ascii="Arial" w:hAnsi="Arial" w:cs="Arial"/>
          <w:color w:val="000000" w:themeColor="text1"/>
        </w:rPr>
        <w:t>chirality's effect on RF responsiveness</w:t>
      </w:r>
      <w:r w:rsidRPr="00D74025">
        <w:rPr>
          <w:rFonts w:ascii="Arial" w:hAnsi="Arial" w:cs="Arial"/>
          <w:color w:val="000000" w:themeColor="text1"/>
        </w:rPr>
        <w:t>.</w:t>
      </w:r>
      <w:r>
        <w:rPr>
          <w:rFonts w:ascii="Arial" w:hAnsi="Arial" w:cs="Arial"/>
          <w:color w:val="000000" w:themeColor="text1"/>
        </w:rPr>
        <w:t xml:space="preserve"> </w:t>
      </w:r>
      <w:r w:rsidRPr="00D74025">
        <w:rPr>
          <w:rFonts w:ascii="Arial" w:hAnsi="Arial" w:cs="Arial"/>
          <w:color w:val="000000" w:themeColor="text1"/>
        </w:rPr>
        <w:t>CHASM</w:t>
      </w:r>
      <w:r w:rsidRPr="00D74025">
        <w:rPr>
          <w:rFonts w:ascii="Arial" w:hAnsi="Arial" w:cs="Arial"/>
          <w:color w:val="000000" w:themeColor="text1"/>
        </w:rPr>
        <w:sym w:font="Symbol" w:char="F0D4"/>
      </w:r>
      <w:r w:rsidRPr="00D74025">
        <w:rPr>
          <w:rFonts w:ascii="Arial" w:hAnsi="Arial" w:cs="Arial"/>
          <w:color w:val="000000" w:themeColor="text1"/>
        </w:rPr>
        <w:t xml:space="preserve"> provided samples of CNT different chiral enrichments</w:t>
      </w:r>
      <w:r>
        <w:rPr>
          <w:rFonts w:ascii="Arial" w:hAnsi="Arial" w:cs="Arial"/>
          <w:color w:val="000000" w:themeColor="text1"/>
        </w:rPr>
        <w:t xml:space="preserve">, as shown in </w:t>
      </w:r>
      <w:r w:rsidR="00020855" w:rsidRPr="00020855">
        <w:rPr>
          <w:rFonts w:ascii="Arial" w:hAnsi="Arial" w:cs="Arial"/>
          <w:b/>
          <w:bCs/>
          <w:color w:val="000000" w:themeColor="text1"/>
        </w:rPr>
        <w:t>T</w:t>
      </w:r>
      <w:r w:rsidRPr="00020855">
        <w:rPr>
          <w:rFonts w:ascii="Arial" w:hAnsi="Arial" w:cs="Arial"/>
          <w:b/>
          <w:bCs/>
          <w:color w:val="000000" w:themeColor="text1"/>
        </w:rPr>
        <w:t xml:space="preserve">able </w:t>
      </w:r>
      <w:r w:rsidR="00020855" w:rsidRPr="00020855">
        <w:rPr>
          <w:rFonts w:ascii="Arial" w:hAnsi="Arial" w:cs="Arial"/>
          <w:b/>
          <w:bCs/>
          <w:color w:val="000000" w:themeColor="text1"/>
        </w:rPr>
        <w:t>3</w:t>
      </w:r>
      <w:r w:rsidRPr="00020855">
        <w:rPr>
          <w:rFonts w:ascii="Arial" w:hAnsi="Arial" w:cs="Arial"/>
          <w:color w:val="000000" w:themeColor="text1"/>
        </w:rPr>
        <w:t>.</w:t>
      </w:r>
    </w:p>
    <w:p w14:paraId="1FA7D336" w14:textId="6156C4B4" w:rsidR="004F39AA" w:rsidRDefault="004F39AA" w:rsidP="00BD1BF5">
      <w:pPr>
        <w:spacing w:line="360" w:lineRule="auto"/>
        <w:contextualSpacing/>
        <w:jc w:val="both"/>
        <w:rPr>
          <w:rFonts w:ascii="Arial" w:hAnsi="Arial" w:cs="Arial"/>
          <w:b/>
          <w:bCs/>
          <w:color w:val="000000" w:themeColor="text1"/>
        </w:rPr>
      </w:pPr>
    </w:p>
    <w:p w14:paraId="58C51ED5" w14:textId="1D3CAB5F" w:rsidR="00807B94" w:rsidRDefault="00807B94" w:rsidP="00BD1BF5">
      <w:pPr>
        <w:spacing w:line="360" w:lineRule="auto"/>
        <w:contextualSpacing/>
        <w:jc w:val="both"/>
        <w:rPr>
          <w:rFonts w:ascii="Arial" w:hAnsi="Arial" w:cs="Arial"/>
          <w:b/>
          <w:bCs/>
          <w:color w:val="000000" w:themeColor="text1"/>
        </w:rPr>
      </w:pPr>
    </w:p>
    <w:p w14:paraId="3B8714C2" w14:textId="5C1EC106" w:rsidR="00807B94" w:rsidRDefault="00807B94" w:rsidP="00BD1BF5">
      <w:pPr>
        <w:spacing w:line="360" w:lineRule="auto"/>
        <w:contextualSpacing/>
        <w:jc w:val="both"/>
        <w:rPr>
          <w:rFonts w:ascii="Arial" w:hAnsi="Arial" w:cs="Arial"/>
          <w:b/>
          <w:bCs/>
          <w:color w:val="000000" w:themeColor="text1"/>
        </w:rPr>
      </w:pPr>
    </w:p>
    <w:p w14:paraId="22DFDAD9" w14:textId="59793660" w:rsidR="00807B94" w:rsidRDefault="00807B94" w:rsidP="00BD1BF5">
      <w:pPr>
        <w:spacing w:line="360" w:lineRule="auto"/>
        <w:contextualSpacing/>
        <w:jc w:val="both"/>
        <w:rPr>
          <w:rFonts w:ascii="Arial" w:hAnsi="Arial" w:cs="Arial"/>
          <w:b/>
          <w:bCs/>
          <w:color w:val="000000" w:themeColor="text1"/>
        </w:rPr>
      </w:pPr>
    </w:p>
    <w:p w14:paraId="1A27E62E" w14:textId="3D62B0FB" w:rsidR="00807B94" w:rsidRDefault="00807B94" w:rsidP="00BD1BF5">
      <w:pPr>
        <w:spacing w:line="360" w:lineRule="auto"/>
        <w:contextualSpacing/>
        <w:jc w:val="both"/>
        <w:rPr>
          <w:rFonts w:ascii="Arial" w:hAnsi="Arial" w:cs="Arial"/>
          <w:b/>
          <w:bCs/>
          <w:color w:val="000000" w:themeColor="text1"/>
        </w:rPr>
      </w:pPr>
    </w:p>
    <w:p w14:paraId="2559371A" w14:textId="77777777" w:rsidR="00D97547" w:rsidRDefault="00D97547" w:rsidP="00BD1BF5">
      <w:pPr>
        <w:spacing w:line="360" w:lineRule="auto"/>
        <w:contextualSpacing/>
        <w:jc w:val="both"/>
        <w:rPr>
          <w:rFonts w:ascii="Arial" w:hAnsi="Arial" w:cs="Arial"/>
          <w:b/>
          <w:bCs/>
          <w:color w:val="000000" w:themeColor="text1"/>
        </w:rPr>
      </w:pPr>
    </w:p>
    <w:p w14:paraId="4BADC462" w14:textId="77777777" w:rsidR="00D97547" w:rsidRDefault="00D97547" w:rsidP="00BD1BF5">
      <w:pPr>
        <w:spacing w:line="360" w:lineRule="auto"/>
        <w:contextualSpacing/>
        <w:jc w:val="both"/>
        <w:rPr>
          <w:rFonts w:ascii="Arial" w:hAnsi="Arial" w:cs="Arial"/>
          <w:b/>
          <w:bCs/>
          <w:color w:val="000000" w:themeColor="text1"/>
        </w:rPr>
      </w:pPr>
    </w:p>
    <w:p w14:paraId="0E2C55A5" w14:textId="77777777" w:rsidR="00807B94" w:rsidRDefault="00807B94" w:rsidP="00BD1BF5">
      <w:pPr>
        <w:spacing w:line="360" w:lineRule="auto"/>
        <w:contextualSpacing/>
        <w:jc w:val="both"/>
        <w:rPr>
          <w:rFonts w:ascii="Arial" w:hAnsi="Arial" w:cs="Arial"/>
          <w:b/>
          <w:bCs/>
          <w:color w:val="000000" w:themeColor="text1"/>
        </w:rPr>
      </w:pPr>
    </w:p>
    <w:p w14:paraId="70DD3E14" w14:textId="402419CF" w:rsidR="00025018" w:rsidRPr="00D74025" w:rsidRDefault="004F39AA" w:rsidP="004F39AA">
      <w:pPr>
        <w:spacing w:line="360" w:lineRule="auto"/>
        <w:contextualSpacing/>
        <w:jc w:val="both"/>
        <w:rPr>
          <w:rFonts w:ascii="Arial" w:hAnsi="Arial" w:cs="Arial"/>
          <w:color w:val="000000" w:themeColor="text1"/>
        </w:rPr>
      </w:pPr>
      <w:bookmarkStart w:id="109" w:name="_Toc118978431"/>
      <w:r w:rsidRPr="004F39AA">
        <w:rPr>
          <w:rFonts w:ascii="Arial" w:hAnsi="Arial" w:cs="Arial"/>
          <w:b/>
          <w:bCs/>
          <w:color w:val="000000" w:themeColor="text1"/>
        </w:rPr>
        <w:lastRenderedPageBreak/>
        <w:t xml:space="preserve">Table </w:t>
      </w:r>
      <w:r w:rsidRPr="004F39AA">
        <w:rPr>
          <w:rFonts w:ascii="Arial" w:hAnsi="Arial" w:cs="Arial"/>
          <w:b/>
          <w:bCs/>
          <w:color w:val="000000" w:themeColor="text1"/>
        </w:rPr>
        <w:fldChar w:fldCharType="begin"/>
      </w:r>
      <w:r w:rsidRPr="004F39AA">
        <w:rPr>
          <w:rFonts w:ascii="Arial" w:hAnsi="Arial" w:cs="Arial"/>
          <w:b/>
          <w:bCs/>
          <w:color w:val="000000" w:themeColor="text1"/>
        </w:rPr>
        <w:instrText xml:space="preserve"> SEQ Table \* ARABIC </w:instrText>
      </w:r>
      <w:r w:rsidRPr="004F39AA">
        <w:rPr>
          <w:rFonts w:ascii="Arial" w:hAnsi="Arial" w:cs="Arial"/>
          <w:b/>
          <w:bCs/>
          <w:color w:val="000000" w:themeColor="text1"/>
        </w:rPr>
        <w:fldChar w:fldCharType="separate"/>
      </w:r>
      <w:r w:rsidR="002C4B25">
        <w:rPr>
          <w:rFonts w:ascii="Arial" w:hAnsi="Arial" w:cs="Arial"/>
          <w:b/>
          <w:bCs/>
          <w:noProof/>
          <w:color w:val="000000" w:themeColor="text1"/>
        </w:rPr>
        <w:t>3</w:t>
      </w:r>
      <w:r w:rsidRPr="004F39AA">
        <w:rPr>
          <w:rFonts w:ascii="Arial" w:hAnsi="Arial" w:cs="Arial"/>
          <w:b/>
          <w:bCs/>
          <w:color w:val="000000" w:themeColor="text1"/>
        </w:rPr>
        <w:fldChar w:fldCharType="end"/>
      </w:r>
      <w:r w:rsidR="00ED0382">
        <w:rPr>
          <w:rFonts w:ascii="Arial" w:hAnsi="Arial" w:cs="Arial"/>
          <w:color w:val="000000" w:themeColor="text1"/>
        </w:rPr>
        <w:t>:</w:t>
      </w:r>
      <w:r w:rsidR="00025018" w:rsidRPr="00D74025">
        <w:rPr>
          <w:rFonts w:ascii="Arial" w:hAnsi="Arial" w:cs="Arial"/>
          <w:color w:val="000000" w:themeColor="text1"/>
        </w:rPr>
        <w:t xml:space="preserve"> Percentage of each chirality type and length of CNT samples produced by CHASM™. Comparatively, the (6,5) SWCNT used in the PTT project has a length of ~1.5</w:t>
      </w:r>
      <w:r w:rsidR="0005153B">
        <w:rPr>
          <w:rFonts w:ascii="Arial" w:hAnsi="Arial" w:cs="Arial"/>
          <w:color w:val="000000" w:themeColor="text1"/>
        </w:rPr>
        <w:t> </w:t>
      </w:r>
      <w:r w:rsidR="002C7634" w:rsidRPr="00D74025">
        <w:rPr>
          <w:rFonts w:ascii="Arial" w:hAnsi="Arial" w:cs="Arial"/>
          <w:color w:val="000000" w:themeColor="text1"/>
        </w:rPr>
        <w:sym w:font="Symbol" w:char="F06D"/>
      </w:r>
      <w:r w:rsidR="00025018" w:rsidRPr="00D74025">
        <w:rPr>
          <w:rFonts w:ascii="Arial" w:hAnsi="Arial" w:cs="Arial"/>
          <w:color w:val="000000" w:themeColor="text1"/>
        </w:rPr>
        <w:t>m.</w:t>
      </w:r>
      <w:bookmarkEnd w:id="109"/>
    </w:p>
    <w:p w14:paraId="72A38A69" w14:textId="757AFF5B" w:rsidR="00025018" w:rsidRPr="00D74025" w:rsidRDefault="00EA095D" w:rsidP="00025018">
      <w:pPr>
        <w:rPr>
          <w:rFonts w:ascii="Arial" w:hAnsi="Arial" w:cs="Arial"/>
          <w:color w:val="000000" w:themeColor="text1"/>
          <w:sz w:val="20"/>
          <w:szCs w:val="20"/>
        </w:rPr>
      </w:pPr>
      <w:r w:rsidRPr="00D74025">
        <w:rPr>
          <w:rFonts w:ascii="Arial" w:hAnsi="Arial" w:cs="Arial"/>
          <w:noProof/>
          <w:color w:val="000000" w:themeColor="text1"/>
          <w:sz w:val="20"/>
          <w:szCs w:val="20"/>
        </w:rPr>
        <w:drawing>
          <wp:inline distT="0" distB="0" distL="0" distR="0" wp14:anchorId="301B5CB5" wp14:editId="57B19242">
            <wp:extent cx="5932449" cy="1489763"/>
            <wp:effectExtent l="0" t="0" r="0" b="0"/>
            <wp:docPr id="199" name="Picture 19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Table&#10;&#10;Description automatically generated"/>
                    <pic:cNvPicPr/>
                  </pic:nvPicPr>
                  <pic:blipFill>
                    <a:blip r:embed="rId46"/>
                    <a:stretch>
                      <a:fillRect/>
                    </a:stretch>
                  </pic:blipFill>
                  <pic:spPr>
                    <a:xfrm>
                      <a:off x="0" y="0"/>
                      <a:ext cx="5957878" cy="1496149"/>
                    </a:xfrm>
                    <a:prstGeom prst="rect">
                      <a:avLst/>
                    </a:prstGeom>
                  </pic:spPr>
                </pic:pic>
              </a:graphicData>
            </a:graphic>
          </wp:inline>
        </w:drawing>
      </w:r>
    </w:p>
    <w:p w14:paraId="31D73DC2" w14:textId="77777777" w:rsidR="00BD1BF5" w:rsidRPr="00D74025" w:rsidRDefault="00BD1BF5" w:rsidP="00025018">
      <w:pPr>
        <w:rPr>
          <w:rFonts w:ascii="Arial" w:hAnsi="Arial" w:cs="Arial"/>
          <w:color w:val="000000" w:themeColor="text1"/>
          <w:sz w:val="20"/>
          <w:szCs w:val="20"/>
        </w:rPr>
      </w:pPr>
    </w:p>
    <w:p w14:paraId="79799D77" w14:textId="77777777" w:rsidR="00B431BD" w:rsidRPr="00D74025" w:rsidRDefault="00B431BD" w:rsidP="00B431BD">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All the sample were suspended at the same concentration of 500 mg/L in SDS 1% by sonication for 1 h. Irradiation was performed in </w:t>
      </w:r>
      <w:proofErr w:type="spellStart"/>
      <w:r w:rsidRPr="00D74025">
        <w:rPr>
          <w:rFonts w:ascii="Arial" w:hAnsi="Arial" w:cs="Arial"/>
          <w:color w:val="000000" w:themeColor="text1"/>
        </w:rPr>
        <w:t>Comdel</w:t>
      </w:r>
      <w:proofErr w:type="spellEnd"/>
      <w:r w:rsidRPr="00D74025">
        <w:rPr>
          <w:rFonts w:ascii="Arial" w:hAnsi="Arial" w:cs="Arial"/>
          <w:color w:val="000000" w:themeColor="text1"/>
        </w:rPr>
        <w:t xml:space="preserve"> System following the same procedures in previous section. Maximum power output was used in those experiments (600 W). </w:t>
      </w:r>
    </w:p>
    <w:p w14:paraId="2A9BEE9C" w14:textId="1A55A705" w:rsidR="00E22222" w:rsidRPr="00D74025" w:rsidRDefault="00E22222" w:rsidP="0015739B">
      <w:pPr>
        <w:spacing w:line="360" w:lineRule="auto"/>
        <w:ind w:firstLine="1440"/>
        <w:jc w:val="both"/>
        <w:rPr>
          <w:rFonts w:ascii="Arial" w:hAnsi="Arial" w:cs="Arial"/>
          <w:color w:val="000000" w:themeColor="text1"/>
        </w:rPr>
      </w:pPr>
    </w:p>
    <w:p w14:paraId="55992438" w14:textId="77777777" w:rsidR="009260D1" w:rsidRPr="00D74025" w:rsidRDefault="009260D1" w:rsidP="005C60CD">
      <w:pPr>
        <w:rPr>
          <w:rFonts w:ascii="Arial" w:hAnsi="Arial" w:cs="Arial"/>
          <w:color w:val="000000" w:themeColor="text1"/>
          <w:sz w:val="20"/>
          <w:szCs w:val="20"/>
        </w:rPr>
      </w:pPr>
    </w:p>
    <w:p w14:paraId="670F24D2" w14:textId="3EE0DBD0" w:rsidR="000E132D" w:rsidRPr="007D522A" w:rsidRDefault="000E132D" w:rsidP="000A366D">
      <w:pPr>
        <w:pStyle w:val="Heading3"/>
        <w:spacing w:line="360" w:lineRule="auto"/>
        <w:rPr>
          <w:rFonts w:ascii="Arial" w:hAnsi="Arial" w:cs="Arial"/>
          <w:b/>
          <w:bCs/>
          <w:color w:val="000000" w:themeColor="text1"/>
        </w:rPr>
      </w:pPr>
      <w:bookmarkStart w:id="110" w:name="_Toc121217273"/>
      <w:r w:rsidRPr="007D522A">
        <w:rPr>
          <w:rFonts w:ascii="Arial" w:hAnsi="Arial" w:cs="Arial"/>
          <w:b/>
          <w:bCs/>
          <w:color w:val="000000" w:themeColor="text1"/>
        </w:rPr>
        <w:t>2.</w:t>
      </w:r>
      <w:r w:rsidR="0072039A">
        <w:rPr>
          <w:rFonts w:ascii="Arial" w:hAnsi="Arial" w:cs="Arial"/>
          <w:b/>
          <w:bCs/>
          <w:color w:val="000000" w:themeColor="text1"/>
        </w:rPr>
        <w:t>6</w:t>
      </w:r>
      <w:r w:rsidR="00B31F66" w:rsidRPr="007D522A">
        <w:rPr>
          <w:rFonts w:ascii="Arial" w:hAnsi="Arial" w:cs="Arial"/>
          <w:b/>
          <w:bCs/>
          <w:color w:val="000000" w:themeColor="text1"/>
        </w:rPr>
        <w:t>.</w:t>
      </w:r>
      <w:r w:rsidR="002A5EE3">
        <w:rPr>
          <w:rFonts w:ascii="Arial" w:hAnsi="Arial" w:cs="Arial"/>
          <w:b/>
          <w:bCs/>
          <w:color w:val="000000" w:themeColor="text1"/>
        </w:rPr>
        <w:t>6</w:t>
      </w:r>
      <w:r w:rsidR="00B31F66" w:rsidRPr="007D522A">
        <w:rPr>
          <w:rFonts w:ascii="Arial" w:hAnsi="Arial" w:cs="Arial"/>
          <w:b/>
          <w:bCs/>
          <w:color w:val="000000" w:themeColor="text1"/>
        </w:rPr>
        <w:t xml:space="preserve"> Effect of geometry of liquid phase on the responsivity to radiofrequency field</w:t>
      </w:r>
      <w:bookmarkEnd w:id="110"/>
    </w:p>
    <w:p w14:paraId="11933CDA" w14:textId="4198A611" w:rsidR="00A21B62" w:rsidRDefault="00A21B62" w:rsidP="00A21B62">
      <w:pPr>
        <w:spacing w:line="360" w:lineRule="auto"/>
        <w:ind w:firstLine="1440"/>
        <w:jc w:val="both"/>
        <w:rPr>
          <w:rFonts w:ascii="Arial" w:hAnsi="Arial" w:cs="Arial"/>
          <w:color w:val="000000" w:themeColor="text1"/>
        </w:rPr>
      </w:pPr>
      <w:r>
        <w:rPr>
          <w:rFonts w:ascii="Arial" w:hAnsi="Arial" w:cs="Arial"/>
          <w:color w:val="000000" w:themeColor="text1"/>
        </w:rPr>
        <w:t>In the previous studies, a 1 ml sample was placed inside a square cuvette. There is evidence in the literature that the geometry of the sample holder affects the heating rate of nanoparticle-mediated radiofrequency ablation</w:t>
      </w:r>
      <w:r>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{"citationID":"ap24vd59rk","properties":{"formattedCitation":"\\super 286\\nosupersub{}","plainCitation":"286","noteIndex":0},"citationItems":[{"id":195,"uris":["http://zotero.org/users/7661987/items/3E7SIZYH"],"itemData":{"id":195,"type":"article-journal","abstract":"Electromagnetic absorption and subsequent heating of nanoparticle solutions and simple NaCl ionic solutions is examined for biomedical applications in the radiofrequency range at 13.56 MHz. It is shown via both theory and experiment that for in vitro measurements the shape of the solution container plays a major role in absorption and heating.","container-title":"IEEE Transactions on Biomedical Engineering","DOI":"10.1109/TBME.2012.2219049","ISSN":"0018-9294, 1558-2531","issue":"12","journalAbbreviation":"IEEE Trans. Biomed. Eng.","language":"en","page":"3468-3474","source":"DOI.org (Crossref)","title":"The Effect of Sample Holder Geometry on Electromagnetic Heating of Nanoparticle and NaCl Solutions at 13.56 MHz","volume":"59","author":[{"family":"Li","given":"Dongxiao"},{"family":"Jung","given":"Yun Suk"},{"family":"Kim","given":"Hong Koo"},{"family":"Chen","given":"Junda"},{"family":"Geller","given":"David A."},{"family":"Shuba","given":"Mikhail V."},{"family":"Maksimenko","given":"Sergey A."},{"family":"Patch","given":"Sarah"},{"family":"Forati","given":"Ebrahim"},{"family":"Hanson","given":"George W."}],"issued":{"date-parts":[["2012",12]]}}}],"schema":"https://github.com/citation-style-language/schema/raw/master/csl-citation.json"} </w:instrText>
      </w:r>
      <w:r>
        <w:rPr>
          <w:rFonts w:ascii="Arial" w:hAnsi="Arial" w:cs="Arial"/>
          <w:color w:val="000000" w:themeColor="text1"/>
        </w:rPr>
        <w:fldChar w:fldCharType="separate"/>
      </w:r>
      <w:r w:rsidR="000F4F53" w:rsidRPr="000F4F53">
        <w:rPr>
          <w:rFonts w:ascii="Arial" w:hAnsi="Arial" w:cs="Arial"/>
          <w:color w:val="000000"/>
          <w:vertAlign w:val="superscript"/>
        </w:rPr>
        <w:t>286</w:t>
      </w:r>
      <w:r>
        <w:rPr>
          <w:rFonts w:ascii="Arial" w:hAnsi="Arial" w:cs="Arial"/>
          <w:color w:val="000000" w:themeColor="text1"/>
        </w:rPr>
        <w:fldChar w:fldCharType="end"/>
      </w:r>
      <w:r>
        <w:rPr>
          <w:rFonts w:ascii="Arial" w:hAnsi="Arial" w:cs="Arial"/>
          <w:color w:val="000000" w:themeColor="text1"/>
        </w:rPr>
        <w:t xml:space="preserve">. Therefore, to test that in (6,5) SWCNT suspension, the sample volume was increased to 4.2 ml to fill out the whole cuvette. Therefore, for different samples, deionized water, 1% SDS, (6,5) SWCNT (500 mg/L), and sample </w:t>
      </w:r>
      <w:r w:rsidRPr="005A63F1">
        <w:rPr>
          <w:rFonts w:ascii="Arial" w:hAnsi="Arial" w:cs="Arial"/>
          <w:color w:val="000000" w:themeColor="text1"/>
        </w:rPr>
        <w:t>PXD2-2069</w:t>
      </w:r>
      <w:r>
        <w:rPr>
          <w:rFonts w:ascii="Arial" w:hAnsi="Arial" w:cs="Arial"/>
          <w:color w:val="000000" w:themeColor="text1"/>
        </w:rPr>
        <w:t xml:space="preserve"> (500 mg/L) from CHASM</w:t>
      </w:r>
      <w:r>
        <w:rPr>
          <w:rFonts w:ascii="Arial" w:hAnsi="Arial" w:cs="Arial"/>
          <w:color w:val="000000" w:themeColor="text1"/>
        </w:rPr>
        <w:sym w:font="Symbol" w:char="F0D4"/>
      </w:r>
      <w:r>
        <w:rPr>
          <w:rFonts w:ascii="Arial" w:hAnsi="Arial" w:cs="Arial"/>
          <w:color w:val="000000" w:themeColor="text1"/>
        </w:rPr>
        <w:t xml:space="preserve"> were tested in RF field at 600 W using both 1 ml and 4.2 ml samples in a cuvette.</w:t>
      </w:r>
    </w:p>
    <w:p w14:paraId="6FD3F0AA" w14:textId="77777777" w:rsidR="00536BCA" w:rsidRDefault="00536BCA" w:rsidP="00406C5D">
      <w:pPr>
        <w:spacing w:line="360" w:lineRule="auto"/>
        <w:ind w:firstLine="1440"/>
        <w:jc w:val="both"/>
        <w:rPr>
          <w:rFonts w:ascii="Arial" w:hAnsi="Arial" w:cs="Arial"/>
          <w:color w:val="000000" w:themeColor="text1"/>
        </w:rPr>
      </w:pPr>
    </w:p>
    <w:p w14:paraId="5F93361E" w14:textId="77777777" w:rsidR="005B1556" w:rsidRDefault="005B1556" w:rsidP="00406C5D">
      <w:pPr>
        <w:spacing w:line="360" w:lineRule="auto"/>
        <w:ind w:firstLine="1440"/>
        <w:jc w:val="both"/>
        <w:rPr>
          <w:rFonts w:ascii="Arial" w:hAnsi="Arial" w:cs="Arial"/>
          <w:color w:val="000000" w:themeColor="text1"/>
        </w:rPr>
      </w:pPr>
    </w:p>
    <w:p w14:paraId="7F078A2B" w14:textId="45BD1FFD" w:rsidR="00536BCA" w:rsidRDefault="00F33C8A" w:rsidP="000A366D">
      <w:pPr>
        <w:pStyle w:val="Heading3"/>
        <w:spacing w:line="360" w:lineRule="auto"/>
        <w:rPr>
          <w:rFonts w:ascii="Arial" w:hAnsi="Arial" w:cs="Arial"/>
          <w:b/>
          <w:bCs/>
          <w:color w:val="000000" w:themeColor="text1"/>
        </w:rPr>
      </w:pPr>
      <w:bookmarkStart w:id="111" w:name="_Toc121217274"/>
      <w:r w:rsidRPr="0002618B">
        <w:rPr>
          <w:rFonts w:ascii="Arial" w:hAnsi="Arial" w:cs="Arial"/>
          <w:b/>
          <w:bCs/>
          <w:color w:val="000000" w:themeColor="text1"/>
        </w:rPr>
        <w:lastRenderedPageBreak/>
        <w:t>2.</w:t>
      </w:r>
      <w:r w:rsidR="0072039A">
        <w:rPr>
          <w:rFonts w:ascii="Arial" w:hAnsi="Arial" w:cs="Arial"/>
          <w:b/>
          <w:bCs/>
          <w:color w:val="000000" w:themeColor="text1"/>
        </w:rPr>
        <w:t>6</w:t>
      </w:r>
      <w:r w:rsidRPr="0002618B">
        <w:rPr>
          <w:rFonts w:ascii="Arial" w:hAnsi="Arial" w:cs="Arial"/>
          <w:b/>
          <w:bCs/>
          <w:color w:val="000000" w:themeColor="text1"/>
        </w:rPr>
        <w:t>.</w:t>
      </w:r>
      <w:r w:rsidR="002A5EE3">
        <w:rPr>
          <w:rFonts w:ascii="Arial" w:hAnsi="Arial" w:cs="Arial"/>
          <w:b/>
          <w:bCs/>
          <w:color w:val="000000" w:themeColor="text1"/>
        </w:rPr>
        <w:t>7</w:t>
      </w:r>
      <w:r w:rsidR="00536BCA">
        <w:rPr>
          <w:rFonts w:ascii="Arial" w:hAnsi="Arial" w:cs="Arial"/>
          <w:b/>
          <w:bCs/>
          <w:color w:val="000000" w:themeColor="text1"/>
        </w:rPr>
        <w:t xml:space="preserve"> Analysis of interface heating </w:t>
      </w:r>
      <w:r w:rsidR="00CE07A5">
        <w:rPr>
          <w:rFonts w:ascii="Arial" w:hAnsi="Arial" w:cs="Arial"/>
          <w:b/>
          <w:bCs/>
          <w:color w:val="000000" w:themeColor="text1"/>
        </w:rPr>
        <w:t xml:space="preserve">and ionization </w:t>
      </w:r>
      <w:r w:rsidR="00536BCA">
        <w:rPr>
          <w:rFonts w:ascii="Arial" w:hAnsi="Arial" w:cs="Arial"/>
          <w:b/>
          <w:bCs/>
          <w:color w:val="000000" w:themeColor="text1"/>
        </w:rPr>
        <w:t xml:space="preserve">of (6,5) SWCNT in </w:t>
      </w:r>
      <w:r w:rsidR="00B760CD">
        <w:rPr>
          <w:rFonts w:ascii="Arial" w:hAnsi="Arial" w:cs="Arial"/>
          <w:b/>
          <w:bCs/>
          <w:color w:val="000000" w:themeColor="text1"/>
        </w:rPr>
        <w:t>radiofrequency field</w:t>
      </w:r>
      <w:bookmarkEnd w:id="111"/>
    </w:p>
    <w:p w14:paraId="6CC9DD0F" w14:textId="5912FFF2" w:rsidR="00B96D39" w:rsidRPr="00CE07A5" w:rsidRDefault="00B96D39" w:rsidP="00B96D39">
      <w:pPr>
        <w:spacing w:line="360" w:lineRule="auto"/>
        <w:ind w:firstLine="1440"/>
        <w:jc w:val="both"/>
        <w:rPr>
          <w:rFonts w:ascii="Arial" w:hAnsi="Arial" w:cs="Arial"/>
        </w:rPr>
      </w:pPr>
      <w:r w:rsidRPr="00CE07A5">
        <w:rPr>
          <w:rFonts w:ascii="Arial" w:hAnsi="Arial" w:cs="Arial"/>
        </w:rPr>
        <w:t xml:space="preserve">Due to the results of high heating of 4.2 ml of (6,5) SWCNT suspensions in </w:t>
      </w:r>
      <w:r>
        <w:rPr>
          <w:rFonts w:ascii="Arial" w:hAnsi="Arial" w:cs="Arial"/>
        </w:rPr>
        <w:t xml:space="preserve">a </w:t>
      </w:r>
      <w:r w:rsidRPr="00CE07A5">
        <w:rPr>
          <w:rFonts w:ascii="Arial" w:hAnsi="Arial" w:cs="Arial"/>
        </w:rPr>
        <w:t xml:space="preserve">cuvette, allied with the analysis of thermal images of those samples, it was hypothesized that the interphase liquid-air might generate a discontinuity that </w:t>
      </w:r>
      <w:r>
        <w:rPr>
          <w:rFonts w:ascii="Arial" w:hAnsi="Arial" w:cs="Arial"/>
        </w:rPr>
        <w:t>enhances</w:t>
      </w:r>
      <w:r w:rsidRPr="00CE07A5">
        <w:rPr>
          <w:rFonts w:ascii="Arial" w:hAnsi="Arial" w:cs="Arial"/>
        </w:rPr>
        <w:t xml:space="preserve"> the effects of the radiofrequency responsivity of the SWCNT suspension, thus having an interfacial response instead of the heating happening in the bulk of suspension. To avoid the </w:t>
      </w:r>
      <w:r>
        <w:rPr>
          <w:rFonts w:ascii="Arial" w:hAnsi="Arial" w:cs="Arial"/>
        </w:rPr>
        <w:t>impact</w:t>
      </w:r>
      <w:r w:rsidRPr="00CE07A5">
        <w:rPr>
          <w:rFonts w:ascii="Arial" w:hAnsi="Arial" w:cs="Arial"/>
        </w:rPr>
        <w:t xml:space="preserve"> of </w:t>
      </w:r>
      <w:r>
        <w:rPr>
          <w:rFonts w:ascii="Arial" w:hAnsi="Arial" w:cs="Arial"/>
        </w:rPr>
        <w:t xml:space="preserve">the </w:t>
      </w:r>
      <w:r w:rsidRPr="00CE07A5">
        <w:rPr>
          <w:rFonts w:ascii="Arial" w:hAnsi="Arial" w:cs="Arial"/>
        </w:rPr>
        <w:t xml:space="preserve">liquid-air interface, commercially available coconut oil was chosen to create another layer of liquid phase on top of the SWCNT aqueous suspension phase. Before that, the heating of the coconut oil was accessed in the </w:t>
      </w:r>
      <w:r>
        <w:rPr>
          <w:rFonts w:ascii="Arial" w:hAnsi="Arial" w:cs="Arial"/>
        </w:rPr>
        <w:t xml:space="preserve">13.56 MHz </w:t>
      </w:r>
      <w:r w:rsidRPr="00CE07A5">
        <w:rPr>
          <w:rFonts w:ascii="Arial" w:hAnsi="Arial" w:cs="Arial"/>
        </w:rPr>
        <w:t>radiofrequency</w:t>
      </w:r>
      <w:r>
        <w:rPr>
          <w:rFonts w:ascii="Arial" w:hAnsi="Arial" w:cs="Arial"/>
        </w:rPr>
        <w:t xml:space="preserve"> field</w:t>
      </w:r>
      <w:r w:rsidRPr="00CE07A5">
        <w:rPr>
          <w:rFonts w:ascii="Arial" w:hAnsi="Arial" w:cs="Arial"/>
        </w:rPr>
        <w:t xml:space="preserve"> to ensure that it would not heat up more efficiently than the SWC</w:t>
      </w:r>
      <w:r w:rsidR="00187AE6">
        <w:rPr>
          <w:rFonts w:ascii="Arial" w:hAnsi="Arial" w:cs="Arial"/>
        </w:rPr>
        <w:t>N</w:t>
      </w:r>
      <w:r w:rsidRPr="00CE07A5">
        <w:rPr>
          <w:rFonts w:ascii="Arial" w:hAnsi="Arial" w:cs="Arial"/>
        </w:rPr>
        <w:t xml:space="preserve">T suspension by placing 1 ml in </w:t>
      </w:r>
      <w:r>
        <w:rPr>
          <w:rFonts w:ascii="Arial" w:hAnsi="Arial" w:cs="Arial"/>
        </w:rPr>
        <w:t xml:space="preserve">a </w:t>
      </w:r>
      <w:r w:rsidRPr="00CE07A5">
        <w:rPr>
          <w:rFonts w:ascii="Arial" w:hAnsi="Arial" w:cs="Arial"/>
        </w:rPr>
        <w:t xml:space="preserve">cuvette and measuring before and after temperatures with </w:t>
      </w:r>
      <w:r>
        <w:rPr>
          <w:rFonts w:ascii="Arial" w:hAnsi="Arial" w:cs="Arial"/>
        </w:rPr>
        <w:t xml:space="preserve">a </w:t>
      </w:r>
      <w:r w:rsidRPr="00CE07A5">
        <w:rPr>
          <w:rFonts w:ascii="Arial" w:hAnsi="Arial" w:cs="Arial"/>
        </w:rPr>
        <w:t>type K thermocouple.</w:t>
      </w:r>
    </w:p>
    <w:p w14:paraId="16FB7D52" w14:textId="7F036C31" w:rsidR="00DC3270" w:rsidRDefault="00DC3270" w:rsidP="00DC3270">
      <w:pPr>
        <w:spacing w:line="360" w:lineRule="auto"/>
        <w:ind w:firstLine="1440"/>
        <w:jc w:val="both"/>
        <w:rPr>
          <w:rFonts w:ascii="Arial" w:hAnsi="Arial" w:cs="Arial"/>
        </w:rPr>
      </w:pPr>
      <w:r w:rsidRPr="00CE07A5">
        <w:rPr>
          <w:rFonts w:ascii="Arial" w:hAnsi="Arial" w:cs="Arial"/>
        </w:rPr>
        <w:t>The explosive response of 4.2 ml samples of SWC</w:t>
      </w:r>
      <w:r w:rsidR="00187AE6">
        <w:rPr>
          <w:rFonts w:ascii="Arial" w:hAnsi="Arial" w:cs="Arial"/>
        </w:rPr>
        <w:t>N</w:t>
      </w:r>
      <w:r w:rsidRPr="00CE07A5">
        <w:rPr>
          <w:rFonts w:ascii="Arial" w:hAnsi="Arial" w:cs="Arial"/>
        </w:rPr>
        <w:t xml:space="preserve">T suspensions in the RF also generated the hypothesis that ionization would </w:t>
      </w:r>
      <w:r>
        <w:rPr>
          <w:rFonts w:ascii="Arial" w:hAnsi="Arial" w:cs="Arial"/>
        </w:rPr>
        <w:t>happen</w:t>
      </w:r>
      <w:r w:rsidRPr="00CE07A5">
        <w:rPr>
          <w:rFonts w:ascii="Arial" w:hAnsi="Arial" w:cs="Arial"/>
        </w:rPr>
        <w:t xml:space="preserve"> in the samples. Therefore, a high concentration of sodium chloride (NaCl 6M) was irradiated </w:t>
      </w:r>
      <w:r>
        <w:rPr>
          <w:rFonts w:ascii="Arial" w:hAnsi="Arial" w:cs="Arial"/>
        </w:rPr>
        <w:t>using the same protocol.</w:t>
      </w:r>
    </w:p>
    <w:p w14:paraId="49037D0B" w14:textId="76F4F934" w:rsidR="00DC3270" w:rsidRPr="0044168E" w:rsidRDefault="00DC3270" w:rsidP="00DC3270">
      <w:pPr>
        <w:spacing w:line="360" w:lineRule="auto"/>
        <w:ind w:firstLine="1440"/>
        <w:jc w:val="both"/>
        <w:rPr>
          <w:rFonts w:ascii="Arial" w:hAnsi="Arial" w:cs="Arial"/>
        </w:rPr>
      </w:pPr>
      <w:r>
        <w:rPr>
          <w:rFonts w:ascii="Arial" w:hAnsi="Arial" w:cs="Arial"/>
        </w:rPr>
        <w:t xml:space="preserve">After that, samples of 4 ml of (6,5) SWCNT (500 mg/ml) suspension </w:t>
      </w:r>
      <w:r w:rsidR="00736D29">
        <w:rPr>
          <w:rFonts w:ascii="Arial" w:hAnsi="Arial" w:cs="Arial"/>
        </w:rPr>
        <w:t>were</w:t>
      </w:r>
      <w:r>
        <w:rPr>
          <w:rFonts w:ascii="Arial" w:hAnsi="Arial" w:cs="Arial"/>
        </w:rPr>
        <w:t xml:space="preserve"> placed in a cuvette and covered with 0.2 ml of commercial coconut oil to prevent the effect of the liquid-air interface. Thermal imaging from FLIR </w:t>
      </w:r>
      <w:r w:rsidRPr="0044168E">
        <w:rPr>
          <w:rFonts w:ascii="Arial" w:hAnsi="Arial" w:cs="Arial"/>
        </w:rPr>
        <w:t>E5-XT</w:t>
      </w:r>
      <w:r>
        <w:rPr>
          <w:rFonts w:ascii="Arial" w:hAnsi="Arial" w:cs="Arial"/>
        </w:rPr>
        <w:t xml:space="preserve"> was used to assess the temperature of samples in different locations of the samples inside the cuvette (liquid-air interface, liquid-liquid interface).</w:t>
      </w:r>
    </w:p>
    <w:p w14:paraId="5C08D9F8" w14:textId="2BB167E9" w:rsidR="00C97817" w:rsidRPr="00CE07A5" w:rsidRDefault="00C97817" w:rsidP="00CE07A5">
      <w:pPr>
        <w:spacing w:line="360" w:lineRule="auto"/>
        <w:ind w:firstLine="1440"/>
        <w:jc w:val="both"/>
        <w:rPr>
          <w:rFonts w:ascii="Arial" w:hAnsi="Arial" w:cs="Arial"/>
        </w:rPr>
      </w:pPr>
    </w:p>
    <w:p w14:paraId="1ABFE328" w14:textId="77777777" w:rsidR="0001347E" w:rsidRPr="00D74025" w:rsidRDefault="0001347E" w:rsidP="00995666">
      <w:pPr>
        <w:spacing w:line="360" w:lineRule="auto"/>
        <w:ind w:firstLine="1440"/>
        <w:jc w:val="both"/>
        <w:rPr>
          <w:rFonts w:ascii="Arial" w:hAnsi="Arial" w:cs="Arial"/>
          <w:color w:val="000000" w:themeColor="text1"/>
        </w:rPr>
      </w:pPr>
    </w:p>
    <w:p w14:paraId="0ACBBD20" w14:textId="638BA90C" w:rsidR="00025018" w:rsidRDefault="00427FC5" w:rsidP="000A366D">
      <w:pPr>
        <w:pStyle w:val="Heading3"/>
        <w:spacing w:line="360" w:lineRule="auto"/>
        <w:rPr>
          <w:rFonts w:ascii="Arial" w:hAnsi="Arial" w:cs="Arial"/>
          <w:b/>
          <w:bCs/>
          <w:color w:val="000000" w:themeColor="text1"/>
        </w:rPr>
      </w:pPr>
      <w:bookmarkStart w:id="112" w:name="_Toc121217275"/>
      <w:r w:rsidRPr="00D74025">
        <w:rPr>
          <w:rFonts w:ascii="Arial" w:hAnsi="Arial" w:cs="Arial"/>
          <w:b/>
          <w:bCs/>
          <w:color w:val="000000" w:themeColor="text1"/>
        </w:rPr>
        <w:t>2.</w:t>
      </w:r>
      <w:r w:rsidR="0072039A">
        <w:rPr>
          <w:rFonts w:ascii="Arial" w:hAnsi="Arial" w:cs="Arial"/>
          <w:b/>
          <w:bCs/>
          <w:color w:val="000000" w:themeColor="text1"/>
        </w:rPr>
        <w:t>6</w:t>
      </w:r>
      <w:r w:rsidRPr="00D74025">
        <w:rPr>
          <w:rFonts w:ascii="Arial" w:hAnsi="Arial" w:cs="Arial"/>
          <w:b/>
          <w:bCs/>
          <w:color w:val="000000" w:themeColor="text1"/>
        </w:rPr>
        <w:t>.</w:t>
      </w:r>
      <w:r w:rsidR="00AC3986">
        <w:rPr>
          <w:rFonts w:ascii="Arial" w:hAnsi="Arial" w:cs="Arial"/>
          <w:b/>
          <w:bCs/>
          <w:color w:val="000000" w:themeColor="text1"/>
        </w:rPr>
        <w:t>8</w:t>
      </w:r>
      <w:r w:rsidRPr="00D74025">
        <w:rPr>
          <w:rFonts w:ascii="Arial" w:hAnsi="Arial" w:cs="Arial"/>
          <w:b/>
          <w:bCs/>
          <w:color w:val="000000" w:themeColor="text1"/>
        </w:rPr>
        <w:t xml:space="preserve"> Study of resonant frequency of (6,5) SWCNT in</w:t>
      </w:r>
      <w:r w:rsidR="00BA3A0B" w:rsidRPr="00D74025">
        <w:rPr>
          <w:rFonts w:ascii="Arial" w:hAnsi="Arial" w:cs="Arial"/>
          <w:b/>
          <w:bCs/>
          <w:color w:val="000000" w:themeColor="text1"/>
        </w:rPr>
        <w:t xml:space="preserve"> radiofrequency field</w:t>
      </w:r>
      <w:r w:rsidR="00B760CD">
        <w:rPr>
          <w:rFonts w:ascii="Arial" w:hAnsi="Arial" w:cs="Arial"/>
          <w:b/>
          <w:bCs/>
          <w:color w:val="000000" w:themeColor="text1"/>
        </w:rPr>
        <w:t xml:space="preserve"> in 15 W power output regenerator coupled with matching network</w:t>
      </w:r>
      <w:bookmarkEnd w:id="112"/>
      <w:r w:rsidR="00B760CD">
        <w:rPr>
          <w:rFonts w:ascii="Arial" w:hAnsi="Arial" w:cs="Arial"/>
          <w:b/>
          <w:bCs/>
          <w:color w:val="000000" w:themeColor="text1"/>
        </w:rPr>
        <w:t xml:space="preserve"> </w:t>
      </w:r>
    </w:p>
    <w:p w14:paraId="1168E78A" w14:textId="42C18652" w:rsidR="00073DD0" w:rsidRDefault="00073DD0" w:rsidP="00073DD0">
      <w:pPr>
        <w:spacing w:line="360" w:lineRule="auto"/>
        <w:ind w:firstLine="1440"/>
        <w:jc w:val="both"/>
        <w:rPr>
          <w:rFonts w:ascii="Arial" w:hAnsi="Arial" w:cs="Arial"/>
        </w:rPr>
      </w:pPr>
      <w:r>
        <w:rPr>
          <w:rFonts w:ascii="Arial" w:hAnsi="Arial" w:cs="Arial"/>
        </w:rPr>
        <w:t>In collaboration with Dr. Caleb Fulton (OU Electrical Engineering, Advanced Radar Research Center) and his student Josh Short, an RF device was designed to generate and output an RF field between horizontal plates. This device created RF fields of different frequencies, intending to find the resonance frequency of the (6,5) SWC</w:t>
      </w:r>
      <w:r w:rsidR="00187AE6">
        <w:rPr>
          <w:rFonts w:ascii="Arial" w:hAnsi="Arial" w:cs="Arial"/>
        </w:rPr>
        <w:t>N</w:t>
      </w:r>
      <w:r>
        <w:rPr>
          <w:rFonts w:ascii="Arial" w:hAnsi="Arial" w:cs="Arial"/>
        </w:rPr>
        <w:t xml:space="preserve">T, </w:t>
      </w:r>
      <w:r>
        <w:rPr>
          <w:rFonts w:ascii="Arial" w:hAnsi="Arial" w:cs="Arial"/>
        </w:rPr>
        <w:lastRenderedPageBreak/>
        <w:t>which is the frequency in the RF range that th</w:t>
      </w:r>
      <w:r w:rsidR="00736D29">
        <w:rPr>
          <w:rFonts w:ascii="Arial" w:hAnsi="Arial" w:cs="Arial"/>
        </w:rPr>
        <w:t>e</w:t>
      </w:r>
      <w:r>
        <w:rPr>
          <w:rFonts w:ascii="Arial" w:hAnsi="Arial" w:cs="Arial"/>
        </w:rPr>
        <w:t xml:space="preserve"> carbon nanotubes would be more responsive to irradiation. Matching conditions in each frequency were measured using a network analyzer. The plate's total power output was estimated to be ~15 W. For the testing in the different frequencies, PEGylated SWCNT was used, which was obtained following the first steps of SWCNT-ANXA5 conjugation. </w:t>
      </w:r>
      <w:r w:rsidR="006B146B">
        <w:rPr>
          <w:rFonts w:ascii="Arial" w:hAnsi="Arial" w:cs="Arial"/>
        </w:rPr>
        <w:t>S</w:t>
      </w:r>
      <w:r>
        <w:rPr>
          <w:rFonts w:ascii="Arial" w:hAnsi="Arial" w:cs="Arial"/>
        </w:rPr>
        <w:t xml:space="preserve">amples </w:t>
      </w:r>
      <w:r w:rsidR="006B146B">
        <w:rPr>
          <w:rFonts w:ascii="Arial" w:hAnsi="Arial" w:cs="Arial"/>
        </w:rPr>
        <w:t xml:space="preserve">(1 ml) </w:t>
      </w:r>
      <w:r>
        <w:rPr>
          <w:rFonts w:ascii="Arial" w:hAnsi="Arial" w:cs="Arial"/>
        </w:rPr>
        <w:t>were placed in a cuvette and irradiated for 8 min. The temperature was measured with a type K thermocouple.</w:t>
      </w:r>
    </w:p>
    <w:p w14:paraId="7E438AF1" w14:textId="77777777" w:rsidR="00D97547" w:rsidRPr="0008119D" w:rsidRDefault="00D97547" w:rsidP="00073DD0">
      <w:pPr>
        <w:spacing w:line="360" w:lineRule="auto"/>
        <w:ind w:firstLine="1440"/>
        <w:jc w:val="both"/>
        <w:rPr>
          <w:rFonts w:ascii="Arial" w:hAnsi="Arial" w:cs="Arial"/>
        </w:rPr>
      </w:pPr>
    </w:p>
    <w:p w14:paraId="770A8D74" w14:textId="0C59CD33" w:rsidR="00AE595F" w:rsidRPr="005420D0" w:rsidRDefault="00AE595F" w:rsidP="00AE595F">
      <w:pPr>
        <w:pStyle w:val="Heading3"/>
        <w:spacing w:line="360" w:lineRule="auto"/>
        <w:rPr>
          <w:rFonts w:ascii="Arial" w:hAnsi="Arial" w:cs="Arial"/>
          <w:b/>
          <w:bCs/>
          <w:color w:val="000000" w:themeColor="text1"/>
        </w:rPr>
      </w:pPr>
      <w:bookmarkStart w:id="113" w:name="_Toc121217276"/>
      <w:r w:rsidRPr="005420D0">
        <w:rPr>
          <w:rFonts w:ascii="Arial" w:hAnsi="Arial" w:cs="Arial"/>
          <w:b/>
          <w:bCs/>
          <w:color w:val="000000" w:themeColor="text1"/>
        </w:rPr>
        <w:t>2.</w:t>
      </w:r>
      <w:r>
        <w:rPr>
          <w:rFonts w:ascii="Arial" w:hAnsi="Arial" w:cs="Arial"/>
          <w:b/>
          <w:bCs/>
          <w:color w:val="000000" w:themeColor="text1"/>
        </w:rPr>
        <w:t>6.9</w:t>
      </w:r>
      <w:r w:rsidRPr="005420D0">
        <w:rPr>
          <w:rFonts w:ascii="Arial" w:hAnsi="Arial" w:cs="Arial"/>
          <w:b/>
          <w:bCs/>
          <w:color w:val="000000" w:themeColor="text1"/>
        </w:rPr>
        <w:t xml:space="preserve"> </w:t>
      </w:r>
      <w:r>
        <w:rPr>
          <w:rFonts w:ascii="Arial" w:hAnsi="Arial" w:cs="Arial"/>
          <w:b/>
          <w:bCs/>
          <w:color w:val="000000" w:themeColor="text1"/>
        </w:rPr>
        <w:t>Statistical Analysis</w:t>
      </w:r>
      <w:bookmarkEnd w:id="113"/>
    </w:p>
    <w:p w14:paraId="477E71C5" w14:textId="62C4F591" w:rsidR="00BC2946" w:rsidRPr="00D74025" w:rsidRDefault="00BC2946" w:rsidP="00BC2946">
      <w:pPr>
        <w:spacing w:line="360" w:lineRule="auto"/>
        <w:ind w:firstLine="1440"/>
        <w:jc w:val="both"/>
        <w:rPr>
          <w:color w:val="000000" w:themeColor="text1"/>
        </w:rPr>
      </w:pPr>
      <w:r>
        <w:rPr>
          <w:rFonts w:ascii="Arial" w:hAnsi="Arial" w:cs="Arial"/>
          <w:color w:val="000000" w:themeColor="text1"/>
        </w:rPr>
        <w:t>Statistical analysis was assessed by unpaired t-test with Welch’s correction for assumed different variances in tests with only two groups. O</w:t>
      </w:r>
      <w:r w:rsidRPr="0045105E">
        <w:rPr>
          <w:rFonts w:ascii="Arial" w:hAnsi="Arial" w:cs="Arial"/>
          <w:color w:val="000000" w:themeColor="text1"/>
        </w:rPr>
        <w:t>ne-way ANOVA with Tukey</w:t>
      </w:r>
      <w:r>
        <w:rPr>
          <w:rFonts w:ascii="Arial" w:hAnsi="Arial" w:cs="Arial"/>
          <w:color w:val="000000" w:themeColor="text1"/>
        </w:rPr>
        <w:t>’</w:t>
      </w:r>
      <w:r w:rsidRPr="0045105E">
        <w:rPr>
          <w:rFonts w:ascii="Arial" w:hAnsi="Arial" w:cs="Arial"/>
          <w:color w:val="000000" w:themeColor="text1"/>
        </w:rPr>
        <w:t>s multiple comparisons test</w:t>
      </w:r>
      <w:r>
        <w:rPr>
          <w:rFonts w:ascii="Arial" w:hAnsi="Arial" w:cs="Arial"/>
          <w:color w:val="000000" w:themeColor="text1"/>
        </w:rPr>
        <w:t xml:space="preserve"> was used in experiments with more than two groups. Analys</w:t>
      </w:r>
      <w:r w:rsidR="007575A2">
        <w:rPr>
          <w:rFonts w:ascii="Arial" w:hAnsi="Arial" w:cs="Arial"/>
          <w:color w:val="000000" w:themeColor="text1"/>
        </w:rPr>
        <w:t>e</w:t>
      </w:r>
      <w:r>
        <w:rPr>
          <w:rFonts w:ascii="Arial" w:hAnsi="Arial" w:cs="Arial"/>
          <w:color w:val="000000" w:themeColor="text1"/>
        </w:rPr>
        <w:t>s w</w:t>
      </w:r>
      <w:r w:rsidR="00C760B2">
        <w:rPr>
          <w:rFonts w:ascii="Arial" w:hAnsi="Arial" w:cs="Arial"/>
          <w:color w:val="000000" w:themeColor="text1"/>
        </w:rPr>
        <w:t>ere</w:t>
      </w:r>
      <w:r>
        <w:rPr>
          <w:rFonts w:ascii="Arial" w:hAnsi="Arial" w:cs="Arial"/>
          <w:color w:val="000000" w:themeColor="text1"/>
        </w:rPr>
        <w:t xml:space="preserve"> carried out in GraphPad Prism 8 software.</w:t>
      </w:r>
    </w:p>
    <w:p w14:paraId="48054193" w14:textId="6C49A889" w:rsidR="00412712" w:rsidRPr="00D74025" w:rsidRDefault="00412712" w:rsidP="00D11AF6">
      <w:pPr>
        <w:rPr>
          <w:color w:val="000000" w:themeColor="text1"/>
        </w:rPr>
      </w:pPr>
    </w:p>
    <w:p w14:paraId="4EDF7B62" w14:textId="624EF3FE" w:rsidR="007C545A" w:rsidRPr="00D74025" w:rsidRDefault="00D4539A" w:rsidP="00366232">
      <w:pPr>
        <w:pStyle w:val="Heading2"/>
        <w:ind w:firstLine="0"/>
        <w:rPr>
          <w:rFonts w:ascii="Arial" w:hAnsi="Arial" w:cs="Arial"/>
          <w:b/>
          <w:bCs/>
          <w:color w:val="000000" w:themeColor="text1"/>
          <w:sz w:val="28"/>
          <w:szCs w:val="28"/>
        </w:rPr>
      </w:pPr>
      <w:bookmarkStart w:id="114" w:name="_Toc121217277"/>
      <w:r w:rsidRPr="00D74025">
        <w:rPr>
          <w:rFonts w:ascii="Arial" w:hAnsi="Arial" w:cs="Arial"/>
          <w:b/>
          <w:bCs/>
          <w:color w:val="000000" w:themeColor="text1"/>
          <w:sz w:val="28"/>
          <w:szCs w:val="28"/>
        </w:rPr>
        <w:t>2.</w:t>
      </w:r>
      <w:r w:rsidR="0072039A">
        <w:rPr>
          <w:rFonts w:ascii="Arial" w:hAnsi="Arial" w:cs="Arial"/>
          <w:b/>
          <w:bCs/>
          <w:color w:val="000000" w:themeColor="text1"/>
          <w:sz w:val="28"/>
          <w:szCs w:val="28"/>
        </w:rPr>
        <w:t>7</w:t>
      </w:r>
      <w:r w:rsidRPr="00D74025">
        <w:rPr>
          <w:rFonts w:ascii="Arial" w:hAnsi="Arial" w:cs="Arial"/>
          <w:b/>
          <w:bCs/>
          <w:color w:val="000000" w:themeColor="text1"/>
          <w:sz w:val="28"/>
          <w:szCs w:val="28"/>
        </w:rPr>
        <w:t xml:space="preserve"> </w:t>
      </w:r>
      <w:r w:rsidR="005C52D7" w:rsidRPr="00D74025">
        <w:rPr>
          <w:rFonts w:ascii="Arial" w:hAnsi="Arial" w:cs="Arial"/>
          <w:b/>
          <w:bCs/>
          <w:color w:val="000000" w:themeColor="text1"/>
          <w:sz w:val="28"/>
          <w:szCs w:val="28"/>
        </w:rPr>
        <w:t xml:space="preserve">Gold nanoparticle </w:t>
      </w:r>
      <w:r w:rsidR="002A5EE3">
        <w:rPr>
          <w:rFonts w:ascii="Arial" w:hAnsi="Arial" w:cs="Arial"/>
          <w:b/>
          <w:bCs/>
          <w:color w:val="000000" w:themeColor="text1"/>
          <w:sz w:val="28"/>
          <w:szCs w:val="28"/>
        </w:rPr>
        <w:t>–</w:t>
      </w:r>
      <w:r w:rsidR="005C52D7" w:rsidRPr="00D74025">
        <w:rPr>
          <w:rFonts w:ascii="Arial" w:hAnsi="Arial" w:cs="Arial"/>
          <w:b/>
          <w:bCs/>
          <w:color w:val="000000" w:themeColor="text1"/>
          <w:sz w:val="28"/>
          <w:szCs w:val="28"/>
        </w:rPr>
        <w:t xml:space="preserve"> </w:t>
      </w:r>
      <w:r w:rsidR="00731D4A">
        <w:rPr>
          <w:rFonts w:ascii="Arial" w:hAnsi="Arial" w:cs="Arial"/>
          <w:b/>
          <w:bCs/>
          <w:color w:val="000000" w:themeColor="text1"/>
          <w:sz w:val="28"/>
          <w:szCs w:val="28"/>
        </w:rPr>
        <w:t>a</w:t>
      </w:r>
      <w:r w:rsidR="005C52D7" w:rsidRPr="00D74025">
        <w:rPr>
          <w:rFonts w:ascii="Arial" w:hAnsi="Arial" w:cs="Arial"/>
          <w:b/>
          <w:bCs/>
          <w:color w:val="000000" w:themeColor="text1"/>
          <w:sz w:val="28"/>
          <w:szCs w:val="28"/>
        </w:rPr>
        <w:t xml:space="preserve">nnexin A5 </w:t>
      </w:r>
      <w:r w:rsidR="002A5EE3">
        <w:rPr>
          <w:rFonts w:ascii="Arial" w:hAnsi="Arial" w:cs="Arial"/>
          <w:b/>
          <w:bCs/>
          <w:color w:val="000000" w:themeColor="text1"/>
          <w:sz w:val="28"/>
          <w:szCs w:val="28"/>
        </w:rPr>
        <w:t>–</w:t>
      </w:r>
      <w:r w:rsidR="003C6AD9" w:rsidRPr="00D74025">
        <w:rPr>
          <w:rFonts w:ascii="Arial" w:hAnsi="Arial" w:cs="Arial"/>
          <w:b/>
          <w:bCs/>
          <w:color w:val="000000" w:themeColor="text1"/>
          <w:sz w:val="28"/>
          <w:szCs w:val="28"/>
        </w:rPr>
        <w:t xml:space="preserve"> </w:t>
      </w:r>
      <w:r w:rsidR="005C52D7" w:rsidRPr="00D74025">
        <w:rPr>
          <w:rFonts w:ascii="Arial" w:hAnsi="Arial" w:cs="Arial"/>
          <w:b/>
          <w:bCs/>
          <w:color w:val="000000" w:themeColor="text1"/>
          <w:sz w:val="28"/>
          <w:szCs w:val="28"/>
        </w:rPr>
        <w:t>DM1 conjugate</w:t>
      </w:r>
      <w:bookmarkEnd w:id="114"/>
    </w:p>
    <w:p w14:paraId="5E1C7C94" w14:textId="63E40DD1" w:rsidR="005C52D7" w:rsidRPr="00D74025" w:rsidRDefault="004A4E03" w:rsidP="00063D9E">
      <w:pPr>
        <w:pStyle w:val="Heading3"/>
        <w:rPr>
          <w:rFonts w:ascii="Arial" w:hAnsi="Arial" w:cs="Arial"/>
          <w:b/>
          <w:bCs/>
          <w:color w:val="000000" w:themeColor="text1"/>
        </w:rPr>
      </w:pPr>
      <w:bookmarkStart w:id="115" w:name="_Toc121217278"/>
      <w:r w:rsidRPr="00D74025">
        <w:rPr>
          <w:rFonts w:ascii="Arial" w:hAnsi="Arial" w:cs="Arial"/>
          <w:b/>
          <w:bCs/>
          <w:color w:val="000000" w:themeColor="text1"/>
        </w:rPr>
        <w:t>2.</w:t>
      </w:r>
      <w:r w:rsidR="0072039A">
        <w:rPr>
          <w:rFonts w:ascii="Arial" w:hAnsi="Arial" w:cs="Arial"/>
          <w:b/>
          <w:bCs/>
          <w:color w:val="000000" w:themeColor="text1"/>
        </w:rPr>
        <w:t>7</w:t>
      </w:r>
      <w:r w:rsidRPr="00D74025">
        <w:rPr>
          <w:rFonts w:ascii="Arial" w:hAnsi="Arial" w:cs="Arial"/>
          <w:b/>
          <w:bCs/>
          <w:color w:val="000000" w:themeColor="text1"/>
        </w:rPr>
        <w:t>.1</w:t>
      </w:r>
      <w:r w:rsidR="004B19CE" w:rsidRPr="00D74025">
        <w:rPr>
          <w:rFonts w:ascii="Arial" w:hAnsi="Arial" w:cs="Arial"/>
          <w:b/>
          <w:bCs/>
          <w:color w:val="000000" w:themeColor="text1"/>
        </w:rPr>
        <w:t xml:space="preserve"> </w:t>
      </w:r>
      <w:r w:rsidRPr="00D74025">
        <w:rPr>
          <w:rFonts w:ascii="Arial" w:hAnsi="Arial" w:cs="Arial"/>
          <w:b/>
          <w:bCs/>
          <w:color w:val="000000" w:themeColor="text1"/>
        </w:rPr>
        <w:t>Conjugation</w:t>
      </w:r>
      <w:bookmarkEnd w:id="115"/>
    </w:p>
    <w:p w14:paraId="642907F4" w14:textId="77777777" w:rsidR="00F544BB" w:rsidRPr="00D74025" w:rsidRDefault="00F544BB" w:rsidP="005C52D7">
      <w:pPr>
        <w:rPr>
          <w:color w:val="000000" w:themeColor="text1"/>
        </w:rPr>
      </w:pPr>
    </w:p>
    <w:p w14:paraId="578ED886" w14:textId="0FA80305" w:rsidR="00F66D52" w:rsidRPr="00D74025" w:rsidRDefault="00F66D52" w:rsidP="00F66D52">
      <w:pPr>
        <w:spacing w:line="360" w:lineRule="auto"/>
        <w:ind w:firstLine="1440"/>
        <w:jc w:val="both"/>
        <w:rPr>
          <w:rFonts w:ascii="Arial" w:hAnsi="Arial" w:cs="Arial"/>
          <w:color w:val="000000" w:themeColor="text1"/>
        </w:rPr>
      </w:pPr>
      <w:r w:rsidRPr="00D74025">
        <w:rPr>
          <w:rFonts w:ascii="Arial" w:hAnsi="Arial" w:cs="Arial"/>
          <w:color w:val="000000" w:themeColor="text1"/>
        </w:rPr>
        <w:t>AuNP-ANXA5-DM1 was produced in the lab using modified protocols for conjugation of ANXA5 to DM1, and PEGylation of AuNP followed to linkage to ANXA5-DM1</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{"citationID":"a22i7i1c4op","properties":{"formattedCitation":"\\super 287\\uc0\\u8211{}289\\nosupersub{}","plainCitation":"287–289","noteIndex":0},"citationItems":[{"id":1172,"uris":["http://zotero.org/users/7661987/items/YI8DFF95"],"itemData":{"id":1172,"type":"article-journal","abstract":"Objectives: Gold nanoparticles are of interest as potential in vivo diagnostic and therapeutic agents, as X-ray contrast agents, drug delivery vehicles and radiation enhancers. The aim of this study was to quantitatively determine their targeting and microlocalisation in mouse tumour models after intravenous injection by using micro-CT.\nMethods: Gold nanoparticles (15 nm) were coated with polyethylene glycol and covalently coupled to anti-Her2 antibodies (Herceptin). In vitro, conjugates incubated with Her2+ (BT-474) and Her2– (MCF7) human breast cancer cells showed specific targeted binding with a Her2+ to Her2– gold ratio of 39.4¡2.7:1. Nude mice, simultaneously bearing subcutaneous Her2+ and Her2– human breast tumours in opposite thighs were prepared. Gold nanoparticles alone, conjugated to Herceptin or to a non-specific antibody were compared. After intravenous injection of the gold nanoparticles, gold concentrations were determined by atomic absorption spectroscopy. Microlocalisation of gold was carried out by calibrated micro-CT, giving both the radiodensities and gold concentrations in tumour and non-tumour tissue.\nResults: All gold nanoparticle constructs showed accumulation, predominantly at tumour peripheries. However, the Herceptin–gold nanoparticles showed the best specific uptake in their periphery (15.8¡1.7% injected dose per gram), 1.6-fold higher than Her2– tumours and 22-fold higher than surrounding muscle. Imaging readily enabled detection of small, 1.5 mm-thick tumours.\nConclusion: In this pre-clinical study, antibody-targeted 15 nm gold nanoparticles showed preferential uptake in cognate tumours, but even untargeted gold nanoparticles enhanced the visibility of tumour peripheries and enabled detection of millimetre-sized tumours. Micro-CT enabled quantification within various regions of a tumour.","container-title":"The British Journal of Radiology","DOI":"10.1259/bjr/42612922","ISSN":"0007-1285, 1748-880X","issue":"1002","journalAbbreviation":"BJR","language":"en","page":"526-533","source":"DOI.org (Crossref)","title":"Micro-CT enables microlocalisation and quantification of Her2-targeted gold nanoparticles within tumour regions","volume":"84","author":[{"family":"Hainfeld","given":"J F"},{"family":"O’Connor","given":"M J"},{"family":"Dilmanian","given":"F A"},{"family":"Slatkin","given":"D N"},{"family":"Adams","given":"D J"},{"family":"Smilowitz","given":"H M"}],"issued":{"date-parts":[["2011",6]]}}},{"id":1173,"uris":["http://zotero.org/users/7661987/items/XLPE9I7K"],"itemData":{"id":1173,"type":"article-journal","container-title":"Biomacromolecules","DOI":"10.1021/bm049427e","ISSN":"1525-7797, 1526-4602","issue":"2","journalAbbreviation":"Biomacromolecules","language":"en","page":"818-824","source":"DOI.org (Crossref)","title":"Ligand Density Effect on Biorecognition by PEGylated Gold Nanoparticles: Regulated Interaction of RCA &lt;sub&gt;120&lt;/sub&gt; Lectin with Lactose Installed to the Distal End of Tethered PEG Strands on Gold Surface","title-short":"Ligand Density Effect on Biorecognition by PEGylated Gold Nanoparticles","volume":"6","author":[{"family":"Takae","given":"Seiji"},{"family":"Akiyama","given":"Yoshitsugu"},{"family":"Otsuka","given":"Hidenori"},{"family":"Nakamura","given":"Teisaku"},{"family":"Nagasaki","given":"Yukio"},{"family":"Kataoka","given":"Kazunori"}],"issued":{"date-parts":[["2005",3,1]]}}},{"id":1174,"uris":["http://zotero.org/users/7661987/items/LY888UJV"],"itemData":{"id":1174,"type":"article-journal","abstract":"We present a versatile and controlled route to immobilize gold nanoparticles (NPs) on the surface of living cells, while preserving the sensing and optothermal capabilities of the original colloid. Our approach is based on the controlled and selective binding of Au NPs to phospholipids prior to cell incubation. We show that in the presence of the cells the lipid-bound Au NPs are delivered to the cellular membrane and that their diffusion is rather slow and spatially limited, as a result of lipid binding. Avoiding nonspeciﬁc membrane labeling, this approach is of general application to several types of colloids and cells and thereby provides a platform for controlled plasmonic and optothermal investigations of living cell membranes.","container-title":"Nano Letters","DOI":"10.1021/nl101454a","ISSN":"1530-6984, 1530-6992","issue":"8","journalAbbreviation":"Nano Lett.","language":"en","page":"3006-3012","source":"DOI.org (Crossref)","title":"Immobilization of Gold Nanoparticles on Living Cell Membranes upon Controlled Lipid Binding","volume":"10","author":[{"family":"Ba","given":"Haojin"},{"family":"Rodríguez-Fernández","given":"Jessica"},{"family":"Stefani","given":"Fernando D."},{"family":"Feldmann","given":"Jochen"}],"issued":{"date-parts":[["2010",8,11]]}}}],"schema":"https://github.com/citation-style-language/schema/raw/master/csl-citation.json"}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287–289</w:t>
      </w:r>
      <w:r w:rsidRPr="00D74025">
        <w:rPr>
          <w:rFonts w:ascii="Arial" w:hAnsi="Arial" w:cs="Arial"/>
          <w:color w:val="000000" w:themeColor="text1"/>
        </w:rPr>
        <w:fldChar w:fldCharType="end"/>
      </w:r>
      <w:r w:rsidRPr="00D74025">
        <w:rPr>
          <w:rFonts w:ascii="Arial" w:hAnsi="Arial" w:cs="Arial"/>
          <w:color w:val="000000" w:themeColor="text1"/>
        </w:rPr>
        <w:t>.</w:t>
      </w:r>
    </w:p>
    <w:p w14:paraId="1E156373" w14:textId="54C02324" w:rsidR="00F66D52" w:rsidRPr="00D74025" w:rsidRDefault="00F66D52" w:rsidP="00F66D52">
      <w:pPr>
        <w:spacing w:line="360" w:lineRule="auto"/>
        <w:ind w:firstLine="1440"/>
        <w:jc w:val="both"/>
        <w:rPr>
          <w:rFonts w:ascii="Arial" w:hAnsi="Arial" w:cs="Arial"/>
          <w:color w:val="000000" w:themeColor="text1"/>
        </w:rPr>
      </w:pPr>
      <w:r w:rsidRPr="00D74025">
        <w:rPr>
          <w:rFonts w:ascii="Arial" w:hAnsi="Arial" w:cs="Arial"/>
          <w:color w:val="000000" w:themeColor="text1"/>
        </w:rPr>
        <w:t>First, AuNPs (15 nm) were initially linked to NH</w:t>
      </w:r>
      <w:r w:rsidRPr="00D74025">
        <w:rPr>
          <w:rFonts w:ascii="Arial" w:hAnsi="Arial" w:cs="Arial"/>
          <w:color w:val="000000" w:themeColor="text1"/>
          <w:vertAlign w:val="subscript"/>
        </w:rPr>
        <w:t>2</w:t>
      </w:r>
      <w:r w:rsidRPr="00D74025">
        <w:rPr>
          <w:rFonts w:ascii="Arial" w:hAnsi="Arial" w:cs="Arial"/>
          <w:color w:val="000000" w:themeColor="text1"/>
        </w:rPr>
        <w:t>-PEG-SH at a ratio of 1:4 (w/w) by adding 61.2 mg of HS-PEG-NH</w:t>
      </w:r>
      <w:r w:rsidRPr="00D74025">
        <w:rPr>
          <w:rFonts w:ascii="Arial" w:hAnsi="Arial" w:cs="Arial"/>
          <w:color w:val="000000" w:themeColor="text1"/>
          <w:vertAlign w:val="subscript"/>
        </w:rPr>
        <w:t>2</w:t>
      </w:r>
      <w:r w:rsidRPr="00D74025">
        <w:rPr>
          <w:rFonts w:ascii="Arial" w:hAnsi="Arial" w:cs="Arial"/>
          <w:color w:val="000000" w:themeColor="text1"/>
        </w:rPr>
        <w:t xml:space="preserve"> in 500 </w:t>
      </w:r>
      <w:r w:rsidRPr="00D74025">
        <w:rPr>
          <w:rFonts w:ascii="Arial" w:hAnsi="Arial" w:cs="Arial"/>
          <w:color w:val="000000" w:themeColor="text1"/>
        </w:rPr>
        <w:sym w:font="Symbol" w:char="F06D"/>
      </w:r>
      <w:r w:rsidRPr="00D74025">
        <w:rPr>
          <w:rFonts w:ascii="Arial" w:hAnsi="Arial" w:cs="Arial"/>
          <w:color w:val="000000" w:themeColor="text1"/>
        </w:rPr>
        <w:t xml:space="preserve">L of PBS to 1 mg of AuNP in 500 </w:t>
      </w:r>
      <w:r w:rsidRPr="00D74025">
        <w:rPr>
          <w:rFonts w:ascii="Arial" w:hAnsi="Arial" w:cs="Arial"/>
          <w:color w:val="000000" w:themeColor="text1"/>
        </w:rPr>
        <w:sym w:font="Symbol" w:char="F06D"/>
      </w:r>
      <w:r w:rsidRPr="00D74025">
        <w:rPr>
          <w:rFonts w:ascii="Arial" w:hAnsi="Arial" w:cs="Arial"/>
          <w:color w:val="000000" w:themeColor="text1"/>
        </w:rPr>
        <w:t xml:space="preserve">L of PBS. The reaction was conducted overnight at 4°C with stirring. </w:t>
      </w:r>
    </w:p>
    <w:p w14:paraId="3594F34B" w14:textId="62211E75" w:rsidR="00F66D52" w:rsidRPr="00D74025" w:rsidRDefault="00F66D52" w:rsidP="00F66D52">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Concomitantly, conjugation of ANXA5 to DM1 was performed. </w:t>
      </w:r>
      <w:proofErr w:type="spellStart"/>
      <w:r w:rsidR="006B146B">
        <w:rPr>
          <w:rFonts w:ascii="Arial" w:hAnsi="Arial" w:cs="Arial"/>
          <w:color w:val="000000" w:themeColor="text1"/>
        </w:rPr>
        <w:t>S</w:t>
      </w:r>
      <w:r w:rsidRPr="00D74025">
        <w:rPr>
          <w:rFonts w:ascii="Arial" w:hAnsi="Arial" w:cs="Arial"/>
          <w:color w:val="000000" w:themeColor="text1"/>
        </w:rPr>
        <w:t>ulfo</w:t>
      </w:r>
      <w:proofErr w:type="spellEnd"/>
      <w:r w:rsidRPr="00D74025">
        <w:rPr>
          <w:rFonts w:ascii="Arial" w:hAnsi="Arial" w:cs="Arial"/>
          <w:color w:val="000000" w:themeColor="text1"/>
        </w:rPr>
        <w:t xml:space="preserve">-SMCC </w:t>
      </w:r>
      <w:r w:rsidR="006B146B">
        <w:rPr>
          <w:rFonts w:ascii="Arial" w:hAnsi="Arial" w:cs="Arial"/>
          <w:color w:val="000000" w:themeColor="text1"/>
        </w:rPr>
        <w:t>(12 mg)</w:t>
      </w:r>
      <w:r w:rsidR="00F27E73">
        <w:rPr>
          <w:rFonts w:ascii="Arial" w:hAnsi="Arial" w:cs="Arial"/>
          <w:color w:val="000000" w:themeColor="text1"/>
        </w:rPr>
        <w:t xml:space="preserve"> was</w:t>
      </w:r>
      <w:r w:rsidRPr="00D74025">
        <w:rPr>
          <w:rFonts w:ascii="Arial" w:hAnsi="Arial" w:cs="Arial"/>
          <w:color w:val="000000" w:themeColor="text1"/>
        </w:rPr>
        <w:t xml:space="preserve"> dissolved in 1000 </w:t>
      </w:r>
      <w:r w:rsidRPr="00D74025">
        <w:rPr>
          <w:rFonts w:ascii="Arial" w:hAnsi="Arial" w:cs="Arial"/>
          <w:color w:val="000000" w:themeColor="text1"/>
        </w:rPr>
        <w:sym w:font="Symbol" w:char="F06D"/>
      </w:r>
      <w:r w:rsidRPr="00D74025">
        <w:rPr>
          <w:rFonts w:ascii="Arial" w:hAnsi="Arial" w:cs="Arial"/>
          <w:color w:val="000000" w:themeColor="text1"/>
        </w:rPr>
        <w:t>L of DI water and added to a high concentration (&gt;</w:t>
      </w:r>
      <w:r w:rsidR="00852EFD">
        <w:rPr>
          <w:rFonts w:ascii="Arial" w:hAnsi="Arial" w:cs="Arial"/>
          <w:color w:val="000000" w:themeColor="text1"/>
        </w:rPr>
        <w:t xml:space="preserve"> </w:t>
      </w:r>
      <w:r w:rsidRPr="00D74025">
        <w:rPr>
          <w:rFonts w:ascii="Arial" w:hAnsi="Arial" w:cs="Arial"/>
          <w:color w:val="000000" w:themeColor="text1"/>
        </w:rPr>
        <w:t xml:space="preserve">3 mg/ml) of 10 mg of ANXA5 solution. This gives a 100x molar ratio of </w:t>
      </w:r>
      <w:proofErr w:type="spellStart"/>
      <w:r w:rsidRPr="00D74025">
        <w:rPr>
          <w:rFonts w:ascii="Arial" w:hAnsi="Arial" w:cs="Arial"/>
          <w:color w:val="000000" w:themeColor="text1"/>
        </w:rPr>
        <w:t>sulfo</w:t>
      </w:r>
      <w:proofErr w:type="spellEnd"/>
      <w:r w:rsidRPr="00D74025">
        <w:rPr>
          <w:rFonts w:ascii="Arial" w:hAnsi="Arial" w:cs="Arial"/>
          <w:color w:val="000000" w:themeColor="text1"/>
        </w:rPr>
        <w:t xml:space="preserve">-SMCC to ANXA5 and about a 10x molar ratio for the available lysine residues on ANXA5. The </w:t>
      </w:r>
      <w:r w:rsidRPr="00D74025">
        <w:rPr>
          <w:rFonts w:ascii="Arial" w:hAnsi="Arial" w:cs="Arial"/>
          <w:color w:val="000000" w:themeColor="text1"/>
        </w:rPr>
        <w:lastRenderedPageBreak/>
        <w:t xml:space="preserve">mixture was allowed to react at room temperature for 2 h. After that, DM1 (10.0 mg) was dissolved in 500 </w:t>
      </w:r>
      <w:r w:rsidRPr="00D74025">
        <w:rPr>
          <w:rFonts w:ascii="Arial" w:hAnsi="Arial" w:cs="Arial"/>
          <w:color w:val="000000" w:themeColor="text1"/>
        </w:rPr>
        <w:sym w:font="Symbol" w:char="F06D"/>
      </w:r>
      <w:r w:rsidRPr="00D74025">
        <w:rPr>
          <w:rFonts w:ascii="Arial" w:hAnsi="Arial" w:cs="Arial"/>
          <w:color w:val="000000" w:themeColor="text1"/>
        </w:rPr>
        <w:t xml:space="preserve">L of dimethyl sulfoxide (DMSO) and added to ANXA5-SMCC solution; this is a 50x molar ratio to 10 mg of ANXA5. </w:t>
      </w:r>
      <w:r>
        <w:rPr>
          <w:rFonts w:ascii="Arial" w:hAnsi="Arial" w:cs="Arial"/>
          <w:color w:val="000000" w:themeColor="text1"/>
        </w:rPr>
        <w:t>The reaction</w:t>
      </w:r>
      <w:r w:rsidRPr="00D74025">
        <w:rPr>
          <w:rFonts w:ascii="Arial" w:hAnsi="Arial" w:cs="Arial"/>
          <w:color w:val="000000" w:themeColor="text1"/>
        </w:rPr>
        <w:t xml:space="preserve"> proceeded overnight at 4ºC. </w:t>
      </w:r>
    </w:p>
    <w:p w14:paraId="16479460" w14:textId="7834797B" w:rsidR="00521789" w:rsidRPr="00D74025" w:rsidRDefault="00521789" w:rsidP="00521789">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On the </w:t>
      </w:r>
      <w:r w:rsidR="00F27E73">
        <w:rPr>
          <w:rFonts w:ascii="Arial" w:hAnsi="Arial" w:cs="Arial"/>
          <w:color w:val="000000" w:themeColor="text1"/>
        </w:rPr>
        <w:t>next day</w:t>
      </w:r>
      <w:r w:rsidRPr="00D74025">
        <w:rPr>
          <w:rFonts w:ascii="Arial" w:hAnsi="Arial" w:cs="Arial"/>
          <w:color w:val="000000" w:themeColor="text1"/>
        </w:rPr>
        <w:t xml:space="preserve">, cysteine was added to </w:t>
      </w:r>
      <w:r w:rsidR="00F27E73">
        <w:rPr>
          <w:rFonts w:ascii="Arial" w:hAnsi="Arial" w:cs="Arial"/>
          <w:color w:val="000000" w:themeColor="text1"/>
        </w:rPr>
        <w:t xml:space="preserve">the </w:t>
      </w:r>
      <w:r w:rsidRPr="00D74025">
        <w:rPr>
          <w:rFonts w:ascii="Arial" w:hAnsi="Arial" w:cs="Arial"/>
          <w:color w:val="000000" w:themeColor="text1"/>
        </w:rPr>
        <w:t xml:space="preserve">ANXA5-DM1 conjugate to block unreacted maleimide groups and left for 2 </w:t>
      </w:r>
      <w:proofErr w:type="spellStart"/>
      <w:r w:rsidRPr="00D74025">
        <w:rPr>
          <w:rFonts w:ascii="Arial" w:hAnsi="Arial" w:cs="Arial"/>
          <w:color w:val="000000" w:themeColor="text1"/>
        </w:rPr>
        <w:t>h at</w:t>
      </w:r>
      <w:proofErr w:type="spellEnd"/>
      <w:r w:rsidRPr="00D74025">
        <w:rPr>
          <w:rFonts w:ascii="Arial" w:hAnsi="Arial" w:cs="Arial"/>
          <w:color w:val="000000" w:themeColor="text1"/>
        </w:rPr>
        <w:t xml:space="preserve"> 4ºC. The conjugate was dialyzed against PBS at pH 7.4 for 4 </w:t>
      </w:r>
      <w:proofErr w:type="spellStart"/>
      <w:r w:rsidRPr="00D74025">
        <w:rPr>
          <w:rFonts w:ascii="Arial" w:hAnsi="Arial" w:cs="Arial"/>
          <w:color w:val="000000" w:themeColor="text1"/>
        </w:rPr>
        <w:t>h at</w:t>
      </w:r>
      <w:proofErr w:type="spellEnd"/>
      <w:r w:rsidRPr="00D74025">
        <w:rPr>
          <w:rFonts w:ascii="Arial" w:hAnsi="Arial" w:cs="Arial"/>
          <w:color w:val="000000" w:themeColor="text1"/>
        </w:rPr>
        <w:t xml:space="preserve"> 4 ºC with a 12-14 </w:t>
      </w:r>
      <w:proofErr w:type="spellStart"/>
      <w:r w:rsidRPr="00D74025">
        <w:rPr>
          <w:rFonts w:ascii="Arial" w:hAnsi="Arial" w:cs="Arial"/>
          <w:color w:val="000000" w:themeColor="text1"/>
        </w:rPr>
        <w:t>kDa</w:t>
      </w:r>
      <w:proofErr w:type="spellEnd"/>
      <w:r w:rsidRPr="00D74025">
        <w:rPr>
          <w:rFonts w:ascii="Arial" w:hAnsi="Arial" w:cs="Arial"/>
          <w:color w:val="000000" w:themeColor="text1"/>
        </w:rPr>
        <w:t xml:space="preserve"> membrane. </w:t>
      </w:r>
      <w:r w:rsidR="00F27E73">
        <w:rPr>
          <w:rFonts w:ascii="Arial" w:hAnsi="Arial" w:cs="Arial"/>
          <w:color w:val="000000" w:themeColor="text1"/>
        </w:rPr>
        <w:t xml:space="preserve">The </w:t>
      </w:r>
      <w:r w:rsidRPr="00D74025">
        <w:rPr>
          <w:rFonts w:ascii="Arial" w:hAnsi="Arial" w:cs="Arial"/>
          <w:color w:val="000000" w:themeColor="text1"/>
        </w:rPr>
        <w:t>Bradford assay was used to determine the final protein concentration. DM1 concentration was determined by reading absorbance at 288 nm of the conjugate and a blank of unconjugated ANXA5 at the same protein concentration and comparing it to a standard curve (see characterization section for more details). After analyzing ANXA5-DM1 conjugation by Bradford for protein concentration</w:t>
      </w:r>
      <w:r w:rsidR="0040416A">
        <w:rPr>
          <w:rFonts w:ascii="Arial" w:hAnsi="Arial" w:cs="Arial"/>
          <w:color w:val="000000" w:themeColor="text1"/>
        </w:rPr>
        <w:t xml:space="preserve"> and the</w:t>
      </w:r>
      <w:r w:rsidRPr="00D74025">
        <w:rPr>
          <w:rFonts w:ascii="Arial" w:hAnsi="Arial" w:cs="Arial"/>
          <w:color w:val="000000" w:themeColor="text1"/>
        </w:rPr>
        <w:t xml:space="preserve"> increased absorbance at 288 nm for DM1 concentration, </w:t>
      </w:r>
      <w:r w:rsidR="0040416A">
        <w:rPr>
          <w:rFonts w:ascii="Arial" w:hAnsi="Arial" w:cs="Arial"/>
          <w:color w:val="000000" w:themeColor="text1"/>
        </w:rPr>
        <w:t>the</w:t>
      </w:r>
      <w:r w:rsidRPr="00D74025">
        <w:rPr>
          <w:rFonts w:ascii="Arial" w:hAnsi="Arial" w:cs="Arial"/>
          <w:color w:val="000000" w:themeColor="text1"/>
        </w:rPr>
        <w:t xml:space="preserve"> DM1/ANXA5 molar ratio was determined. ANXA5-DM1 was also analyzed by SDS-page electrophoresis to confirm conjugation, compared to plain ANXA5. </w:t>
      </w:r>
    </w:p>
    <w:p w14:paraId="6DF3097A" w14:textId="746714D0" w:rsidR="00F940F8" w:rsidRPr="00D74025" w:rsidRDefault="00F940F8" w:rsidP="00F940F8">
      <w:pPr>
        <w:spacing w:line="360" w:lineRule="auto"/>
        <w:ind w:firstLine="1467"/>
        <w:jc w:val="both"/>
        <w:rPr>
          <w:rFonts w:ascii="Arial" w:hAnsi="Arial" w:cs="Arial"/>
          <w:color w:val="000000" w:themeColor="text1"/>
        </w:rPr>
      </w:pPr>
      <w:r w:rsidRPr="00D74025">
        <w:rPr>
          <w:rFonts w:ascii="Arial" w:hAnsi="Arial" w:cs="Arial"/>
          <w:color w:val="000000" w:themeColor="text1"/>
        </w:rPr>
        <w:t xml:space="preserve">Parallelly, PEGylated AuNPs were washed </w:t>
      </w:r>
      <w:r>
        <w:rPr>
          <w:rFonts w:ascii="Arial" w:hAnsi="Arial" w:cs="Arial"/>
          <w:color w:val="000000" w:themeColor="text1"/>
        </w:rPr>
        <w:t>thr</w:t>
      </w:r>
      <w:r w:rsidR="0040416A">
        <w:rPr>
          <w:rFonts w:ascii="Arial" w:hAnsi="Arial" w:cs="Arial"/>
          <w:color w:val="000000" w:themeColor="text1"/>
        </w:rPr>
        <w:t>ee times</w:t>
      </w:r>
      <w:r w:rsidRPr="00D74025">
        <w:rPr>
          <w:rFonts w:ascii="Arial" w:hAnsi="Arial" w:cs="Arial"/>
          <w:color w:val="000000" w:themeColor="text1"/>
        </w:rPr>
        <w:t xml:space="preserve"> with PBS by centrifugation at 16,000 g for 1 h. </w:t>
      </w:r>
      <w:proofErr w:type="spellStart"/>
      <w:r w:rsidRPr="00D74025">
        <w:rPr>
          <w:rFonts w:ascii="Arial" w:hAnsi="Arial" w:cs="Arial"/>
          <w:color w:val="000000" w:themeColor="text1"/>
        </w:rPr>
        <w:t>Sulfo</w:t>
      </w:r>
      <w:proofErr w:type="spellEnd"/>
      <w:r w:rsidRPr="00D74025">
        <w:rPr>
          <w:rFonts w:ascii="Arial" w:hAnsi="Arial" w:cs="Arial"/>
          <w:color w:val="000000" w:themeColor="text1"/>
        </w:rPr>
        <w:t>-SMCC (10 mg) was added to the AuNP-PEG and incubated for 2 h at room temperature with stirring. The AuNP-PEG-SMCC was washed 3</w:t>
      </w:r>
      <w:r w:rsidR="00C10A22">
        <w:rPr>
          <w:rFonts w:ascii="Arial" w:hAnsi="Arial" w:cs="Arial"/>
          <w:color w:val="000000" w:themeColor="text1"/>
        </w:rPr>
        <w:t xml:space="preserve"> times</w:t>
      </w:r>
      <w:r w:rsidRPr="00D74025">
        <w:rPr>
          <w:rFonts w:ascii="Arial" w:hAnsi="Arial" w:cs="Arial"/>
          <w:color w:val="000000" w:themeColor="text1"/>
        </w:rPr>
        <w:t xml:space="preserve"> with PBS by centrifugation at 16,000 g for 1 h. Ten milligrams of ANXA5-DM1 at ~5 mg/ml was added to washed AuNP-PEG-SMCC and incubated overnight at 4°C. </w:t>
      </w:r>
      <w:r w:rsidR="00083BBD">
        <w:rPr>
          <w:rFonts w:ascii="Arial" w:hAnsi="Arial" w:cs="Arial"/>
          <w:color w:val="000000" w:themeColor="text1"/>
        </w:rPr>
        <w:t xml:space="preserve">The AuNP-ANXA5-DM1 conjugate was purified by three consecutive steps of PBS washing followed by </w:t>
      </w:r>
      <w:r w:rsidR="00C10A22">
        <w:rPr>
          <w:rFonts w:ascii="Arial" w:hAnsi="Arial" w:cs="Arial"/>
          <w:color w:val="000000" w:themeColor="text1"/>
        </w:rPr>
        <w:t xml:space="preserve">centrifugation </w:t>
      </w:r>
      <w:r w:rsidRPr="00D74025">
        <w:rPr>
          <w:rFonts w:ascii="Arial" w:hAnsi="Arial" w:cs="Arial"/>
          <w:color w:val="000000" w:themeColor="text1"/>
        </w:rPr>
        <w:t>(16,00 g for 20 min). The nanoparticle conjugate was quantified via absorbance at 520</w:t>
      </w:r>
      <w:r>
        <w:rPr>
          <w:rFonts w:ascii="Arial" w:hAnsi="Arial" w:cs="Arial"/>
          <w:color w:val="000000" w:themeColor="text1"/>
        </w:rPr>
        <w:t xml:space="preserve"> </w:t>
      </w:r>
      <w:r w:rsidRPr="00D74025">
        <w:rPr>
          <w:rFonts w:ascii="Arial" w:hAnsi="Arial" w:cs="Arial"/>
          <w:color w:val="000000" w:themeColor="text1"/>
        </w:rPr>
        <w:t>nm</w:t>
      </w:r>
      <w:r>
        <w:rPr>
          <w:rFonts w:ascii="Arial" w:hAnsi="Arial" w:cs="Arial"/>
          <w:color w:val="000000" w:themeColor="text1"/>
        </w:rPr>
        <w:t xml:space="preserve"> and</w:t>
      </w:r>
      <w:r w:rsidRPr="00D74025">
        <w:rPr>
          <w:rFonts w:ascii="Arial" w:hAnsi="Arial" w:cs="Arial"/>
          <w:color w:val="000000" w:themeColor="text1"/>
        </w:rPr>
        <w:t xml:space="preserve"> a Bradford assay. A scheme of the conjugation is presented </w:t>
      </w:r>
      <w:r>
        <w:rPr>
          <w:rFonts w:ascii="Arial" w:hAnsi="Arial" w:cs="Arial"/>
          <w:color w:val="000000" w:themeColor="text1"/>
        </w:rPr>
        <w:t>in</w:t>
      </w:r>
      <w:r w:rsidRPr="00D74025">
        <w:rPr>
          <w:rFonts w:ascii="Arial" w:hAnsi="Arial" w:cs="Arial"/>
          <w:color w:val="000000" w:themeColor="text1"/>
        </w:rPr>
        <w:t xml:space="preserve"> </w:t>
      </w:r>
      <w:r w:rsidR="00020855" w:rsidRPr="00020855">
        <w:rPr>
          <w:rFonts w:ascii="Arial" w:hAnsi="Arial" w:cs="Arial"/>
          <w:b/>
          <w:bCs/>
          <w:color w:val="000000" w:themeColor="text1"/>
        </w:rPr>
        <w:t>F</w:t>
      </w:r>
      <w:r w:rsidRPr="00020855">
        <w:rPr>
          <w:rFonts w:ascii="Arial" w:hAnsi="Arial" w:cs="Arial"/>
          <w:b/>
          <w:bCs/>
          <w:color w:val="000000" w:themeColor="text1"/>
        </w:rPr>
        <w:t xml:space="preserve">igure </w:t>
      </w:r>
      <w:r w:rsidR="00020855" w:rsidRPr="00020855">
        <w:rPr>
          <w:rFonts w:ascii="Arial" w:hAnsi="Arial" w:cs="Arial"/>
          <w:b/>
          <w:bCs/>
          <w:color w:val="000000" w:themeColor="text1"/>
        </w:rPr>
        <w:t>28</w:t>
      </w:r>
      <w:r w:rsidRPr="00D74025">
        <w:rPr>
          <w:rFonts w:ascii="Arial" w:hAnsi="Arial" w:cs="Arial"/>
          <w:color w:val="000000" w:themeColor="text1"/>
        </w:rPr>
        <w:t>.</w:t>
      </w:r>
    </w:p>
    <w:tbl>
      <w:tblPr>
        <w:tblStyle w:val="TableGrid"/>
        <w:tblW w:w="0" w:type="auto"/>
        <w:tblLook w:val="04A0" w:firstRow="1" w:lastRow="0" w:firstColumn="1" w:lastColumn="0" w:noHBand="0" w:noVBand="1"/>
      </w:tblPr>
      <w:tblGrid>
        <w:gridCol w:w="9350"/>
      </w:tblGrid>
      <w:tr w:rsidR="00D74025" w:rsidRPr="00D74025" w14:paraId="6A1206A0" w14:textId="77777777" w:rsidTr="003930A0">
        <w:tc>
          <w:tcPr>
            <w:tcW w:w="9350" w:type="dxa"/>
          </w:tcPr>
          <w:p w14:paraId="16984169" w14:textId="238F522F" w:rsidR="003930A0" w:rsidRPr="00D74025" w:rsidRDefault="003930A0" w:rsidP="000D71A7">
            <w:pPr>
              <w:spacing w:beforeAutospacing="0" w:line="360" w:lineRule="auto"/>
              <w:ind w:firstLine="0"/>
              <w:jc w:val="center"/>
              <w:rPr>
                <w:rFonts w:ascii="Arial" w:hAnsi="Arial" w:cs="Arial"/>
                <w:color w:val="000000" w:themeColor="text1"/>
              </w:rPr>
            </w:pPr>
            <w:r w:rsidRPr="00D74025">
              <w:rPr>
                <w:noProof/>
                <w:color w:val="000000" w:themeColor="text1"/>
              </w:rPr>
              <w:lastRenderedPageBreak/>
              <w:drawing>
                <wp:inline distT="0" distB="0" distL="0" distR="0" wp14:anchorId="4C508FE4" wp14:editId="49AD0E38">
                  <wp:extent cx="8121949" cy="3446622"/>
                  <wp:effectExtent l="952" t="0" r="0" b="0"/>
                  <wp:docPr id="34" name="Picture 34"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diagram&#10;&#10;Description automatically generated"/>
                          <pic:cNvPicPr/>
                        </pic:nvPicPr>
                        <pic:blipFill>
                          <a:blip r:embed="rId47"/>
                          <a:stretch>
                            <a:fillRect/>
                          </a:stretch>
                        </pic:blipFill>
                        <pic:spPr>
                          <a:xfrm rot="16200000">
                            <a:off x="0" y="0"/>
                            <a:ext cx="8178713" cy="3470710"/>
                          </a:xfrm>
                          <a:prstGeom prst="rect">
                            <a:avLst/>
                          </a:prstGeom>
                        </pic:spPr>
                      </pic:pic>
                    </a:graphicData>
                  </a:graphic>
                </wp:inline>
              </w:drawing>
            </w:r>
          </w:p>
        </w:tc>
      </w:tr>
      <w:tr w:rsidR="003930A0" w:rsidRPr="00D74025" w14:paraId="00F1C177" w14:textId="77777777" w:rsidTr="003930A0">
        <w:tc>
          <w:tcPr>
            <w:tcW w:w="9350" w:type="dxa"/>
          </w:tcPr>
          <w:p w14:paraId="50950BC7" w14:textId="496BDB4F" w:rsidR="003930A0" w:rsidRPr="00BB22B6" w:rsidRDefault="00614C67" w:rsidP="00BB22B6">
            <w:pPr>
              <w:spacing w:line="360" w:lineRule="auto"/>
              <w:ind w:firstLine="0"/>
              <w:rPr>
                <w:rFonts w:ascii="Arial" w:hAnsi="Arial" w:cs="Arial"/>
                <w:color w:val="000000" w:themeColor="text1"/>
              </w:rPr>
            </w:pPr>
            <w:bookmarkStart w:id="116" w:name="_Toc121217350"/>
            <w:r w:rsidRPr="00614C67">
              <w:rPr>
                <w:rFonts w:ascii="Arial" w:hAnsi="Arial" w:cs="Arial"/>
                <w:b/>
                <w:bCs/>
                <w:color w:val="000000" w:themeColor="text1"/>
              </w:rPr>
              <w:lastRenderedPageBreak/>
              <w:t xml:space="preserve">Figure </w:t>
            </w:r>
            <w:r w:rsidRPr="00614C67">
              <w:rPr>
                <w:rFonts w:ascii="Arial" w:hAnsi="Arial" w:cs="Arial"/>
                <w:b/>
                <w:bCs/>
                <w:color w:val="000000" w:themeColor="text1"/>
              </w:rPr>
              <w:fldChar w:fldCharType="begin"/>
            </w:r>
            <w:r w:rsidRPr="00614C67">
              <w:rPr>
                <w:rFonts w:ascii="Arial" w:hAnsi="Arial" w:cs="Arial"/>
                <w:b/>
                <w:bCs/>
                <w:color w:val="000000" w:themeColor="text1"/>
              </w:rPr>
              <w:instrText xml:space="preserve"> SEQ Figure \* ARABIC </w:instrText>
            </w:r>
            <w:r w:rsidRPr="00614C67">
              <w:rPr>
                <w:rFonts w:ascii="Arial" w:hAnsi="Arial" w:cs="Arial"/>
                <w:b/>
                <w:bCs/>
                <w:color w:val="000000" w:themeColor="text1"/>
              </w:rPr>
              <w:fldChar w:fldCharType="separate"/>
            </w:r>
            <w:r w:rsidR="002C4B25">
              <w:rPr>
                <w:rFonts w:ascii="Arial" w:hAnsi="Arial" w:cs="Arial"/>
                <w:b/>
                <w:bCs/>
                <w:noProof/>
                <w:color w:val="000000" w:themeColor="text1"/>
              </w:rPr>
              <w:t>28</w:t>
            </w:r>
            <w:r w:rsidRPr="00614C67">
              <w:rPr>
                <w:rFonts w:ascii="Arial" w:hAnsi="Arial" w:cs="Arial"/>
                <w:b/>
                <w:bCs/>
                <w:color w:val="000000" w:themeColor="text1"/>
              </w:rPr>
              <w:fldChar w:fldCharType="end"/>
            </w:r>
            <w:r w:rsidR="00BB22B6" w:rsidRPr="00BB22B6">
              <w:rPr>
                <w:rFonts w:ascii="Arial" w:hAnsi="Arial" w:cs="Arial"/>
                <w:b/>
                <w:bCs/>
                <w:color w:val="000000" w:themeColor="text1"/>
              </w:rPr>
              <w:t>: Scheme of AuNP-ANXA5-DM1 conjugation.</w:t>
            </w:r>
            <w:r w:rsidR="00BB22B6" w:rsidRPr="00D74025">
              <w:rPr>
                <w:rFonts w:ascii="Arial" w:hAnsi="Arial" w:cs="Arial"/>
                <w:color w:val="000000" w:themeColor="text1"/>
              </w:rPr>
              <w:t xml:space="preserve"> AuNP were initially PEGylated with linker SH-PEG-NH</w:t>
            </w:r>
            <w:r w:rsidR="00BB22B6" w:rsidRPr="00D74025">
              <w:rPr>
                <w:rFonts w:ascii="Arial" w:hAnsi="Arial" w:cs="Arial"/>
                <w:color w:val="000000" w:themeColor="text1"/>
                <w:vertAlign w:val="subscript"/>
              </w:rPr>
              <w:t>2</w:t>
            </w:r>
            <w:r w:rsidR="00BB22B6" w:rsidRPr="00D74025">
              <w:rPr>
                <w:rFonts w:ascii="Arial" w:hAnsi="Arial" w:cs="Arial"/>
                <w:color w:val="000000" w:themeColor="text1"/>
              </w:rPr>
              <w:t xml:space="preserve"> (3.4 </w:t>
            </w:r>
            <w:proofErr w:type="spellStart"/>
            <w:r w:rsidR="00BB22B6" w:rsidRPr="00D74025">
              <w:rPr>
                <w:rFonts w:ascii="Arial" w:hAnsi="Arial" w:cs="Arial"/>
                <w:color w:val="000000" w:themeColor="text1"/>
              </w:rPr>
              <w:t>kD</w:t>
            </w:r>
            <w:proofErr w:type="spellEnd"/>
            <w:r w:rsidR="00BB22B6" w:rsidRPr="00D74025">
              <w:rPr>
                <w:rFonts w:ascii="Arial" w:hAnsi="Arial" w:cs="Arial"/>
                <w:color w:val="000000" w:themeColor="text1"/>
              </w:rPr>
              <w:t>) by thiol-thiol addition to form a disulfide bond leaving available amine (NH</w:t>
            </w:r>
            <w:r w:rsidR="00BB22B6" w:rsidRPr="00D74025">
              <w:rPr>
                <w:rFonts w:ascii="Arial" w:hAnsi="Arial" w:cs="Arial"/>
                <w:color w:val="000000" w:themeColor="text1"/>
                <w:vertAlign w:val="subscript"/>
              </w:rPr>
              <w:t>2</w:t>
            </w:r>
            <w:r w:rsidR="00BB22B6" w:rsidRPr="00D74025">
              <w:rPr>
                <w:rFonts w:ascii="Arial" w:hAnsi="Arial" w:cs="Arial"/>
                <w:color w:val="000000" w:themeColor="text1"/>
              </w:rPr>
              <w:t>)</w:t>
            </w:r>
            <w:r w:rsidR="00BB22B6" w:rsidRPr="00D74025">
              <w:rPr>
                <w:rFonts w:ascii="Arial" w:hAnsi="Arial" w:cs="Arial"/>
                <w:color w:val="000000" w:themeColor="text1"/>
                <w:vertAlign w:val="subscript"/>
              </w:rPr>
              <w:t xml:space="preserve"> </w:t>
            </w:r>
            <w:r w:rsidR="00BB22B6" w:rsidRPr="00D74025">
              <w:rPr>
                <w:rFonts w:ascii="Arial" w:hAnsi="Arial" w:cs="Arial"/>
                <w:color w:val="000000" w:themeColor="text1"/>
              </w:rPr>
              <w:t xml:space="preserve">groups on the nanoparticle. DM1 was conjugated to ANXA5 with linker </w:t>
            </w:r>
            <w:proofErr w:type="spellStart"/>
            <w:r w:rsidR="00BB22B6" w:rsidRPr="00D74025">
              <w:rPr>
                <w:rFonts w:ascii="Arial" w:hAnsi="Arial" w:cs="Arial"/>
                <w:color w:val="000000" w:themeColor="text1"/>
              </w:rPr>
              <w:t>sulfo</w:t>
            </w:r>
            <w:proofErr w:type="spellEnd"/>
            <w:r w:rsidR="00BB22B6" w:rsidRPr="00D74025">
              <w:rPr>
                <w:rFonts w:ascii="Arial" w:hAnsi="Arial" w:cs="Arial"/>
                <w:color w:val="000000" w:themeColor="text1"/>
              </w:rPr>
              <w:t xml:space="preserve">-SMCC that activates amines on the protein and </w:t>
            </w:r>
            <w:r w:rsidR="00BB22B6">
              <w:rPr>
                <w:rFonts w:ascii="Arial" w:hAnsi="Arial" w:cs="Arial"/>
                <w:color w:val="000000" w:themeColor="text1"/>
              </w:rPr>
              <w:t>links</w:t>
            </w:r>
            <w:r w:rsidR="00BB22B6" w:rsidRPr="00D74025">
              <w:rPr>
                <w:rFonts w:ascii="Arial" w:hAnsi="Arial" w:cs="Arial"/>
                <w:color w:val="000000" w:themeColor="text1"/>
              </w:rPr>
              <w:t xml:space="preserve"> to thiols (SH) on the drug, followed by blocking unreacted maleimide groups with L-cysteine. The available amine groups on AuNP-PEG were then activated with </w:t>
            </w:r>
            <w:proofErr w:type="spellStart"/>
            <w:r w:rsidR="00BB22B6" w:rsidRPr="00D74025">
              <w:rPr>
                <w:rFonts w:ascii="Arial" w:hAnsi="Arial" w:cs="Arial"/>
                <w:color w:val="000000" w:themeColor="text1"/>
              </w:rPr>
              <w:t>sulfo</w:t>
            </w:r>
            <w:proofErr w:type="spellEnd"/>
            <w:r w:rsidR="00BB22B6" w:rsidRPr="00D74025">
              <w:rPr>
                <w:rFonts w:ascii="Arial" w:hAnsi="Arial" w:cs="Arial"/>
                <w:color w:val="000000" w:themeColor="text1"/>
              </w:rPr>
              <w:t xml:space="preserve">-SMCC to link to thiol groups in annexin A5 from the ANXA5-DM1 conjugate. For simplification, only one molecule of ANXA5 is </w:t>
            </w:r>
            <w:r w:rsidR="00BB22B6">
              <w:rPr>
                <w:rFonts w:ascii="Arial" w:hAnsi="Arial" w:cs="Arial"/>
                <w:color w:val="000000" w:themeColor="text1"/>
              </w:rPr>
              <w:t>shown</w:t>
            </w:r>
            <w:r w:rsidR="00BB22B6" w:rsidRPr="00D74025">
              <w:rPr>
                <w:rFonts w:ascii="Arial" w:hAnsi="Arial" w:cs="Arial"/>
                <w:color w:val="000000" w:themeColor="text1"/>
              </w:rPr>
              <w:t xml:space="preserve"> to be attached to AuNP</w:t>
            </w:r>
            <w:r w:rsidR="00BB22B6">
              <w:rPr>
                <w:rFonts w:ascii="Arial" w:hAnsi="Arial" w:cs="Arial"/>
                <w:color w:val="000000" w:themeColor="text1"/>
              </w:rPr>
              <w:t>,</w:t>
            </w:r>
            <w:r w:rsidR="00BB22B6" w:rsidRPr="00D74025">
              <w:rPr>
                <w:rFonts w:ascii="Arial" w:hAnsi="Arial" w:cs="Arial"/>
                <w:color w:val="000000" w:themeColor="text1"/>
              </w:rPr>
              <w:t xml:space="preserve"> and one molecule of DM1 </w:t>
            </w:r>
            <w:r w:rsidR="00BB22B6">
              <w:rPr>
                <w:rFonts w:ascii="Arial" w:hAnsi="Arial" w:cs="Arial"/>
                <w:color w:val="000000" w:themeColor="text1"/>
              </w:rPr>
              <w:t xml:space="preserve">is </w:t>
            </w:r>
            <w:r w:rsidR="00BB22B6" w:rsidRPr="00D74025">
              <w:rPr>
                <w:rFonts w:ascii="Arial" w:hAnsi="Arial" w:cs="Arial"/>
                <w:color w:val="000000" w:themeColor="text1"/>
              </w:rPr>
              <w:t>linked to ANXA5, even though the molar ratios are much greater than that (molar ratios of ~ 1000 for ANXA5/AuNP, and ~9 for DM1/ANXA5).</w:t>
            </w:r>
            <w:bookmarkEnd w:id="116"/>
            <w:r w:rsidR="00BB22B6" w:rsidRPr="00D74025">
              <w:rPr>
                <w:rFonts w:ascii="Arial" w:hAnsi="Arial" w:cs="Arial"/>
                <w:color w:val="000000" w:themeColor="text1"/>
              </w:rPr>
              <w:t xml:space="preserve">  </w:t>
            </w:r>
          </w:p>
        </w:tc>
      </w:tr>
    </w:tbl>
    <w:p w14:paraId="7D970EA8" w14:textId="683E2632" w:rsidR="00F544BB" w:rsidRPr="00D74025" w:rsidRDefault="00F544BB" w:rsidP="005C52D7">
      <w:pPr>
        <w:rPr>
          <w:color w:val="000000" w:themeColor="text1"/>
        </w:rPr>
      </w:pPr>
    </w:p>
    <w:p w14:paraId="334C49D2" w14:textId="2F211780" w:rsidR="001E0067" w:rsidRPr="00D74025" w:rsidRDefault="001E0067" w:rsidP="005C52D7">
      <w:pPr>
        <w:rPr>
          <w:color w:val="000000" w:themeColor="text1"/>
        </w:rPr>
      </w:pPr>
    </w:p>
    <w:p w14:paraId="00C4BAFC" w14:textId="0B669507" w:rsidR="004A4E03" w:rsidRPr="00D74025" w:rsidRDefault="004A4E03" w:rsidP="00063D9E">
      <w:pPr>
        <w:pStyle w:val="Heading3"/>
        <w:rPr>
          <w:rFonts w:ascii="Arial" w:hAnsi="Arial" w:cs="Arial"/>
          <w:b/>
          <w:bCs/>
          <w:color w:val="000000" w:themeColor="text1"/>
        </w:rPr>
      </w:pPr>
      <w:bookmarkStart w:id="117" w:name="_Toc121217279"/>
      <w:r w:rsidRPr="00D74025">
        <w:rPr>
          <w:rFonts w:ascii="Arial" w:hAnsi="Arial" w:cs="Arial"/>
          <w:b/>
          <w:bCs/>
          <w:color w:val="000000" w:themeColor="text1"/>
        </w:rPr>
        <w:t>2.</w:t>
      </w:r>
      <w:r w:rsidR="0072039A">
        <w:rPr>
          <w:rFonts w:ascii="Arial" w:hAnsi="Arial" w:cs="Arial"/>
          <w:b/>
          <w:bCs/>
          <w:color w:val="000000" w:themeColor="text1"/>
        </w:rPr>
        <w:t>7</w:t>
      </w:r>
      <w:r w:rsidRPr="00D74025">
        <w:rPr>
          <w:rFonts w:ascii="Arial" w:hAnsi="Arial" w:cs="Arial"/>
          <w:b/>
          <w:bCs/>
          <w:color w:val="000000" w:themeColor="text1"/>
        </w:rPr>
        <w:t>.2 Characterization</w:t>
      </w:r>
      <w:bookmarkEnd w:id="117"/>
    </w:p>
    <w:p w14:paraId="1DB01217" w14:textId="77777777" w:rsidR="00C10498" w:rsidRPr="00D74025" w:rsidRDefault="00C10498" w:rsidP="005C52D7">
      <w:pPr>
        <w:rPr>
          <w:color w:val="000000" w:themeColor="text1"/>
        </w:rPr>
      </w:pPr>
    </w:p>
    <w:p w14:paraId="3C1C4DEA" w14:textId="289FCB32" w:rsidR="00126C38" w:rsidRPr="00155A89" w:rsidRDefault="00126C38" w:rsidP="00126C38">
      <w:pPr>
        <w:spacing w:line="360" w:lineRule="auto"/>
        <w:ind w:firstLine="1440"/>
        <w:jc w:val="both"/>
      </w:pPr>
      <w:r w:rsidRPr="00D74025">
        <w:rPr>
          <w:rFonts w:ascii="Arial" w:hAnsi="Arial" w:cs="Arial"/>
          <w:color w:val="000000" w:themeColor="text1"/>
        </w:rPr>
        <w:t>The concentration of DM1 in ANXA5-DM1 conjugate was determined by endpoint absorbance at 288 nm. First, a standard curve of DM1 was obtained by dissolving 3.0 mg of DM1 in 1000 </w:t>
      </w:r>
      <w:r w:rsidRPr="00D74025">
        <w:rPr>
          <w:rFonts w:ascii="Arial" w:hAnsi="Arial" w:cs="Arial"/>
          <w:color w:val="000000" w:themeColor="text1"/>
        </w:rPr>
        <w:sym w:font="Symbol" w:char="F06D"/>
      </w:r>
      <w:r w:rsidRPr="00D74025">
        <w:rPr>
          <w:rFonts w:ascii="Arial" w:hAnsi="Arial" w:cs="Arial"/>
          <w:color w:val="000000" w:themeColor="text1"/>
        </w:rPr>
        <w:t xml:space="preserve">L of DMSO. Serial dilutions were performed using DMSO. </w:t>
      </w:r>
      <w:r>
        <w:rPr>
          <w:rFonts w:ascii="Arial" w:hAnsi="Arial" w:cs="Arial"/>
          <w:color w:val="000000" w:themeColor="text1"/>
        </w:rPr>
        <w:t>The standard curve of ANXA5 at 288 nm determined the contribution of ANXA5 to the signal</w:t>
      </w:r>
      <w:r w:rsidRPr="00D74025">
        <w:rPr>
          <w:rFonts w:ascii="Arial" w:hAnsi="Arial" w:cs="Arial"/>
          <w:color w:val="000000" w:themeColor="text1"/>
        </w:rPr>
        <w:t xml:space="preserve">. After the conjugation, ANXA5 concentration was determined by </w:t>
      </w:r>
      <w:r w:rsidR="00642E74">
        <w:rPr>
          <w:rFonts w:ascii="Arial" w:hAnsi="Arial" w:cs="Arial"/>
          <w:color w:val="000000" w:themeColor="text1"/>
        </w:rPr>
        <w:t xml:space="preserve">the </w:t>
      </w:r>
      <w:r w:rsidRPr="00D74025">
        <w:rPr>
          <w:rFonts w:ascii="Arial" w:hAnsi="Arial" w:cs="Arial"/>
          <w:color w:val="000000" w:themeColor="text1"/>
        </w:rPr>
        <w:t xml:space="preserve">Bradford assay. Then, that concentration established the contribution of ANXA5 to the 288 nm signal. Then, the conjugate absorbance at 288 nm was read, and the contribution of DM1 to the signal was calculated by </w:t>
      </w:r>
      <w:r>
        <w:rPr>
          <w:rFonts w:ascii="Arial" w:hAnsi="Arial" w:cs="Arial"/>
          <w:color w:val="000000" w:themeColor="text1"/>
        </w:rPr>
        <w:t>subtracting</w:t>
      </w:r>
      <w:r w:rsidRPr="00D74025">
        <w:rPr>
          <w:rFonts w:ascii="Arial" w:hAnsi="Arial" w:cs="Arial"/>
          <w:color w:val="000000" w:themeColor="text1"/>
        </w:rPr>
        <w:t xml:space="preserve"> total conjugate absorbance at 288 nm minus the contribution of ANXA5 to the signal and </w:t>
      </w:r>
      <w:r>
        <w:rPr>
          <w:rFonts w:ascii="Arial" w:hAnsi="Arial" w:cs="Arial"/>
          <w:color w:val="000000" w:themeColor="text1"/>
        </w:rPr>
        <w:t>then</w:t>
      </w:r>
      <w:r w:rsidRPr="00D74025">
        <w:rPr>
          <w:rFonts w:ascii="Arial" w:hAnsi="Arial" w:cs="Arial"/>
          <w:color w:val="000000" w:themeColor="text1"/>
        </w:rPr>
        <w:t xml:space="preserve"> using the DM1 standard curve to infer the concentration. After obtaining the concentration of both ANXA5 and DM1, the molar </w:t>
      </w:r>
      <w:r>
        <w:rPr>
          <w:rFonts w:ascii="Arial" w:hAnsi="Arial" w:cs="Arial"/>
          <w:color w:val="000000" w:themeColor="text1"/>
        </w:rPr>
        <w:t>ratio</w:t>
      </w:r>
      <w:r w:rsidRPr="00D74025">
        <w:rPr>
          <w:rFonts w:ascii="Arial" w:hAnsi="Arial" w:cs="Arial"/>
          <w:color w:val="000000" w:themeColor="text1"/>
        </w:rPr>
        <w:t xml:space="preserve"> of DM1/ANXA5 was determined. This ratio was considered constant after the conjugation to AuNP since measuring the direct concentration of DM1 in the AuNP-ANXA5-DM1 was challenging.</w:t>
      </w:r>
    </w:p>
    <w:p w14:paraId="220619CD" w14:textId="6B0E9259" w:rsidR="002649BA" w:rsidRDefault="00D26998" w:rsidP="00B24CF3">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AuNP concentration </w:t>
      </w:r>
      <w:r w:rsidR="00642E74">
        <w:rPr>
          <w:rFonts w:ascii="Arial" w:hAnsi="Arial" w:cs="Arial"/>
          <w:color w:val="000000" w:themeColor="text1"/>
        </w:rPr>
        <w:t xml:space="preserve">in </w:t>
      </w:r>
      <w:r w:rsidRPr="00D74025">
        <w:rPr>
          <w:rFonts w:ascii="Arial" w:hAnsi="Arial" w:cs="Arial"/>
          <w:color w:val="000000" w:themeColor="text1"/>
        </w:rPr>
        <w:t xml:space="preserve">AuNP-ANXA5-DM1 was determined by endpoint absorbance at 520 nm and compared to a standard curve. The ANXA5 concentration in the nanoparticle conjugation was determined </w:t>
      </w:r>
      <w:r w:rsidR="00D36F2D">
        <w:rPr>
          <w:rFonts w:ascii="Arial" w:hAnsi="Arial" w:cs="Arial"/>
          <w:color w:val="000000" w:themeColor="text1"/>
        </w:rPr>
        <w:t>b</w:t>
      </w:r>
      <w:r w:rsidRPr="00D74025">
        <w:rPr>
          <w:rFonts w:ascii="Arial" w:hAnsi="Arial" w:cs="Arial"/>
          <w:color w:val="000000" w:themeColor="text1"/>
        </w:rPr>
        <w:t>y</w:t>
      </w:r>
      <w:r w:rsidR="00D36F2D">
        <w:rPr>
          <w:rFonts w:ascii="Arial" w:hAnsi="Arial" w:cs="Arial"/>
          <w:color w:val="000000" w:themeColor="text1"/>
        </w:rPr>
        <w:t xml:space="preserve"> a</w:t>
      </w:r>
      <w:r w:rsidRPr="00D74025">
        <w:rPr>
          <w:rFonts w:ascii="Arial" w:hAnsi="Arial" w:cs="Arial"/>
          <w:color w:val="000000" w:themeColor="text1"/>
        </w:rPr>
        <w:t xml:space="preserve"> modified Bradford </w:t>
      </w:r>
      <w:r w:rsidR="00D36F2D">
        <w:rPr>
          <w:rFonts w:ascii="Arial" w:hAnsi="Arial" w:cs="Arial"/>
          <w:color w:val="000000" w:themeColor="text1"/>
        </w:rPr>
        <w:t>a</w:t>
      </w:r>
      <w:r w:rsidRPr="00D74025">
        <w:rPr>
          <w:rFonts w:ascii="Arial" w:hAnsi="Arial" w:cs="Arial"/>
          <w:color w:val="000000" w:themeColor="text1"/>
        </w:rPr>
        <w:t xml:space="preserve">ssay, subtracting </w:t>
      </w:r>
      <w:r w:rsidRPr="00D74025">
        <w:rPr>
          <w:rFonts w:ascii="Arial" w:hAnsi="Arial" w:cs="Arial"/>
          <w:color w:val="000000" w:themeColor="text1"/>
        </w:rPr>
        <w:lastRenderedPageBreak/>
        <w:t xml:space="preserve">the contribution of 5 </w:t>
      </w:r>
      <w:r w:rsidRPr="00D74025">
        <w:rPr>
          <w:rFonts w:ascii="Arial" w:hAnsi="Arial" w:cs="Arial"/>
          <w:color w:val="000000" w:themeColor="text1"/>
        </w:rPr>
        <w:sym w:font="Symbol" w:char="F06D"/>
      </w:r>
      <w:r w:rsidRPr="00D74025">
        <w:rPr>
          <w:rFonts w:ascii="Arial" w:hAnsi="Arial" w:cs="Arial"/>
          <w:color w:val="000000" w:themeColor="text1"/>
        </w:rPr>
        <w:t xml:space="preserve">L AuNP at 595 nm in </w:t>
      </w:r>
      <w:r>
        <w:rPr>
          <w:rFonts w:ascii="Arial" w:hAnsi="Arial" w:cs="Arial"/>
          <w:color w:val="000000" w:themeColor="text1"/>
        </w:rPr>
        <w:t xml:space="preserve">the </w:t>
      </w:r>
      <w:r w:rsidRPr="00D74025">
        <w:rPr>
          <w:rFonts w:ascii="Arial" w:hAnsi="Arial" w:cs="Arial"/>
          <w:color w:val="000000" w:themeColor="text1"/>
        </w:rPr>
        <w:t xml:space="preserve">Bradford reagent. For that, a standard curve of 5 </w:t>
      </w:r>
      <w:r w:rsidRPr="00D74025">
        <w:rPr>
          <w:rFonts w:ascii="Arial" w:hAnsi="Arial" w:cs="Arial"/>
          <w:color w:val="000000" w:themeColor="text1"/>
        </w:rPr>
        <w:sym w:font="Symbol" w:char="F06D"/>
      </w:r>
      <w:r w:rsidRPr="00D74025">
        <w:rPr>
          <w:rFonts w:ascii="Arial" w:hAnsi="Arial" w:cs="Arial"/>
          <w:color w:val="000000" w:themeColor="text1"/>
        </w:rPr>
        <w:t xml:space="preserve">L of AuNP in Bradford reagent was also </w:t>
      </w:r>
      <w:r w:rsidR="00B24CF3">
        <w:rPr>
          <w:rFonts w:ascii="Arial" w:hAnsi="Arial" w:cs="Arial"/>
          <w:color w:val="000000" w:themeColor="text1"/>
        </w:rPr>
        <w:t>made</w:t>
      </w:r>
      <w:r w:rsidRPr="00D74025">
        <w:rPr>
          <w:rFonts w:ascii="Arial" w:hAnsi="Arial" w:cs="Arial"/>
          <w:color w:val="000000" w:themeColor="text1"/>
        </w:rPr>
        <w:t xml:space="preserve"> to determine the contribution of AuNP to the 595 nm signal of the AuNP-ANXA5 in Bradford assay.</w:t>
      </w:r>
      <w:r w:rsidR="00B24CF3">
        <w:rPr>
          <w:rFonts w:ascii="Arial" w:hAnsi="Arial" w:cs="Arial"/>
          <w:color w:val="000000" w:themeColor="text1"/>
        </w:rPr>
        <w:t xml:space="preserve"> </w:t>
      </w:r>
      <w:r w:rsidR="00A121A5" w:rsidRPr="00D74025">
        <w:rPr>
          <w:rFonts w:ascii="Arial" w:hAnsi="Arial" w:cs="Arial"/>
          <w:color w:val="000000" w:themeColor="text1"/>
        </w:rPr>
        <w:t>The c</w:t>
      </w:r>
      <w:r w:rsidR="00E161B2" w:rsidRPr="00D74025">
        <w:rPr>
          <w:rFonts w:ascii="Arial" w:hAnsi="Arial" w:cs="Arial"/>
          <w:color w:val="000000" w:themeColor="text1"/>
        </w:rPr>
        <w:t xml:space="preserve">oncentration of </w:t>
      </w:r>
      <w:r w:rsidR="00272EE5" w:rsidRPr="00D74025">
        <w:rPr>
          <w:rFonts w:ascii="Arial" w:hAnsi="Arial" w:cs="Arial"/>
          <w:color w:val="000000" w:themeColor="text1"/>
        </w:rPr>
        <w:t xml:space="preserve">DM1 in AuNP-ANXA5-DM1 </w:t>
      </w:r>
      <w:r w:rsidR="003E301D" w:rsidRPr="00D74025">
        <w:rPr>
          <w:rFonts w:ascii="Arial" w:hAnsi="Arial" w:cs="Arial"/>
          <w:color w:val="000000" w:themeColor="text1"/>
        </w:rPr>
        <w:t xml:space="preserve">was inferred </w:t>
      </w:r>
      <w:r w:rsidR="00F616A9" w:rsidRPr="00D74025">
        <w:rPr>
          <w:rFonts w:ascii="Arial" w:hAnsi="Arial" w:cs="Arial"/>
          <w:color w:val="000000" w:themeColor="text1"/>
        </w:rPr>
        <w:t xml:space="preserve">from the ANXA5 concentration in AuNP-ANXA5-DM1 </w:t>
      </w:r>
      <w:r w:rsidR="003E301D" w:rsidRPr="00D74025">
        <w:rPr>
          <w:rFonts w:ascii="Arial" w:hAnsi="Arial" w:cs="Arial"/>
          <w:color w:val="000000" w:themeColor="text1"/>
        </w:rPr>
        <w:t xml:space="preserve">by considering </w:t>
      </w:r>
      <w:r w:rsidR="00265D63" w:rsidRPr="00D74025">
        <w:rPr>
          <w:rFonts w:ascii="Arial" w:hAnsi="Arial" w:cs="Arial"/>
          <w:color w:val="000000" w:themeColor="text1"/>
        </w:rPr>
        <w:t xml:space="preserve">a constant molar ratio between </w:t>
      </w:r>
      <w:r w:rsidR="003C0692" w:rsidRPr="00D74025">
        <w:rPr>
          <w:rFonts w:ascii="Arial" w:hAnsi="Arial" w:cs="Arial"/>
          <w:color w:val="000000" w:themeColor="text1"/>
        </w:rPr>
        <w:t>DM1</w:t>
      </w:r>
      <w:r w:rsidR="00DA7BB1" w:rsidRPr="00D74025">
        <w:rPr>
          <w:rFonts w:ascii="Arial" w:hAnsi="Arial" w:cs="Arial"/>
          <w:color w:val="000000" w:themeColor="text1"/>
        </w:rPr>
        <w:t>/</w:t>
      </w:r>
      <w:r w:rsidR="003C0692" w:rsidRPr="00D74025">
        <w:rPr>
          <w:rFonts w:ascii="Arial" w:hAnsi="Arial" w:cs="Arial"/>
          <w:color w:val="000000" w:themeColor="text1"/>
        </w:rPr>
        <w:t>ANXA5 before and after linkage to AuNP.</w:t>
      </w:r>
      <w:r w:rsidR="00844AB5" w:rsidRPr="00D74025">
        <w:rPr>
          <w:rFonts w:ascii="Arial" w:hAnsi="Arial" w:cs="Arial"/>
          <w:color w:val="000000" w:themeColor="text1"/>
        </w:rPr>
        <w:t xml:space="preserve"> </w:t>
      </w:r>
    </w:p>
    <w:p w14:paraId="54C60A27" w14:textId="25C1A5A6" w:rsidR="002649BA" w:rsidRPr="00D74025" w:rsidRDefault="002649BA" w:rsidP="002649BA">
      <w:pPr>
        <w:spacing w:line="360" w:lineRule="auto"/>
        <w:ind w:firstLine="1440"/>
        <w:jc w:val="both"/>
        <w:rPr>
          <w:rFonts w:ascii="Arial" w:hAnsi="Arial" w:cs="Arial"/>
          <w:color w:val="000000" w:themeColor="text1"/>
        </w:rPr>
      </w:pPr>
      <w:r>
        <w:rPr>
          <w:rFonts w:ascii="Arial" w:hAnsi="Arial" w:cs="Arial"/>
          <w:color w:val="000000" w:themeColor="text1"/>
        </w:rPr>
        <w:t>Agarose gel electrophoresis was performed</w:t>
      </w:r>
      <w:r w:rsidR="003526C5">
        <w:rPr>
          <w:rFonts w:ascii="Arial" w:hAnsi="Arial" w:cs="Arial"/>
          <w:color w:val="000000" w:themeColor="text1"/>
        </w:rPr>
        <w:t xml:space="preserve"> </w:t>
      </w:r>
      <w:r w:rsidR="00B24B35">
        <w:rPr>
          <w:rFonts w:ascii="Arial" w:hAnsi="Arial" w:cs="Arial"/>
          <w:color w:val="000000" w:themeColor="text1"/>
        </w:rPr>
        <w:t xml:space="preserve">to prove conjugation of ANXA5-DM1 to AuNP. </w:t>
      </w:r>
      <w:r w:rsidR="005668D6">
        <w:rPr>
          <w:rFonts w:ascii="Arial" w:hAnsi="Arial" w:cs="Arial"/>
          <w:color w:val="000000" w:themeColor="text1"/>
        </w:rPr>
        <w:t xml:space="preserve">Gel was casted </w:t>
      </w:r>
      <w:r w:rsidR="003526C5">
        <w:rPr>
          <w:rFonts w:ascii="Arial" w:hAnsi="Arial" w:cs="Arial"/>
          <w:color w:val="000000" w:themeColor="text1"/>
        </w:rPr>
        <w:t>in TAE buffer with 1% agarose</w:t>
      </w:r>
      <w:r w:rsidR="005668D6">
        <w:rPr>
          <w:rFonts w:ascii="Arial" w:hAnsi="Arial" w:cs="Arial"/>
          <w:color w:val="000000" w:themeColor="text1"/>
        </w:rPr>
        <w:t>. Samples were loaded into well using 10</w:t>
      </w:r>
      <w:r w:rsidR="005668D6">
        <w:rPr>
          <w:rFonts w:ascii="Arial" w:hAnsi="Arial" w:cs="Arial"/>
          <w:color w:val="000000" w:themeColor="text1"/>
        </w:rPr>
        <w:sym w:font="Symbol" w:char="F06D"/>
      </w:r>
      <w:r w:rsidR="005668D6">
        <w:rPr>
          <w:rFonts w:ascii="Arial" w:hAnsi="Arial" w:cs="Arial"/>
          <w:color w:val="000000" w:themeColor="text1"/>
        </w:rPr>
        <w:t>L</w:t>
      </w:r>
      <w:r w:rsidR="001C51BD">
        <w:rPr>
          <w:rFonts w:ascii="Arial" w:hAnsi="Arial" w:cs="Arial"/>
          <w:color w:val="000000" w:themeColor="text1"/>
        </w:rPr>
        <w:t xml:space="preserve"> of 2 mg/ml of AuNP. Samples were run</w:t>
      </w:r>
      <w:r w:rsidR="00FD6796">
        <w:rPr>
          <w:rFonts w:ascii="Arial" w:hAnsi="Arial" w:cs="Arial"/>
          <w:color w:val="000000" w:themeColor="text1"/>
        </w:rPr>
        <w:t xml:space="preserve"> in horizontal </w:t>
      </w:r>
      <w:r w:rsidR="0023487A">
        <w:rPr>
          <w:rFonts w:ascii="Arial" w:hAnsi="Arial" w:cs="Arial"/>
          <w:color w:val="000000" w:themeColor="text1"/>
        </w:rPr>
        <w:t>electrophoresis chamber</w:t>
      </w:r>
      <w:r w:rsidR="001C51BD">
        <w:rPr>
          <w:rFonts w:ascii="Arial" w:hAnsi="Arial" w:cs="Arial"/>
          <w:color w:val="000000" w:themeColor="text1"/>
        </w:rPr>
        <w:t xml:space="preserve"> at 80 V</w:t>
      </w:r>
      <w:r w:rsidR="00FD6796">
        <w:rPr>
          <w:rFonts w:ascii="Arial" w:hAnsi="Arial" w:cs="Arial"/>
          <w:color w:val="000000" w:themeColor="text1"/>
        </w:rPr>
        <w:t xml:space="preserve"> for 10 min.</w:t>
      </w:r>
    </w:p>
    <w:p w14:paraId="38958A07" w14:textId="77777777" w:rsidR="00A121A5" w:rsidRPr="00D74025" w:rsidRDefault="00A121A5" w:rsidP="005C52D7">
      <w:pPr>
        <w:rPr>
          <w:color w:val="000000" w:themeColor="text1"/>
        </w:rPr>
      </w:pPr>
    </w:p>
    <w:p w14:paraId="126BF4E5" w14:textId="77777777" w:rsidR="00C10498" w:rsidRPr="00D74025" w:rsidRDefault="00C10498" w:rsidP="005C52D7">
      <w:pPr>
        <w:rPr>
          <w:color w:val="000000" w:themeColor="text1"/>
        </w:rPr>
      </w:pPr>
    </w:p>
    <w:p w14:paraId="740138A4" w14:textId="557CBE73" w:rsidR="004A4E03" w:rsidRPr="00D74025" w:rsidRDefault="004A4E03" w:rsidP="00063D9E">
      <w:pPr>
        <w:pStyle w:val="Heading3"/>
        <w:rPr>
          <w:rFonts w:ascii="Arial" w:hAnsi="Arial" w:cs="Arial"/>
          <w:b/>
          <w:bCs/>
          <w:color w:val="000000" w:themeColor="text1"/>
        </w:rPr>
      </w:pPr>
      <w:bookmarkStart w:id="118" w:name="_Toc121217280"/>
      <w:r w:rsidRPr="00D74025">
        <w:rPr>
          <w:rFonts w:ascii="Arial" w:hAnsi="Arial" w:cs="Arial"/>
          <w:b/>
          <w:bCs/>
          <w:color w:val="000000" w:themeColor="text1"/>
        </w:rPr>
        <w:t>2.</w:t>
      </w:r>
      <w:r w:rsidR="0072039A">
        <w:rPr>
          <w:rFonts w:ascii="Arial" w:hAnsi="Arial" w:cs="Arial"/>
          <w:b/>
          <w:bCs/>
          <w:color w:val="000000" w:themeColor="text1"/>
        </w:rPr>
        <w:t>7</w:t>
      </w:r>
      <w:r w:rsidRPr="00D74025">
        <w:rPr>
          <w:rFonts w:ascii="Arial" w:hAnsi="Arial" w:cs="Arial"/>
          <w:b/>
          <w:bCs/>
          <w:color w:val="000000" w:themeColor="text1"/>
        </w:rPr>
        <w:t>.3</w:t>
      </w:r>
      <w:r w:rsidR="004B19CE" w:rsidRPr="00D74025">
        <w:rPr>
          <w:rFonts w:ascii="Arial" w:hAnsi="Arial" w:cs="Arial"/>
          <w:b/>
          <w:bCs/>
          <w:color w:val="000000" w:themeColor="text1"/>
        </w:rPr>
        <w:t xml:space="preserve"> </w:t>
      </w:r>
      <w:r w:rsidR="002D0F5E" w:rsidRPr="00D74025">
        <w:rPr>
          <w:rFonts w:ascii="Arial" w:hAnsi="Arial" w:cs="Arial"/>
          <w:b/>
          <w:bCs/>
          <w:i/>
          <w:iCs/>
          <w:color w:val="000000" w:themeColor="text1"/>
        </w:rPr>
        <w:t>I</w:t>
      </w:r>
      <w:r w:rsidR="006E1092" w:rsidRPr="00D74025">
        <w:rPr>
          <w:rFonts w:ascii="Arial" w:hAnsi="Arial" w:cs="Arial"/>
          <w:b/>
          <w:bCs/>
          <w:i/>
          <w:iCs/>
          <w:color w:val="000000" w:themeColor="text1"/>
        </w:rPr>
        <w:t>n vitro</w:t>
      </w:r>
      <w:r w:rsidR="006E1092" w:rsidRPr="00D74025">
        <w:rPr>
          <w:rFonts w:ascii="Arial" w:hAnsi="Arial" w:cs="Arial"/>
          <w:b/>
          <w:bCs/>
          <w:color w:val="000000" w:themeColor="text1"/>
        </w:rPr>
        <w:t xml:space="preserve"> studies</w:t>
      </w:r>
      <w:bookmarkEnd w:id="118"/>
    </w:p>
    <w:p w14:paraId="450D2A19" w14:textId="2514E184" w:rsidR="00451887" w:rsidRPr="009902DF" w:rsidRDefault="00451887" w:rsidP="00366479">
      <w:pPr>
        <w:spacing w:line="360" w:lineRule="auto"/>
        <w:jc w:val="both"/>
        <w:rPr>
          <w:rFonts w:ascii="Arial" w:hAnsi="Arial" w:cs="Arial"/>
          <w:color w:val="000000" w:themeColor="text1"/>
        </w:rPr>
      </w:pPr>
    </w:p>
    <w:p w14:paraId="05BA6645" w14:textId="072AD1A3" w:rsidR="009902DF" w:rsidRPr="009902DF" w:rsidRDefault="009902DF" w:rsidP="00262D9E">
      <w:pPr>
        <w:spacing w:line="360" w:lineRule="auto"/>
        <w:ind w:firstLine="1440"/>
        <w:jc w:val="both"/>
        <w:rPr>
          <w:rFonts w:ascii="Arial" w:hAnsi="Arial" w:cs="Arial"/>
          <w:color w:val="000000" w:themeColor="text1"/>
          <w:lang w:val="en"/>
        </w:rPr>
      </w:pPr>
      <w:r w:rsidRPr="009902DF">
        <w:rPr>
          <w:rFonts w:ascii="Arial" w:hAnsi="Arial" w:cs="Arial"/>
          <w:color w:val="000000" w:themeColor="text1"/>
          <w:lang w:val="en"/>
        </w:rPr>
        <w:t xml:space="preserve">To analyze the </w:t>
      </w:r>
      <w:r w:rsidRPr="002136C4">
        <w:rPr>
          <w:rFonts w:ascii="Arial" w:hAnsi="Arial" w:cs="Arial"/>
          <w:i/>
          <w:iCs/>
          <w:color w:val="000000" w:themeColor="text1"/>
          <w:lang w:val="en"/>
        </w:rPr>
        <w:t>in vitro</w:t>
      </w:r>
      <w:r w:rsidRPr="009902DF">
        <w:rPr>
          <w:rFonts w:ascii="Arial" w:hAnsi="Arial" w:cs="Arial"/>
          <w:color w:val="000000" w:themeColor="text1"/>
          <w:lang w:val="en"/>
        </w:rPr>
        <w:t xml:space="preserve"> toxicity o</w:t>
      </w:r>
      <w:r w:rsidR="00B42B62">
        <w:rPr>
          <w:rFonts w:ascii="Arial" w:hAnsi="Arial" w:cs="Arial"/>
          <w:color w:val="000000" w:themeColor="text1"/>
          <w:lang w:val="en"/>
        </w:rPr>
        <w:t xml:space="preserve">f </w:t>
      </w:r>
      <w:r w:rsidR="00366479">
        <w:rPr>
          <w:rFonts w:ascii="Arial" w:hAnsi="Arial" w:cs="Arial"/>
          <w:color w:val="000000" w:themeColor="text1"/>
          <w:lang w:val="en"/>
        </w:rPr>
        <w:t>AuNP-</w:t>
      </w:r>
      <w:r w:rsidRPr="009902DF">
        <w:rPr>
          <w:rFonts w:ascii="Arial" w:hAnsi="Arial" w:cs="Arial"/>
          <w:color w:val="000000" w:themeColor="text1"/>
          <w:lang w:val="en"/>
        </w:rPr>
        <w:t>A</w:t>
      </w:r>
      <w:r w:rsidR="00366479">
        <w:rPr>
          <w:rFonts w:ascii="Arial" w:hAnsi="Arial" w:cs="Arial"/>
          <w:color w:val="000000" w:themeColor="text1"/>
          <w:lang w:val="en"/>
        </w:rPr>
        <w:t>NXA5</w:t>
      </w:r>
      <w:r w:rsidRPr="009902DF">
        <w:rPr>
          <w:rFonts w:ascii="Arial" w:hAnsi="Arial" w:cs="Arial"/>
          <w:color w:val="000000" w:themeColor="text1"/>
          <w:lang w:val="en"/>
        </w:rPr>
        <w:t xml:space="preserve">-DM1compared to </w:t>
      </w:r>
      <w:r w:rsidR="00366479">
        <w:rPr>
          <w:rFonts w:ascii="Arial" w:hAnsi="Arial" w:cs="Arial"/>
          <w:color w:val="000000" w:themeColor="text1"/>
          <w:lang w:val="en"/>
        </w:rPr>
        <w:t xml:space="preserve">ANXA5-DM1 and </w:t>
      </w:r>
      <w:r w:rsidRPr="009902DF">
        <w:rPr>
          <w:rFonts w:ascii="Arial" w:hAnsi="Arial" w:cs="Arial"/>
          <w:color w:val="000000" w:themeColor="text1"/>
          <w:lang w:val="en"/>
        </w:rPr>
        <w:t>unconjugated DM1</w:t>
      </w:r>
      <w:r w:rsidR="00366479">
        <w:rPr>
          <w:rFonts w:ascii="Arial" w:hAnsi="Arial" w:cs="Arial"/>
          <w:color w:val="000000" w:themeColor="text1"/>
          <w:lang w:val="en"/>
        </w:rPr>
        <w:t>,</w:t>
      </w:r>
      <w:r w:rsidRPr="009902DF">
        <w:rPr>
          <w:rFonts w:ascii="Arial" w:hAnsi="Arial" w:cs="Arial"/>
          <w:color w:val="000000" w:themeColor="text1"/>
          <w:lang w:val="en"/>
        </w:rPr>
        <w:t xml:space="preserve"> </w:t>
      </w:r>
      <w:r w:rsidR="00B42B62">
        <w:rPr>
          <w:rFonts w:ascii="Arial" w:hAnsi="Arial" w:cs="Arial"/>
          <w:color w:val="000000" w:themeColor="text1"/>
          <w:lang w:val="en"/>
        </w:rPr>
        <w:t xml:space="preserve">the </w:t>
      </w:r>
      <w:r w:rsidR="00366479" w:rsidRPr="009902DF">
        <w:rPr>
          <w:rFonts w:ascii="Arial" w:hAnsi="Arial" w:cs="Arial"/>
          <w:color w:val="000000" w:themeColor="text1"/>
          <w:lang w:val="en"/>
        </w:rPr>
        <w:t>EMT6</w:t>
      </w:r>
      <w:r w:rsidR="004A28AF">
        <w:rPr>
          <w:rFonts w:ascii="Arial" w:hAnsi="Arial" w:cs="Arial"/>
          <w:color w:val="000000" w:themeColor="text1"/>
          <w:lang w:val="en"/>
        </w:rPr>
        <w:t xml:space="preserve"> </w:t>
      </w:r>
      <w:r w:rsidRPr="009902DF">
        <w:rPr>
          <w:rFonts w:ascii="Arial" w:hAnsi="Arial" w:cs="Arial"/>
          <w:color w:val="000000" w:themeColor="text1"/>
          <w:lang w:val="en"/>
        </w:rPr>
        <w:t xml:space="preserve">cell line </w:t>
      </w:r>
      <w:r w:rsidR="004A28AF">
        <w:rPr>
          <w:rFonts w:ascii="Arial" w:hAnsi="Arial" w:cs="Arial"/>
          <w:color w:val="000000" w:themeColor="text1"/>
          <w:lang w:val="en"/>
        </w:rPr>
        <w:t>was</w:t>
      </w:r>
      <w:r w:rsidRPr="009902DF">
        <w:rPr>
          <w:rFonts w:ascii="Arial" w:hAnsi="Arial" w:cs="Arial"/>
          <w:color w:val="000000" w:themeColor="text1"/>
          <w:lang w:val="en"/>
        </w:rPr>
        <w:t xml:space="preserve"> used</w:t>
      </w:r>
      <w:r w:rsidR="004A28AF">
        <w:rPr>
          <w:rFonts w:ascii="Arial" w:hAnsi="Arial" w:cs="Arial"/>
          <w:color w:val="000000" w:themeColor="text1"/>
          <w:lang w:val="en"/>
        </w:rPr>
        <w:t xml:space="preserve"> using the same culturing procedures </w:t>
      </w:r>
      <w:proofErr w:type="spellStart"/>
      <w:r w:rsidR="00B42B62">
        <w:rPr>
          <w:rFonts w:ascii="Arial" w:hAnsi="Arial" w:cs="Arial"/>
          <w:color w:val="000000" w:themeColor="text1"/>
          <w:lang w:val="en"/>
        </w:rPr>
        <w:t>guiven</w:t>
      </w:r>
      <w:proofErr w:type="spellEnd"/>
      <w:r w:rsidR="004A28AF">
        <w:rPr>
          <w:rFonts w:ascii="Arial" w:hAnsi="Arial" w:cs="Arial"/>
          <w:color w:val="000000" w:themeColor="text1"/>
          <w:lang w:val="en"/>
        </w:rPr>
        <w:t xml:space="preserve"> </w:t>
      </w:r>
      <w:r w:rsidR="004A28AF" w:rsidRPr="007E5968">
        <w:rPr>
          <w:rFonts w:ascii="Arial" w:hAnsi="Arial" w:cs="Arial"/>
          <w:color w:val="000000" w:themeColor="text1"/>
          <w:lang w:val="en"/>
        </w:rPr>
        <w:t>in</w:t>
      </w:r>
      <w:r w:rsidR="00F77E08" w:rsidRPr="007E5968">
        <w:rPr>
          <w:rFonts w:ascii="Arial" w:hAnsi="Arial" w:cs="Arial"/>
          <w:color w:val="000000" w:themeColor="text1"/>
          <w:lang w:val="en"/>
        </w:rPr>
        <w:t xml:space="preserve"> session 2.3.</w:t>
      </w:r>
      <w:r w:rsidR="00F77E08">
        <w:rPr>
          <w:rFonts w:ascii="Arial" w:hAnsi="Arial" w:cs="Arial"/>
          <w:color w:val="000000" w:themeColor="text1"/>
          <w:lang w:val="en"/>
        </w:rPr>
        <w:t xml:space="preserve"> </w:t>
      </w:r>
      <w:r w:rsidR="00ED60F9">
        <w:rPr>
          <w:rFonts w:ascii="Arial" w:hAnsi="Arial" w:cs="Arial"/>
          <w:color w:val="000000" w:themeColor="text1"/>
          <w:lang w:val="en"/>
        </w:rPr>
        <w:t>After culturing cells in T-75 flasks, EMT6</w:t>
      </w:r>
      <w:r w:rsidRPr="009902DF">
        <w:rPr>
          <w:rFonts w:ascii="Arial" w:hAnsi="Arial" w:cs="Arial"/>
          <w:color w:val="000000" w:themeColor="text1"/>
          <w:lang w:val="en"/>
        </w:rPr>
        <w:t xml:space="preserve"> cells were seeded at a density of 1</w:t>
      </w:r>
      <w:r w:rsidR="00ED60F9">
        <w:rPr>
          <w:rFonts w:ascii="Arial" w:hAnsi="Arial" w:cs="Arial"/>
          <w:color w:val="000000" w:themeColor="text1"/>
          <w:lang w:val="en"/>
        </w:rPr>
        <w:t>0</w:t>
      </w:r>
      <w:r w:rsidRPr="009902DF">
        <w:rPr>
          <w:rFonts w:ascii="Arial" w:hAnsi="Arial" w:cs="Arial"/>
          <w:color w:val="000000" w:themeColor="text1"/>
          <w:lang w:val="en"/>
        </w:rPr>
        <w:t xml:space="preserve">,000 cells per well and incubated for 24 h to allow the cells to return to a proliferative state. The medium was aspirated and replaced with treated media in </w:t>
      </w:r>
      <w:r w:rsidR="006B1C35">
        <w:rPr>
          <w:rFonts w:ascii="Arial" w:hAnsi="Arial" w:cs="Arial"/>
          <w:color w:val="000000" w:themeColor="text1"/>
          <w:lang w:val="en"/>
        </w:rPr>
        <w:t>quintuplicates</w:t>
      </w:r>
      <w:r w:rsidRPr="009902DF">
        <w:rPr>
          <w:rFonts w:ascii="Arial" w:hAnsi="Arial" w:cs="Arial"/>
          <w:color w:val="000000" w:themeColor="text1"/>
          <w:lang w:val="en"/>
        </w:rPr>
        <w:t xml:space="preserve"> groups with eight concentrations of </w:t>
      </w:r>
      <w:r w:rsidR="00111F2B">
        <w:rPr>
          <w:rFonts w:ascii="Arial" w:hAnsi="Arial" w:cs="Arial"/>
          <w:color w:val="000000" w:themeColor="text1"/>
          <w:lang w:val="en"/>
        </w:rPr>
        <w:t>AuNP-</w:t>
      </w:r>
      <w:r w:rsidR="008D2155">
        <w:rPr>
          <w:rFonts w:ascii="Arial" w:hAnsi="Arial" w:cs="Arial"/>
          <w:color w:val="000000" w:themeColor="text1"/>
          <w:lang w:val="en"/>
        </w:rPr>
        <w:t>ANXA5-DM1, ANXA5</w:t>
      </w:r>
      <w:r w:rsidRPr="009902DF">
        <w:rPr>
          <w:rFonts w:ascii="Arial" w:hAnsi="Arial" w:cs="Arial"/>
          <w:color w:val="000000" w:themeColor="text1"/>
          <w:lang w:val="en"/>
        </w:rPr>
        <w:t xml:space="preserve">-DM1 and unconjugated DM1. </w:t>
      </w:r>
      <w:r w:rsidR="000D7D06">
        <w:rPr>
          <w:rFonts w:ascii="Arial" w:hAnsi="Arial" w:cs="Arial"/>
          <w:color w:val="000000" w:themeColor="text1"/>
          <w:lang w:val="en"/>
        </w:rPr>
        <w:t xml:space="preserve">Medium was also enriched with 2 </w:t>
      </w:r>
      <w:r w:rsidR="00061467">
        <w:rPr>
          <w:rFonts w:ascii="Arial" w:hAnsi="Arial" w:cs="Arial"/>
          <w:color w:val="000000" w:themeColor="text1"/>
          <w:lang w:val="en"/>
        </w:rPr>
        <w:t>mM of Ca</w:t>
      </w:r>
      <w:r w:rsidR="00061467">
        <w:rPr>
          <w:rFonts w:ascii="Arial" w:hAnsi="Arial" w:cs="Arial"/>
          <w:color w:val="000000" w:themeColor="text1"/>
          <w:vertAlign w:val="superscript"/>
          <w:lang w:val="en"/>
        </w:rPr>
        <w:t>2+</w:t>
      </w:r>
      <w:r w:rsidR="00061467">
        <w:rPr>
          <w:rFonts w:ascii="Arial" w:hAnsi="Arial" w:cs="Arial"/>
          <w:color w:val="000000" w:themeColor="text1"/>
          <w:lang w:val="en"/>
        </w:rPr>
        <w:t xml:space="preserve">. </w:t>
      </w:r>
      <w:r w:rsidRPr="009902DF">
        <w:rPr>
          <w:rFonts w:ascii="Arial" w:hAnsi="Arial" w:cs="Arial"/>
          <w:color w:val="000000" w:themeColor="text1"/>
          <w:lang w:val="en"/>
        </w:rPr>
        <w:t>A control plate with untreated cell controls</w:t>
      </w:r>
      <w:r w:rsidR="0055628F">
        <w:rPr>
          <w:rFonts w:ascii="Arial" w:hAnsi="Arial" w:cs="Arial"/>
          <w:color w:val="000000" w:themeColor="text1"/>
          <w:lang w:val="en"/>
        </w:rPr>
        <w:t>,</w:t>
      </w:r>
      <w:r w:rsidRPr="009902DF">
        <w:rPr>
          <w:rFonts w:ascii="Arial" w:hAnsi="Arial" w:cs="Arial"/>
          <w:color w:val="000000" w:themeColor="text1"/>
          <w:lang w:val="en"/>
        </w:rPr>
        <w:t xml:space="preserve"> and no-cell blanks was also prepared. The control and treated plates were incubated for 72 h at 37ºC and 5% CO</w:t>
      </w:r>
      <w:r w:rsidRPr="009902DF">
        <w:rPr>
          <w:rFonts w:ascii="Arial" w:hAnsi="Arial" w:cs="Arial"/>
          <w:color w:val="000000" w:themeColor="text1"/>
          <w:vertAlign w:val="subscript"/>
          <w:lang w:val="en"/>
        </w:rPr>
        <w:t>2</w:t>
      </w:r>
      <w:r w:rsidRPr="009902DF">
        <w:rPr>
          <w:rFonts w:ascii="Arial" w:hAnsi="Arial" w:cs="Arial"/>
          <w:color w:val="000000" w:themeColor="text1"/>
          <w:lang w:val="en"/>
        </w:rPr>
        <w:t xml:space="preserve">. </w:t>
      </w:r>
    </w:p>
    <w:p w14:paraId="2D1C5607" w14:textId="43768259" w:rsidR="005E0D94" w:rsidRDefault="009902DF" w:rsidP="005E0D94">
      <w:pPr>
        <w:spacing w:line="360" w:lineRule="auto"/>
        <w:ind w:firstLine="1440"/>
        <w:jc w:val="both"/>
        <w:rPr>
          <w:rFonts w:ascii="Arial" w:hAnsi="Arial" w:cs="Arial"/>
          <w:color w:val="000000" w:themeColor="text1"/>
          <w:lang w:val="en"/>
        </w:rPr>
      </w:pPr>
      <w:r w:rsidRPr="009902DF">
        <w:rPr>
          <w:rFonts w:ascii="Arial" w:hAnsi="Arial" w:cs="Arial"/>
          <w:color w:val="000000" w:themeColor="text1"/>
          <w:lang w:val="en"/>
        </w:rPr>
        <w:t>After incubation, the treatment media was aspirated</w:t>
      </w:r>
      <w:r w:rsidR="0055628F">
        <w:rPr>
          <w:rFonts w:ascii="Arial" w:hAnsi="Arial" w:cs="Arial"/>
          <w:color w:val="000000" w:themeColor="text1"/>
          <w:lang w:val="en"/>
        </w:rPr>
        <w:t>,</w:t>
      </w:r>
      <w:r w:rsidRPr="009902DF">
        <w:rPr>
          <w:rFonts w:ascii="Arial" w:hAnsi="Arial" w:cs="Arial"/>
          <w:color w:val="000000" w:themeColor="text1"/>
          <w:lang w:val="en"/>
        </w:rPr>
        <w:t xml:space="preserve"> and fresh media </w:t>
      </w:r>
      <w:r w:rsidR="00262D9E">
        <w:rPr>
          <w:rFonts w:ascii="Arial" w:hAnsi="Arial" w:cs="Arial"/>
          <w:color w:val="000000" w:themeColor="text1"/>
          <w:lang w:val="en"/>
        </w:rPr>
        <w:t xml:space="preserve">enriched </w:t>
      </w:r>
      <w:r w:rsidRPr="009902DF">
        <w:rPr>
          <w:rFonts w:ascii="Arial" w:hAnsi="Arial" w:cs="Arial"/>
          <w:color w:val="000000" w:themeColor="text1"/>
          <w:lang w:val="en"/>
        </w:rPr>
        <w:t>with 10%</w:t>
      </w:r>
      <w:r w:rsidR="00262D9E">
        <w:rPr>
          <w:rFonts w:ascii="Arial" w:hAnsi="Arial" w:cs="Arial"/>
          <w:color w:val="000000" w:themeColor="text1"/>
          <w:lang w:val="en"/>
        </w:rPr>
        <w:t xml:space="preserve"> </w:t>
      </w:r>
      <w:proofErr w:type="spellStart"/>
      <w:r w:rsidR="00262D9E">
        <w:rPr>
          <w:rFonts w:ascii="Arial" w:hAnsi="Arial" w:cs="Arial"/>
          <w:color w:val="000000" w:themeColor="text1"/>
          <w:lang w:val="en"/>
        </w:rPr>
        <w:t>Alamar</w:t>
      </w:r>
      <w:proofErr w:type="spellEnd"/>
      <w:r w:rsidR="00262D9E">
        <w:rPr>
          <w:rFonts w:ascii="Arial" w:hAnsi="Arial" w:cs="Arial"/>
          <w:color w:val="000000" w:themeColor="text1"/>
          <w:lang w:val="en"/>
        </w:rPr>
        <w:t xml:space="preserve"> Blue reagent</w:t>
      </w:r>
      <w:r w:rsidR="00A314E8">
        <w:rPr>
          <w:rFonts w:ascii="Arial" w:hAnsi="Arial" w:cs="Arial"/>
          <w:color w:val="000000" w:themeColor="text1"/>
          <w:lang w:val="en"/>
        </w:rPr>
        <w:t xml:space="preserve"> was added</w:t>
      </w:r>
      <w:r w:rsidRPr="009902DF">
        <w:rPr>
          <w:rFonts w:ascii="Arial" w:hAnsi="Arial" w:cs="Arial"/>
          <w:color w:val="000000" w:themeColor="text1"/>
          <w:lang w:val="en"/>
        </w:rPr>
        <w:t xml:space="preserve"> in each well. The plates were incubated with </w:t>
      </w:r>
      <w:proofErr w:type="spellStart"/>
      <w:r w:rsidRPr="009902DF">
        <w:rPr>
          <w:rFonts w:ascii="Arial" w:hAnsi="Arial" w:cs="Arial"/>
          <w:color w:val="000000" w:themeColor="text1"/>
          <w:lang w:val="en"/>
        </w:rPr>
        <w:t>alamar</w:t>
      </w:r>
      <w:proofErr w:type="spellEnd"/>
      <w:r w:rsidRPr="009902DF">
        <w:rPr>
          <w:rFonts w:ascii="Arial" w:hAnsi="Arial" w:cs="Arial"/>
          <w:color w:val="000000" w:themeColor="text1"/>
          <w:lang w:val="en"/>
        </w:rPr>
        <w:t xml:space="preserve"> blue for 2 hours at 37ºC and 5% CO</w:t>
      </w:r>
      <w:r w:rsidRPr="009902DF">
        <w:rPr>
          <w:rFonts w:ascii="Arial" w:hAnsi="Arial" w:cs="Arial"/>
          <w:color w:val="000000" w:themeColor="text1"/>
          <w:vertAlign w:val="subscript"/>
          <w:lang w:val="en"/>
        </w:rPr>
        <w:t>2</w:t>
      </w:r>
      <w:r w:rsidRPr="009902DF">
        <w:rPr>
          <w:rFonts w:ascii="Arial" w:hAnsi="Arial" w:cs="Arial"/>
          <w:color w:val="000000" w:themeColor="text1"/>
          <w:lang w:val="en"/>
        </w:rPr>
        <w:t xml:space="preserve"> and analyzed in a plate reader using fluorescence with 530 nm excitation and 590 nm emission. The viability was determined by subtracting the no-cell blank from the untreated cell control and treated experimental plates </w:t>
      </w:r>
      <w:r w:rsidR="0055628F">
        <w:rPr>
          <w:rFonts w:ascii="Arial" w:hAnsi="Arial" w:cs="Arial"/>
          <w:color w:val="000000" w:themeColor="text1"/>
          <w:lang w:val="en"/>
        </w:rPr>
        <w:t xml:space="preserve">and </w:t>
      </w:r>
      <w:r w:rsidRPr="009902DF">
        <w:rPr>
          <w:rFonts w:ascii="Arial" w:hAnsi="Arial" w:cs="Arial"/>
          <w:color w:val="000000" w:themeColor="text1"/>
          <w:lang w:val="en"/>
        </w:rPr>
        <w:t>then dividing the average fluorescence of the treated experimental groups by the average of the untreated cell control.</w:t>
      </w:r>
      <w:r w:rsidR="005E0D94">
        <w:rPr>
          <w:rFonts w:ascii="Arial" w:hAnsi="Arial" w:cs="Arial"/>
          <w:color w:val="000000" w:themeColor="text1"/>
          <w:lang w:val="en"/>
        </w:rPr>
        <w:br w:type="page"/>
      </w:r>
    </w:p>
    <w:p w14:paraId="04C4BCC3" w14:textId="0A8A35EC" w:rsidR="00451887" w:rsidRDefault="00451887" w:rsidP="005E0D94">
      <w:pPr>
        <w:spacing w:line="360" w:lineRule="auto"/>
        <w:ind w:firstLine="1440"/>
        <w:jc w:val="both"/>
        <w:rPr>
          <w:rFonts w:ascii="Arial" w:hAnsi="Arial" w:cs="Arial"/>
          <w:color w:val="000000" w:themeColor="text1"/>
          <w:lang w:val="en"/>
        </w:rPr>
      </w:pPr>
    </w:p>
    <w:p w14:paraId="7343513C" w14:textId="77777777" w:rsidR="005E0D94" w:rsidRPr="009902DF" w:rsidRDefault="005E0D94" w:rsidP="005E0D94">
      <w:pPr>
        <w:spacing w:line="360" w:lineRule="auto"/>
        <w:ind w:firstLine="1440"/>
        <w:jc w:val="both"/>
        <w:rPr>
          <w:rFonts w:ascii="Arial" w:hAnsi="Arial" w:cs="Arial"/>
          <w:color w:val="000000" w:themeColor="text1"/>
          <w:lang w:val="en"/>
        </w:rPr>
      </w:pPr>
    </w:p>
    <w:p w14:paraId="7D5D740D" w14:textId="053A05D8" w:rsidR="00451887" w:rsidRPr="00D74025" w:rsidRDefault="00451887" w:rsidP="00451887">
      <w:pPr>
        <w:rPr>
          <w:color w:val="000000" w:themeColor="text1"/>
        </w:rPr>
      </w:pPr>
    </w:p>
    <w:p w14:paraId="1DFEF155" w14:textId="587D16C1" w:rsidR="00451887" w:rsidRPr="00D74025" w:rsidRDefault="00451887" w:rsidP="00451887">
      <w:pPr>
        <w:rPr>
          <w:color w:val="000000" w:themeColor="text1"/>
        </w:rPr>
      </w:pPr>
    </w:p>
    <w:p w14:paraId="51DED1E3" w14:textId="4F164B97" w:rsidR="00451887" w:rsidRDefault="00451887" w:rsidP="00451887">
      <w:pPr>
        <w:rPr>
          <w:color w:val="000000" w:themeColor="text1"/>
        </w:rPr>
      </w:pPr>
    </w:p>
    <w:p w14:paraId="255EB6ED" w14:textId="3D9C581F" w:rsidR="00614C67" w:rsidRDefault="00614C67" w:rsidP="00451887">
      <w:pPr>
        <w:rPr>
          <w:color w:val="000000" w:themeColor="text1"/>
        </w:rPr>
      </w:pPr>
    </w:p>
    <w:p w14:paraId="31ED75AE" w14:textId="7DC85492" w:rsidR="00614C67" w:rsidRDefault="00614C67" w:rsidP="00451887">
      <w:pPr>
        <w:rPr>
          <w:color w:val="000000" w:themeColor="text1"/>
        </w:rPr>
      </w:pPr>
    </w:p>
    <w:p w14:paraId="0961665E" w14:textId="78BB3A85" w:rsidR="00614C67" w:rsidRDefault="00614C67" w:rsidP="00451887">
      <w:pPr>
        <w:rPr>
          <w:color w:val="000000" w:themeColor="text1"/>
        </w:rPr>
      </w:pPr>
    </w:p>
    <w:p w14:paraId="41C0EC70" w14:textId="213B62BA" w:rsidR="008D5AEB" w:rsidRDefault="008D5AEB" w:rsidP="00451887">
      <w:pPr>
        <w:rPr>
          <w:color w:val="000000" w:themeColor="text1"/>
        </w:rPr>
      </w:pPr>
    </w:p>
    <w:p w14:paraId="7E472B78" w14:textId="77777777" w:rsidR="008D5AEB" w:rsidRDefault="008D5AEB" w:rsidP="00451887">
      <w:pPr>
        <w:rPr>
          <w:color w:val="000000" w:themeColor="text1"/>
        </w:rPr>
      </w:pPr>
    </w:p>
    <w:p w14:paraId="5073C4A7" w14:textId="044C2CCA" w:rsidR="00614C67" w:rsidRDefault="00614C67" w:rsidP="00451887">
      <w:pPr>
        <w:rPr>
          <w:color w:val="000000" w:themeColor="text1"/>
        </w:rPr>
      </w:pPr>
    </w:p>
    <w:p w14:paraId="795EE6FE" w14:textId="48D0A585" w:rsidR="00614C67" w:rsidRDefault="00614C67" w:rsidP="00451887">
      <w:pPr>
        <w:rPr>
          <w:color w:val="000000" w:themeColor="text1"/>
        </w:rPr>
      </w:pPr>
    </w:p>
    <w:p w14:paraId="076AB3EA" w14:textId="2384CE42" w:rsidR="00614C67" w:rsidRDefault="00614C67" w:rsidP="00451887">
      <w:pPr>
        <w:rPr>
          <w:color w:val="000000" w:themeColor="text1"/>
        </w:rPr>
      </w:pPr>
    </w:p>
    <w:p w14:paraId="38E980EF" w14:textId="71042B2F" w:rsidR="00614C67" w:rsidRDefault="00614C67" w:rsidP="00451887">
      <w:pPr>
        <w:rPr>
          <w:color w:val="000000" w:themeColor="text1"/>
        </w:rPr>
      </w:pPr>
    </w:p>
    <w:p w14:paraId="47F9AC86" w14:textId="505C73A9" w:rsidR="00614C67" w:rsidRDefault="00614C67" w:rsidP="00451887">
      <w:pPr>
        <w:rPr>
          <w:color w:val="000000" w:themeColor="text1"/>
        </w:rPr>
      </w:pPr>
    </w:p>
    <w:p w14:paraId="05CDF237" w14:textId="77777777" w:rsidR="00614C67" w:rsidRPr="00D74025" w:rsidRDefault="00614C67" w:rsidP="00451887">
      <w:pPr>
        <w:rPr>
          <w:color w:val="000000" w:themeColor="text1"/>
        </w:rPr>
      </w:pPr>
    </w:p>
    <w:p w14:paraId="2A9C7B1E" w14:textId="502BF528" w:rsidR="00451887" w:rsidRPr="00D74025" w:rsidRDefault="00451887" w:rsidP="00451887">
      <w:pPr>
        <w:rPr>
          <w:color w:val="000000" w:themeColor="text1"/>
        </w:rPr>
      </w:pPr>
    </w:p>
    <w:p w14:paraId="4168CF68" w14:textId="6CE99462" w:rsidR="00451887" w:rsidRPr="00D74025" w:rsidRDefault="00451887" w:rsidP="00451887">
      <w:pPr>
        <w:rPr>
          <w:color w:val="000000" w:themeColor="text1"/>
        </w:rPr>
      </w:pPr>
    </w:p>
    <w:p w14:paraId="57EE5801" w14:textId="77777777" w:rsidR="00451887" w:rsidRPr="00D74025" w:rsidRDefault="00451887" w:rsidP="00451887">
      <w:pPr>
        <w:rPr>
          <w:color w:val="000000" w:themeColor="text1"/>
        </w:rPr>
      </w:pPr>
    </w:p>
    <w:p w14:paraId="6BEB74DC" w14:textId="77777777" w:rsidR="00451887" w:rsidRPr="00D74025" w:rsidRDefault="00451887" w:rsidP="004F22E7">
      <w:pPr>
        <w:rPr>
          <w:rFonts w:ascii="Arial" w:hAnsi="Arial" w:cs="Arial"/>
          <w:color w:val="000000" w:themeColor="text1"/>
        </w:rPr>
      </w:pPr>
    </w:p>
    <w:p w14:paraId="674A6178" w14:textId="541896C5" w:rsidR="005E0D94" w:rsidRDefault="00FA59D9" w:rsidP="00FA59D9">
      <w:pPr>
        <w:pStyle w:val="Heading1"/>
        <w:jc w:val="center"/>
        <w:rPr>
          <w:rFonts w:ascii="Arial" w:hAnsi="Arial" w:cs="Arial"/>
          <w:color w:val="000000" w:themeColor="text1"/>
        </w:rPr>
      </w:pPr>
      <w:bookmarkStart w:id="119" w:name="_Toc121217281"/>
      <w:r w:rsidRPr="00D74025">
        <w:rPr>
          <w:rFonts w:ascii="Arial" w:hAnsi="Arial" w:cs="Arial"/>
          <w:color w:val="000000" w:themeColor="text1"/>
        </w:rPr>
        <w:t>CHAPTER 3 – RESULTS AND DISCUSSION</w:t>
      </w:r>
      <w:bookmarkEnd w:id="119"/>
      <w:r w:rsidR="005E0D94">
        <w:rPr>
          <w:rFonts w:ascii="Arial" w:hAnsi="Arial" w:cs="Arial"/>
          <w:color w:val="000000" w:themeColor="text1"/>
        </w:rPr>
        <w:br w:type="page"/>
      </w:r>
    </w:p>
    <w:p w14:paraId="1091AC9B" w14:textId="52D92D72" w:rsidR="004D5E6B" w:rsidRPr="00D74025" w:rsidRDefault="003476C8" w:rsidP="00366232">
      <w:pPr>
        <w:pStyle w:val="Heading2"/>
        <w:ind w:firstLine="0"/>
        <w:rPr>
          <w:rFonts w:ascii="Arial" w:hAnsi="Arial" w:cs="Arial"/>
          <w:b/>
          <w:bCs/>
          <w:color w:val="000000" w:themeColor="text1"/>
          <w:sz w:val="28"/>
          <w:szCs w:val="28"/>
        </w:rPr>
      </w:pPr>
      <w:bookmarkStart w:id="120" w:name="_Toc121217282"/>
      <w:r w:rsidRPr="00D74025">
        <w:rPr>
          <w:rFonts w:ascii="Arial" w:hAnsi="Arial" w:cs="Arial"/>
          <w:b/>
          <w:bCs/>
          <w:color w:val="000000" w:themeColor="text1"/>
          <w:sz w:val="28"/>
          <w:szCs w:val="28"/>
        </w:rPr>
        <w:lastRenderedPageBreak/>
        <w:t xml:space="preserve">3.1 </w:t>
      </w:r>
      <w:r w:rsidRPr="00D74025">
        <w:rPr>
          <w:rFonts w:ascii="Arial" w:hAnsi="Arial" w:cs="Arial"/>
          <w:b/>
          <w:bCs/>
          <w:i/>
          <w:iCs/>
          <w:color w:val="000000" w:themeColor="text1"/>
          <w:sz w:val="28"/>
          <w:szCs w:val="28"/>
        </w:rPr>
        <w:t xml:space="preserve">In vitro </w:t>
      </w:r>
      <w:r w:rsidR="00647216" w:rsidRPr="00D74025">
        <w:rPr>
          <w:rFonts w:ascii="Arial" w:hAnsi="Arial" w:cs="Arial"/>
          <w:b/>
          <w:bCs/>
          <w:color w:val="000000" w:themeColor="text1"/>
          <w:sz w:val="28"/>
          <w:szCs w:val="28"/>
        </w:rPr>
        <w:t>studies with SWCNT-ANXA5</w:t>
      </w:r>
      <w:r w:rsidR="00C2282F" w:rsidRPr="00D74025">
        <w:rPr>
          <w:rFonts w:ascii="Arial" w:hAnsi="Arial" w:cs="Arial"/>
          <w:b/>
          <w:bCs/>
          <w:color w:val="000000" w:themeColor="text1"/>
          <w:sz w:val="28"/>
          <w:szCs w:val="28"/>
        </w:rPr>
        <w:t>-</w:t>
      </w:r>
      <w:r w:rsidR="00647216" w:rsidRPr="00D74025">
        <w:rPr>
          <w:rFonts w:ascii="Arial" w:hAnsi="Arial" w:cs="Arial"/>
          <w:b/>
          <w:bCs/>
          <w:color w:val="000000" w:themeColor="text1"/>
          <w:sz w:val="28"/>
          <w:szCs w:val="28"/>
        </w:rPr>
        <w:t>mediated PTT</w:t>
      </w:r>
      <w:bookmarkEnd w:id="120"/>
    </w:p>
    <w:p w14:paraId="301B062C" w14:textId="17C8A393" w:rsidR="004D5E6B" w:rsidRPr="00D74025" w:rsidRDefault="004D5E6B" w:rsidP="00017375">
      <w:pPr>
        <w:rPr>
          <w:color w:val="000000" w:themeColor="text1"/>
        </w:rPr>
      </w:pPr>
    </w:p>
    <w:p w14:paraId="1A8D91C9" w14:textId="217FFA39" w:rsidR="00D700CE" w:rsidRPr="00D74025" w:rsidRDefault="00D700CE" w:rsidP="00D700CE">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Recombinant annexin A5 was successfully produced in </w:t>
      </w:r>
      <w:r w:rsidRPr="00D74025">
        <w:rPr>
          <w:rFonts w:ascii="Arial" w:hAnsi="Arial" w:cs="Arial"/>
          <w:i/>
          <w:iCs/>
          <w:color w:val="000000" w:themeColor="text1"/>
        </w:rPr>
        <w:t>E. coli</w:t>
      </w:r>
      <w:r w:rsidRPr="00D74025">
        <w:rPr>
          <w:rFonts w:ascii="Arial" w:hAnsi="Arial" w:cs="Arial"/>
          <w:color w:val="000000" w:themeColor="text1"/>
        </w:rPr>
        <w:t xml:space="preserve"> and purified by affinity chromatography. Conjugation of SWC</w:t>
      </w:r>
      <w:r w:rsidR="00187AE6">
        <w:rPr>
          <w:rFonts w:ascii="Arial" w:hAnsi="Arial" w:cs="Arial"/>
          <w:color w:val="000000" w:themeColor="text1"/>
        </w:rPr>
        <w:t>N</w:t>
      </w:r>
      <w:r w:rsidRPr="00D74025">
        <w:rPr>
          <w:rFonts w:ascii="Arial" w:hAnsi="Arial" w:cs="Arial"/>
          <w:color w:val="000000" w:themeColor="text1"/>
        </w:rPr>
        <w:t xml:space="preserve">T to ANXA5 was performed using DSPE-PEG-mal (3.4 </w:t>
      </w:r>
      <w:proofErr w:type="spellStart"/>
      <w:r w:rsidRPr="00D74025">
        <w:rPr>
          <w:rFonts w:ascii="Arial" w:hAnsi="Arial" w:cs="Arial"/>
          <w:color w:val="000000" w:themeColor="text1"/>
        </w:rPr>
        <w:t>kDa</w:t>
      </w:r>
      <w:proofErr w:type="spellEnd"/>
      <w:r w:rsidRPr="00D74025">
        <w:rPr>
          <w:rFonts w:ascii="Arial" w:hAnsi="Arial" w:cs="Arial"/>
          <w:color w:val="000000" w:themeColor="text1"/>
        </w:rPr>
        <w:t xml:space="preserve">). After purification, the mass ratio of ANXA5 to SWCNT in conjugate was determined by spectrophotometry. The ANXA5 concentration was determined by Bradford assay and compared to bovine serum albumin (BSA) protein standard curve. As a control, </w:t>
      </w:r>
      <w:r>
        <w:rPr>
          <w:rFonts w:ascii="Arial" w:hAnsi="Arial" w:cs="Arial"/>
          <w:color w:val="000000" w:themeColor="text1"/>
        </w:rPr>
        <w:t xml:space="preserve">the </w:t>
      </w:r>
      <w:r w:rsidRPr="00D74025">
        <w:rPr>
          <w:rFonts w:ascii="Arial" w:hAnsi="Arial" w:cs="Arial"/>
          <w:color w:val="000000" w:themeColor="text1"/>
        </w:rPr>
        <w:t>absorbance of PEGylated SWCNT (addition of the linker to suspended SWCNT and 8</w:t>
      </w:r>
      <w:r w:rsidR="001764C2">
        <w:rPr>
          <w:rFonts w:ascii="Arial" w:hAnsi="Arial" w:cs="Arial"/>
          <w:color w:val="000000" w:themeColor="text1"/>
        </w:rPr>
        <w:t xml:space="preserve"> </w:t>
      </w:r>
      <w:r w:rsidRPr="00D74025">
        <w:rPr>
          <w:rFonts w:ascii="Arial" w:hAnsi="Arial" w:cs="Arial"/>
          <w:color w:val="000000" w:themeColor="text1"/>
        </w:rPr>
        <w:t xml:space="preserve">h dialysis against deionized water) at 595 nm was measured and has shown minimal absorption due to the lack of protein. The concentration of SWCNT was determined by measuring the endpoint absorbance at 800 nm and compared to </w:t>
      </w:r>
      <w:r>
        <w:rPr>
          <w:rFonts w:ascii="Arial" w:hAnsi="Arial" w:cs="Arial"/>
          <w:color w:val="000000" w:themeColor="text1"/>
        </w:rPr>
        <w:t xml:space="preserve">the </w:t>
      </w:r>
      <w:r w:rsidRPr="00D74025">
        <w:rPr>
          <w:rFonts w:ascii="Arial" w:hAnsi="Arial" w:cs="Arial"/>
          <w:color w:val="000000" w:themeColor="text1"/>
        </w:rPr>
        <w:t>standard curve. After measurement analyzing 800 nm absorbance of ANXA5</w:t>
      </w:r>
      <w:r>
        <w:rPr>
          <w:rFonts w:ascii="Arial" w:hAnsi="Arial" w:cs="Arial"/>
          <w:color w:val="000000" w:themeColor="text1"/>
        </w:rPr>
        <w:t>,</w:t>
      </w:r>
      <w:r w:rsidRPr="00D74025">
        <w:rPr>
          <w:rFonts w:ascii="Arial" w:hAnsi="Arial" w:cs="Arial"/>
          <w:color w:val="000000" w:themeColor="text1"/>
        </w:rPr>
        <w:t xml:space="preserve"> it was seen no significant absorbance at that wavelength. The average annexin V / SWCNT ratio of the different batches of conjugates used for the </w:t>
      </w:r>
      <w:r w:rsidRPr="00D74025">
        <w:rPr>
          <w:rFonts w:ascii="Arial" w:hAnsi="Arial" w:cs="Arial"/>
          <w:i/>
          <w:iCs/>
          <w:color w:val="000000" w:themeColor="text1"/>
        </w:rPr>
        <w:t>in vitro</w:t>
      </w:r>
      <w:r w:rsidRPr="00D74025">
        <w:rPr>
          <w:rFonts w:ascii="Arial" w:hAnsi="Arial" w:cs="Arial"/>
          <w:color w:val="000000" w:themeColor="text1"/>
        </w:rPr>
        <w:t xml:space="preserve"> experiments presented in this dissertation was 28.7 (with a minimum ratio of 22.1 and a maximum ratio of 35.4). It is</w:t>
      </w:r>
      <w:r>
        <w:rPr>
          <w:rFonts w:ascii="Arial" w:hAnsi="Arial" w:cs="Arial"/>
          <w:color w:val="000000" w:themeColor="text1"/>
        </w:rPr>
        <w:t xml:space="preserve"> relevant</w:t>
      </w:r>
      <w:r w:rsidRPr="00D74025">
        <w:rPr>
          <w:rFonts w:ascii="Arial" w:hAnsi="Arial" w:cs="Arial"/>
          <w:color w:val="000000" w:themeColor="text1"/>
        </w:rPr>
        <w:t xml:space="preserve"> to highlight that the mass ratio ANXA5/SWCNT is correlated to the concentration of ANXA5 solution added during the conjugation. Therefore, </w:t>
      </w:r>
      <w:r>
        <w:rPr>
          <w:rFonts w:ascii="Arial" w:hAnsi="Arial" w:cs="Arial"/>
          <w:color w:val="000000" w:themeColor="text1"/>
        </w:rPr>
        <w:t>using</w:t>
      </w:r>
      <w:r w:rsidRPr="00D74025">
        <w:rPr>
          <w:rFonts w:ascii="Arial" w:hAnsi="Arial" w:cs="Arial"/>
          <w:color w:val="000000" w:themeColor="text1"/>
        </w:rPr>
        <w:t xml:space="preserve"> protein concentrators is crucial to obtain ANXA5 solutions of concentrations around 5 mg/ml.</w:t>
      </w:r>
    </w:p>
    <w:p w14:paraId="11D055DF" w14:textId="3F221E42" w:rsidR="00AF6BBA" w:rsidRPr="00D74025" w:rsidRDefault="00AF6BBA" w:rsidP="00AF6BBA">
      <w:pPr>
        <w:spacing w:line="360" w:lineRule="auto"/>
        <w:ind w:firstLine="1440"/>
        <w:jc w:val="both"/>
        <w:rPr>
          <w:color w:val="000000" w:themeColor="text1"/>
        </w:rPr>
      </w:pPr>
      <w:r w:rsidRPr="00D74025">
        <w:rPr>
          <w:rFonts w:ascii="Arial" w:hAnsi="Arial" w:cs="Arial"/>
          <w:color w:val="000000" w:themeColor="text1"/>
        </w:rPr>
        <w:t xml:space="preserve">The photosensitizer abilities of SWCNT-ANXA5 (100 mg/L of SWCNT) were assessed by NIR laser irradiation at 980 nm and 1 W/cm² </w:t>
      </w:r>
      <w:r>
        <w:rPr>
          <w:rFonts w:ascii="Arial" w:hAnsi="Arial" w:cs="Arial"/>
          <w:color w:val="000000" w:themeColor="text1"/>
        </w:rPr>
        <w:t>at</w:t>
      </w:r>
      <w:r w:rsidRPr="00D74025">
        <w:rPr>
          <w:rFonts w:ascii="Arial" w:hAnsi="Arial" w:cs="Arial"/>
          <w:color w:val="000000" w:themeColor="text1"/>
        </w:rPr>
        <w:t xml:space="preserve"> different times. PBS and </w:t>
      </w:r>
      <w:proofErr w:type="spellStart"/>
      <w:r w:rsidRPr="00D74025">
        <w:rPr>
          <w:rFonts w:ascii="Arial" w:hAnsi="Arial" w:cs="Arial"/>
          <w:color w:val="000000" w:themeColor="text1"/>
        </w:rPr>
        <w:t>Waymouth’s</w:t>
      </w:r>
      <w:proofErr w:type="spellEnd"/>
      <w:r w:rsidRPr="00D74025">
        <w:rPr>
          <w:rFonts w:ascii="Arial" w:hAnsi="Arial" w:cs="Arial"/>
          <w:color w:val="000000" w:themeColor="text1"/>
        </w:rPr>
        <w:t xml:space="preserve"> media were also irradiated with the laser during the same durations as </w:t>
      </w:r>
      <w:r>
        <w:rPr>
          <w:rFonts w:ascii="Arial" w:hAnsi="Arial" w:cs="Arial"/>
          <w:color w:val="000000" w:themeColor="text1"/>
        </w:rPr>
        <w:t xml:space="preserve">the </w:t>
      </w:r>
      <w:r w:rsidRPr="00D74025">
        <w:rPr>
          <w:rFonts w:ascii="Arial" w:hAnsi="Arial" w:cs="Arial"/>
          <w:color w:val="000000" w:themeColor="text1"/>
        </w:rPr>
        <w:t xml:space="preserve">control groups. The final temperature of the tested suspensions and solutions were measured at the end of the NIR irradiation and are shown in </w:t>
      </w:r>
      <w:r w:rsidRPr="007E5968">
        <w:rPr>
          <w:rFonts w:ascii="Arial" w:hAnsi="Arial" w:cs="Arial"/>
          <w:b/>
          <w:bCs/>
          <w:color w:val="000000" w:themeColor="text1"/>
        </w:rPr>
        <w:t xml:space="preserve">Figure </w:t>
      </w:r>
      <w:r w:rsidR="007E5968" w:rsidRPr="007E5968">
        <w:rPr>
          <w:rFonts w:ascii="Arial" w:hAnsi="Arial" w:cs="Arial"/>
          <w:b/>
          <w:bCs/>
          <w:color w:val="000000" w:themeColor="text1"/>
        </w:rPr>
        <w:t>29</w:t>
      </w:r>
      <w:r w:rsidRPr="007E5968">
        <w:rPr>
          <w:rFonts w:ascii="Arial" w:hAnsi="Arial" w:cs="Arial"/>
          <w:color w:val="000000" w:themeColor="text1"/>
        </w:rPr>
        <w:t>:</w:t>
      </w:r>
    </w:p>
    <w:p w14:paraId="239D58AB" w14:textId="665F57BC" w:rsidR="004D5E6B" w:rsidRPr="00D74025" w:rsidRDefault="004D5E6B" w:rsidP="00017375">
      <w:pPr>
        <w:rPr>
          <w:color w:val="000000" w:themeColor="text1"/>
        </w:rPr>
      </w:pPr>
    </w:p>
    <w:p w14:paraId="72B5A94D" w14:textId="3E2CDF4A" w:rsidR="004D5E6B" w:rsidRPr="00D74025" w:rsidRDefault="004D5E6B" w:rsidP="00017375">
      <w:pPr>
        <w:rPr>
          <w:color w:val="000000" w:themeColor="text1"/>
        </w:rPr>
      </w:pPr>
    </w:p>
    <w:p w14:paraId="5A7EFE83" w14:textId="54F6BF41" w:rsidR="004D5E6B" w:rsidRPr="00D74025" w:rsidRDefault="004D5E6B" w:rsidP="00017375">
      <w:pPr>
        <w:rPr>
          <w:color w:val="000000" w:themeColor="text1"/>
        </w:rPr>
      </w:pPr>
    </w:p>
    <w:tbl>
      <w:tblPr>
        <w:tblStyle w:val="TableGrid"/>
        <w:tblW w:w="0" w:type="auto"/>
        <w:tblLook w:val="04A0" w:firstRow="1" w:lastRow="0" w:firstColumn="1" w:lastColumn="0" w:noHBand="0" w:noVBand="1"/>
      </w:tblPr>
      <w:tblGrid>
        <w:gridCol w:w="9296"/>
      </w:tblGrid>
      <w:tr w:rsidR="00D74025" w:rsidRPr="00D74025" w14:paraId="6EEA4A3A" w14:textId="77777777">
        <w:tc>
          <w:tcPr>
            <w:tcW w:w="9265" w:type="dxa"/>
            <w:tcBorders>
              <w:top w:val="single" w:sz="4" w:space="0" w:color="auto"/>
              <w:left w:val="single" w:sz="4" w:space="0" w:color="auto"/>
              <w:bottom w:val="single" w:sz="4" w:space="0" w:color="auto"/>
              <w:right w:val="single" w:sz="4" w:space="0" w:color="auto"/>
            </w:tcBorders>
            <w:hideMark/>
          </w:tcPr>
          <w:p w14:paraId="2277F477" w14:textId="35897E46" w:rsidR="004D5E6B" w:rsidRPr="00D74025" w:rsidRDefault="005F6C76" w:rsidP="000D71A7">
            <w:pPr>
              <w:spacing w:beforeAutospacing="0" w:after="0"/>
              <w:ind w:firstLine="0"/>
              <w:jc w:val="center"/>
              <w:rPr>
                <w:rFonts w:ascii="Arial" w:hAnsi="Arial" w:cs="Arial"/>
                <w:color w:val="000000" w:themeColor="text1"/>
                <w:sz w:val="20"/>
                <w:szCs w:val="20"/>
              </w:rPr>
            </w:pPr>
            <w:r w:rsidRPr="00D74025">
              <w:rPr>
                <w:rFonts w:ascii="Arial" w:hAnsi="Arial" w:cs="Arial"/>
                <w:noProof/>
                <w:color w:val="000000" w:themeColor="text1"/>
                <w:sz w:val="20"/>
                <w:szCs w:val="20"/>
              </w:rPr>
              <w:lastRenderedPageBreak/>
              <w:drawing>
                <wp:inline distT="0" distB="0" distL="0" distR="0" wp14:anchorId="76BE04D7" wp14:editId="55B226A1">
                  <wp:extent cx="5760698" cy="3395272"/>
                  <wp:effectExtent l="0" t="0" r="571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833890" cy="3438410"/>
                          </a:xfrm>
                          <a:prstGeom prst="rect">
                            <a:avLst/>
                          </a:prstGeom>
                        </pic:spPr>
                      </pic:pic>
                    </a:graphicData>
                  </a:graphic>
                </wp:inline>
              </w:drawing>
            </w:r>
          </w:p>
        </w:tc>
      </w:tr>
      <w:tr w:rsidR="004D5E6B" w:rsidRPr="00D74025" w14:paraId="6B1D40E8" w14:textId="77777777" w:rsidTr="00E84E9F">
        <w:trPr>
          <w:trHeight w:val="57"/>
        </w:trPr>
        <w:tc>
          <w:tcPr>
            <w:tcW w:w="9265" w:type="dxa"/>
            <w:tcBorders>
              <w:top w:val="single" w:sz="4" w:space="0" w:color="auto"/>
              <w:left w:val="single" w:sz="4" w:space="0" w:color="auto"/>
              <w:bottom w:val="single" w:sz="4" w:space="0" w:color="auto"/>
              <w:right w:val="single" w:sz="4" w:space="0" w:color="auto"/>
            </w:tcBorders>
            <w:hideMark/>
          </w:tcPr>
          <w:p w14:paraId="2D2E7A79" w14:textId="1B7AAE02" w:rsidR="004D5E6B" w:rsidRPr="00D74025" w:rsidRDefault="00614C67" w:rsidP="00571356">
            <w:pPr>
              <w:spacing w:line="360" w:lineRule="auto"/>
              <w:ind w:firstLine="0"/>
              <w:rPr>
                <w:rFonts w:ascii="Arial" w:hAnsi="Arial" w:cs="Arial"/>
                <w:color w:val="000000" w:themeColor="text1"/>
              </w:rPr>
            </w:pPr>
            <w:bookmarkStart w:id="121" w:name="_Hlk56620825"/>
            <w:bookmarkStart w:id="122" w:name="_Toc121217351"/>
            <w:r w:rsidRPr="00614C67">
              <w:rPr>
                <w:rFonts w:ascii="Arial" w:hAnsi="Arial" w:cs="Arial"/>
                <w:b/>
                <w:bCs/>
                <w:color w:val="000000" w:themeColor="text1"/>
              </w:rPr>
              <w:t xml:space="preserve">Figure </w:t>
            </w:r>
            <w:r w:rsidRPr="00614C67">
              <w:rPr>
                <w:rFonts w:ascii="Arial" w:hAnsi="Arial" w:cs="Arial"/>
                <w:b/>
                <w:bCs/>
                <w:color w:val="000000" w:themeColor="text1"/>
              </w:rPr>
              <w:fldChar w:fldCharType="begin"/>
            </w:r>
            <w:r w:rsidRPr="00614C67">
              <w:rPr>
                <w:rFonts w:ascii="Arial" w:hAnsi="Arial" w:cs="Arial"/>
                <w:b/>
                <w:bCs/>
                <w:color w:val="000000" w:themeColor="text1"/>
              </w:rPr>
              <w:instrText xml:space="preserve"> SEQ Figure \* ARABIC </w:instrText>
            </w:r>
            <w:r w:rsidRPr="00614C67">
              <w:rPr>
                <w:rFonts w:ascii="Arial" w:hAnsi="Arial" w:cs="Arial"/>
                <w:b/>
                <w:bCs/>
                <w:color w:val="000000" w:themeColor="text1"/>
              </w:rPr>
              <w:fldChar w:fldCharType="separate"/>
            </w:r>
            <w:r w:rsidR="002C4B25">
              <w:rPr>
                <w:rFonts w:ascii="Arial" w:hAnsi="Arial" w:cs="Arial"/>
                <w:b/>
                <w:bCs/>
                <w:noProof/>
                <w:color w:val="000000" w:themeColor="text1"/>
              </w:rPr>
              <w:t>29</w:t>
            </w:r>
            <w:r w:rsidRPr="00614C67">
              <w:rPr>
                <w:rFonts w:ascii="Arial" w:hAnsi="Arial" w:cs="Arial"/>
                <w:b/>
                <w:bCs/>
                <w:color w:val="000000" w:themeColor="text1"/>
              </w:rPr>
              <w:fldChar w:fldCharType="end"/>
            </w:r>
            <w:r w:rsidR="00561013" w:rsidRPr="00D74025">
              <w:rPr>
                <w:rFonts w:ascii="Arial" w:hAnsi="Arial" w:cs="Arial"/>
                <w:b/>
                <w:bCs/>
                <w:color w:val="000000" w:themeColor="text1"/>
              </w:rPr>
              <w:t>: Temperature elevation of different solutions and SWCNT-ANXA5 conjugate suspension after NIR laser irradiation at room temperature</w:t>
            </w:r>
            <w:bookmarkEnd w:id="121"/>
            <w:r w:rsidR="00561013" w:rsidRPr="00D74025">
              <w:rPr>
                <w:rFonts w:ascii="Arial" w:hAnsi="Arial" w:cs="Arial"/>
                <w:b/>
                <w:bCs/>
                <w:color w:val="000000" w:themeColor="text1"/>
              </w:rPr>
              <w:t xml:space="preserve">. </w:t>
            </w:r>
            <w:r w:rsidR="00561013" w:rsidRPr="00D74025">
              <w:rPr>
                <w:rFonts w:ascii="Arial" w:hAnsi="Arial" w:cs="Arial"/>
                <w:color w:val="000000" w:themeColor="text1"/>
              </w:rPr>
              <w:t>The graph shows the increase in temperature (°C) of 1 mL of conjugate (100 mg/L</w:t>
            </w:r>
            <w:r w:rsidR="00542CEF">
              <w:rPr>
                <w:rFonts w:ascii="Arial" w:hAnsi="Arial" w:cs="Arial"/>
                <w:color w:val="000000" w:themeColor="text1"/>
              </w:rPr>
              <w:t xml:space="preserve"> of SWCNT</w:t>
            </w:r>
            <w:r w:rsidR="00561013" w:rsidRPr="00D74025">
              <w:rPr>
                <w:rFonts w:ascii="Arial" w:hAnsi="Arial" w:cs="Arial"/>
                <w:color w:val="000000" w:themeColor="text1"/>
              </w:rPr>
              <w:t>), PBS</w:t>
            </w:r>
            <w:r w:rsidR="00561013">
              <w:rPr>
                <w:rFonts w:ascii="Arial" w:hAnsi="Arial" w:cs="Arial"/>
                <w:color w:val="000000" w:themeColor="text1"/>
              </w:rPr>
              <w:t>,</w:t>
            </w:r>
            <w:r w:rsidR="00561013" w:rsidRPr="00D74025">
              <w:rPr>
                <w:rFonts w:ascii="Arial" w:hAnsi="Arial" w:cs="Arial"/>
                <w:color w:val="000000" w:themeColor="text1"/>
              </w:rPr>
              <w:t xml:space="preserve"> or </w:t>
            </w:r>
            <w:proofErr w:type="spellStart"/>
            <w:r w:rsidR="00561013" w:rsidRPr="00D74025">
              <w:rPr>
                <w:rFonts w:ascii="Arial" w:hAnsi="Arial" w:cs="Arial"/>
                <w:color w:val="000000" w:themeColor="text1"/>
              </w:rPr>
              <w:t>Waymouth</w:t>
            </w:r>
            <w:proofErr w:type="spellEnd"/>
            <w:r w:rsidR="00561013" w:rsidRPr="00D74025">
              <w:rPr>
                <w:rFonts w:ascii="Arial" w:hAnsi="Arial" w:cs="Arial"/>
                <w:color w:val="000000" w:themeColor="text1"/>
              </w:rPr>
              <w:t xml:space="preserve"> medium as a function of irradiation time (min). </w:t>
            </w:r>
            <w:r w:rsidR="00561013">
              <w:rPr>
                <w:rFonts w:ascii="Arial" w:hAnsi="Arial" w:cs="Arial"/>
                <w:color w:val="000000" w:themeColor="text1"/>
              </w:rPr>
              <w:t>The laser</w:t>
            </w:r>
            <w:r w:rsidR="00561013" w:rsidRPr="00D74025">
              <w:rPr>
                <w:rFonts w:ascii="Arial" w:hAnsi="Arial" w:cs="Arial"/>
                <w:color w:val="000000" w:themeColor="text1"/>
              </w:rPr>
              <w:t xml:space="preserve"> wavelength was 980 nm</w:t>
            </w:r>
            <w:r w:rsidR="00561013">
              <w:rPr>
                <w:rFonts w:ascii="Arial" w:hAnsi="Arial" w:cs="Arial"/>
                <w:color w:val="000000" w:themeColor="text1"/>
              </w:rPr>
              <w:t>,</w:t>
            </w:r>
            <w:r w:rsidR="00561013" w:rsidRPr="00D74025">
              <w:rPr>
                <w:rFonts w:ascii="Arial" w:hAnsi="Arial" w:cs="Arial"/>
                <w:color w:val="000000" w:themeColor="text1"/>
              </w:rPr>
              <w:t xml:space="preserve"> and </w:t>
            </w:r>
            <w:r w:rsidR="00561013">
              <w:rPr>
                <w:rFonts w:ascii="Arial" w:hAnsi="Arial" w:cs="Arial"/>
                <w:color w:val="000000" w:themeColor="text1"/>
              </w:rPr>
              <w:t xml:space="preserve">the </w:t>
            </w:r>
            <w:r w:rsidR="00561013" w:rsidRPr="00D74025">
              <w:rPr>
                <w:rFonts w:ascii="Arial" w:hAnsi="Arial" w:cs="Arial"/>
                <w:color w:val="000000" w:themeColor="text1"/>
              </w:rPr>
              <w:t xml:space="preserve">power density </w:t>
            </w:r>
            <w:r w:rsidR="00561013">
              <w:rPr>
                <w:rFonts w:ascii="Arial" w:hAnsi="Arial" w:cs="Arial"/>
                <w:color w:val="000000" w:themeColor="text1"/>
              </w:rPr>
              <w:t xml:space="preserve">was </w:t>
            </w:r>
            <w:r w:rsidR="00561013" w:rsidRPr="00D74025">
              <w:rPr>
                <w:rFonts w:ascii="Arial" w:hAnsi="Arial" w:cs="Arial"/>
                <w:color w:val="000000" w:themeColor="text1"/>
              </w:rPr>
              <w:t>1.5 W/cm².</w:t>
            </w:r>
            <w:r w:rsidR="00561013" w:rsidRPr="00D74025">
              <w:rPr>
                <w:rFonts w:ascii="Arial" w:hAnsi="Arial" w:cs="Arial"/>
                <w:b/>
                <w:bCs/>
                <w:color w:val="000000" w:themeColor="text1"/>
              </w:rPr>
              <w:t xml:space="preserve"> </w:t>
            </w:r>
            <w:r w:rsidR="00672B8F" w:rsidRPr="00D74025">
              <w:rPr>
                <w:rFonts w:ascii="Arial" w:hAnsi="Arial" w:cs="Arial"/>
                <w:color w:val="000000" w:themeColor="text1"/>
              </w:rPr>
              <w:t xml:space="preserve">One-way ANOVA </w:t>
            </w:r>
            <w:r w:rsidR="00672B8F">
              <w:rPr>
                <w:rFonts w:ascii="Arial" w:hAnsi="Arial" w:cs="Arial"/>
                <w:color w:val="000000" w:themeColor="text1"/>
              </w:rPr>
              <w:t xml:space="preserve">with </w:t>
            </w:r>
            <w:r w:rsidR="00672B8F" w:rsidRPr="00D74025">
              <w:rPr>
                <w:rFonts w:ascii="Arial" w:hAnsi="Arial" w:cs="Arial"/>
                <w:color w:val="000000" w:themeColor="text1"/>
              </w:rPr>
              <w:t>Dunnett</w:t>
            </w:r>
            <w:r w:rsidR="00672B8F">
              <w:rPr>
                <w:rFonts w:ascii="Arial" w:hAnsi="Arial" w:cs="Arial"/>
                <w:color w:val="000000" w:themeColor="text1"/>
              </w:rPr>
              <w:t>’</w:t>
            </w:r>
            <w:r w:rsidR="00672B8F" w:rsidRPr="00D74025">
              <w:rPr>
                <w:rFonts w:ascii="Arial" w:hAnsi="Arial" w:cs="Arial"/>
                <w:color w:val="000000" w:themeColor="text1"/>
              </w:rPr>
              <w:t>s multiple comparisons was carried out on the GraphPad Prism 8</w:t>
            </w:r>
            <w:r w:rsidR="00561013" w:rsidRPr="00D74025">
              <w:rPr>
                <w:rFonts w:ascii="Arial" w:hAnsi="Arial" w:cs="Arial"/>
                <w:color w:val="000000" w:themeColor="text1"/>
              </w:rPr>
              <w:t>. (n = 2, *p &lt; 0.05 and **p &lt; 0.01).</w:t>
            </w:r>
            <w:bookmarkEnd w:id="122"/>
          </w:p>
        </w:tc>
      </w:tr>
    </w:tbl>
    <w:p w14:paraId="18E94110" w14:textId="41FA38BA" w:rsidR="00BD72AF" w:rsidRDefault="00BD72AF" w:rsidP="00017375">
      <w:pPr>
        <w:rPr>
          <w:color w:val="000000" w:themeColor="text1"/>
        </w:rPr>
      </w:pPr>
    </w:p>
    <w:p w14:paraId="375F0E57" w14:textId="77777777" w:rsidR="00614C67" w:rsidRPr="00D74025" w:rsidRDefault="00614C67" w:rsidP="00017375">
      <w:pPr>
        <w:rPr>
          <w:color w:val="000000" w:themeColor="text1"/>
        </w:rPr>
      </w:pPr>
    </w:p>
    <w:p w14:paraId="54A61EA5" w14:textId="686A2648" w:rsidR="004A584C" w:rsidRPr="00D74025" w:rsidRDefault="004A584C" w:rsidP="004A584C">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The SWCNT-ANXA5 had a significantly higher temperature elevation compared to controls PBS and </w:t>
      </w:r>
      <w:proofErr w:type="spellStart"/>
      <w:r w:rsidRPr="00D74025">
        <w:rPr>
          <w:rFonts w:ascii="Arial" w:hAnsi="Arial" w:cs="Arial"/>
          <w:color w:val="000000" w:themeColor="text1"/>
        </w:rPr>
        <w:t>Waymouth</w:t>
      </w:r>
      <w:proofErr w:type="spellEnd"/>
      <w:r w:rsidRPr="00D74025">
        <w:rPr>
          <w:rFonts w:ascii="Arial" w:hAnsi="Arial" w:cs="Arial"/>
          <w:color w:val="000000" w:themeColor="text1"/>
        </w:rPr>
        <w:t xml:space="preserve"> medium. After 8 minutes of irradiation, temperature elevation reached a plateau at ΔT = 42.5°C on </w:t>
      </w:r>
      <w:r>
        <w:rPr>
          <w:rFonts w:ascii="Arial" w:hAnsi="Arial" w:cs="Arial"/>
          <w:color w:val="000000" w:themeColor="text1"/>
        </w:rPr>
        <w:t>average, whereas</w:t>
      </w:r>
      <w:r w:rsidRPr="00D74025">
        <w:rPr>
          <w:rFonts w:ascii="Arial" w:hAnsi="Arial" w:cs="Arial"/>
          <w:color w:val="000000" w:themeColor="text1"/>
        </w:rPr>
        <w:t xml:space="preserve"> PBS and </w:t>
      </w:r>
      <w:proofErr w:type="spellStart"/>
      <w:r w:rsidRPr="00D74025">
        <w:rPr>
          <w:rFonts w:ascii="Arial" w:hAnsi="Arial" w:cs="Arial"/>
          <w:color w:val="000000" w:themeColor="text1"/>
        </w:rPr>
        <w:t>Waymouth</w:t>
      </w:r>
      <w:proofErr w:type="spellEnd"/>
      <w:r w:rsidRPr="00D74025">
        <w:rPr>
          <w:rFonts w:ascii="Arial" w:hAnsi="Arial" w:cs="Arial"/>
          <w:color w:val="000000" w:themeColor="text1"/>
        </w:rPr>
        <w:t xml:space="preserve"> media reached a plateau at ΔT = 17.8°C. The plateau is accredited to heat transfer from the vial to the surroundings since </w:t>
      </w:r>
      <w:r>
        <w:rPr>
          <w:rFonts w:ascii="Arial" w:hAnsi="Arial" w:cs="Arial"/>
          <w:color w:val="000000" w:themeColor="text1"/>
        </w:rPr>
        <w:t>no insulation was</w:t>
      </w:r>
      <w:r w:rsidRPr="00D74025">
        <w:rPr>
          <w:rFonts w:ascii="Arial" w:hAnsi="Arial" w:cs="Arial"/>
          <w:color w:val="000000" w:themeColor="text1"/>
        </w:rPr>
        <w:t xml:space="preserve"> applied to the flasks. Although these data suggest that the laser</w:t>
      </w:r>
      <w:r>
        <w:rPr>
          <w:rFonts w:ascii="Arial" w:hAnsi="Arial" w:cs="Arial"/>
          <w:color w:val="000000" w:themeColor="text1"/>
        </w:rPr>
        <w:t xml:space="preserve"> alone </w:t>
      </w:r>
      <w:r w:rsidRPr="00D74025">
        <w:rPr>
          <w:rFonts w:ascii="Arial" w:hAnsi="Arial" w:cs="Arial"/>
          <w:color w:val="000000" w:themeColor="text1"/>
        </w:rPr>
        <w:t xml:space="preserve">induces a temperature elevation in control samples that resemble body fluids, the temperature elevation is significantly higher when SWCNT-ANXA5 is present. Indeed, previous studies in this lab have shown a temperature increase of tumors when irradiated with the 980 nm laser in the absence </w:t>
      </w:r>
      <w:r w:rsidRPr="00D74025">
        <w:rPr>
          <w:rFonts w:ascii="Arial" w:hAnsi="Arial" w:cs="Arial"/>
          <w:color w:val="000000" w:themeColor="text1"/>
        </w:rPr>
        <w:lastRenderedPageBreak/>
        <w:t>of SWCNT-ANXA5 of around 18</w:t>
      </w:r>
      <w:r w:rsidRPr="00D74025">
        <w:rPr>
          <w:rFonts w:ascii="Arial" w:hAnsi="Arial" w:cs="Arial"/>
          <w:color w:val="000000" w:themeColor="text1"/>
        </w:rPr>
        <w:sym w:font="Symbol" w:char="F0B0"/>
      </w:r>
      <w:r w:rsidRPr="00D74025">
        <w:rPr>
          <w:rFonts w:ascii="Arial" w:hAnsi="Arial" w:cs="Arial"/>
          <w:color w:val="000000" w:themeColor="text1"/>
        </w:rPr>
        <w:t>C during laser irradiation of 175 s at 1 W/cm</w:t>
      </w:r>
      <w:r w:rsidRPr="00D74025">
        <w:rPr>
          <w:rFonts w:ascii="Arial" w:hAnsi="Arial" w:cs="Arial"/>
          <w:color w:val="000000" w:themeColor="text1"/>
          <w:vertAlign w:val="superscript"/>
        </w:rPr>
        <w:t>2</w:t>
      </w:r>
      <w:r w:rsidRPr="00D74025">
        <w:rPr>
          <w:rFonts w:ascii="Arial" w:hAnsi="Arial" w:cs="Arial"/>
          <w:color w:val="000000" w:themeColor="text1"/>
        </w:rPr>
        <w:t>. Nonetheless, the increase was approximately 36</w:t>
      </w:r>
      <w:r w:rsidRPr="00D74025">
        <w:rPr>
          <w:rFonts w:ascii="Arial" w:hAnsi="Arial" w:cs="Arial"/>
          <w:color w:val="000000" w:themeColor="text1"/>
        </w:rPr>
        <w:sym w:font="Symbol" w:char="F0B0"/>
      </w:r>
      <w:r w:rsidRPr="00D74025">
        <w:rPr>
          <w:rFonts w:ascii="Arial" w:hAnsi="Arial" w:cs="Arial"/>
          <w:color w:val="000000" w:themeColor="text1"/>
        </w:rPr>
        <w:t>C for the same laser treatment when in the presence of SWCNT-ANXA5 by intravenous injection in mice</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{"citationID":"a188c1paa80","properties":{"formattedCitation":"\\super 283\\nosupersub{}","plainCitation":"283","noteIndex":0},"citationItems":[{"id":375,"uris":["http://zotero.org/users/7661987/items/CYBISZI9"],"itemData":{"id":375,"type":"article-journal","abstract":"The greatest contributors to cancer mortality are metastasis and the consequences of its treatment. Here, we present a novel treatment of metastatic breast cancer that combines photothermal therapy with targeted single-walled carbon nanotubes (SWCNTs) and immunostimulation with a checkpoint inhibitor. We find that the selective near-infrared photothermal ablation of primary orthotopic EMT6 breast tumors in syngeneic BALB/cJ mice using an annexin A5 (ANXA5) functionalized SWCNT bioconjugate synergistically enhances an anti-cytotoxic T-lymphocyte-associated protein 4 (anti-CTLA-4)-dependent abscopal response, resulting in an increased survival (55%) at 100 days after tumor inoculation. In comparison, there was no survival at 100 days for either photothermal therapy by itself or immunostimulation by itself. Prior to photothermal therapy, the SWCNT-ANXA5 bioconjugate was administered systemically at a relatively low dose of 1.2 mg/kg, where it then accumulated in tumor vasculature via ANXA5-dependent binding. During photothermal therapy, the average maximum temperature in the tumor reached 54 °C (duration 175 s). The mechanism of prolonged survival resulting from combinatorial photothermal ablation and immune stimulation was evaluated by flow cytometric quantification of splenic antitumoral immune effector cells and serum cytokine quantification.","container-title":"Nanoscale Research Letters","DOI":"10.1186/s11671-020-03459-x","ISSN":"1556-276X","issue":"1","journalAbbreviation":"Nanoscale Research Letters","page":"9","title":"Targeted Single-Walled Carbon Nanotubes for Photothermal Therapy Combined with Immune Checkpoint Inhibition for the Treatment of Metastatic Breast Cancer","volume":"16","author":[{"family":"McKernan","given":"Patrick"},{"family":"Virani","given":"Needa A."},{"family":"Faria","given":"Gabriela N. F."},{"family":"Karch","given":"Clément G."},{"family":"Prada Silvy","given":"Ricardo"},{"family":"Resasco","given":"Daniel E."},{"family":"Thompson","given":"Linda F."},{"family":"Harrison","given":"Roger G."}],"issued":{"date-parts":[["2021",1,7]]}}}],"schema":"https://github.com/citation-style-language/schema/raw/master/csl-citation.json"}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283</w:t>
      </w:r>
      <w:r w:rsidRPr="00D74025">
        <w:rPr>
          <w:rFonts w:ascii="Arial" w:hAnsi="Arial" w:cs="Arial"/>
          <w:color w:val="000000" w:themeColor="text1"/>
        </w:rPr>
        <w:fldChar w:fldCharType="end"/>
      </w:r>
      <w:r w:rsidRPr="00D74025">
        <w:rPr>
          <w:rFonts w:ascii="Arial" w:hAnsi="Arial" w:cs="Arial"/>
          <w:color w:val="000000" w:themeColor="text1"/>
        </w:rPr>
        <w:t xml:space="preserve">. These results suggest that the conjugate generates a more significant temperature elevation </w:t>
      </w:r>
      <w:r>
        <w:rPr>
          <w:rFonts w:ascii="Arial" w:hAnsi="Arial" w:cs="Arial"/>
          <w:color w:val="000000" w:themeColor="text1"/>
        </w:rPr>
        <w:t>than</w:t>
      </w:r>
      <w:r w:rsidRPr="00D74025">
        <w:rPr>
          <w:rFonts w:ascii="Arial" w:hAnsi="Arial" w:cs="Arial"/>
          <w:color w:val="000000" w:themeColor="text1"/>
        </w:rPr>
        <w:t xml:space="preserve"> physiologically resembling liquids.</w:t>
      </w:r>
    </w:p>
    <w:p w14:paraId="077C0A3D" w14:textId="4BFF494E" w:rsidR="003523C1" w:rsidRPr="00D74025" w:rsidRDefault="003523C1" w:rsidP="003523C1">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Furthermore, </w:t>
      </w:r>
      <w:r w:rsidRPr="00D74025">
        <w:rPr>
          <w:rFonts w:ascii="Arial" w:hAnsi="Arial" w:cs="Arial"/>
          <w:i/>
          <w:iCs/>
          <w:color w:val="000000" w:themeColor="text1"/>
        </w:rPr>
        <w:t>in vitro</w:t>
      </w:r>
      <w:r w:rsidRPr="00D74025">
        <w:rPr>
          <w:rFonts w:ascii="Arial" w:hAnsi="Arial" w:cs="Arial"/>
          <w:color w:val="000000" w:themeColor="text1"/>
        </w:rPr>
        <w:t xml:space="preserve"> studies were performed to confirm this concept and </w:t>
      </w:r>
      <w:r>
        <w:rPr>
          <w:rFonts w:ascii="Arial" w:hAnsi="Arial" w:cs="Arial"/>
          <w:color w:val="000000" w:themeColor="text1"/>
        </w:rPr>
        <w:t xml:space="preserve">its </w:t>
      </w:r>
      <w:r w:rsidRPr="00D74025">
        <w:rPr>
          <w:rFonts w:ascii="Arial" w:hAnsi="Arial" w:cs="Arial"/>
          <w:color w:val="000000" w:themeColor="text1"/>
        </w:rPr>
        <w:t>application to PTT. EMT6 cells were grown in 24</w:t>
      </w:r>
      <w:r>
        <w:rPr>
          <w:rFonts w:ascii="Arial" w:hAnsi="Arial" w:cs="Arial"/>
          <w:color w:val="000000" w:themeColor="text1"/>
        </w:rPr>
        <w:t>-well</w:t>
      </w:r>
      <w:r w:rsidRPr="00D74025">
        <w:rPr>
          <w:rFonts w:ascii="Arial" w:hAnsi="Arial" w:cs="Arial"/>
          <w:color w:val="000000" w:themeColor="text1"/>
        </w:rPr>
        <w:t xml:space="preserve"> plates and irradiated with </w:t>
      </w:r>
      <w:r>
        <w:rPr>
          <w:rFonts w:ascii="Arial" w:hAnsi="Arial" w:cs="Arial"/>
          <w:color w:val="000000" w:themeColor="text1"/>
        </w:rPr>
        <w:t xml:space="preserve">a </w:t>
      </w:r>
      <w:r w:rsidRPr="00D74025">
        <w:rPr>
          <w:rFonts w:ascii="Arial" w:hAnsi="Arial" w:cs="Arial"/>
          <w:color w:val="000000" w:themeColor="text1"/>
        </w:rPr>
        <w:t xml:space="preserve">980-nm laser at 1 W/cm² </w:t>
      </w:r>
      <w:r>
        <w:rPr>
          <w:rFonts w:ascii="Arial" w:hAnsi="Arial" w:cs="Arial"/>
          <w:color w:val="000000" w:themeColor="text1"/>
        </w:rPr>
        <w:t>at</w:t>
      </w:r>
      <w:r w:rsidRPr="00D74025">
        <w:rPr>
          <w:rFonts w:ascii="Arial" w:hAnsi="Arial" w:cs="Arial"/>
          <w:color w:val="000000" w:themeColor="text1"/>
        </w:rPr>
        <w:t xml:space="preserve"> different times. </w:t>
      </w:r>
      <w:r w:rsidR="00805C5B">
        <w:rPr>
          <w:rFonts w:ascii="Arial" w:hAnsi="Arial" w:cs="Arial"/>
          <w:color w:val="000000" w:themeColor="text1"/>
        </w:rPr>
        <w:t>Before</w:t>
      </w:r>
      <w:r w:rsidR="00805C5B" w:rsidRPr="00D74025">
        <w:rPr>
          <w:rFonts w:ascii="Arial" w:hAnsi="Arial" w:cs="Arial"/>
          <w:color w:val="000000" w:themeColor="text1"/>
        </w:rPr>
        <w:t xml:space="preserve"> the NIR irradiation, the cells were incubated with the SWCNT-ANXA5 for 2 h in </w:t>
      </w:r>
      <w:r w:rsidR="00805C5B">
        <w:rPr>
          <w:rFonts w:ascii="Arial" w:hAnsi="Arial" w:cs="Arial"/>
          <w:color w:val="000000" w:themeColor="text1"/>
        </w:rPr>
        <w:t xml:space="preserve">an </w:t>
      </w:r>
      <w:r w:rsidR="00805C5B" w:rsidRPr="00D74025">
        <w:rPr>
          <w:rFonts w:ascii="Arial" w:hAnsi="Arial" w:cs="Arial"/>
          <w:color w:val="000000" w:themeColor="text1"/>
        </w:rPr>
        <w:t>incubator at 37</w:t>
      </w:r>
      <w:r w:rsidR="00805C5B" w:rsidRPr="00D74025">
        <w:rPr>
          <w:rFonts w:ascii="Arial" w:hAnsi="Arial" w:cs="Arial"/>
          <w:color w:val="000000" w:themeColor="text1"/>
        </w:rPr>
        <w:sym w:font="Symbol" w:char="F0B0"/>
      </w:r>
      <w:r w:rsidR="00805C5B" w:rsidRPr="00D74025">
        <w:rPr>
          <w:rFonts w:ascii="Arial" w:hAnsi="Arial" w:cs="Arial"/>
          <w:color w:val="000000" w:themeColor="text1"/>
        </w:rPr>
        <w:t>C to allow the conjugate to bind to the cells and washed four times with PBS to remove excess conjugate</w:t>
      </w:r>
      <w:r w:rsidR="00805C5B">
        <w:rPr>
          <w:rFonts w:ascii="Arial" w:hAnsi="Arial" w:cs="Arial"/>
          <w:color w:val="000000" w:themeColor="text1"/>
        </w:rPr>
        <w:t>.</w:t>
      </w:r>
      <w:r w:rsidR="00CE0CD9">
        <w:rPr>
          <w:rFonts w:ascii="Arial" w:hAnsi="Arial" w:cs="Arial"/>
          <w:color w:val="000000" w:themeColor="text1"/>
        </w:rPr>
        <w:t xml:space="preserve"> </w:t>
      </w:r>
      <w:r w:rsidR="00CE0CD9" w:rsidRPr="00D74025">
        <w:rPr>
          <w:rFonts w:ascii="Arial" w:hAnsi="Arial" w:cs="Arial"/>
          <w:color w:val="000000" w:themeColor="text1"/>
        </w:rPr>
        <w:t xml:space="preserve">As a control, EMT6 cells that were </w:t>
      </w:r>
      <w:r w:rsidR="00CE0CD9">
        <w:rPr>
          <w:rFonts w:ascii="Arial" w:hAnsi="Arial" w:cs="Arial"/>
          <w:color w:val="000000" w:themeColor="text1"/>
        </w:rPr>
        <w:t xml:space="preserve">incubates </w:t>
      </w:r>
      <w:proofErr w:type="gramStart"/>
      <w:r w:rsidR="00CE0CD9">
        <w:rPr>
          <w:rFonts w:ascii="Arial" w:hAnsi="Arial" w:cs="Arial"/>
          <w:color w:val="000000" w:themeColor="text1"/>
        </w:rPr>
        <w:t xml:space="preserve">with </w:t>
      </w:r>
      <w:r w:rsidR="00CE0CD9" w:rsidRPr="00D74025">
        <w:rPr>
          <w:rFonts w:ascii="Arial" w:hAnsi="Arial" w:cs="Arial"/>
          <w:color w:val="000000" w:themeColor="text1"/>
        </w:rPr>
        <w:t xml:space="preserve"> conjugate</w:t>
      </w:r>
      <w:proofErr w:type="gramEnd"/>
      <w:r w:rsidR="00CE0CD9" w:rsidRPr="00D74025">
        <w:rPr>
          <w:rFonts w:ascii="Arial" w:hAnsi="Arial" w:cs="Arial"/>
          <w:color w:val="000000" w:themeColor="text1"/>
        </w:rPr>
        <w:t xml:space="preserve"> were also irradiated</w:t>
      </w:r>
      <w:r w:rsidR="00CE0CD9">
        <w:rPr>
          <w:rFonts w:ascii="Arial" w:hAnsi="Arial" w:cs="Arial"/>
          <w:color w:val="000000" w:themeColor="text1"/>
        </w:rPr>
        <w:t>.</w:t>
      </w:r>
      <w:r w:rsidR="00CE0CD9" w:rsidRPr="00D74025">
        <w:rPr>
          <w:rFonts w:ascii="Arial" w:hAnsi="Arial" w:cs="Arial"/>
          <w:color w:val="000000" w:themeColor="text1"/>
        </w:rPr>
        <w:t xml:space="preserve"> </w:t>
      </w:r>
      <w:r w:rsidRPr="00D74025">
        <w:rPr>
          <w:rFonts w:ascii="Arial" w:hAnsi="Arial" w:cs="Arial"/>
          <w:color w:val="000000" w:themeColor="text1"/>
        </w:rPr>
        <w:t>The</w:t>
      </w:r>
      <w:r>
        <w:rPr>
          <w:rFonts w:ascii="Arial" w:hAnsi="Arial" w:cs="Arial"/>
          <w:color w:val="000000" w:themeColor="text1"/>
        </w:rPr>
        <w:t xml:space="preserve"> </w:t>
      </w:r>
      <w:r w:rsidRPr="00D74025">
        <w:rPr>
          <w:rFonts w:ascii="Arial" w:hAnsi="Arial" w:cs="Arial"/>
          <w:color w:val="000000" w:themeColor="text1"/>
        </w:rPr>
        <w:t xml:space="preserve">plates were left at room temperature for around 10 </w:t>
      </w:r>
      <w:r>
        <w:rPr>
          <w:rFonts w:ascii="Arial" w:hAnsi="Arial" w:cs="Arial"/>
          <w:color w:val="000000" w:themeColor="text1"/>
        </w:rPr>
        <w:t>minutes to</w:t>
      </w:r>
      <w:r w:rsidRPr="00D74025">
        <w:rPr>
          <w:rFonts w:ascii="Arial" w:hAnsi="Arial" w:cs="Arial"/>
          <w:color w:val="000000" w:themeColor="text1"/>
        </w:rPr>
        <w:t xml:space="preserve"> achieve thermal equilibrium with the environment. Therefore, in this experiment, </w:t>
      </w:r>
      <w:r>
        <w:rPr>
          <w:rFonts w:ascii="Arial" w:hAnsi="Arial" w:cs="Arial"/>
          <w:color w:val="000000" w:themeColor="text1"/>
        </w:rPr>
        <w:t>the cells'</w:t>
      </w:r>
      <w:r w:rsidRPr="00D74025">
        <w:rPr>
          <w:rFonts w:ascii="Arial" w:hAnsi="Arial" w:cs="Arial"/>
          <w:color w:val="000000" w:themeColor="text1"/>
        </w:rPr>
        <w:t xml:space="preserve"> initial temperature was room temperature. At the end of the NIR irradiation, an </w:t>
      </w:r>
      <w:proofErr w:type="spellStart"/>
      <w:r w:rsidRPr="00D74025">
        <w:rPr>
          <w:rFonts w:ascii="Arial" w:hAnsi="Arial" w:cs="Arial"/>
          <w:color w:val="000000" w:themeColor="text1"/>
        </w:rPr>
        <w:t>Alamar</w:t>
      </w:r>
      <w:proofErr w:type="spellEnd"/>
      <w:r w:rsidRPr="00D74025">
        <w:rPr>
          <w:rFonts w:ascii="Arial" w:hAnsi="Arial" w:cs="Arial"/>
          <w:color w:val="000000" w:themeColor="text1"/>
        </w:rPr>
        <w:t xml:space="preserve"> Blue Assay was performed to determine the viability of the EMT6 cells, and the results are shown in </w:t>
      </w:r>
      <w:r w:rsidRPr="00CB4CCB">
        <w:rPr>
          <w:rFonts w:ascii="Arial" w:hAnsi="Arial" w:cs="Arial"/>
          <w:b/>
          <w:bCs/>
          <w:color w:val="000000" w:themeColor="text1"/>
        </w:rPr>
        <w:t xml:space="preserve">Figure </w:t>
      </w:r>
      <w:r w:rsidR="00CB4CCB">
        <w:rPr>
          <w:rFonts w:ascii="Arial" w:hAnsi="Arial" w:cs="Arial"/>
          <w:b/>
          <w:bCs/>
          <w:color w:val="000000" w:themeColor="text1"/>
        </w:rPr>
        <w:t>30</w:t>
      </w:r>
      <w:r w:rsidRPr="00D74025">
        <w:rPr>
          <w:rFonts w:ascii="Arial" w:hAnsi="Arial" w:cs="Arial"/>
          <w:color w:val="000000" w:themeColor="text1"/>
        </w:rPr>
        <w:t>:</w:t>
      </w:r>
    </w:p>
    <w:p w14:paraId="36820469" w14:textId="77777777" w:rsidR="00F80C1F" w:rsidRPr="00D74025" w:rsidRDefault="00F80C1F" w:rsidP="00017375">
      <w:pPr>
        <w:rPr>
          <w:color w:val="000000" w:themeColor="text1"/>
        </w:rPr>
      </w:pPr>
    </w:p>
    <w:p w14:paraId="2C22905F" w14:textId="77777777" w:rsidR="00BD72AF" w:rsidRPr="00D74025" w:rsidRDefault="00BD72AF" w:rsidP="00BD72AF">
      <w:pPr>
        <w:rPr>
          <w:rFonts w:ascii="Arial" w:hAnsi="Arial" w:cs="Arial"/>
          <w:color w:val="000000" w:themeColor="text1"/>
          <w:sz w:val="20"/>
          <w:szCs w:val="20"/>
        </w:rPr>
      </w:pPr>
    </w:p>
    <w:tbl>
      <w:tblPr>
        <w:tblStyle w:val="TableGrid"/>
        <w:tblW w:w="0" w:type="auto"/>
        <w:tblLook w:val="04A0" w:firstRow="1" w:lastRow="0" w:firstColumn="1" w:lastColumn="0" w:noHBand="0" w:noVBand="1"/>
      </w:tblPr>
      <w:tblGrid>
        <w:gridCol w:w="9265"/>
      </w:tblGrid>
      <w:tr w:rsidR="00D74025" w:rsidRPr="00D74025" w14:paraId="13078F1F" w14:textId="77777777">
        <w:tc>
          <w:tcPr>
            <w:tcW w:w="9265" w:type="dxa"/>
            <w:tcBorders>
              <w:top w:val="single" w:sz="4" w:space="0" w:color="auto"/>
              <w:left w:val="single" w:sz="4" w:space="0" w:color="auto"/>
              <w:bottom w:val="single" w:sz="4" w:space="0" w:color="auto"/>
              <w:right w:val="single" w:sz="4" w:space="0" w:color="auto"/>
            </w:tcBorders>
            <w:hideMark/>
          </w:tcPr>
          <w:p w14:paraId="45095B7C" w14:textId="1E451665" w:rsidR="00BD72AF" w:rsidRPr="00D74025" w:rsidRDefault="00DE2B27" w:rsidP="000D71A7">
            <w:pPr>
              <w:spacing w:beforeAutospacing="0" w:after="0"/>
              <w:ind w:firstLine="0"/>
              <w:jc w:val="center"/>
              <w:rPr>
                <w:rFonts w:ascii="Arial" w:hAnsi="Arial" w:cs="Arial"/>
                <w:color w:val="000000" w:themeColor="text1"/>
                <w:sz w:val="20"/>
                <w:szCs w:val="20"/>
              </w:rPr>
            </w:pPr>
            <w:r w:rsidRPr="00D74025">
              <w:rPr>
                <w:rFonts w:ascii="Arial" w:hAnsi="Arial" w:cs="Arial"/>
                <w:noProof/>
                <w:color w:val="000000" w:themeColor="text1"/>
                <w:sz w:val="20"/>
                <w:szCs w:val="20"/>
              </w:rPr>
              <w:drawing>
                <wp:inline distT="0" distB="0" distL="0" distR="0" wp14:anchorId="5B78ED91" wp14:editId="582ADF58">
                  <wp:extent cx="4946754" cy="3372787"/>
                  <wp:effectExtent l="0" t="0" r="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008360" cy="3414791"/>
                          </a:xfrm>
                          <a:prstGeom prst="rect">
                            <a:avLst/>
                          </a:prstGeom>
                        </pic:spPr>
                      </pic:pic>
                    </a:graphicData>
                  </a:graphic>
                </wp:inline>
              </w:drawing>
            </w:r>
          </w:p>
        </w:tc>
      </w:tr>
      <w:tr w:rsidR="00BD72AF" w:rsidRPr="00D74025" w14:paraId="3D471DF5" w14:textId="77777777">
        <w:tc>
          <w:tcPr>
            <w:tcW w:w="9265" w:type="dxa"/>
            <w:tcBorders>
              <w:top w:val="single" w:sz="4" w:space="0" w:color="auto"/>
              <w:left w:val="single" w:sz="4" w:space="0" w:color="auto"/>
              <w:bottom w:val="single" w:sz="4" w:space="0" w:color="auto"/>
              <w:right w:val="single" w:sz="4" w:space="0" w:color="auto"/>
            </w:tcBorders>
            <w:hideMark/>
          </w:tcPr>
          <w:p w14:paraId="240A6165" w14:textId="1183319F" w:rsidR="00BD72AF" w:rsidRPr="009777AD" w:rsidRDefault="00614C67" w:rsidP="009777AD">
            <w:pPr>
              <w:spacing w:line="360" w:lineRule="auto"/>
              <w:ind w:firstLine="0"/>
            </w:pPr>
            <w:bookmarkStart w:id="123" w:name="_Hlk56620835"/>
            <w:bookmarkStart w:id="124" w:name="_Toc121217352"/>
            <w:r w:rsidRPr="00614C67">
              <w:rPr>
                <w:rFonts w:ascii="Arial" w:hAnsi="Arial" w:cs="Arial"/>
                <w:b/>
                <w:bCs/>
                <w:color w:val="000000" w:themeColor="text1"/>
              </w:rPr>
              <w:lastRenderedPageBreak/>
              <w:t xml:space="preserve">Figure </w:t>
            </w:r>
            <w:r w:rsidRPr="00614C67">
              <w:rPr>
                <w:rFonts w:ascii="Arial" w:hAnsi="Arial" w:cs="Arial"/>
                <w:b/>
                <w:bCs/>
                <w:color w:val="000000" w:themeColor="text1"/>
              </w:rPr>
              <w:fldChar w:fldCharType="begin"/>
            </w:r>
            <w:r w:rsidRPr="00614C67">
              <w:rPr>
                <w:rFonts w:ascii="Arial" w:hAnsi="Arial" w:cs="Arial"/>
                <w:b/>
                <w:bCs/>
                <w:color w:val="000000" w:themeColor="text1"/>
              </w:rPr>
              <w:instrText xml:space="preserve"> SEQ Figure \* ARABIC </w:instrText>
            </w:r>
            <w:r w:rsidRPr="00614C67">
              <w:rPr>
                <w:rFonts w:ascii="Arial" w:hAnsi="Arial" w:cs="Arial"/>
                <w:b/>
                <w:bCs/>
                <w:color w:val="000000" w:themeColor="text1"/>
              </w:rPr>
              <w:fldChar w:fldCharType="separate"/>
            </w:r>
            <w:r w:rsidR="002C4B25">
              <w:rPr>
                <w:rFonts w:ascii="Arial" w:hAnsi="Arial" w:cs="Arial"/>
                <w:b/>
                <w:bCs/>
                <w:noProof/>
                <w:color w:val="000000" w:themeColor="text1"/>
              </w:rPr>
              <w:t>30</w:t>
            </w:r>
            <w:r w:rsidRPr="00614C67">
              <w:rPr>
                <w:rFonts w:ascii="Arial" w:hAnsi="Arial" w:cs="Arial"/>
                <w:b/>
                <w:bCs/>
                <w:color w:val="000000" w:themeColor="text1"/>
              </w:rPr>
              <w:fldChar w:fldCharType="end"/>
            </w:r>
            <w:r w:rsidR="009777AD" w:rsidRPr="00D74025">
              <w:rPr>
                <w:rFonts w:ascii="Arial" w:hAnsi="Arial" w:cs="Arial"/>
                <w:b/>
                <w:bCs/>
                <w:color w:val="000000" w:themeColor="text1"/>
              </w:rPr>
              <w:t xml:space="preserve">: Cell viability of EMT6 cells after NIR laser at treatment room temperature. </w:t>
            </w:r>
            <w:r w:rsidR="009777AD" w:rsidRPr="00D74025">
              <w:rPr>
                <w:rFonts w:ascii="Arial" w:hAnsi="Arial" w:cs="Arial"/>
                <w:color w:val="000000" w:themeColor="text1"/>
              </w:rPr>
              <w:t xml:space="preserve">Relative cell viability of EMT6 cells incubated for 2 hours with the SWCNT-ANXA5 (blue) or not incubated with it as a control (black) prior to laser irradiation. After incubation with the conjugate, the cells were washed four times with PBS. </w:t>
            </w:r>
            <w:r w:rsidR="009777AD">
              <w:rPr>
                <w:rFonts w:ascii="Arial" w:hAnsi="Arial" w:cs="Arial"/>
                <w:color w:val="000000" w:themeColor="text1"/>
              </w:rPr>
              <w:t>The laser</w:t>
            </w:r>
            <w:r w:rsidR="009777AD" w:rsidRPr="00D74025">
              <w:rPr>
                <w:rFonts w:ascii="Arial" w:hAnsi="Arial" w:cs="Arial"/>
                <w:color w:val="000000" w:themeColor="text1"/>
              </w:rPr>
              <w:t xml:space="preserve"> wavelength was 980 nm</w:t>
            </w:r>
            <w:r w:rsidR="009777AD">
              <w:rPr>
                <w:rFonts w:ascii="Arial" w:hAnsi="Arial" w:cs="Arial"/>
                <w:color w:val="000000" w:themeColor="text1"/>
              </w:rPr>
              <w:t>,</w:t>
            </w:r>
            <w:r w:rsidR="009777AD" w:rsidRPr="00D74025">
              <w:rPr>
                <w:rFonts w:ascii="Arial" w:hAnsi="Arial" w:cs="Arial"/>
                <w:color w:val="000000" w:themeColor="text1"/>
              </w:rPr>
              <w:t xml:space="preserve"> and </w:t>
            </w:r>
            <w:r w:rsidR="009777AD">
              <w:rPr>
                <w:rFonts w:ascii="Arial" w:hAnsi="Arial" w:cs="Arial"/>
                <w:color w:val="000000" w:themeColor="text1"/>
              </w:rPr>
              <w:t xml:space="preserve">the </w:t>
            </w:r>
            <w:r w:rsidR="009777AD" w:rsidRPr="00D74025">
              <w:rPr>
                <w:rFonts w:ascii="Arial" w:hAnsi="Arial" w:cs="Arial"/>
                <w:color w:val="000000" w:themeColor="text1"/>
              </w:rPr>
              <w:t xml:space="preserve">power density </w:t>
            </w:r>
            <w:r w:rsidR="009777AD">
              <w:rPr>
                <w:rFonts w:ascii="Arial" w:hAnsi="Arial" w:cs="Arial"/>
                <w:color w:val="000000" w:themeColor="text1"/>
              </w:rPr>
              <w:t xml:space="preserve">was </w:t>
            </w:r>
            <w:r w:rsidR="009777AD" w:rsidRPr="00D74025">
              <w:rPr>
                <w:rFonts w:ascii="Arial" w:hAnsi="Arial" w:cs="Arial"/>
                <w:color w:val="000000" w:themeColor="text1"/>
              </w:rPr>
              <w:t xml:space="preserve">1.0 W/cm². </w:t>
            </w:r>
            <w:r w:rsidR="008D3EB8">
              <w:rPr>
                <w:rFonts w:ascii="Arial" w:hAnsi="Arial" w:cs="Arial"/>
                <w:color w:val="000000" w:themeColor="text1"/>
              </w:rPr>
              <w:t>Statistical analysis: u</w:t>
            </w:r>
            <w:r w:rsidR="00263C6E" w:rsidRPr="0043760A">
              <w:rPr>
                <w:rFonts w:ascii="Arial" w:hAnsi="Arial" w:cs="Arial"/>
                <w:color w:val="000000" w:themeColor="text1"/>
              </w:rPr>
              <w:t xml:space="preserve">npaired </w:t>
            </w:r>
            <w:r w:rsidR="00263C6E">
              <w:rPr>
                <w:rFonts w:ascii="Arial" w:hAnsi="Arial" w:cs="Arial"/>
                <w:color w:val="000000" w:themeColor="text1"/>
              </w:rPr>
              <w:t>t-test</w:t>
            </w:r>
            <w:r w:rsidR="00263C6E" w:rsidRPr="0043760A">
              <w:rPr>
                <w:rFonts w:ascii="Arial" w:hAnsi="Arial" w:cs="Arial"/>
                <w:color w:val="000000" w:themeColor="text1"/>
              </w:rPr>
              <w:t xml:space="preserve"> with Welch’s correction for assumed unequal variances</w:t>
            </w:r>
            <w:r w:rsidR="00263C6E">
              <w:rPr>
                <w:rFonts w:ascii="Arial" w:hAnsi="Arial" w:cs="Arial"/>
                <w:color w:val="000000" w:themeColor="text1"/>
              </w:rPr>
              <w:t xml:space="preserve"> </w:t>
            </w:r>
            <w:r w:rsidR="005A64F5" w:rsidRPr="00D74025">
              <w:rPr>
                <w:rFonts w:ascii="Arial" w:hAnsi="Arial" w:cs="Arial"/>
                <w:color w:val="000000" w:themeColor="text1"/>
              </w:rPr>
              <w:t>was carried out on the GraphPad Prism 8</w:t>
            </w:r>
            <w:r w:rsidR="009777AD" w:rsidRPr="00D74025">
              <w:rPr>
                <w:rFonts w:ascii="Arial" w:hAnsi="Arial" w:cs="Arial"/>
                <w:color w:val="000000" w:themeColor="text1"/>
              </w:rPr>
              <w:t>. (n = 2-3, *p &lt; 0.05 and **p &lt; 0.01).</w:t>
            </w:r>
            <w:bookmarkEnd w:id="123"/>
            <w:bookmarkEnd w:id="124"/>
          </w:p>
        </w:tc>
      </w:tr>
    </w:tbl>
    <w:p w14:paraId="4D561041" w14:textId="19DFCDE2" w:rsidR="00FC29D4" w:rsidRDefault="00FC29D4" w:rsidP="00017375">
      <w:pPr>
        <w:rPr>
          <w:color w:val="000000" w:themeColor="text1"/>
        </w:rPr>
      </w:pPr>
    </w:p>
    <w:p w14:paraId="39EA1837" w14:textId="77777777" w:rsidR="00614C67" w:rsidRPr="00D74025" w:rsidRDefault="00614C67" w:rsidP="00017375">
      <w:pPr>
        <w:rPr>
          <w:color w:val="000000" w:themeColor="text1"/>
        </w:rPr>
      </w:pPr>
    </w:p>
    <w:p w14:paraId="19F3319C" w14:textId="32FE4001" w:rsidR="00CF38A9" w:rsidRPr="00D74025" w:rsidRDefault="00CF38A9" w:rsidP="00CF38A9">
      <w:pPr>
        <w:spacing w:line="360" w:lineRule="auto"/>
        <w:ind w:firstLine="1440"/>
        <w:jc w:val="both"/>
        <w:rPr>
          <w:rFonts w:ascii="Arial" w:hAnsi="Arial" w:cs="Arial"/>
          <w:color w:val="000000" w:themeColor="text1"/>
        </w:rPr>
      </w:pPr>
      <w:r w:rsidRPr="00D74025">
        <w:rPr>
          <w:rFonts w:ascii="Arial" w:hAnsi="Arial" w:cs="Arial"/>
          <w:color w:val="000000" w:themeColor="text1"/>
        </w:rPr>
        <w:t>The NIR-laser treatment at room temperature induced a significant decrease in cell viability after 3 min of irradiation when the cells were previously incubate</w:t>
      </w:r>
      <w:r>
        <w:rPr>
          <w:rFonts w:ascii="Arial" w:hAnsi="Arial" w:cs="Arial"/>
          <w:color w:val="000000" w:themeColor="text1"/>
        </w:rPr>
        <w:t>d</w:t>
      </w:r>
      <w:r w:rsidRPr="00D74025">
        <w:rPr>
          <w:rFonts w:ascii="Arial" w:hAnsi="Arial" w:cs="Arial"/>
          <w:color w:val="000000" w:themeColor="text1"/>
        </w:rPr>
        <w:t xml:space="preserve"> with SWCNT-ANXA5. Th</w:t>
      </w:r>
      <w:r>
        <w:rPr>
          <w:rFonts w:ascii="Arial" w:hAnsi="Arial" w:cs="Arial"/>
          <w:color w:val="000000" w:themeColor="text1"/>
        </w:rPr>
        <w:t>e same decline</w:t>
      </w:r>
      <w:r w:rsidRPr="00D74025">
        <w:rPr>
          <w:rFonts w:ascii="Arial" w:hAnsi="Arial" w:cs="Arial"/>
          <w:color w:val="000000" w:themeColor="text1"/>
        </w:rPr>
        <w:t xml:space="preserve"> was not </w:t>
      </w:r>
      <w:r>
        <w:rPr>
          <w:rFonts w:ascii="Arial" w:hAnsi="Arial" w:cs="Arial"/>
          <w:color w:val="000000" w:themeColor="text1"/>
        </w:rPr>
        <w:t>observed in the control</w:t>
      </w:r>
      <w:r w:rsidRPr="00D74025">
        <w:rPr>
          <w:rFonts w:ascii="Arial" w:hAnsi="Arial" w:cs="Arial"/>
          <w:color w:val="000000" w:themeColor="text1"/>
        </w:rPr>
        <w:t xml:space="preserve"> </w:t>
      </w:r>
      <w:r>
        <w:rPr>
          <w:rFonts w:ascii="Arial" w:hAnsi="Arial" w:cs="Arial"/>
          <w:color w:val="000000" w:themeColor="text1"/>
        </w:rPr>
        <w:t>consisting</w:t>
      </w:r>
      <w:r w:rsidRPr="00D74025">
        <w:rPr>
          <w:rFonts w:ascii="Arial" w:hAnsi="Arial" w:cs="Arial"/>
          <w:color w:val="000000" w:themeColor="text1"/>
        </w:rPr>
        <w:t xml:space="preserve"> of EMT6 cells irradiated with the laser </w:t>
      </w:r>
      <w:r>
        <w:rPr>
          <w:rFonts w:ascii="Arial" w:hAnsi="Arial" w:cs="Arial"/>
          <w:color w:val="000000" w:themeColor="text1"/>
        </w:rPr>
        <w:t>in the absence of</w:t>
      </w:r>
      <w:r w:rsidRPr="00D74025">
        <w:rPr>
          <w:rFonts w:ascii="Arial" w:hAnsi="Arial" w:cs="Arial"/>
          <w:color w:val="000000" w:themeColor="text1"/>
        </w:rPr>
        <w:t xml:space="preserve"> the conjugate, even in higher irradiation times. After 7 minutes of irradiation, the SWCNT-ANXA5 group had </w:t>
      </w:r>
      <w:r>
        <w:rPr>
          <w:rFonts w:ascii="Arial" w:hAnsi="Arial" w:cs="Arial"/>
          <w:color w:val="000000" w:themeColor="text1"/>
        </w:rPr>
        <w:t>an average</w:t>
      </w:r>
      <w:r w:rsidRPr="00D74025">
        <w:rPr>
          <w:rFonts w:ascii="Arial" w:hAnsi="Arial" w:cs="Arial"/>
          <w:color w:val="000000" w:themeColor="text1"/>
        </w:rPr>
        <w:t xml:space="preserve"> viability of 17%. In this experiment, the treatment at room temperature </w:t>
      </w:r>
      <w:proofErr w:type="gramStart"/>
      <w:r w:rsidR="00C7239A">
        <w:rPr>
          <w:rFonts w:ascii="Arial" w:hAnsi="Arial" w:cs="Arial"/>
          <w:color w:val="000000" w:themeColor="text1"/>
        </w:rPr>
        <w:t>lead</w:t>
      </w:r>
      <w:proofErr w:type="gramEnd"/>
      <w:r w:rsidR="00C7239A">
        <w:rPr>
          <w:rFonts w:ascii="Arial" w:hAnsi="Arial" w:cs="Arial"/>
          <w:color w:val="000000" w:themeColor="text1"/>
        </w:rPr>
        <w:t xml:space="preserve"> to a </w:t>
      </w:r>
      <w:r w:rsidRPr="00D74025">
        <w:rPr>
          <w:rFonts w:ascii="Arial" w:hAnsi="Arial" w:cs="Arial"/>
          <w:color w:val="000000" w:themeColor="text1"/>
        </w:rPr>
        <w:t xml:space="preserve">decrease </w:t>
      </w:r>
      <w:r w:rsidR="00C7239A">
        <w:rPr>
          <w:rFonts w:ascii="Arial" w:hAnsi="Arial" w:cs="Arial"/>
          <w:color w:val="000000" w:themeColor="text1"/>
        </w:rPr>
        <w:t xml:space="preserve">in </w:t>
      </w:r>
      <w:r w:rsidRPr="00D74025">
        <w:rPr>
          <w:rFonts w:ascii="Arial" w:hAnsi="Arial" w:cs="Arial"/>
          <w:color w:val="000000" w:themeColor="text1"/>
        </w:rPr>
        <w:t>the cell viability of the cancer cells exposed to the conjugate</w:t>
      </w:r>
      <w:r>
        <w:rPr>
          <w:rFonts w:ascii="Arial" w:hAnsi="Arial" w:cs="Arial"/>
          <w:color w:val="000000" w:themeColor="text1"/>
        </w:rPr>
        <w:t>. In contrast, the</w:t>
      </w:r>
      <w:r w:rsidRPr="00D74025">
        <w:rPr>
          <w:rFonts w:ascii="Arial" w:hAnsi="Arial" w:cs="Arial"/>
          <w:color w:val="000000" w:themeColor="text1"/>
        </w:rPr>
        <w:t xml:space="preserve"> laser alone </w:t>
      </w:r>
      <w:r>
        <w:rPr>
          <w:rFonts w:ascii="Arial" w:hAnsi="Arial" w:cs="Arial"/>
          <w:color w:val="000000" w:themeColor="text1"/>
        </w:rPr>
        <w:t>did not affect</w:t>
      </w:r>
      <w:r w:rsidRPr="00D74025">
        <w:rPr>
          <w:rFonts w:ascii="Arial" w:hAnsi="Arial" w:cs="Arial"/>
          <w:color w:val="000000" w:themeColor="text1"/>
        </w:rPr>
        <w:t xml:space="preserve"> cell viability.</w:t>
      </w:r>
    </w:p>
    <w:p w14:paraId="61AA3C03" w14:textId="40126369" w:rsidR="009244FA" w:rsidRPr="00D74025" w:rsidRDefault="009244FA" w:rsidP="009244FA">
      <w:pPr>
        <w:spacing w:line="360" w:lineRule="auto"/>
        <w:ind w:firstLine="1440"/>
        <w:jc w:val="both"/>
        <w:rPr>
          <w:rFonts w:ascii="Arial" w:hAnsi="Arial" w:cs="Arial"/>
          <w:color w:val="000000" w:themeColor="text1"/>
        </w:rPr>
      </w:pPr>
      <w:r w:rsidRPr="00CB4CCB">
        <w:rPr>
          <w:rFonts w:ascii="Arial" w:hAnsi="Arial" w:cs="Arial"/>
          <w:b/>
          <w:bCs/>
          <w:color w:val="000000" w:themeColor="text1"/>
        </w:rPr>
        <w:t xml:space="preserve">Figure </w:t>
      </w:r>
      <w:r w:rsidR="00CB4CCB" w:rsidRPr="00CB4CCB">
        <w:rPr>
          <w:rFonts w:ascii="Arial" w:hAnsi="Arial" w:cs="Arial"/>
          <w:b/>
          <w:bCs/>
          <w:color w:val="000000" w:themeColor="text1"/>
        </w:rPr>
        <w:t>31</w:t>
      </w:r>
      <w:r w:rsidRPr="00D74025">
        <w:rPr>
          <w:rFonts w:ascii="Arial" w:hAnsi="Arial" w:cs="Arial"/>
          <w:color w:val="000000" w:themeColor="text1"/>
        </w:rPr>
        <w:t xml:space="preserve"> shows a similar experiment following the same procedures as the previous one. Nonetheless, the final temperature at the bottom of the well plate was measured using a type J thermocouple instead of measuring cell viability at room temperature. Those experiments were performed separately because the </w:t>
      </w:r>
      <w:r>
        <w:rPr>
          <w:rFonts w:ascii="Arial" w:hAnsi="Arial" w:cs="Arial"/>
          <w:color w:val="000000" w:themeColor="text1"/>
        </w:rPr>
        <w:t>temperature assessment</w:t>
      </w:r>
      <w:r w:rsidRPr="00D74025">
        <w:rPr>
          <w:rFonts w:ascii="Arial" w:hAnsi="Arial" w:cs="Arial"/>
          <w:color w:val="000000" w:themeColor="text1"/>
        </w:rPr>
        <w:t xml:space="preserve"> after irradiation by the immersion of a thermocouple disrupts </w:t>
      </w:r>
      <w:r>
        <w:rPr>
          <w:rFonts w:ascii="Arial" w:hAnsi="Arial" w:cs="Arial"/>
          <w:color w:val="000000" w:themeColor="text1"/>
        </w:rPr>
        <w:t xml:space="preserve">the </w:t>
      </w:r>
      <w:r w:rsidRPr="00D74025">
        <w:rPr>
          <w:rFonts w:ascii="Arial" w:hAnsi="Arial" w:cs="Arial"/>
          <w:color w:val="000000" w:themeColor="text1"/>
        </w:rPr>
        <w:t xml:space="preserve">aseptic conditions of the cell culture, precluding valid cell viability measurements. The temperature rises resulting from the PTT are shown in </w:t>
      </w:r>
      <w:r w:rsidRPr="00D74025">
        <w:rPr>
          <w:rFonts w:ascii="Arial" w:hAnsi="Arial" w:cs="Arial"/>
          <w:b/>
          <w:bCs/>
          <w:color w:val="000000" w:themeColor="text1"/>
        </w:rPr>
        <w:t xml:space="preserve">Figure </w:t>
      </w:r>
      <w:r w:rsidR="00CB4CCB">
        <w:rPr>
          <w:rFonts w:ascii="Arial" w:hAnsi="Arial" w:cs="Arial"/>
          <w:b/>
          <w:bCs/>
          <w:color w:val="000000" w:themeColor="text1"/>
        </w:rPr>
        <w:t>31</w:t>
      </w:r>
      <w:r w:rsidRPr="00D74025">
        <w:rPr>
          <w:rFonts w:ascii="Arial" w:hAnsi="Arial" w:cs="Arial"/>
          <w:color w:val="000000" w:themeColor="text1"/>
        </w:rPr>
        <w:t>:</w:t>
      </w:r>
    </w:p>
    <w:p w14:paraId="0EC14B74" w14:textId="77777777" w:rsidR="00FC29D4" w:rsidRPr="00D74025" w:rsidRDefault="00FC29D4" w:rsidP="00FC29D4">
      <w:pPr>
        <w:rPr>
          <w:rFonts w:ascii="Arial" w:hAnsi="Arial" w:cs="Arial"/>
          <w:color w:val="000000" w:themeColor="text1"/>
          <w:sz w:val="20"/>
          <w:szCs w:val="20"/>
        </w:rPr>
      </w:pPr>
    </w:p>
    <w:tbl>
      <w:tblPr>
        <w:tblStyle w:val="TableGrid"/>
        <w:tblW w:w="0" w:type="auto"/>
        <w:tblLook w:val="04A0" w:firstRow="1" w:lastRow="0" w:firstColumn="1" w:lastColumn="0" w:noHBand="0" w:noVBand="1"/>
      </w:tblPr>
      <w:tblGrid>
        <w:gridCol w:w="9263"/>
      </w:tblGrid>
      <w:tr w:rsidR="00D74025" w:rsidRPr="00D74025" w14:paraId="2CB4932A" w14:textId="77777777">
        <w:trPr>
          <w:trHeight w:val="5810"/>
        </w:trPr>
        <w:tc>
          <w:tcPr>
            <w:tcW w:w="9263" w:type="dxa"/>
            <w:tcBorders>
              <w:top w:val="single" w:sz="4" w:space="0" w:color="auto"/>
              <w:left w:val="single" w:sz="4" w:space="0" w:color="auto"/>
              <w:bottom w:val="single" w:sz="4" w:space="0" w:color="auto"/>
              <w:right w:val="single" w:sz="4" w:space="0" w:color="auto"/>
            </w:tcBorders>
            <w:hideMark/>
          </w:tcPr>
          <w:p w14:paraId="28785DD6" w14:textId="5F3B054B" w:rsidR="00FC29D4" w:rsidRPr="00D74025" w:rsidRDefault="007B6951" w:rsidP="000D71A7">
            <w:pPr>
              <w:spacing w:beforeAutospacing="0" w:after="0"/>
              <w:rPr>
                <w:rFonts w:ascii="Arial" w:hAnsi="Arial" w:cs="Arial"/>
                <w:color w:val="000000" w:themeColor="text1"/>
                <w:sz w:val="20"/>
                <w:szCs w:val="20"/>
              </w:rPr>
            </w:pPr>
            <w:r w:rsidRPr="00D74025">
              <w:rPr>
                <w:rFonts w:ascii="Arial" w:hAnsi="Arial" w:cs="Arial"/>
                <w:noProof/>
                <w:color w:val="000000" w:themeColor="text1"/>
                <w:sz w:val="20"/>
                <w:szCs w:val="20"/>
              </w:rPr>
              <w:lastRenderedPageBreak/>
              <w:drawing>
                <wp:inline distT="0" distB="0" distL="0" distR="0" wp14:anchorId="764701A2" wp14:editId="33A85AC3">
                  <wp:extent cx="4706911" cy="3585466"/>
                  <wp:effectExtent l="0" t="0" r="508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719083" cy="3594738"/>
                          </a:xfrm>
                          <a:prstGeom prst="rect">
                            <a:avLst/>
                          </a:prstGeom>
                        </pic:spPr>
                      </pic:pic>
                    </a:graphicData>
                  </a:graphic>
                </wp:inline>
              </w:drawing>
            </w:r>
          </w:p>
        </w:tc>
      </w:tr>
      <w:tr w:rsidR="00FC29D4" w:rsidRPr="00D74025" w14:paraId="5E86DBA0" w14:textId="77777777">
        <w:trPr>
          <w:trHeight w:val="1388"/>
        </w:trPr>
        <w:tc>
          <w:tcPr>
            <w:tcW w:w="9263" w:type="dxa"/>
            <w:tcBorders>
              <w:top w:val="single" w:sz="4" w:space="0" w:color="auto"/>
              <w:left w:val="single" w:sz="4" w:space="0" w:color="auto"/>
              <w:bottom w:val="single" w:sz="4" w:space="0" w:color="auto"/>
              <w:right w:val="single" w:sz="4" w:space="0" w:color="auto"/>
            </w:tcBorders>
            <w:hideMark/>
          </w:tcPr>
          <w:p w14:paraId="267E837B" w14:textId="3454CE9A" w:rsidR="00FC29D4" w:rsidRPr="00D74025" w:rsidRDefault="004448DD" w:rsidP="00A26719">
            <w:pPr>
              <w:spacing w:line="360" w:lineRule="auto"/>
              <w:ind w:firstLine="0"/>
              <w:rPr>
                <w:rFonts w:ascii="Arial" w:hAnsi="Arial" w:cs="Arial"/>
                <w:b/>
                <w:bCs/>
                <w:color w:val="000000" w:themeColor="text1"/>
              </w:rPr>
            </w:pPr>
            <w:bookmarkStart w:id="125" w:name="_Hlk56620847"/>
            <w:bookmarkStart w:id="126" w:name="_Toc121217353"/>
            <w:r w:rsidRPr="004448DD">
              <w:rPr>
                <w:rFonts w:ascii="Arial" w:hAnsi="Arial" w:cs="Arial"/>
                <w:b/>
                <w:bCs/>
                <w:color w:val="000000" w:themeColor="text1"/>
              </w:rPr>
              <w:t xml:space="preserve">Figure </w:t>
            </w:r>
            <w:r w:rsidRPr="004448DD">
              <w:rPr>
                <w:rFonts w:ascii="Arial" w:hAnsi="Arial" w:cs="Arial"/>
                <w:b/>
                <w:bCs/>
                <w:color w:val="000000" w:themeColor="text1"/>
              </w:rPr>
              <w:fldChar w:fldCharType="begin"/>
            </w:r>
            <w:r w:rsidRPr="004448DD">
              <w:rPr>
                <w:rFonts w:ascii="Arial" w:hAnsi="Arial" w:cs="Arial"/>
                <w:b/>
                <w:bCs/>
                <w:color w:val="000000" w:themeColor="text1"/>
              </w:rPr>
              <w:instrText xml:space="preserve"> SEQ Figure \* ARABIC </w:instrText>
            </w:r>
            <w:r w:rsidRPr="004448DD">
              <w:rPr>
                <w:rFonts w:ascii="Arial" w:hAnsi="Arial" w:cs="Arial"/>
                <w:b/>
                <w:bCs/>
                <w:color w:val="000000" w:themeColor="text1"/>
              </w:rPr>
              <w:fldChar w:fldCharType="separate"/>
            </w:r>
            <w:r w:rsidR="002C4B25">
              <w:rPr>
                <w:rFonts w:ascii="Arial" w:hAnsi="Arial" w:cs="Arial"/>
                <w:b/>
                <w:bCs/>
                <w:noProof/>
                <w:color w:val="000000" w:themeColor="text1"/>
              </w:rPr>
              <w:t>31</w:t>
            </w:r>
            <w:r w:rsidRPr="004448DD">
              <w:rPr>
                <w:rFonts w:ascii="Arial" w:hAnsi="Arial" w:cs="Arial"/>
                <w:b/>
                <w:bCs/>
                <w:color w:val="000000" w:themeColor="text1"/>
              </w:rPr>
              <w:fldChar w:fldCharType="end"/>
            </w:r>
            <w:r w:rsidR="00A26719" w:rsidRPr="00D74025">
              <w:rPr>
                <w:rFonts w:ascii="Arial" w:hAnsi="Arial" w:cs="Arial"/>
                <w:b/>
                <w:bCs/>
                <w:color w:val="000000" w:themeColor="text1"/>
              </w:rPr>
              <w:t>: Temperature elevation of EMT6 cells after NIR laser treatment at room temperature</w:t>
            </w:r>
            <w:bookmarkEnd w:id="125"/>
            <w:r w:rsidR="00A26719" w:rsidRPr="00D74025">
              <w:rPr>
                <w:rFonts w:ascii="Arial" w:hAnsi="Arial" w:cs="Arial"/>
                <w:b/>
                <w:bCs/>
                <w:color w:val="000000" w:themeColor="text1"/>
              </w:rPr>
              <w:t xml:space="preserve">. </w:t>
            </w:r>
            <w:r w:rsidR="00A26719" w:rsidRPr="00D74025">
              <w:rPr>
                <w:rFonts w:ascii="Arial" w:hAnsi="Arial" w:cs="Arial"/>
                <w:color w:val="000000" w:themeColor="text1"/>
              </w:rPr>
              <w:t xml:space="preserve">The graph shows the temperature elevation (°C) of EMT6 cells incubated for 2 h with the SWCNT-ANXA5 (blue) or not incubated with it as a control (black) </w:t>
            </w:r>
            <w:r w:rsidR="00A26719">
              <w:rPr>
                <w:rFonts w:ascii="Arial" w:hAnsi="Arial" w:cs="Arial"/>
                <w:color w:val="000000" w:themeColor="text1"/>
              </w:rPr>
              <w:t>before</w:t>
            </w:r>
            <w:r w:rsidR="00A26719" w:rsidRPr="00D74025">
              <w:rPr>
                <w:rFonts w:ascii="Arial" w:hAnsi="Arial" w:cs="Arial"/>
                <w:color w:val="000000" w:themeColor="text1"/>
              </w:rPr>
              <w:t xml:space="preserve"> laser irradiation. After incubation with the conjugate, the cells were washed four times with PBS. </w:t>
            </w:r>
            <w:r w:rsidR="00A26719">
              <w:rPr>
                <w:rFonts w:ascii="Arial" w:hAnsi="Arial" w:cs="Arial"/>
                <w:color w:val="000000" w:themeColor="text1"/>
              </w:rPr>
              <w:t>The laser</w:t>
            </w:r>
            <w:r w:rsidR="00A26719" w:rsidRPr="00D74025">
              <w:rPr>
                <w:rFonts w:ascii="Arial" w:hAnsi="Arial" w:cs="Arial"/>
                <w:color w:val="000000" w:themeColor="text1"/>
              </w:rPr>
              <w:t xml:space="preserve"> wavelength was 980 nm</w:t>
            </w:r>
            <w:r w:rsidR="00A26719">
              <w:rPr>
                <w:rFonts w:ascii="Arial" w:hAnsi="Arial" w:cs="Arial"/>
                <w:color w:val="000000" w:themeColor="text1"/>
              </w:rPr>
              <w:t>,</w:t>
            </w:r>
            <w:r w:rsidR="00A26719" w:rsidRPr="00D74025">
              <w:rPr>
                <w:rFonts w:ascii="Arial" w:hAnsi="Arial" w:cs="Arial"/>
                <w:color w:val="000000" w:themeColor="text1"/>
              </w:rPr>
              <w:t xml:space="preserve"> and </w:t>
            </w:r>
            <w:r w:rsidR="00A26719">
              <w:rPr>
                <w:rFonts w:ascii="Arial" w:hAnsi="Arial" w:cs="Arial"/>
                <w:color w:val="000000" w:themeColor="text1"/>
              </w:rPr>
              <w:t xml:space="preserve">the </w:t>
            </w:r>
            <w:r w:rsidR="00A26719" w:rsidRPr="00D74025">
              <w:rPr>
                <w:rFonts w:ascii="Arial" w:hAnsi="Arial" w:cs="Arial"/>
                <w:color w:val="000000" w:themeColor="text1"/>
              </w:rPr>
              <w:t xml:space="preserve">power density </w:t>
            </w:r>
            <w:r w:rsidR="00A26719">
              <w:rPr>
                <w:rFonts w:ascii="Arial" w:hAnsi="Arial" w:cs="Arial"/>
                <w:color w:val="000000" w:themeColor="text1"/>
              </w:rPr>
              <w:t xml:space="preserve">was </w:t>
            </w:r>
            <w:r w:rsidR="00A26719" w:rsidRPr="00D74025">
              <w:rPr>
                <w:rFonts w:ascii="Arial" w:hAnsi="Arial" w:cs="Arial"/>
                <w:color w:val="000000" w:themeColor="text1"/>
              </w:rPr>
              <w:t xml:space="preserve">1.0 W/cm². </w:t>
            </w:r>
            <w:r w:rsidR="004B077C">
              <w:rPr>
                <w:rFonts w:ascii="Arial" w:hAnsi="Arial" w:cs="Arial"/>
                <w:color w:val="000000" w:themeColor="text1"/>
              </w:rPr>
              <w:t>Statistical analys</w:t>
            </w:r>
            <w:r w:rsidR="00D510F2">
              <w:rPr>
                <w:rFonts w:ascii="Arial" w:hAnsi="Arial" w:cs="Arial"/>
                <w:color w:val="000000" w:themeColor="text1"/>
              </w:rPr>
              <w:t>i</w:t>
            </w:r>
            <w:r w:rsidR="004B077C">
              <w:rPr>
                <w:rFonts w:ascii="Arial" w:hAnsi="Arial" w:cs="Arial"/>
                <w:color w:val="000000" w:themeColor="text1"/>
              </w:rPr>
              <w:t>s: u</w:t>
            </w:r>
            <w:r w:rsidR="004B077C" w:rsidRPr="0043760A">
              <w:rPr>
                <w:rFonts w:ascii="Arial" w:hAnsi="Arial" w:cs="Arial"/>
                <w:color w:val="000000" w:themeColor="text1"/>
              </w:rPr>
              <w:t xml:space="preserve">npaired </w:t>
            </w:r>
            <w:r w:rsidR="004B077C">
              <w:rPr>
                <w:rFonts w:ascii="Arial" w:hAnsi="Arial" w:cs="Arial"/>
                <w:color w:val="000000" w:themeColor="text1"/>
              </w:rPr>
              <w:t>t-test</w:t>
            </w:r>
            <w:r w:rsidR="004B077C" w:rsidRPr="0043760A">
              <w:rPr>
                <w:rFonts w:ascii="Arial" w:hAnsi="Arial" w:cs="Arial"/>
                <w:color w:val="000000" w:themeColor="text1"/>
              </w:rPr>
              <w:t xml:space="preserve"> with Welch’s correction for assumed unequal variances</w:t>
            </w:r>
            <w:r w:rsidR="00A26719" w:rsidRPr="00D74025">
              <w:rPr>
                <w:rFonts w:ascii="Arial" w:hAnsi="Arial" w:cs="Arial"/>
                <w:color w:val="000000" w:themeColor="text1"/>
              </w:rPr>
              <w:t xml:space="preserve"> was carried out on the GraphPad Prism</w:t>
            </w:r>
            <w:r w:rsidR="007E472F">
              <w:rPr>
                <w:rFonts w:ascii="Arial" w:hAnsi="Arial" w:cs="Arial"/>
                <w:color w:val="000000" w:themeColor="text1"/>
              </w:rPr>
              <w:t xml:space="preserve"> </w:t>
            </w:r>
            <w:r w:rsidR="0016324C">
              <w:rPr>
                <w:rFonts w:ascii="Arial" w:hAnsi="Arial" w:cs="Arial"/>
                <w:color w:val="000000" w:themeColor="text1"/>
              </w:rPr>
              <w:t>8</w:t>
            </w:r>
            <w:r w:rsidR="00A26719" w:rsidRPr="00D74025">
              <w:rPr>
                <w:rFonts w:ascii="Arial" w:hAnsi="Arial" w:cs="Arial"/>
                <w:color w:val="000000" w:themeColor="text1"/>
              </w:rPr>
              <w:t>. (n = 2-3, *p&lt;0.05 and **p&lt;0.01).</w:t>
            </w:r>
            <w:bookmarkEnd w:id="126"/>
          </w:p>
        </w:tc>
      </w:tr>
    </w:tbl>
    <w:p w14:paraId="4DE2BEDF" w14:textId="7566947E" w:rsidR="00FC29D4" w:rsidRDefault="00FC29D4" w:rsidP="00017375">
      <w:pPr>
        <w:rPr>
          <w:color w:val="000000" w:themeColor="text1"/>
        </w:rPr>
      </w:pPr>
    </w:p>
    <w:p w14:paraId="7B5B8C32" w14:textId="77777777" w:rsidR="004448DD" w:rsidRPr="00D74025" w:rsidRDefault="004448DD" w:rsidP="00017375">
      <w:pPr>
        <w:rPr>
          <w:color w:val="000000" w:themeColor="text1"/>
        </w:rPr>
      </w:pPr>
    </w:p>
    <w:p w14:paraId="3B9F4B57" w14:textId="66CF37AC" w:rsidR="00780D0C" w:rsidRPr="00D74025" w:rsidRDefault="00780D0C" w:rsidP="00780D0C">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EMT6 cells treated </w:t>
      </w:r>
      <w:r>
        <w:rPr>
          <w:rFonts w:ascii="Arial" w:hAnsi="Arial" w:cs="Arial"/>
          <w:color w:val="000000" w:themeColor="text1"/>
        </w:rPr>
        <w:t xml:space="preserve">with </w:t>
      </w:r>
      <w:r w:rsidRPr="00D74025">
        <w:rPr>
          <w:rFonts w:ascii="Arial" w:hAnsi="Arial" w:cs="Arial"/>
          <w:color w:val="000000" w:themeColor="text1"/>
        </w:rPr>
        <w:t>the combination of SWCNT-</w:t>
      </w:r>
      <w:proofErr w:type="gramStart"/>
      <w:r w:rsidRPr="00D74025">
        <w:rPr>
          <w:rFonts w:ascii="Arial" w:hAnsi="Arial" w:cs="Arial"/>
          <w:color w:val="000000" w:themeColor="text1"/>
        </w:rPr>
        <w:t>ANXA5</w:t>
      </w:r>
      <w:proofErr w:type="gramEnd"/>
      <w:r w:rsidRPr="00D74025">
        <w:rPr>
          <w:rFonts w:ascii="Arial" w:hAnsi="Arial" w:cs="Arial"/>
          <w:color w:val="000000" w:themeColor="text1"/>
        </w:rPr>
        <w:t xml:space="preserve"> and PTT showed an increased temperature elevation compared to the control treated with laser irradiation alone. These results suggest that the laser alone does not induce a </w:t>
      </w:r>
      <w:r>
        <w:rPr>
          <w:rFonts w:ascii="Arial" w:hAnsi="Arial" w:cs="Arial"/>
          <w:color w:val="000000" w:themeColor="text1"/>
        </w:rPr>
        <w:t>substantial</w:t>
      </w:r>
      <w:r w:rsidRPr="00D74025">
        <w:rPr>
          <w:rFonts w:ascii="Arial" w:hAnsi="Arial" w:cs="Arial"/>
          <w:color w:val="000000" w:themeColor="text1"/>
        </w:rPr>
        <w:t xml:space="preserve"> </w:t>
      </w:r>
      <w:r>
        <w:rPr>
          <w:rFonts w:ascii="Arial" w:hAnsi="Arial" w:cs="Arial"/>
          <w:color w:val="000000" w:themeColor="text1"/>
        </w:rPr>
        <w:t>temperature rise</w:t>
      </w:r>
      <w:r w:rsidRPr="00D74025">
        <w:rPr>
          <w:rFonts w:ascii="Arial" w:hAnsi="Arial" w:cs="Arial"/>
          <w:color w:val="000000" w:themeColor="text1"/>
        </w:rPr>
        <w:t xml:space="preserve"> and that </w:t>
      </w:r>
      <w:r>
        <w:rPr>
          <w:rFonts w:ascii="Arial" w:hAnsi="Arial" w:cs="Arial"/>
          <w:color w:val="000000" w:themeColor="text1"/>
        </w:rPr>
        <w:t>combining</w:t>
      </w:r>
      <w:r w:rsidRPr="00D74025">
        <w:rPr>
          <w:rFonts w:ascii="Arial" w:hAnsi="Arial" w:cs="Arial"/>
          <w:color w:val="000000" w:themeColor="text1"/>
        </w:rPr>
        <w:t xml:space="preserve"> laser and conjugate is necessary to induce significant heat</w:t>
      </w:r>
      <w:r w:rsidR="00B93E07">
        <w:rPr>
          <w:rFonts w:ascii="Arial" w:hAnsi="Arial" w:cs="Arial"/>
          <w:color w:val="000000" w:themeColor="text1"/>
        </w:rPr>
        <w:t>ing</w:t>
      </w:r>
      <w:r w:rsidRPr="00D74025">
        <w:rPr>
          <w:rFonts w:ascii="Arial" w:hAnsi="Arial" w:cs="Arial"/>
          <w:color w:val="000000" w:themeColor="text1"/>
        </w:rPr>
        <w:t xml:space="preserve">. </w:t>
      </w:r>
    </w:p>
    <w:p w14:paraId="691A09DE" w14:textId="2C382FC2" w:rsidR="00780D0C" w:rsidRPr="00D74025" w:rsidRDefault="00780D0C" w:rsidP="00780D0C">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By comparing the results from </w:t>
      </w:r>
      <w:r w:rsidR="00692EC4" w:rsidRPr="00692EC4">
        <w:rPr>
          <w:rFonts w:ascii="Arial" w:hAnsi="Arial" w:cs="Arial"/>
          <w:b/>
          <w:bCs/>
          <w:color w:val="000000" w:themeColor="text1"/>
        </w:rPr>
        <w:t>F</w:t>
      </w:r>
      <w:r w:rsidRPr="00692EC4">
        <w:rPr>
          <w:rFonts w:ascii="Arial" w:hAnsi="Arial" w:cs="Arial"/>
          <w:b/>
          <w:bCs/>
          <w:color w:val="000000" w:themeColor="text1"/>
        </w:rPr>
        <w:t xml:space="preserve">igure </w:t>
      </w:r>
      <w:r w:rsidR="00542405" w:rsidRPr="00692EC4">
        <w:rPr>
          <w:rFonts w:ascii="Arial" w:hAnsi="Arial" w:cs="Arial"/>
          <w:b/>
          <w:bCs/>
          <w:color w:val="000000" w:themeColor="text1"/>
        </w:rPr>
        <w:t>30</w:t>
      </w:r>
      <w:r w:rsidRPr="00D74025">
        <w:rPr>
          <w:rFonts w:ascii="Arial" w:hAnsi="Arial" w:cs="Arial"/>
          <w:color w:val="000000" w:themeColor="text1"/>
        </w:rPr>
        <w:t xml:space="preserve"> and </w:t>
      </w:r>
      <w:r w:rsidR="00692EC4" w:rsidRPr="00692EC4">
        <w:rPr>
          <w:rFonts w:ascii="Arial" w:hAnsi="Arial" w:cs="Arial"/>
          <w:b/>
          <w:bCs/>
          <w:color w:val="000000" w:themeColor="text1"/>
        </w:rPr>
        <w:t>F</w:t>
      </w:r>
      <w:r w:rsidRPr="00692EC4">
        <w:rPr>
          <w:rFonts w:ascii="Arial" w:hAnsi="Arial" w:cs="Arial"/>
          <w:b/>
          <w:bCs/>
          <w:color w:val="000000" w:themeColor="text1"/>
        </w:rPr>
        <w:t xml:space="preserve">igure </w:t>
      </w:r>
      <w:r w:rsidR="00542405" w:rsidRPr="00692EC4">
        <w:rPr>
          <w:rFonts w:ascii="Arial" w:hAnsi="Arial" w:cs="Arial"/>
          <w:b/>
          <w:bCs/>
          <w:color w:val="000000" w:themeColor="text1"/>
        </w:rPr>
        <w:t>31</w:t>
      </w:r>
      <w:r w:rsidRPr="00D74025">
        <w:rPr>
          <w:rFonts w:ascii="Arial" w:hAnsi="Arial" w:cs="Arial"/>
          <w:color w:val="000000" w:themeColor="text1"/>
        </w:rPr>
        <w:t xml:space="preserve"> and assuming a conservative room temperature of 21</w:t>
      </w:r>
      <w:r w:rsidRPr="00D74025">
        <w:rPr>
          <w:rFonts w:ascii="Arial" w:hAnsi="Arial" w:cs="Arial"/>
          <w:color w:val="000000" w:themeColor="text1"/>
        </w:rPr>
        <w:sym w:font="Symbol" w:char="F0B0"/>
      </w:r>
      <w:r w:rsidRPr="00D74025">
        <w:rPr>
          <w:rFonts w:ascii="Arial" w:hAnsi="Arial" w:cs="Arial"/>
          <w:color w:val="000000" w:themeColor="text1"/>
        </w:rPr>
        <w:t xml:space="preserve">C, the higher macroscale temperature reached in </w:t>
      </w:r>
      <w:r w:rsidRPr="00D74025">
        <w:rPr>
          <w:rFonts w:ascii="Arial" w:hAnsi="Arial" w:cs="Arial"/>
          <w:color w:val="000000" w:themeColor="text1"/>
        </w:rPr>
        <w:lastRenderedPageBreak/>
        <w:t>those experiments was around 32</w:t>
      </w:r>
      <w:r w:rsidRPr="00D74025">
        <w:rPr>
          <w:rFonts w:ascii="Arial" w:hAnsi="Arial" w:cs="Arial"/>
          <w:color w:val="000000" w:themeColor="text1"/>
        </w:rPr>
        <w:sym w:font="Symbol" w:char="F0B0"/>
      </w:r>
      <w:r w:rsidRPr="00D74025">
        <w:rPr>
          <w:rFonts w:ascii="Arial" w:hAnsi="Arial" w:cs="Arial"/>
          <w:color w:val="000000" w:themeColor="text1"/>
        </w:rPr>
        <w:t xml:space="preserve">C, which induced cell death in 83% of cells. </w:t>
      </w:r>
      <w:r w:rsidRPr="00542405">
        <w:rPr>
          <w:rFonts w:ascii="Arial" w:hAnsi="Arial" w:cs="Arial"/>
          <w:i/>
          <w:iCs/>
          <w:color w:val="000000" w:themeColor="text1"/>
        </w:rPr>
        <w:t>In vivo</w:t>
      </w:r>
      <w:r w:rsidRPr="00D74025">
        <w:rPr>
          <w:rFonts w:ascii="Arial" w:hAnsi="Arial" w:cs="Arial"/>
          <w:color w:val="000000" w:themeColor="text1"/>
        </w:rPr>
        <w:t xml:space="preserve">, tissue damage is believed to occur in temperatures superior to 41ºC </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{"citationID":"oJObXkm4","properties":{"formattedCitation":"\\super 184\\nosupersub{}","plainCitation":"184","noteIndex":0},"citationItems":[{"id":398,"uris":["http://zotero.org/users/7661987/items/STV9LYXE"],"itemData":{"id":398,"type":"article-journal","abstract":"The present study aimed to investigate heatinginduced alterations of breast cancer cell invasion abilities and the potential mechanisms associated with TGF-ß1 expression. MCF-7 cells were heated at 43, 45, 47 and 37˚C for 30 min. In vitro cell invasion ability was evaluated by matrigel invasion assay. The activity of matrix metalloproteinase (MMP)-2/9 was investigated by gelatin zymographic assays. Expression of vascular endothelial growth factor (VEGF) and transforming growth factor-ß1 (TGF-ß1) was investigated by immunocytochemistry and RT-PCR. Apoptosis was analysed by flowcytometry. The invasive potential of MCF-7 cells was reduced by heating, and MMP-2/9 secretion and enzymatic activity were suppressed. Furthermore, VEGF and TGF-ß1 mRNA and proteins were suppressed by hyperthermia. These results suggest that down-regulation of the expression of TGF-ß1, EGF and MMPs by hyperthermia probably accounts for the inhibition of the invasive abilities of MCF-7 cells.","container-title":"Oncology Reports","DOI":"10.3892/or.2011.1240","ISSN":"1021-335X, 1791-2431","journalAbbreviation":"Oncol Rep","language":"en","source":"DOI.org (Crossref)","title":"Effect of hyperthermia on invasion ability and TGF-β1 expression of breast carcinoma MCF-7 cells","URL":"http://www.spandidos-publications.com/10.3892/or.2011.1240","author":[{"family":"Tang","given":"Jintian"}],"accessed":{"date-parts":[["2021",11,4]]},"issued":{"date-parts":[["2011",3,29]]}}}],"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184</w:t>
      </w:r>
      <w:r w:rsidRPr="00D74025">
        <w:rPr>
          <w:rFonts w:ascii="Arial" w:hAnsi="Arial" w:cs="Arial"/>
          <w:color w:val="000000" w:themeColor="text1"/>
        </w:rPr>
        <w:fldChar w:fldCharType="end"/>
      </w:r>
      <w:r w:rsidRPr="00D74025">
        <w:rPr>
          <w:rFonts w:ascii="Arial" w:hAnsi="Arial" w:cs="Arial"/>
          <w:color w:val="000000" w:themeColor="text1"/>
        </w:rPr>
        <w:t xml:space="preserve">. This discrepancy might be related to the ability of SWCNT to induce a local nanoscale temperature </w:t>
      </w:r>
      <w:r>
        <w:rPr>
          <w:rFonts w:ascii="Arial" w:hAnsi="Arial" w:cs="Arial"/>
          <w:color w:val="000000" w:themeColor="text1"/>
        </w:rPr>
        <w:t>rise</w:t>
      </w:r>
      <w:r w:rsidRPr="00D74025">
        <w:rPr>
          <w:rFonts w:ascii="Arial" w:hAnsi="Arial" w:cs="Arial"/>
          <w:color w:val="000000" w:themeColor="text1"/>
        </w:rPr>
        <w:t xml:space="preserve">, which cannot be assessed by the temperature measurement method used (type J thermocouple). It is hypothesized that the microscale temperature around the cells </w:t>
      </w:r>
      <w:r>
        <w:rPr>
          <w:rFonts w:ascii="Arial" w:hAnsi="Arial" w:cs="Arial"/>
          <w:color w:val="000000" w:themeColor="text1"/>
        </w:rPr>
        <w:t>is</w:t>
      </w:r>
      <w:r w:rsidRPr="00D74025">
        <w:rPr>
          <w:rFonts w:ascii="Arial" w:hAnsi="Arial" w:cs="Arial"/>
          <w:color w:val="000000" w:themeColor="text1"/>
        </w:rPr>
        <w:t xml:space="preserve"> much higher than the macroscale temperature assessed by </w:t>
      </w:r>
      <w:r>
        <w:rPr>
          <w:rFonts w:ascii="Arial" w:hAnsi="Arial" w:cs="Arial"/>
          <w:color w:val="000000" w:themeColor="text1"/>
        </w:rPr>
        <w:t xml:space="preserve">the </w:t>
      </w:r>
      <w:r w:rsidRPr="00D74025">
        <w:rPr>
          <w:rFonts w:ascii="Arial" w:hAnsi="Arial" w:cs="Arial"/>
          <w:color w:val="000000" w:themeColor="text1"/>
        </w:rPr>
        <w:t xml:space="preserve">type J thermocouple in this experiment. </w:t>
      </w:r>
    </w:p>
    <w:p w14:paraId="6267E074" w14:textId="516C23A3" w:rsidR="006419A9" w:rsidRPr="00D74025" w:rsidRDefault="006419A9" w:rsidP="006419A9">
      <w:pPr>
        <w:spacing w:line="360" w:lineRule="auto"/>
        <w:ind w:firstLine="1350"/>
        <w:jc w:val="both"/>
        <w:rPr>
          <w:rFonts w:ascii="Arial" w:hAnsi="Arial" w:cs="Arial"/>
          <w:color w:val="000000" w:themeColor="text1"/>
        </w:rPr>
      </w:pPr>
      <w:r w:rsidRPr="00D74025">
        <w:rPr>
          <w:rFonts w:ascii="Arial" w:hAnsi="Arial" w:cs="Arial"/>
          <w:color w:val="000000" w:themeColor="text1"/>
        </w:rPr>
        <w:t xml:space="preserve">The previous </w:t>
      </w:r>
      <w:r w:rsidRPr="00D74025">
        <w:rPr>
          <w:rFonts w:ascii="Arial" w:hAnsi="Arial" w:cs="Arial"/>
          <w:i/>
          <w:iCs/>
          <w:color w:val="000000" w:themeColor="text1"/>
        </w:rPr>
        <w:t>in vitro</w:t>
      </w:r>
      <w:r w:rsidRPr="00D74025">
        <w:rPr>
          <w:rFonts w:ascii="Arial" w:hAnsi="Arial" w:cs="Arial"/>
          <w:color w:val="000000" w:themeColor="text1"/>
        </w:rPr>
        <w:t xml:space="preserve"> experiments were performed at room temperature. Those results give insights </w:t>
      </w:r>
      <w:r>
        <w:rPr>
          <w:rFonts w:ascii="Arial" w:hAnsi="Arial" w:cs="Arial"/>
          <w:color w:val="000000" w:themeColor="text1"/>
        </w:rPr>
        <w:t>into</w:t>
      </w:r>
      <w:r w:rsidRPr="00D74025">
        <w:rPr>
          <w:rFonts w:ascii="Arial" w:hAnsi="Arial" w:cs="Arial"/>
          <w:color w:val="000000" w:themeColor="text1"/>
        </w:rPr>
        <w:t xml:space="preserve"> the effect of </w:t>
      </w:r>
      <w:r>
        <w:rPr>
          <w:rFonts w:ascii="Arial" w:hAnsi="Arial" w:cs="Arial"/>
          <w:color w:val="000000" w:themeColor="text1"/>
        </w:rPr>
        <w:t>an</w:t>
      </w:r>
      <w:r w:rsidRPr="00D74025">
        <w:rPr>
          <w:rFonts w:ascii="Arial" w:hAnsi="Arial" w:cs="Arial"/>
          <w:color w:val="000000" w:themeColor="text1"/>
        </w:rPr>
        <w:t xml:space="preserve"> SWCNT-ANXA5</w:t>
      </w:r>
      <w:r>
        <w:rPr>
          <w:rFonts w:ascii="Arial" w:hAnsi="Arial" w:cs="Arial"/>
          <w:color w:val="000000" w:themeColor="text1"/>
        </w:rPr>
        <w:t>-</w:t>
      </w:r>
      <w:r w:rsidRPr="00D74025">
        <w:rPr>
          <w:rFonts w:ascii="Arial" w:hAnsi="Arial" w:cs="Arial"/>
          <w:color w:val="000000" w:themeColor="text1"/>
        </w:rPr>
        <w:t xml:space="preserve">mediated PTT using EMT6 cells, a TNBC model. However, one could argue that EMT6 cells may not react the same at room temperature as at 37°C, especially considering the ablation temperatures in </w:t>
      </w:r>
      <w:r>
        <w:rPr>
          <w:rFonts w:ascii="Arial" w:hAnsi="Arial" w:cs="Arial"/>
          <w:color w:val="000000" w:themeColor="text1"/>
        </w:rPr>
        <w:t>natural</w:t>
      </w:r>
      <w:r w:rsidRPr="00D74025">
        <w:rPr>
          <w:rFonts w:ascii="Arial" w:hAnsi="Arial" w:cs="Arial"/>
          <w:color w:val="000000" w:themeColor="text1"/>
        </w:rPr>
        <w:t xml:space="preserve"> physiological conditions of 41°C</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{"citationID":"1P3y2dKH","properties":{"formattedCitation":"\\super 184\\nosupersub{}","plainCitation":"184","noteIndex":0},"citationItems":[{"id":398,"uris":["http://zotero.org/users/7661987/items/STV9LYXE"],"itemData":{"id":398,"type":"article-journal","abstract":"The present study aimed to investigate heatinginduced alterations of breast cancer cell invasion abilities and the potential mechanisms associated with TGF-ß1 expression. MCF-7 cells were heated at 43, 45, 47 and 37˚C for 30 min. In vitro cell invasion ability was evaluated by matrigel invasion assay. The activity of matrix metalloproteinase (MMP)-2/9 was investigated by gelatin zymographic assays. Expression of vascular endothelial growth factor (VEGF) and transforming growth factor-ß1 (TGF-ß1) was investigated by immunocytochemistry and RT-PCR. Apoptosis was analysed by flowcytometry. The invasive potential of MCF-7 cells was reduced by heating, and MMP-2/9 secretion and enzymatic activity were suppressed. Furthermore, VEGF and TGF-ß1 mRNA and proteins were suppressed by hyperthermia. These results suggest that down-regulation of the expression of TGF-ß1, EGF and MMPs by hyperthermia probably accounts for the inhibition of the invasive abilities of MCF-7 cells.","container-title":"Oncology Reports","DOI":"10.3892/or.2011.1240","ISSN":"1021-335X, 1791-2431","journalAbbreviation":"Oncol Rep","language":"en","source":"DOI.org (Crossref)","title":"Effect of hyperthermia on invasion ability and TGF-β1 expression of breast carcinoma MCF-7 cells","URL":"http://www.spandidos-publications.com/10.3892/or.2011.1240","author":[{"family":"Tang","given":"Jintian"}],"accessed":{"date-parts":[["2021",11,4]]},"issued":{"date-parts":[["2011",3,29]]}}}],"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184</w:t>
      </w:r>
      <w:r w:rsidRPr="00D74025">
        <w:rPr>
          <w:rFonts w:ascii="Arial" w:hAnsi="Arial" w:cs="Arial"/>
          <w:color w:val="000000" w:themeColor="text1"/>
        </w:rPr>
        <w:fldChar w:fldCharType="end"/>
      </w:r>
      <w:r w:rsidRPr="00D74025">
        <w:rPr>
          <w:rFonts w:ascii="Arial" w:hAnsi="Arial" w:cs="Arial"/>
          <w:color w:val="000000" w:themeColor="text1"/>
        </w:rPr>
        <w:t>. Therefore, another experiment was performed following the same procedures but carried out at 37°C in an incubator to assess cell viability. Additionally, another control was added to the experiment, consisting of EMT6 cells that were incubated for 2 h with PEGylated SWCNT (following the steps of SWC</w:t>
      </w:r>
      <w:r w:rsidR="00187AE6">
        <w:rPr>
          <w:rFonts w:ascii="Arial" w:hAnsi="Arial" w:cs="Arial"/>
          <w:color w:val="000000" w:themeColor="text1"/>
        </w:rPr>
        <w:t>N</w:t>
      </w:r>
      <w:r w:rsidRPr="00D74025">
        <w:rPr>
          <w:rFonts w:ascii="Arial" w:hAnsi="Arial" w:cs="Arial"/>
          <w:color w:val="000000" w:themeColor="text1"/>
        </w:rPr>
        <w:t xml:space="preserve">T-ANXA5 conjugation but skipping the addition of ANXA5 to it). The results from this experiment </w:t>
      </w:r>
      <w:r>
        <w:rPr>
          <w:rFonts w:ascii="Arial" w:hAnsi="Arial" w:cs="Arial"/>
          <w:color w:val="000000" w:themeColor="text1"/>
        </w:rPr>
        <w:t>are</w:t>
      </w:r>
      <w:r w:rsidRPr="00D74025">
        <w:rPr>
          <w:rFonts w:ascii="Arial" w:hAnsi="Arial" w:cs="Arial"/>
          <w:color w:val="000000" w:themeColor="text1"/>
        </w:rPr>
        <w:t xml:space="preserve"> shown in </w:t>
      </w:r>
      <w:r w:rsidRPr="00D74025">
        <w:rPr>
          <w:rFonts w:ascii="Arial" w:hAnsi="Arial" w:cs="Arial"/>
          <w:b/>
          <w:bCs/>
          <w:color w:val="000000" w:themeColor="text1"/>
        </w:rPr>
        <w:t xml:space="preserve">Figure </w:t>
      </w:r>
      <w:r w:rsidR="00F37BD5">
        <w:rPr>
          <w:rFonts w:ascii="Arial" w:hAnsi="Arial" w:cs="Arial"/>
          <w:b/>
          <w:bCs/>
          <w:color w:val="000000" w:themeColor="text1"/>
        </w:rPr>
        <w:t>32</w:t>
      </w:r>
      <w:r w:rsidRPr="00D74025">
        <w:rPr>
          <w:rFonts w:ascii="Arial" w:hAnsi="Arial" w:cs="Arial"/>
          <w:color w:val="000000" w:themeColor="text1"/>
        </w:rPr>
        <w:t>:</w:t>
      </w:r>
    </w:p>
    <w:p w14:paraId="26690D21" w14:textId="77777777" w:rsidR="006252CC" w:rsidRPr="00D74025" w:rsidRDefault="006252CC" w:rsidP="006252CC">
      <w:pPr>
        <w:spacing w:line="360" w:lineRule="auto"/>
        <w:ind w:firstLine="1440"/>
        <w:jc w:val="both"/>
        <w:rPr>
          <w:rFonts w:ascii="Arial" w:hAnsi="Arial" w:cs="Arial"/>
          <w:color w:val="000000" w:themeColor="text1"/>
        </w:rPr>
      </w:pPr>
    </w:p>
    <w:p w14:paraId="268AEB0C" w14:textId="3A67EEB8" w:rsidR="00A44833" w:rsidRPr="00D74025" w:rsidRDefault="00A44833" w:rsidP="00017375">
      <w:pPr>
        <w:rPr>
          <w:color w:val="000000" w:themeColor="text1"/>
        </w:rPr>
      </w:pPr>
    </w:p>
    <w:tbl>
      <w:tblPr>
        <w:tblStyle w:val="TableGrid"/>
        <w:tblW w:w="0" w:type="auto"/>
        <w:tblLook w:val="04A0" w:firstRow="1" w:lastRow="0" w:firstColumn="1" w:lastColumn="0" w:noHBand="0" w:noVBand="1"/>
      </w:tblPr>
      <w:tblGrid>
        <w:gridCol w:w="9350"/>
      </w:tblGrid>
      <w:tr w:rsidR="00D74025" w:rsidRPr="00D74025" w14:paraId="0DE030C5" w14:textId="77777777">
        <w:tc>
          <w:tcPr>
            <w:tcW w:w="9350" w:type="dxa"/>
            <w:tcBorders>
              <w:top w:val="single" w:sz="4" w:space="0" w:color="auto"/>
              <w:left w:val="single" w:sz="4" w:space="0" w:color="auto"/>
              <w:bottom w:val="single" w:sz="4" w:space="0" w:color="auto"/>
              <w:right w:val="single" w:sz="4" w:space="0" w:color="auto"/>
            </w:tcBorders>
            <w:hideMark/>
          </w:tcPr>
          <w:p w14:paraId="22E031B8" w14:textId="4788CF3D" w:rsidR="00A44833" w:rsidRPr="00D74025" w:rsidRDefault="002132BC" w:rsidP="000D71A7">
            <w:pPr>
              <w:spacing w:beforeAutospacing="0" w:after="0"/>
              <w:ind w:firstLine="0"/>
              <w:jc w:val="center"/>
              <w:rPr>
                <w:rFonts w:ascii="Arial" w:hAnsi="Arial" w:cs="Arial"/>
                <w:color w:val="000000" w:themeColor="text1"/>
                <w:sz w:val="20"/>
                <w:szCs w:val="20"/>
              </w:rPr>
            </w:pPr>
            <w:r w:rsidRPr="00D74025">
              <w:rPr>
                <w:rFonts w:ascii="Arial" w:hAnsi="Arial" w:cs="Arial"/>
                <w:noProof/>
                <w:color w:val="000000" w:themeColor="text1"/>
                <w:sz w:val="20"/>
                <w:szCs w:val="20"/>
              </w:rPr>
              <w:lastRenderedPageBreak/>
              <w:drawing>
                <wp:inline distT="0" distB="0" distL="0" distR="0" wp14:anchorId="66833472" wp14:editId="4C30D39F">
                  <wp:extent cx="5129635" cy="3260361"/>
                  <wp:effectExtent l="0" t="0" r="1270"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150669" cy="3273730"/>
                          </a:xfrm>
                          <a:prstGeom prst="rect">
                            <a:avLst/>
                          </a:prstGeom>
                        </pic:spPr>
                      </pic:pic>
                    </a:graphicData>
                  </a:graphic>
                </wp:inline>
              </w:drawing>
            </w:r>
          </w:p>
        </w:tc>
      </w:tr>
      <w:tr w:rsidR="00A44833" w:rsidRPr="00D74025" w14:paraId="774DD149" w14:textId="77777777">
        <w:tc>
          <w:tcPr>
            <w:tcW w:w="9350" w:type="dxa"/>
            <w:tcBorders>
              <w:top w:val="single" w:sz="4" w:space="0" w:color="auto"/>
              <w:left w:val="single" w:sz="4" w:space="0" w:color="auto"/>
              <w:bottom w:val="single" w:sz="4" w:space="0" w:color="auto"/>
              <w:right w:val="single" w:sz="4" w:space="0" w:color="auto"/>
            </w:tcBorders>
            <w:hideMark/>
          </w:tcPr>
          <w:p w14:paraId="6CBBAFA2" w14:textId="3E603786" w:rsidR="00A44833" w:rsidRPr="00AF7EFD" w:rsidRDefault="004448DD" w:rsidP="00AF7EFD">
            <w:pPr>
              <w:spacing w:line="360" w:lineRule="auto"/>
              <w:ind w:firstLine="0"/>
            </w:pPr>
            <w:bookmarkStart w:id="127" w:name="_Hlk56620854"/>
            <w:bookmarkStart w:id="128" w:name="_Toc121217354"/>
            <w:r w:rsidRPr="004448DD">
              <w:rPr>
                <w:rFonts w:ascii="Arial" w:hAnsi="Arial" w:cs="Arial"/>
                <w:b/>
                <w:bCs/>
                <w:color w:val="000000" w:themeColor="text1"/>
              </w:rPr>
              <w:t xml:space="preserve">Figure </w:t>
            </w:r>
            <w:r w:rsidRPr="004448DD">
              <w:rPr>
                <w:rFonts w:ascii="Arial" w:hAnsi="Arial" w:cs="Arial"/>
                <w:b/>
                <w:bCs/>
                <w:color w:val="000000" w:themeColor="text1"/>
              </w:rPr>
              <w:fldChar w:fldCharType="begin"/>
            </w:r>
            <w:r w:rsidRPr="004448DD">
              <w:rPr>
                <w:rFonts w:ascii="Arial" w:hAnsi="Arial" w:cs="Arial"/>
                <w:b/>
                <w:bCs/>
                <w:color w:val="000000" w:themeColor="text1"/>
              </w:rPr>
              <w:instrText xml:space="preserve"> SEQ Figure \* ARABIC </w:instrText>
            </w:r>
            <w:r w:rsidRPr="004448DD">
              <w:rPr>
                <w:rFonts w:ascii="Arial" w:hAnsi="Arial" w:cs="Arial"/>
                <w:b/>
                <w:bCs/>
                <w:color w:val="000000" w:themeColor="text1"/>
              </w:rPr>
              <w:fldChar w:fldCharType="separate"/>
            </w:r>
            <w:r w:rsidR="002C4B25">
              <w:rPr>
                <w:rFonts w:ascii="Arial" w:hAnsi="Arial" w:cs="Arial"/>
                <w:b/>
                <w:bCs/>
                <w:noProof/>
                <w:color w:val="000000" w:themeColor="text1"/>
              </w:rPr>
              <w:t>32</w:t>
            </w:r>
            <w:r w:rsidRPr="004448DD">
              <w:rPr>
                <w:rFonts w:ascii="Arial" w:hAnsi="Arial" w:cs="Arial"/>
                <w:b/>
                <w:bCs/>
                <w:color w:val="000000" w:themeColor="text1"/>
              </w:rPr>
              <w:fldChar w:fldCharType="end"/>
            </w:r>
            <w:r w:rsidR="00AF7EFD" w:rsidRPr="00D74025">
              <w:rPr>
                <w:rFonts w:ascii="Arial" w:hAnsi="Arial" w:cs="Arial"/>
                <w:b/>
                <w:bCs/>
                <w:color w:val="000000" w:themeColor="text1"/>
              </w:rPr>
              <w:t>: Viability of EMT6 cells after NIR laser treatment at 37°C in an incubator</w:t>
            </w:r>
            <w:bookmarkEnd w:id="127"/>
            <w:r w:rsidR="00AF7EFD" w:rsidRPr="00D74025">
              <w:rPr>
                <w:rFonts w:ascii="Arial" w:hAnsi="Arial" w:cs="Arial"/>
                <w:b/>
                <w:bCs/>
                <w:color w:val="000000" w:themeColor="text1"/>
              </w:rPr>
              <w:t xml:space="preserve">. </w:t>
            </w:r>
            <w:r w:rsidR="00AF7EFD" w:rsidRPr="00D74025">
              <w:rPr>
                <w:rFonts w:ascii="Arial" w:hAnsi="Arial" w:cs="Arial"/>
                <w:color w:val="000000" w:themeColor="text1"/>
              </w:rPr>
              <w:t xml:space="preserve">The graph shows the relative cell viability of EMT6 cells incubated for 2 h with the SWCNT-ANXA5 (blue), incubated with PEGylated SWCNT (red), or not incubated with conjugate as a control (black), </w:t>
            </w:r>
            <w:r w:rsidR="00AF7EFD">
              <w:rPr>
                <w:rFonts w:ascii="Arial" w:hAnsi="Arial" w:cs="Arial"/>
                <w:color w:val="000000" w:themeColor="text1"/>
              </w:rPr>
              <w:t>before</w:t>
            </w:r>
            <w:r w:rsidR="00AF7EFD" w:rsidRPr="00D74025">
              <w:rPr>
                <w:rFonts w:ascii="Arial" w:hAnsi="Arial" w:cs="Arial"/>
                <w:color w:val="000000" w:themeColor="text1"/>
              </w:rPr>
              <w:t xml:space="preserve"> laser irradiation. After incubation, the cells were washed four times with PBS. </w:t>
            </w:r>
            <w:r w:rsidR="00AF7EFD">
              <w:rPr>
                <w:rFonts w:ascii="Arial" w:hAnsi="Arial" w:cs="Arial"/>
                <w:color w:val="000000" w:themeColor="text1"/>
              </w:rPr>
              <w:t>The laser</w:t>
            </w:r>
            <w:r w:rsidR="00AF7EFD" w:rsidRPr="00D74025">
              <w:rPr>
                <w:rFonts w:ascii="Arial" w:hAnsi="Arial" w:cs="Arial"/>
                <w:color w:val="000000" w:themeColor="text1"/>
              </w:rPr>
              <w:t xml:space="preserve"> wavelength was 980 nm</w:t>
            </w:r>
            <w:r w:rsidR="00AF7EFD">
              <w:rPr>
                <w:rFonts w:ascii="Arial" w:hAnsi="Arial" w:cs="Arial"/>
                <w:color w:val="000000" w:themeColor="text1"/>
              </w:rPr>
              <w:t>,</w:t>
            </w:r>
            <w:r w:rsidR="00AF7EFD" w:rsidRPr="00D74025">
              <w:rPr>
                <w:rFonts w:ascii="Arial" w:hAnsi="Arial" w:cs="Arial"/>
                <w:color w:val="000000" w:themeColor="text1"/>
              </w:rPr>
              <w:t xml:space="preserve"> and </w:t>
            </w:r>
            <w:r w:rsidR="00AF7EFD">
              <w:rPr>
                <w:rFonts w:ascii="Arial" w:hAnsi="Arial" w:cs="Arial"/>
                <w:color w:val="000000" w:themeColor="text1"/>
              </w:rPr>
              <w:t xml:space="preserve">the </w:t>
            </w:r>
            <w:r w:rsidR="00AF7EFD" w:rsidRPr="00D74025">
              <w:rPr>
                <w:rFonts w:ascii="Arial" w:hAnsi="Arial" w:cs="Arial"/>
                <w:color w:val="000000" w:themeColor="text1"/>
              </w:rPr>
              <w:t xml:space="preserve">power density </w:t>
            </w:r>
            <w:r w:rsidR="00AF7EFD">
              <w:rPr>
                <w:rFonts w:ascii="Arial" w:hAnsi="Arial" w:cs="Arial"/>
                <w:color w:val="000000" w:themeColor="text1"/>
              </w:rPr>
              <w:t xml:space="preserve">was </w:t>
            </w:r>
            <w:r w:rsidR="00AF7EFD" w:rsidRPr="00D74025">
              <w:rPr>
                <w:rFonts w:ascii="Arial" w:hAnsi="Arial" w:cs="Arial"/>
                <w:color w:val="000000" w:themeColor="text1"/>
              </w:rPr>
              <w:t xml:space="preserve">1.0 W/cm². One-way ANOVA </w:t>
            </w:r>
            <w:r w:rsidR="00F769E8">
              <w:rPr>
                <w:rFonts w:ascii="Arial" w:hAnsi="Arial" w:cs="Arial"/>
                <w:color w:val="000000" w:themeColor="text1"/>
              </w:rPr>
              <w:t xml:space="preserve">with </w:t>
            </w:r>
            <w:r w:rsidR="00F769E8" w:rsidRPr="00D74025">
              <w:rPr>
                <w:rFonts w:ascii="Arial" w:hAnsi="Arial" w:cs="Arial"/>
                <w:color w:val="000000" w:themeColor="text1"/>
              </w:rPr>
              <w:t>Dunnett</w:t>
            </w:r>
            <w:r w:rsidR="00F769E8">
              <w:rPr>
                <w:rFonts w:ascii="Arial" w:hAnsi="Arial" w:cs="Arial"/>
                <w:color w:val="000000" w:themeColor="text1"/>
              </w:rPr>
              <w:t>’</w:t>
            </w:r>
            <w:r w:rsidR="00F769E8" w:rsidRPr="00D74025">
              <w:rPr>
                <w:rFonts w:ascii="Arial" w:hAnsi="Arial" w:cs="Arial"/>
                <w:color w:val="000000" w:themeColor="text1"/>
              </w:rPr>
              <w:t>s multiple comparisons</w:t>
            </w:r>
            <w:r w:rsidR="00F769E8">
              <w:rPr>
                <w:rFonts w:ascii="Arial" w:hAnsi="Arial" w:cs="Arial"/>
                <w:color w:val="000000" w:themeColor="text1"/>
              </w:rPr>
              <w:t xml:space="preserve"> comparing </w:t>
            </w:r>
            <w:r w:rsidR="00D510F2">
              <w:rPr>
                <w:rFonts w:ascii="Arial" w:hAnsi="Arial" w:cs="Arial"/>
                <w:color w:val="000000" w:themeColor="text1"/>
              </w:rPr>
              <w:t>treated groups with control group</w:t>
            </w:r>
            <w:r w:rsidR="00F769E8" w:rsidRPr="00D74025">
              <w:rPr>
                <w:rFonts w:ascii="Arial" w:hAnsi="Arial" w:cs="Arial"/>
                <w:color w:val="000000" w:themeColor="text1"/>
              </w:rPr>
              <w:t xml:space="preserve"> </w:t>
            </w:r>
            <w:r w:rsidR="00AF7EFD" w:rsidRPr="00D74025">
              <w:rPr>
                <w:rFonts w:ascii="Arial" w:hAnsi="Arial" w:cs="Arial"/>
                <w:color w:val="000000" w:themeColor="text1"/>
              </w:rPr>
              <w:t>was carried out on the GraphPad Prism</w:t>
            </w:r>
            <w:r w:rsidR="003654C1">
              <w:rPr>
                <w:rFonts w:ascii="Arial" w:hAnsi="Arial" w:cs="Arial"/>
                <w:color w:val="000000" w:themeColor="text1"/>
              </w:rPr>
              <w:t xml:space="preserve"> 8</w:t>
            </w:r>
            <w:r w:rsidR="00AF7EFD" w:rsidRPr="00D74025">
              <w:rPr>
                <w:rFonts w:ascii="Arial" w:hAnsi="Arial" w:cs="Arial"/>
                <w:color w:val="000000" w:themeColor="text1"/>
              </w:rPr>
              <w:t>. (n = 3, *p&lt;0.05 and **p&lt;0.01).</w:t>
            </w:r>
            <w:bookmarkEnd w:id="128"/>
          </w:p>
        </w:tc>
      </w:tr>
    </w:tbl>
    <w:p w14:paraId="2861A724" w14:textId="4555CF05" w:rsidR="006A2ACD" w:rsidRPr="00D74025" w:rsidRDefault="006A2ACD" w:rsidP="00017375">
      <w:pPr>
        <w:rPr>
          <w:color w:val="000000" w:themeColor="text1"/>
        </w:rPr>
      </w:pPr>
    </w:p>
    <w:p w14:paraId="07F3BC7A" w14:textId="2C9236A4" w:rsidR="006A2ACD" w:rsidRPr="00D74025" w:rsidRDefault="006A2ACD" w:rsidP="00017375">
      <w:pPr>
        <w:rPr>
          <w:color w:val="000000" w:themeColor="text1"/>
        </w:rPr>
      </w:pPr>
    </w:p>
    <w:p w14:paraId="06E51C6C" w14:textId="30865E34" w:rsidR="00E61FE0" w:rsidRPr="00D74025" w:rsidRDefault="00E61FE0" w:rsidP="00E61FE0">
      <w:pPr>
        <w:spacing w:line="360" w:lineRule="auto"/>
        <w:ind w:firstLine="1440"/>
        <w:jc w:val="both"/>
        <w:rPr>
          <w:rFonts w:ascii="Arial" w:hAnsi="Arial" w:cs="Arial"/>
          <w:color w:val="000000" w:themeColor="text1"/>
        </w:rPr>
      </w:pPr>
      <w:r w:rsidRPr="00692EC4">
        <w:rPr>
          <w:rFonts w:ascii="Arial" w:hAnsi="Arial" w:cs="Arial"/>
          <w:b/>
          <w:bCs/>
          <w:color w:val="000000" w:themeColor="text1"/>
        </w:rPr>
        <w:t xml:space="preserve">Figure </w:t>
      </w:r>
      <w:r w:rsidR="00F37BD5" w:rsidRPr="00692EC4">
        <w:rPr>
          <w:rFonts w:ascii="Arial" w:hAnsi="Arial" w:cs="Arial"/>
          <w:b/>
          <w:bCs/>
          <w:color w:val="000000" w:themeColor="text1"/>
        </w:rPr>
        <w:t>32</w:t>
      </w:r>
      <w:r w:rsidRPr="00D74025">
        <w:rPr>
          <w:rFonts w:ascii="Arial" w:hAnsi="Arial" w:cs="Arial"/>
          <w:color w:val="000000" w:themeColor="text1"/>
        </w:rPr>
        <w:t xml:space="preserve"> shows that EMT6 cells treated with SWCNT-ANXA5</w:t>
      </w:r>
      <w:r>
        <w:rPr>
          <w:rFonts w:ascii="Arial" w:hAnsi="Arial" w:cs="Arial"/>
          <w:color w:val="000000" w:themeColor="text1"/>
        </w:rPr>
        <w:t>-</w:t>
      </w:r>
      <w:r w:rsidRPr="00D74025">
        <w:rPr>
          <w:rFonts w:ascii="Arial" w:hAnsi="Arial" w:cs="Arial"/>
          <w:color w:val="000000" w:themeColor="text1"/>
        </w:rPr>
        <w:t>mediate</w:t>
      </w:r>
      <w:r>
        <w:rPr>
          <w:rFonts w:ascii="Arial" w:hAnsi="Arial" w:cs="Arial"/>
          <w:color w:val="000000" w:themeColor="text1"/>
        </w:rPr>
        <w:t>d</w:t>
      </w:r>
      <w:r w:rsidRPr="00D74025">
        <w:rPr>
          <w:rFonts w:ascii="Arial" w:hAnsi="Arial" w:cs="Arial"/>
          <w:color w:val="000000" w:themeColor="text1"/>
        </w:rPr>
        <w:t xml:space="preserve"> PTT had a significant cell viability decrease after 1 minute of irradiation. </w:t>
      </w:r>
      <w:r w:rsidRPr="00F37BD5">
        <w:rPr>
          <w:rFonts w:ascii="Arial" w:hAnsi="Arial" w:cs="Arial"/>
          <w:color w:val="000000" w:themeColor="text1"/>
        </w:rPr>
        <w:t>The cell viability drop reached a relative plateau after 3 min of laser irradiation at 14% cell viability on average. This result suggests that the optimal time of irradiation to treat EMT6 cells at 37°C is between 2 and 3 min of laser irradiation.</w:t>
      </w:r>
      <w:r w:rsidRPr="00D74025">
        <w:rPr>
          <w:rFonts w:ascii="Arial" w:hAnsi="Arial" w:cs="Arial"/>
          <w:color w:val="000000" w:themeColor="text1"/>
        </w:rPr>
        <w:t xml:space="preserve"> </w:t>
      </w:r>
    </w:p>
    <w:p w14:paraId="1E800C8A" w14:textId="17643B84" w:rsidR="00E61FE0" w:rsidRPr="00D74025" w:rsidRDefault="00E61FE0" w:rsidP="00E61FE0">
      <w:pPr>
        <w:spacing w:line="360" w:lineRule="auto"/>
        <w:ind w:firstLine="1440"/>
        <w:jc w:val="both"/>
        <w:rPr>
          <w:rFonts w:ascii="Arial" w:hAnsi="Arial" w:cs="Arial"/>
          <w:color w:val="000000" w:themeColor="text1"/>
        </w:rPr>
      </w:pPr>
      <w:r w:rsidRPr="00D74025">
        <w:rPr>
          <w:rFonts w:ascii="Arial" w:hAnsi="Arial" w:cs="Arial"/>
          <w:color w:val="000000" w:themeColor="text1"/>
        </w:rPr>
        <w:t>Comparatively, cells treated with laser alone</w:t>
      </w:r>
      <w:r>
        <w:rPr>
          <w:rFonts w:ascii="Arial" w:hAnsi="Arial" w:cs="Arial"/>
          <w:color w:val="000000" w:themeColor="text1"/>
        </w:rPr>
        <w:t xml:space="preserve"> </w:t>
      </w:r>
      <w:r w:rsidRPr="00D74025">
        <w:rPr>
          <w:rFonts w:ascii="Arial" w:hAnsi="Arial" w:cs="Arial"/>
          <w:color w:val="000000" w:themeColor="text1"/>
        </w:rPr>
        <w:t xml:space="preserve">or </w:t>
      </w:r>
      <w:r>
        <w:rPr>
          <w:rFonts w:ascii="Arial" w:hAnsi="Arial" w:cs="Arial"/>
          <w:color w:val="000000" w:themeColor="text1"/>
        </w:rPr>
        <w:t>S</w:t>
      </w:r>
      <w:r w:rsidRPr="00D74025">
        <w:rPr>
          <w:rFonts w:ascii="Arial" w:hAnsi="Arial" w:cs="Arial"/>
          <w:color w:val="000000" w:themeColor="text1"/>
        </w:rPr>
        <w:t>W</w:t>
      </w:r>
      <w:r>
        <w:rPr>
          <w:rFonts w:ascii="Arial" w:hAnsi="Arial" w:cs="Arial"/>
          <w:color w:val="000000" w:themeColor="text1"/>
        </w:rPr>
        <w:t>CN</w:t>
      </w:r>
      <w:r w:rsidRPr="00D74025">
        <w:rPr>
          <w:rFonts w:ascii="Arial" w:hAnsi="Arial" w:cs="Arial"/>
          <w:color w:val="000000" w:themeColor="text1"/>
        </w:rPr>
        <w:t>T-PEG</w:t>
      </w:r>
      <w:r>
        <w:rPr>
          <w:rFonts w:ascii="Arial" w:hAnsi="Arial" w:cs="Arial"/>
          <w:color w:val="000000" w:themeColor="text1"/>
        </w:rPr>
        <w:t>-</w:t>
      </w:r>
      <w:r w:rsidRPr="00D74025">
        <w:rPr>
          <w:rFonts w:ascii="Arial" w:hAnsi="Arial" w:cs="Arial"/>
          <w:color w:val="000000" w:themeColor="text1"/>
        </w:rPr>
        <w:t xml:space="preserve">mediate PTT did not result in a significant cell viability drop even after 7 minutes of laser irradiation. These results suggest that ANXA5 is necessary for the SWCNT to bind to the cells since untargeted SWCNT-PEG </w:t>
      </w:r>
      <w:r>
        <w:rPr>
          <w:rFonts w:ascii="Arial" w:hAnsi="Arial" w:cs="Arial"/>
          <w:color w:val="000000" w:themeColor="text1"/>
        </w:rPr>
        <w:t>has been washed</w:t>
      </w:r>
      <w:r w:rsidRPr="00D74025">
        <w:rPr>
          <w:rFonts w:ascii="Arial" w:hAnsi="Arial" w:cs="Arial"/>
          <w:color w:val="000000" w:themeColor="text1"/>
        </w:rPr>
        <w:t xml:space="preserve"> away from the wells</w:t>
      </w:r>
      <w:r w:rsidR="00193182" w:rsidRPr="00193182">
        <w:rPr>
          <w:rFonts w:ascii="Arial" w:hAnsi="Arial" w:cs="Arial"/>
          <w:color w:val="000000" w:themeColor="text1"/>
        </w:rPr>
        <w:t xml:space="preserve"> </w:t>
      </w:r>
      <w:r w:rsidR="00193182" w:rsidRPr="00D74025">
        <w:rPr>
          <w:rFonts w:ascii="Arial" w:hAnsi="Arial" w:cs="Arial"/>
          <w:color w:val="000000" w:themeColor="text1"/>
        </w:rPr>
        <w:t>after four washing steps</w:t>
      </w:r>
      <w:r w:rsidRPr="00D74025">
        <w:rPr>
          <w:rFonts w:ascii="Arial" w:hAnsi="Arial" w:cs="Arial"/>
          <w:color w:val="000000" w:themeColor="text1"/>
        </w:rPr>
        <w:t xml:space="preserve">, </w:t>
      </w:r>
      <w:r w:rsidRPr="00D74025">
        <w:rPr>
          <w:rFonts w:ascii="Arial" w:hAnsi="Arial" w:cs="Arial"/>
          <w:color w:val="000000" w:themeColor="text1"/>
        </w:rPr>
        <w:lastRenderedPageBreak/>
        <w:t xml:space="preserve">and only the targeted conjugate induces a photothermal effect after laser irradiation </w:t>
      </w:r>
      <w:r w:rsidRPr="00D74025">
        <w:rPr>
          <w:rFonts w:ascii="Arial" w:hAnsi="Arial" w:cs="Arial"/>
          <w:i/>
          <w:iCs/>
          <w:color w:val="000000" w:themeColor="text1"/>
        </w:rPr>
        <w:t>in vitro</w:t>
      </w:r>
      <w:r w:rsidRPr="00D74025">
        <w:rPr>
          <w:rFonts w:ascii="Arial" w:hAnsi="Arial" w:cs="Arial"/>
          <w:color w:val="000000" w:themeColor="text1"/>
        </w:rPr>
        <w:t xml:space="preserve"> at 37°C. </w:t>
      </w:r>
    </w:p>
    <w:p w14:paraId="06E083B6" w14:textId="5E15E8A7" w:rsidR="009F03CB" w:rsidRPr="00D74025" w:rsidRDefault="009F03CB" w:rsidP="009F03CB">
      <w:pPr>
        <w:spacing w:line="360" w:lineRule="auto"/>
        <w:ind w:firstLine="1440"/>
        <w:jc w:val="both"/>
        <w:rPr>
          <w:rFonts w:ascii="Arial" w:hAnsi="Arial" w:cs="Arial"/>
          <w:color w:val="000000" w:themeColor="text1"/>
        </w:rPr>
      </w:pPr>
      <w:r w:rsidRPr="00E61FE0">
        <w:rPr>
          <w:rFonts w:ascii="Arial" w:hAnsi="Arial" w:cs="Arial"/>
          <w:color w:val="000000" w:themeColor="text1"/>
        </w:rPr>
        <w:t xml:space="preserve">Studies have shown that </w:t>
      </w:r>
      <w:r>
        <w:rPr>
          <w:rFonts w:ascii="Arial" w:hAnsi="Arial" w:cs="Arial"/>
          <w:color w:val="000000" w:themeColor="text1"/>
        </w:rPr>
        <w:t>non-targeted</w:t>
      </w:r>
      <w:r w:rsidRPr="00E61FE0">
        <w:rPr>
          <w:rFonts w:ascii="Arial" w:hAnsi="Arial" w:cs="Arial"/>
          <w:color w:val="000000" w:themeColor="text1"/>
        </w:rPr>
        <w:t xml:space="preserve"> CNT complexes can promote cell uptake and cell death when laser treatment is applied to cell culture in the presence of nanotubes. Nonetheless, the internalization of </w:t>
      </w:r>
      <w:r>
        <w:rPr>
          <w:rFonts w:ascii="Arial" w:hAnsi="Arial" w:cs="Arial"/>
          <w:color w:val="000000" w:themeColor="text1"/>
        </w:rPr>
        <w:t>non-targeted</w:t>
      </w:r>
      <w:r w:rsidRPr="00E61FE0">
        <w:rPr>
          <w:rFonts w:ascii="Arial" w:hAnsi="Arial" w:cs="Arial"/>
          <w:color w:val="000000" w:themeColor="text1"/>
        </w:rPr>
        <w:t xml:space="preserve"> CNT seems to be</w:t>
      </w:r>
      <w:r>
        <w:rPr>
          <w:rFonts w:ascii="Arial" w:hAnsi="Arial" w:cs="Arial"/>
          <w:color w:val="000000" w:themeColor="text1"/>
        </w:rPr>
        <w:t xml:space="preserve"> </w:t>
      </w:r>
      <w:r w:rsidRPr="00E61FE0">
        <w:rPr>
          <w:rFonts w:ascii="Arial" w:hAnsi="Arial" w:cs="Arial"/>
          <w:color w:val="000000" w:themeColor="text1"/>
        </w:rPr>
        <w:t xml:space="preserve">slower, requiring much more than the </w:t>
      </w:r>
      <w:r>
        <w:rPr>
          <w:rFonts w:ascii="Arial" w:hAnsi="Arial" w:cs="Arial"/>
          <w:color w:val="000000" w:themeColor="text1"/>
        </w:rPr>
        <w:t>two-</w:t>
      </w:r>
      <w:r w:rsidRPr="00E61FE0">
        <w:rPr>
          <w:rFonts w:ascii="Arial" w:hAnsi="Arial" w:cs="Arial"/>
          <w:color w:val="000000" w:themeColor="text1"/>
        </w:rPr>
        <w:t>h</w:t>
      </w:r>
      <w:r>
        <w:rPr>
          <w:rFonts w:ascii="Arial" w:hAnsi="Arial" w:cs="Arial"/>
          <w:color w:val="000000" w:themeColor="text1"/>
        </w:rPr>
        <w:t xml:space="preserve">our </w:t>
      </w:r>
      <w:r w:rsidRPr="00E61FE0">
        <w:rPr>
          <w:rFonts w:ascii="Arial" w:hAnsi="Arial" w:cs="Arial"/>
          <w:color w:val="000000" w:themeColor="text1"/>
        </w:rPr>
        <w:t>incubation time used in the previous experiment</w:t>
      </w:r>
      <w:r w:rsidRPr="00E61FE0">
        <w:rPr>
          <w:rFonts w:ascii="Arial" w:hAnsi="Arial" w:cs="Arial"/>
          <w:color w:val="000000" w:themeColor="text1"/>
        </w:rPr>
        <w:fldChar w:fldCharType="begin" w:fldLock="1"/>
      </w:r>
      <w:r w:rsidR="000F4F53">
        <w:rPr>
          <w:rFonts w:ascii="Arial" w:hAnsi="Arial" w:cs="Arial"/>
          <w:color w:val="000000" w:themeColor="text1"/>
        </w:rPr>
        <w:instrText xml:space="preserve"> ADDIN ZOTERO_ITEM CSL_CITATION {"citationID":"8r6czARl","properties":{"formattedCitation":"\\super 290\\uc0\\u8211{}292\\nosupersub{}","plainCitation":"290–292","noteIndex":0},"citationItems":[{"id":"a7Mi7BUu/sLxECKBa","uris":["http://www.mendeley.com/documents/?uuid=529e40c7-5711-4fec-b5a9-096d6571ac66"],"itemData":{"DOI":"10.1158/0008-5472.CAN-10-0250.Photothermal","author":[{"dropping-particle":"","family":"Fisher","given":"Jessica W","non-dropping-particle":"","parse-names":false,"suffix":""},{"dropping-particle":"","family":"Sarkar","given":"Saugata","non-dropping-particle":"","parse-names":false,"suffix":""},{"dropping-particle":"","family":"Buchanan","given":"Cara F","non-dropping-particle":"","parse-names":false,"suffix":""},{"dropping-particle":"","family":"Szot","given":"Christopher S","non-dropping-particle":"","parse-names":false,"suffix":""},{"dropping-particle":"","family":"Hatcher","given":"Heather C","non-dropping-particle":"","parse-names":false,"suffix":""},{"dropping-particle":"V","family":"Torti","given":"Suzy","non-dropping-particle":"","parse-names":false,"suffix":""},{"dropping-particle":"","family":"Rylander","given":"Christopher G","non-dropping-particle":"","parse-names":false,"suffix":""},{"dropping-particle":"","family":"Rylander","given":"Nichole","non-dropping-particle":"","parse-names":false,"suffix":""},{"dropping-particle":"","family":"Carolina","given":"North","non-dropping-particle":"","parse-names":false,"suffix":""}],"container-title":"Cancer Research","id":"ITEM-1","issue":"23","issued":{"date-parts":[["2010"]]},"page":"9855-9864","title":"Photothermal Response of Human and Murine Cancer Cells to Multiwalled Carbon Nanotubes after Laser Irradiation","type":"article-journal","volume":"70"}},{"id":"a7Mi7BUu/ZcA7XuvO","uris":["http://www.mendeley.com/documents/?uuid=daf952ee-a972-4ab3-a97d-e8c95ba73b85"],"itemData":{"DOI":"10.1016/j.ijbiomac.2018.09.085","ISSN":"18790003","abstract":"A lentinan (LEN) functionalized multi-walled carbon nanotubes (MWCNTs) drug delivery system, using tamoxifen (TAM) as a model anticancer agent, was developed by a simple non-covalent approach. This developed system (MWCNTs-TAM-LEN) possessed good stability, water dispersibility and extraordinary photothermal properties. It was demonstrated by the in vitro experiments that MWCNTs-TAM-LEN had enhanced cellular uptake, antitumor activity and cell apoptosis on Mcf-7 cells in comparison with TAM and MWCNTs-TAM. The cell inhibition rate and apoptosis rate of Mcf-7 cells treated by MWCNTs-TAM-LEN with near-infrared (NIR) were 67.1% and 66.5% higher than that of equivalent concentration of TAM with NIR irradiation treatment, respectively. The enhanced antitumor efficacy of MWCNTs-TAM-LEN was realized via the synergistic function of chemotherapy and photothermal ablation under NIR laser irradiation.","author":[{"dropping-particle":"","family":"Yi","given":"Wenhui","non-dropping-particle":"","parse-names":false,"suffix":""},{"dropping-particle":"","family":"Zhang","given":"Ping","non-dropping-particle":"","parse-names":false,"suffix":""},{"dropping-particle":"","family":"Hou","given":"Jin","non-dropping-particle":"","parse-names":false,"suffix":""},{"dropping-particle":"","family":"Chen","given":"Weiping","non-dropping-particle":"","parse-names":false,"suffix":""},{"dropping-particle":"","family":"Bai","given":"Lei","non-dropping-particle":"","parse-names":false,"suffix":""},{"dropping-particle":"","family":"Yoo","given":"Sweejiang","non-dropping-particle":"","parse-names":false,"suffix":""},{"dropping-particle":"","family":"Khalid","given":"Asif","non-dropping-particle":"","parse-names":false,"suffix":""},{"dropping-particle":"","family":"Hou","given":"Xun","non-dropping-particle":"","parse-names":false,"suffix":""}],"container-title":"International Journal of Biological Macromolecules","id":"ITEM-2","issued":{"date-parts":[["2018"]]},"page":"1525-1532","publisher":"Elsevier B.V.","title":"Enhanced response of tamoxifen toward the cancer cells using a combination of chemotherapy and photothermal ablation induced by lentinan-functionalized multi-walled carbon nanotubes","type":"article-journal","volume":"120"}},{"id":"a7Mi7BUu/6NqPUNw1","uris":["http://www.mendeley.com/documents/?uuid=8812eedf-3892-4fe1-af28-1879c38ea2b3"],"itemData":{"DOI":"10.1016/j.physbeh.2017.03.040","ISBN":"2163684814","author":[{"dropping-particle":"","family":"Alexandru S. Biris","given":"","non-dropping-particle":"","parse-names":false,"suffix":""},{"dropping-particle":"","family":"Boldor","given":"Dorin","non-dropping-particle":"","parse-names":false,"suffix":""},{"dropping-particle":"","family":"Palmer","given":"Jason","non-dropping-particle":"","parse-names":false,"suffix":""},{"dropping-particle":"","family":"Monroe","given":"William T.","non-dropping-particle":"","parse-names":false,"suffix":""},{"dropping-particle":"","family":"Mahmood","given":"Meena","non-dropping-particle":"","parse-names":false,"suffix":""},{"dropping-particle":"","family":"Dervishi","given":"Enkeleda","non-dropping-particle":"","parse-names":false,"suffix":""},{"dropping-particle":"","family":"Yang Xu","given":"","non-dropping-particle":"","parse-names":false,"suffix":""},{"dropping-particle":"","family":"Li","given":"Zhongrui","non-dropping-particle":"","parse-names":false,"suffix":""},{"dropping-particle":"","family":"Galanzha","given":"Ekaterina I.","non-dropping-particle":"","parse-names":false,"suffix":""},{"dropping-particle":"","family":"Zharov","given":"Vladimir P.","non-dropping-particle":"","parse-names":false,"suffix":""}],"container-title":"J Biomed Opt","id":"ITEM-3","issue":"2","issued":{"date-parts":[["2009"]]},"title":"Nanophotothermolysis of multiple scattered cancer cells with carbon nanotubes guided by time-resolved infrared thermal imaging","type":"article-journal","volume":"14"}}],"schema":"https://github.com/citation-style-language/schema/raw/master/csl-citation.json"} </w:instrText>
      </w:r>
      <w:r w:rsidRPr="00E61FE0">
        <w:rPr>
          <w:rFonts w:ascii="Arial" w:hAnsi="Arial" w:cs="Arial"/>
          <w:color w:val="000000" w:themeColor="text1"/>
        </w:rPr>
        <w:fldChar w:fldCharType="separate"/>
      </w:r>
      <w:r w:rsidR="000F4F53" w:rsidRPr="000F4F53">
        <w:rPr>
          <w:rFonts w:ascii="Arial" w:hAnsi="Arial" w:cs="Arial"/>
          <w:color w:val="000000"/>
          <w:vertAlign w:val="superscript"/>
        </w:rPr>
        <w:t>290–292</w:t>
      </w:r>
      <w:r w:rsidRPr="00E61FE0">
        <w:rPr>
          <w:rFonts w:ascii="Arial" w:hAnsi="Arial" w:cs="Arial"/>
          <w:color w:val="000000" w:themeColor="text1"/>
        </w:rPr>
        <w:fldChar w:fldCharType="end"/>
      </w:r>
      <w:r w:rsidRPr="00E61FE0">
        <w:rPr>
          <w:rFonts w:ascii="Arial" w:hAnsi="Arial" w:cs="Arial"/>
          <w:color w:val="000000" w:themeColor="text1"/>
        </w:rPr>
        <w:t xml:space="preserve">. Fisher </w:t>
      </w:r>
      <w:r w:rsidRPr="00D3010D">
        <w:rPr>
          <w:rFonts w:ascii="Arial" w:hAnsi="Arial" w:cs="Arial"/>
          <w:i/>
          <w:iCs/>
          <w:color w:val="000000" w:themeColor="text1"/>
        </w:rPr>
        <w:t xml:space="preserve">et al. </w:t>
      </w:r>
      <w:r w:rsidRPr="00E61FE0">
        <w:rPr>
          <w:rFonts w:ascii="Arial" w:hAnsi="Arial" w:cs="Arial"/>
          <w:color w:val="000000" w:themeColor="text1"/>
          <w:vertAlign w:val="superscript"/>
        </w:rPr>
        <w:fldChar w:fldCharType="begin" w:fldLock="1"/>
      </w:r>
      <w:r w:rsidR="000F4F53">
        <w:rPr>
          <w:rFonts w:ascii="Arial" w:hAnsi="Arial" w:cs="Arial"/>
          <w:color w:val="000000" w:themeColor="text1"/>
          <w:vertAlign w:val="superscript"/>
        </w:rPr>
        <w:instrText xml:space="preserve"> ADDIN ZOTERO_ITEM CSL_CITATION {"citationID":"wKkO41WV","properties":{"formattedCitation":"\\super 290\\nosupersub{}","plainCitation":"290","noteIndex":0},"citationItems":[{"id":"a7Mi7BUu/sLxECKBa","uris":["http://www.mendeley.com/documents/?uuid=529e40c7-5711-4fec-b5a9-096d6571ac66"],"itemData":{"DOI":"10.1158/0008-5472.CAN-10-0250.Photothermal","author":[{"dropping-particle":"","family":"Fisher","given":"Jessica W","non-dropping-particle":"","parse-names":false,"suffix":""},{"dropping-particle":"","family":"Sarkar","given":"Saugata","non-dropping-particle":"","parse-names":false,"suffix":""},{"dropping-particle":"","family":"Buchanan","given":"Cara F","non-dropping-particle":"","parse-names":false,"suffix":""},{"dropping-particle":"","family":"Szot","given":"Christopher S","non-dropping-particle":"","parse-names":false,"suffix":""},{"dropping-particle":"","family":"Hatcher","given":"Heather C","non-dropping-particle":"","parse-names":false,"suffix":""},{"dropping-particle":"V","family":"Torti","given":"Suzy","non-dropping-particle":"","parse-names":false,"suffix":""},{"dropping-particle":"","family":"Rylander","given":"Christopher G","non-dropping-particle":"","parse-names":false,"suffix":""},{"dropping-particle":"","family":"Rylander","given":"Nichole","non-dropping-particle":"","parse-names":false,"suffix":""},{"dropping-particle":"","family":"Carolina","given":"North","non-dropping-particle":"","parse-names":false,"suffix":""}],"container-title":"Cancer Research","id":"ITEM-1","issue":"23","issued":{"date-parts":[["2010"]]},"page":"9855-9864","title":"Photothermal Response of Human and Murine Cancer Cells to Multiwalled Carbon Nanotubes after Laser Irradiation","type":"article-journal","volume":"70"}}],"schema":"https://github.com/citation-style-language/schema/raw/master/csl-citation.json"} </w:instrText>
      </w:r>
      <w:r w:rsidRPr="00E61FE0">
        <w:rPr>
          <w:rFonts w:ascii="Arial" w:hAnsi="Arial" w:cs="Arial"/>
          <w:color w:val="000000" w:themeColor="text1"/>
          <w:vertAlign w:val="superscript"/>
        </w:rPr>
        <w:fldChar w:fldCharType="separate"/>
      </w:r>
      <w:r w:rsidR="000F4F53" w:rsidRPr="000F4F53">
        <w:rPr>
          <w:rFonts w:ascii="Arial" w:hAnsi="Arial" w:cs="Arial"/>
          <w:color w:val="000000"/>
          <w:vertAlign w:val="superscript"/>
        </w:rPr>
        <w:t>290</w:t>
      </w:r>
      <w:r w:rsidRPr="00E61FE0">
        <w:rPr>
          <w:rFonts w:ascii="Arial" w:hAnsi="Arial" w:cs="Arial"/>
          <w:color w:val="000000" w:themeColor="text1"/>
          <w:vertAlign w:val="superscript"/>
        </w:rPr>
        <w:fldChar w:fldCharType="end"/>
      </w:r>
      <w:r w:rsidRPr="00E61FE0">
        <w:rPr>
          <w:rFonts w:ascii="Arial" w:hAnsi="Arial" w:cs="Arial"/>
          <w:color w:val="000000" w:themeColor="text1"/>
        </w:rPr>
        <w:t xml:space="preserve"> showed through two methods the internalization of MWCNT dispersed in Pluronic F-127 (PL-127) after different time-length incubations </w:t>
      </w:r>
      <w:r>
        <w:rPr>
          <w:rFonts w:ascii="Arial" w:hAnsi="Arial" w:cs="Arial"/>
          <w:color w:val="000000" w:themeColor="text1"/>
        </w:rPr>
        <w:t xml:space="preserve">of </w:t>
      </w:r>
      <w:r w:rsidRPr="00E61FE0">
        <w:rPr>
          <w:rFonts w:ascii="Arial" w:hAnsi="Arial" w:cs="Arial"/>
          <w:color w:val="000000" w:themeColor="text1"/>
        </w:rPr>
        <w:t>1</w:t>
      </w:r>
      <w:r w:rsidRPr="00E61FE0">
        <w:rPr>
          <w:rFonts w:ascii="Calibri" w:hAnsi="Calibri" w:cs="Calibri"/>
          <w:color w:val="000000" w:themeColor="text1"/>
        </w:rPr>
        <w:t>﻿</w:t>
      </w:r>
      <w:r w:rsidRPr="00E61FE0">
        <w:rPr>
          <w:rFonts w:ascii="Arial" w:hAnsi="Arial" w:cs="Arial"/>
          <w:color w:val="000000" w:themeColor="text1"/>
        </w:rPr>
        <w:t>6, 24, and 48 h. RENCA cells were incubated with the CNTs for 24 h</w:t>
      </w:r>
      <w:r>
        <w:rPr>
          <w:rFonts w:ascii="Arial" w:hAnsi="Arial" w:cs="Arial"/>
          <w:color w:val="000000" w:themeColor="text1"/>
        </w:rPr>
        <w:t>,</w:t>
      </w:r>
      <w:r w:rsidRPr="00E61FE0">
        <w:rPr>
          <w:rFonts w:ascii="Arial" w:hAnsi="Arial" w:cs="Arial"/>
          <w:color w:val="000000" w:themeColor="text1"/>
        </w:rPr>
        <w:t xml:space="preserve"> and then DAPI-staining was performed in nuclei. The overlay of the brightfield images displayed CNT as black clusters around the nucleus. Additionally, transmission electron microscopy (TEM) was performed on cells with different CNT incubation times, </w:t>
      </w:r>
      <w:r>
        <w:rPr>
          <w:rFonts w:ascii="Arial" w:hAnsi="Arial" w:cs="Arial"/>
          <w:color w:val="000000" w:themeColor="text1"/>
        </w:rPr>
        <w:t>showing the MWCNT inside</w:t>
      </w:r>
      <w:r w:rsidRPr="00E61FE0">
        <w:rPr>
          <w:rFonts w:ascii="Arial" w:hAnsi="Arial" w:cs="Arial"/>
          <w:color w:val="000000" w:themeColor="text1"/>
        </w:rPr>
        <w:t xml:space="preserve"> cell vacuoles. The irradiation treatment of 15.3 W/cm² for 5 min (1046 nm) significantly reduced the cell viability compared to control groups. </w:t>
      </w:r>
      <w:proofErr w:type="spellStart"/>
      <w:r w:rsidRPr="00E61FE0">
        <w:rPr>
          <w:rFonts w:ascii="Arial" w:hAnsi="Arial" w:cs="Arial"/>
          <w:color w:val="000000" w:themeColor="text1"/>
        </w:rPr>
        <w:t>Biris</w:t>
      </w:r>
      <w:proofErr w:type="spellEnd"/>
      <w:r w:rsidRPr="00E61FE0">
        <w:rPr>
          <w:rFonts w:ascii="Arial" w:hAnsi="Arial" w:cs="Arial"/>
          <w:color w:val="000000" w:themeColor="text1"/>
        </w:rPr>
        <w:t xml:space="preserve"> </w:t>
      </w:r>
      <w:r w:rsidRPr="00D3010D">
        <w:rPr>
          <w:rFonts w:ascii="Arial" w:hAnsi="Arial" w:cs="Arial"/>
          <w:i/>
          <w:iCs/>
          <w:color w:val="000000" w:themeColor="text1"/>
        </w:rPr>
        <w:t>et al.</w:t>
      </w:r>
      <w:r>
        <w:rPr>
          <w:rFonts w:ascii="Arial" w:hAnsi="Arial" w:cs="Arial"/>
          <w:color w:val="000000" w:themeColor="text1"/>
        </w:rPr>
        <w:t xml:space="preserve"> </w:t>
      </w:r>
      <w:r w:rsidRPr="00E61FE0">
        <w:rPr>
          <w:rFonts w:ascii="Arial" w:hAnsi="Arial" w:cs="Arial"/>
          <w:color w:val="000000" w:themeColor="text1"/>
        </w:rPr>
        <w:fldChar w:fldCharType="begin" w:fldLock="1"/>
      </w:r>
      <w:r w:rsidR="000F4F53">
        <w:rPr>
          <w:rFonts w:ascii="Arial" w:hAnsi="Arial" w:cs="Arial"/>
          <w:color w:val="000000" w:themeColor="text1"/>
        </w:rPr>
        <w:instrText xml:space="preserve"> ADDIN ZOTERO_ITEM CSL_CITATION {"citationID":"ftP4KnJv","properties":{"formattedCitation":"\\super 292\\nosupersub{}","plainCitation":"292","noteIndex":0},"citationItems":[{"id":"a7Mi7BUu/6NqPUNw1","uris":["http://www.mendeley.com/documents/?uuid=8812eedf-3892-4fe1-af28-1879c38ea2b3"],"itemData":{"DOI":"10.1016/j.physbeh.2017.03.040","ISBN":"2163684814","author":[{"dropping-particle":"","family":"Alexandru S. Biris","given":"","non-dropping-particle":"","parse-names":false,"suffix":""},{"dropping-particle":"","family":"Boldor","given":"Dorin","non-dropping-particle":"","parse-names":false,"suffix":""},{"dropping-particle":"","family":"Palmer","given":"Jason","non-dropping-particle":"","parse-names":false,"suffix":""},{"dropping-particle":"","family":"Monroe","given":"William T.","non-dropping-particle":"","parse-names":false,"suffix":""},{"dropping-particle":"","family":"Mahmood","given":"Meena","non-dropping-particle":"","parse-names":false,"suffix":""},{"dropping-particle":"","family":"Dervishi","given":"Enkeleda","non-dropping-particle":"","parse-names":false,"suffix":""},{"dropping-particle":"","family":"Yang Xu","given":"","non-dropping-particle":"","parse-names":false,"suffix":""},{"dropping-particle":"","family":"Li","given":"Zhongrui","non-dropping-particle":"","parse-names":false,"suffix":""},{"dropping-particle":"","family":"Galanzha","given":"Ekaterina I.","non-dropping-particle":"","parse-names":false,"suffix":""},{"dropping-particle":"","family":"Zharov","given":"Vladimir P.","non-dropping-particle":"","parse-names":false,"suffix":""}],"container-title":"J Biomed Opt","id":"ITEM-1","issue":"2","issued":{"date-parts":[["2009"]]},"title":"Nanophotothermolysis of multiple scattered cancer cells with carbon nanotubes guided by time-resolved infrared thermal imaging","type":"article-journal","volume":"14"}}],"schema":"https://github.com/citation-style-language/schema/raw/master/csl-citation.json"} </w:instrText>
      </w:r>
      <w:r w:rsidRPr="00E61FE0">
        <w:rPr>
          <w:rFonts w:ascii="Arial" w:hAnsi="Arial" w:cs="Arial"/>
          <w:color w:val="000000" w:themeColor="text1"/>
        </w:rPr>
        <w:fldChar w:fldCharType="separate"/>
      </w:r>
      <w:r w:rsidR="000F4F53" w:rsidRPr="000F4F53">
        <w:rPr>
          <w:rFonts w:ascii="Arial" w:hAnsi="Arial" w:cs="Arial"/>
          <w:color w:val="000000"/>
          <w:vertAlign w:val="superscript"/>
        </w:rPr>
        <w:t>292</w:t>
      </w:r>
      <w:r w:rsidRPr="00E61FE0">
        <w:rPr>
          <w:rFonts w:ascii="Arial" w:hAnsi="Arial" w:cs="Arial"/>
          <w:color w:val="000000" w:themeColor="text1"/>
        </w:rPr>
        <w:fldChar w:fldCharType="end"/>
      </w:r>
      <w:r w:rsidRPr="00E61FE0">
        <w:rPr>
          <w:rFonts w:ascii="Arial" w:hAnsi="Arial" w:cs="Arial"/>
          <w:color w:val="000000" w:themeColor="text1"/>
        </w:rPr>
        <w:t xml:space="preserve"> analyzed the internalization of </w:t>
      </w:r>
      <w:r>
        <w:rPr>
          <w:rFonts w:ascii="Arial" w:hAnsi="Arial" w:cs="Arial"/>
          <w:color w:val="000000" w:themeColor="text1"/>
        </w:rPr>
        <w:t>non-targeted</w:t>
      </w:r>
      <w:r w:rsidRPr="00E61FE0">
        <w:rPr>
          <w:rFonts w:ascii="Arial" w:hAnsi="Arial" w:cs="Arial"/>
          <w:color w:val="000000" w:themeColor="text1"/>
        </w:rPr>
        <w:t xml:space="preserve"> MWCNT in HeLa cells DAPI-stained nuclei. Black clusters of MWCNT inside the cells could be visualized through optical microscopy after 48h incubation. Cell death was significantly higher when the cells were treated with MWCNT (48h incubation) and laser irradiation (1064 nm, ~31 W/cm</w:t>
      </w:r>
      <w:r w:rsidRPr="00E61FE0">
        <w:rPr>
          <w:rFonts w:ascii="Arial" w:hAnsi="Arial" w:cs="Arial"/>
          <w:color w:val="000000" w:themeColor="text1"/>
          <w:vertAlign w:val="superscript"/>
        </w:rPr>
        <w:t>2</w:t>
      </w:r>
      <w:r w:rsidRPr="00E61FE0">
        <w:rPr>
          <w:rFonts w:ascii="Arial" w:hAnsi="Arial" w:cs="Arial"/>
          <w:color w:val="000000" w:themeColor="text1"/>
        </w:rPr>
        <w:t>, 4 s) compared with cells with no treatment and cells solely treated with laser.</w:t>
      </w:r>
      <w:r w:rsidRPr="00D74025">
        <w:rPr>
          <w:rFonts w:ascii="Arial" w:hAnsi="Arial" w:cs="Arial"/>
          <w:color w:val="000000" w:themeColor="text1"/>
        </w:rPr>
        <w:t xml:space="preserve"> </w:t>
      </w:r>
      <w:r w:rsidR="00932ADE">
        <w:rPr>
          <w:rFonts w:ascii="Arial" w:hAnsi="Arial" w:cs="Arial"/>
          <w:color w:val="000000" w:themeColor="text1"/>
        </w:rPr>
        <w:t xml:space="preserve">In our studies, the incubation time of </w:t>
      </w:r>
      <w:r w:rsidR="002A37A8">
        <w:rPr>
          <w:rFonts w:ascii="Arial" w:hAnsi="Arial" w:cs="Arial"/>
          <w:color w:val="000000" w:themeColor="text1"/>
        </w:rPr>
        <w:t>both</w:t>
      </w:r>
      <w:r w:rsidR="00932ADE">
        <w:rPr>
          <w:rFonts w:ascii="Arial" w:hAnsi="Arial" w:cs="Arial"/>
          <w:color w:val="000000" w:themeColor="text1"/>
        </w:rPr>
        <w:t xml:space="preserve"> SWCNT-ANXA5 and SWCNT-PEG</w:t>
      </w:r>
      <w:r w:rsidR="002A37A8">
        <w:rPr>
          <w:rFonts w:ascii="Arial" w:hAnsi="Arial" w:cs="Arial"/>
          <w:color w:val="000000" w:themeColor="text1"/>
        </w:rPr>
        <w:t xml:space="preserve"> was</w:t>
      </w:r>
      <w:r w:rsidR="00A85D2E">
        <w:rPr>
          <w:rFonts w:ascii="Arial" w:hAnsi="Arial" w:cs="Arial"/>
          <w:color w:val="000000" w:themeColor="text1"/>
        </w:rPr>
        <w:t xml:space="preserve"> only 2 h, which is</w:t>
      </w:r>
      <w:r w:rsidR="002A37A8">
        <w:rPr>
          <w:rFonts w:ascii="Arial" w:hAnsi="Arial" w:cs="Arial"/>
          <w:color w:val="000000" w:themeColor="text1"/>
        </w:rPr>
        <w:t xml:space="preserve"> much shorter than on those </w:t>
      </w:r>
      <w:r w:rsidR="00E84751">
        <w:rPr>
          <w:rFonts w:ascii="Arial" w:hAnsi="Arial" w:cs="Arial"/>
          <w:color w:val="000000" w:themeColor="text1"/>
        </w:rPr>
        <w:t>other studies</w:t>
      </w:r>
      <w:r w:rsidR="00A85D2E">
        <w:rPr>
          <w:rFonts w:ascii="Arial" w:hAnsi="Arial" w:cs="Arial"/>
          <w:color w:val="000000" w:themeColor="text1"/>
        </w:rPr>
        <w:t xml:space="preserve">. This is </w:t>
      </w:r>
      <w:r w:rsidR="00C31731">
        <w:rPr>
          <w:rFonts w:ascii="Arial" w:hAnsi="Arial" w:cs="Arial"/>
          <w:color w:val="000000" w:themeColor="text1"/>
        </w:rPr>
        <w:t>evidence</w:t>
      </w:r>
      <w:r w:rsidR="00A85D2E">
        <w:rPr>
          <w:rFonts w:ascii="Arial" w:hAnsi="Arial" w:cs="Arial"/>
          <w:color w:val="000000" w:themeColor="text1"/>
        </w:rPr>
        <w:t xml:space="preserve"> that</w:t>
      </w:r>
      <w:r w:rsidR="00E84751">
        <w:rPr>
          <w:rFonts w:ascii="Arial" w:hAnsi="Arial" w:cs="Arial"/>
          <w:color w:val="000000" w:themeColor="text1"/>
        </w:rPr>
        <w:t xml:space="preserve"> linking ANXA5 to the photosensitizer</w:t>
      </w:r>
      <w:r w:rsidR="00715619">
        <w:rPr>
          <w:rFonts w:ascii="Arial" w:hAnsi="Arial" w:cs="Arial"/>
          <w:color w:val="000000" w:themeColor="text1"/>
        </w:rPr>
        <w:t xml:space="preserve"> </w:t>
      </w:r>
      <w:r w:rsidR="0088466C">
        <w:rPr>
          <w:rFonts w:ascii="Arial" w:hAnsi="Arial" w:cs="Arial"/>
          <w:color w:val="000000" w:themeColor="text1"/>
        </w:rPr>
        <w:t>results in</w:t>
      </w:r>
      <w:r w:rsidR="00715619">
        <w:rPr>
          <w:rFonts w:ascii="Arial" w:hAnsi="Arial" w:cs="Arial"/>
          <w:color w:val="000000" w:themeColor="text1"/>
        </w:rPr>
        <w:t xml:space="preserve"> more targeted treatment </w:t>
      </w:r>
      <w:r w:rsidR="0088466C">
        <w:rPr>
          <w:rFonts w:ascii="Arial" w:hAnsi="Arial" w:cs="Arial"/>
          <w:color w:val="000000" w:themeColor="text1"/>
        </w:rPr>
        <w:t>of</w:t>
      </w:r>
      <w:r w:rsidR="00715619">
        <w:rPr>
          <w:rFonts w:ascii="Arial" w:hAnsi="Arial" w:cs="Arial"/>
          <w:color w:val="000000" w:themeColor="text1"/>
        </w:rPr>
        <w:t xml:space="preserve"> the cells.</w:t>
      </w:r>
    </w:p>
    <w:p w14:paraId="7A886BCB" w14:textId="32483A9A" w:rsidR="002D7562" w:rsidRPr="00D74025" w:rsidRDefault="002D7562" w:rsidP="002D7562">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Different pathways have been analyzed to explain the internalization of CNT without targeting agents, which includes phagocytosis, diffusion, </w:t>
      </w:r>
      <w:r>
        <w:rPr>
          <w:rFonts w:ascii="Arial" w:hAnsi="Arial" w:cs="Arial"/>
          <w:color w:val="000000" w:themeColor="text1"/>
        </w:rPr>
        <w:t xml:space="preserve">and </w:t>
      </w:r>
      <w:r w:rsidRPr="00D74025">
        <w:rPr>
          <w:rFonts w:ascii="Arial" w:hAnsi="Arial" w:cs="Arial"/>
          <w:color w:val="000000" w:themeColor="text1"/>
        </w:rPr>
        <w:t xml:space="preserve">endocytosis. </w:t>
      </w:r>
      <w:r>
        <w:rPr>
          <w:rFonts w:ascii="Arial" w:hAnsi="Arial" w:cs="Arial"/>
          <w:color w:val="000000" w:themeColor="text1"/>
        </w:rPr>
        <w:t>The degree</w:t>
      </w:r>
      <w:r w:rsidRPr="00D74025">
        <w:rPr>
          <w:rFonts w:ascii="Arial" w:hAnsi="Arial" w:cs="Arial"/>
          <w:color w:val="000000" w:themeColor="text1"/>
        </w:rPr>
        <w:t xml:space="preserve"> of dispersion, functionalization</w:t>
      </w:r>
      <w:r>
        <w:rPr>
          <w:rFonts w:ascii="Arial" w:hAnsi="Arial" w:cs="Arial"/>
          <w:color w:val="000000" w:themeColor="text1"/>
        </w:rPr>
        <w:t>,</w:t>
      </w:r>
      <w:r w:rsidRPr="00D74025">
        <w:rPr>
          <w:rFonts w:ascii="Arial" w:hAnsi="Arial" w:cs="Arial"/>
          <w:color w:val="000000" w:themeColor="text1"/>
        </w:rPr>
        <w:t xml:space="preserve"> and length of the carbon nanotubes can influence the pathways for cellular uptake</w:t>
      </w:r>
      <w:r w:rsidRPr="00D74025">
        <w:rPr>
          <w:rFonts w:ascii="Arial" w:hAnsi="Arial" w:cs="Arial"/>
          <w:color w:val="000000" w:themeColor="text1"/>
        </w:rPr>
        <w:fldChar w:fldCharType="begin" w:fldLock="1"/>
      </w:r>
      <w:r w:rsidR="000F4F53">
        <w:rPr>
          <w:rFonts w:ascii="Arial" w:hAnsi="Arial" w:cs="Arial"/>
          <w:color w:val="000000" w:themeColor="text1"/>
        </w:rPr>
        <w:instrText xml:space="preserve"> ADDIN ZOTERO_ITEM CSL_CITATION {"citationID":"NAcOhRk9","properties":{"formattedCitation":"\\super 293\\nosupersub{}","plainCitation":"293","noteIndex":0},"citationItems":[{"id":"a7Mi7BUu/aG5L71us","uris":["http://www.mendeley.com/documents/?uuid=5fb83c0e-cd3a-4c00-bc5e-83e83523b48a"],"itemData":{"DOI":"10.2217/nnm.09.95","ISSN":"17435889","abstract":"Carbon nanotubes (CNTs) are widely used for biomedical applications as intracellular transporters of biomolecules owing to their ability to cross cell membranes. In this article, we survey the reported literature and results of our published work in an attempt to provide a rational view of the various CNT internalization mechanisms. Essentially three uptake mechanisms (phagocytosis, diffusion and endocytosis) have been reported in the literature. In addressing the subject of cellular internalization of CNTs, the unique physicochemical characteristics of CNTs that influence and drive the cell uptake pathway are considered. According to available evidence, the degree of dispersion, the formation of supramolecular complexes and the nanotube length are crucial factors in determining the exact mechanism of cellular uptake. In conclusion, phagocytosis appears to be the internalization pathway for CNT aggregates, bundles, cluster or single dispersed nanotubes 1μ m or more in length; endocytosis is the internalization mechanism for nanotubes forming supramolecular structures; and diffusion is the internalization mechanism for submicron CNTs that do not form supramolecular complexes. This information may be relevant to the rational design of CNT-based carriers for cell therapy. © 2010 Future Medicine Ltd.","author":[{"dropping-particle":"","family":"Raffa","given":"Vittoria","non-dropping-particle":"","parse-names":false,"suffix":""},{"dropping-particle":"","family":"Ciofani","given":"Gianni","non-dropping-particle":"","parse-names":false,"suffix":""},{"dropping-particle":"","family":"Vittorio","given":"Orazio","non-dropping-particle":"","parse-names":false,"suffix":""},{"dropping-particle":"","family":"Riggio","given":"Cristina","non-dropping-particle":"","parse-names":false,"suffix":""},{"dropping-particle":"","family":"Cuschieri","given":"Alfred","non-dropping-particle":"","parse-names":false,"suffix":""}],"container-title":"Nanomedicine","id":"ITEM-1","issue":"1","issued":{"date-parts":[["2010"]]},"page":"89-97","title":"Physicochemical properties affecting cellular uptake of carbon nanotubes","type":"article-journal","volume":"5"}}],"schema":"https://github.com/citation-style-language/schema/raw/master/csl-citation.json"}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293</w:t>
      </w:r>
      <w:r w:rsidRPr="00D74025">
        <w:rPr>
          <w:rFonts w:ascii="Arial" w:hAnsi="Arial" w:cs="Arial"/>
          <w:color w:val="000000" w:themeColor="text1"/>
        </w:rPr>
        <w:fldChar w:fldCharType="end"/>
      </w:r>
      <w:r w:rsidRPr="00D74025">
        <w:rPr>
          <w:rFonts w:ascii="Arial" w:hAnsi="Arial" w:cs="Arial"/>
          <w:color w:val="000000" w:themeColor="text1"/>
        </w:rPr>
        <w:t>.</w:t>
      </w:r>
      <w:r>
        <w:rPr>
          <w:rFonts w:ascii="Arial" w:hAnsi="Arial" w:cs="Arial"/>
          <w:color w:val="000000" w:themeColor="text1"/>
        </w:rPr>
        <w:t xml:space="preserve"> Nonetheless, there is evidence in the literature that ANXA5 induces internalization through non-receptor mediated mechanisms</w:t>
      </w:r>
      <w:r>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{"citationID":"2DTbMCSn","properties":{"formattedCitation":"\\super 294\\nosupersub{}","plainCitation":"294","noteIndex":0},"citationItems":[{"id":337,"uris":["http://zotero.org/users/7661987/items/PWG6TNEA"],"itemData":{"id":337,"type":"article-journal","container-title":"Journal of Biological Chemistry","DOI":"10.1074/jbc.M409009200","ISSN":"00219258","issue":"50","journalAbbreviation":"Journal of Biological Chemistry","language":"en","page":"52623-52629","source":"DOI.org (Crossref)","title":"Cell Surface-expressed Phosphatidylserine and Annexin A5 Open a Novel Portal of Cell Entry","volume":"279","author":[{"family":"Kenis","given":"Heidi"},{"family":"Genderen","given":"Hugo","non-dropping-particle":"van"},{"family":"Bennaghmouch","given":"Abdel"},{"family":"Rinia","given":"Hilde A."},{"family":"Frederik","given":"Peter"},{"family":"Narula","given":"Jagat"},{"family":"Hofstra","given":"Leo"},{"family":"Reutelingsperger","given":"Chris P.M."}],"issued":{"date-parts":[["2004",12]]}}}],"schema":"https://github.com/citation-style-language/schema/raw/master/csl-citation.json"} </w:instrText>
      </w:r>
      <w:r>
        <w:rPr>
          <w:rFonts w:ascii="Arial" w:hAnsi="Arial" w:cs="Arial"/>
          <w:color w:val="000000" w:themeColor="text1"/>
        </w:rPr>
        <w:fldChar w:fldCharType="separate"/>
      </w:r>
      <w:r w:rsidR="000F4F53" w:rsidRPr="000F4F53">
        <w:rPr>
          <w:rFonts w:ascii="Arial" w:hAnsi="Arial" w:cs="Arial"/>
          <w:color w:val="000000"/>
          <w:vertAlign w:val="superscript"/>
        </w:rPr>
        <w:t>294</w:t>
      </w:r>
      <w:r>
        <w:rPr>
          <w:rFonts w:ascii="Arial" w:hAnsi="Arial" w:cs="Arial"/>
          <w:color w:val="000000" w:themeColor="text1"/>
        </w:rPr>
        <w:fldChar w:fldCharType="end"/>
      </w:r>
      <w:r>
        <w:rPr>
          <w:rFonts w:ascii="Arial" w:hAnsi="Arial" w:cs="Arial"/>
          <w:color w:val="000000" w:themeColor="text1"/>
        </w:rPr>
        <w:t xml:space="preserve">, which might be translated to the SWCNT-ANXA5 and explain the much more effective cytotoxic effect of the PTT </w:t>
      </w:r>
      <w:r>
        <w:rPr>
          <w:rFonts w:ascii="Arial" w:hAnsi="Arial" w:cs="Arial"/>
          <w:i/>
          <w:iCs/>
          <w:color w:val="000000" w:themeColor="text1"/>
        </w:rPr>
        <w:t>in vitro</w:t>
      </w:r>
      <w:r>
        <w:rPr>
          <w:rFonts w:ascii="Arial" w:hAnsi="Arial" w:cs="Arial"/>
          <w:color w:val="000000" w:themeColor="text1"/>
        </w:rPr>
        <w:t>. Our lab has gathered evidence of SWC</w:t>
      </w:r>
      <w:r w:rsidR="00187AE6">
        <w:rPr>
          <w:rFonts w:ascii="Arial" w:hAnsi="Arial" w:cs="Arial"/>
          <w:color w:val="000000" w:themeColor="text1"/>
        </w:rPr>
        <w:t>N</w:t>
      </w:r>
      <w:r>
        <w:rPr>
          <w:rFonts w:ascii="Arial" w:hAnsi="Arial" w:cs="Arial"/>
          <w:color w:val="000000" w:themeColor="text1"/>
        </w:rPr>
        <w:t>T-ANXA5 binding to cancer cells, but more experiments need to be performed to prove the internalization of the conjugate.</w:t>
      </w:r>
    </w:p>
    <w:p w14:paraId="668A0CB5" w14:textId="5F6B7080" w:rsidR="003923FC" w:rsidRPr="00D74025" w:rsidRDefault="003923FC" w:rsidP="003923FC">
      <w:pPr>
        <w:spacing w:line="360" w:lineRule="auto"/>
        <w:ind w:firstLine="1440"/>
        <w:jc w:val="both"/>
        <w:rPr>
          <w:rFonts w:ascii="Arial" w:hAnsi="Arial" w:cs="Arial"/>
          <w:color w:val="000000" w:themeColor="text1"/>
        </w:rPr>
      </w:pPr>
      <w:r w:rsidRPr="00D74025">
        <w:rPr>
          <w:rFonts w:ascii="Arial" w:hAnsi="Arial" w:cs="Arial"/>
          <w:color w:val="000000" w:themeColor="text1"/>
        </w:rPr>
        <w:lastRenderedPageBreak/>
        <w:t>Another experiment was performed to verify that the conjugate does not affect healthy cells due to the lack of PS externalization. H</w:t>
      </w:r>
      <w:proofErr w:type="spellStart"/>
      <w:r w:rsidRPr="00D74025">
        <w:rPr>
          <w:rFonts w:ascii="Arial" w:hAnsi="Arial" w:cs="Arial"/>
          <w:color w:val="000000" w:themeColor="text1"/>
          <w:lang w:val="en"/>
        </w:rPr>
        <w:t>uman</w:t>
      </w:r>
      <w:proofErr w:type="spellEnd"/>
      <w:r w:rsidRPr="00D74025">
        <w:rPr>
          <w:rFonts w:ascii="Arial" w:hAnsi="Arial" w:cs="Arial"/>
          <w:color w:val="000000" w:themeColor="text1"/>
          <w:lang w:val="en"/>
        </w:rPr>
        <w:t xml:space="preserve"> umbilical vein endothelial cells (</w:t>
      </w:r>
      <w:r w:rsidRPr="00D74025">
        <w:rPr>
          <w:rFonts w:ascii="Arial" w:hAnsi="Arial" w:cs="Arial"/>
          <w:color w:val="000000" w:themeColor="text1"/>
        </w:rPr>
        <w:t>HUVEC) a</w:t>
      </w:r>
      <w:r w:rsidR="007F1A8B">
        <w:rPr>
          <w:rFonts w:ascii="Arial" w:hAnsi="Arial" w:cs="Arial"/>
          <w:color w:val="000000" w:themeColor="text1"/>
        </w:rPr>
        <w:t>re</w:t>
      </w:r>
      <w:r w:rsidRPr="00D74025">
        <w:rPr>
          <w:rFonts w:ascii="Arial" w:hAnsi="Arial" w:cs="Arial"/>
          <w:color w:val="000000" w:themeColor="text1"/>
        </w:rPr>
        <w:t xml:space="preserve"> a healthy cell line </w:t>
      </w:r>
      <w:r>
        <w:rPr>
          <w:rFonts w:ascii="Arial" w:hAnsi="Arial" w:cs="Arial"/>
          <w:color w:val="000000" w:themeColor="text1"/>
        </w:rPr>
        <w:t>that</w:t>
      </w:r>
      <w:r w:rsidRPr="00D74025">
        <w:rPr>
          <w:rFonts w:ascii="Arial" w:hAnsi="Arial" w:cs="Arial"/>
          <w:color w:val="000000" w:themeColor="text1"/>
        </w:rPr>
        <w:t xml:space="preserve"> do not express PS in physiological conditions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{"citationID":"a23raagd9j1","properties":{"formattedCitation":"\\super 295\\nosupersub{}","plainCitation":"295","noteIndex":0},"citationItems":[{"id":1162,"uris":["http://zotero.org/users/7661987/items/WGPDVGDA"],"itemData":{"id":1162,"type":"article-journal","abstract":"Background and Purpose: The targeting of therapeutics is a promising approach for the development of new cancer treatments that seek to reduce the devastating side effects caused by the systemic administration of current drugs. This study evaluates a fusion protein developed as an enzyme prodrug therapy targeted to the tumor vasculature. Cytotoxicity would be localized to the site of the tumor using a protein fusion of purine nucleoside phosphorylase (PNP) and annexin V. Annexin V acts as the tumor-targeting component of the fusion protein as it has been shown to bind to phosphatidylserine expressed externally on cancer cells and the endothelial cells of the tumor vasculature, but not normal vascular endothelial cells. The enzymatic component of the fusion, PNP, converts the FDA-approved cancer therapeutic, fludarabine, into a more cytotoxic form. The purpose of this study is to determine if this system has a good potential as a targeted therapy for breast cancer.\nMethods: A fusion of E. coli purine nucleoside phosphorylase and human annexin V was produced in E. coli and purified. Using human breast cancer cell lines MCF-7 and MDA-MB-231 and non-confluent human endothelial cells grown in vitro, the binding strength of the fusion protein and the cytotoxicity of the enzyme prodrug system were determined. Endothelial cells that are not confluent expose phosphatidylserine and therefore mimic the tumor vasculature.\nResults: The purified recombinant fusion protein had good enzymatic activity and strong binding to the three cell lines. There was significant cell killing (p,0.001) by the enzyme prodrug treatment for all three cell lines, with greater than 80% cytotoxicity obtained after 6 days of treatment.\nConclusion: These results suggest that this treatment could be useful as a targeted therapy for breast cancer. Citation: Krais JJ, De Crescenzo O, Harrison RG (2013) Purine Nucleoside Phosphorylase Targeted by Annexin V to Breast Cancer Vasculature for Enzyme Prodrug Therapy. PLoS ONE 8(10): e76403. doi:10.1371/journal.pone.0076403 Editor: Matthew Bogyo, Stanford University, United States of America Received March 14, 2013; Accepted August 26, 2013; Published October 3, 2013 Copyright: ß 2013 Krais et al. This is an open-access article distributed under the terms of the Creative Commons Attribution License, which permits unrestricted use, distribution, and reproduction in any medium, provided the original author and source are credited. Funding: This study was supported by a grant from the Oklahoma Center for the Advancement of Science and Technology Health Research Program (grant number HR11-210; www.ok.gov/ocast) and by funding from the School of Chemical, Biological and Materials Engineering at the University of Oklahoma (www. cbme.ou.edu). The funders had no role in study design, data collection and analysis, decision to publish, or preparation of the manuscript.","container-title":"PLoS ONE","DOI":"10.1371/journal.pone.0076403","ISSN":"1932-6203","issue":"10","journalAbbreviation":"PLoS ONE","language":"en","page":"e76403","source":"DOI.org (Crossref)","title":"Purine Nucleoside Phosphorylase Targeted by Annexin V to Breast Cancer Vasculature for Enzyme Prodrug Therapy","volume":"8","author":[{"family":"Krais","given":"John J."},{"family":"De Crescenzo","given":"Olivier"},{"family":"Harrison","given":"Roger G."}],"editor":[{"family":"Bogyo","given":"Matthew"}],"issued":{"date-parts":[["2013",10,3]]}}}],"schema":"https://github.com/citation-style-language/schema/raw/master/csl-citation.json"}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295</w:t>
      </w:r>
      <w:r w:rsidRPr="00D74025">
        <w:rPr>
          <w:rFonts w:ascii="Arial" w:hAnsi="Arial" w:cs="Arial"/>
          <w:color w:val="000000" w:themeColor="text1"/>
        </w:rPr>
        <w:fldChar w:fldCharType="end"/>
      </w:r>
      <w:r w:rsidRPr="00D74025">
        <w:rPr>
          <w:rFonts w:ascii="Arial" w:hAnsi="Arial" w:cs="Arial"/>
          <w:color w:val="000000" w:themeColor="text1"/>
        </w:rPr>
        <w:t xml:space="preserve">. When cultured </w:t>
      </w:r>
      <w:r w:rsidRPr="00D74025">
        <w:rPr>
          <w:rFonts w:ascii="Arial" w:hAnsi="Arial" w:cs="Arial"/>
          <w:i/>
          <w:iCs/>
          <w:color w:val="000000" w:themeColor="text1"/>
        </w:rPr>
        <w:t>in vitro</w:t>
      </w:r>
      <w:r w:rsidRPr="00D74025">
        <w:rPr>
          <w:rFonts w:ascii="Arial" w:hAnsi="Arial" w:cs="Arial"/>
          <w:color w:val="000000" w:themeColor="text1"/>
        </w:rPr>
        <w:t xml:space="preserve">, those cells must grow to complete confluency. Therefore, HUVEC were seeded in 24 wells plates and cultured until 100% confluency. As </w:t>
      </w:r>
      <w:r>
        <w:rPr>
          <w:rFonts w:ascii="Arial" w:hAnsi="Arial" w:cs="Arial"/>
          <w:color w:val="000000" w:themeColor="text1"/>
        </w:rPr>
        <w:t xml:space="preserve">in </w:t>
      </w:r>
      <w:r w:rsidRPr="00D74025">
        <w:rPr>
          <w:rFonts w:ascii="Arial" w:hAnsi="Arial" w:cs="Arial"/>
          <w:color w:val="000000" w:themeColor="text1"/>
        </w:rPr>
        <w:t xml:space="preserve">previous studies with EMT6 tumor cells, one group was incubated with SWCNT-ANXA5 for 2 h following washing steps, while another group was not incubated with the conjugate. The cells were treated with laser irradiation (980 nm, 1.0 W/cm²) at 37°C inside </w:t>
      </w:r>
      <w:r>
        <w:rPr>
          <w:rFonts w:ascii="Arial" w:hAnsi="Arial" w:cs="Arial"/>
          <w:color w:val="000000" w:themeColor="text1"/>
        </w:rPr>
        <w:t xml:space="preserve">the </w:t>
      </w:r>
      <w:r w:rsidRPr="00D74025">
        <w:rPr>
          <w:rFonts w:ascii="Arial" w:hAnsi="Arial" w:cs="Arial"/>
          <w:color w:val="000000" w:themeColor="text1"/>
        </w:rPr>
        <w:t xml:space="preserve">incubator. The results are shown in </w:t>
      </w:r>
      <w:r w:rsidRPr="00D74025">
        <w:rPr>
          <w:rFonts w:ascii="Arial" w:hAnsi="Arial" w:cs="Arial"/>
          <w:b/>
          <w:bCs/>
          <w:color w:val="000000" w:themeColor="text1"/>
        </w:rPr>
        <w:t xml:space="preserve">Figure </w:t>
      </w:r>
      <w:r w:rsidR="00C31731">
        <w:rPr>
          <w:rFonts w:ascii="Arial" w:hAnsi="Arial" w:cs="Arial"/>
          <w:b/>
          <w:bCs/>
          <w:color w:val="000000" w:themeColor="text1"/>
        </w:rPr>
        <w:t>33</w:t>
      </w:r>
      <w:r w:rsidRPr="00D74025">
        <w:rPr>
          <w:rFonts w:ascii="Arial" w:hAnsi="Arial" w:cs="Arial"/>
          <w:color w:val="000000" w:themeColor="text1"/>
        </w:rPr>
        <w:t>:</w:t>
      </w:r>
    </w:p>
    <w:p w14:paraId="2F21369E" w14:textId="77777777" w:rsidR="007E381C" w:rsidRPr="00D74025" w:rsidRDefault="007E381C" w:rsidP="00414C4B">
      <w:pPr>
        <w:spacing w:line="360" w:lineRule="auto"/>
        <w:ind w:firstLine="1440"/>
        <w:jc w:val="both"/>
        <w:rPr>
          <w:rFonts w:ascii="Arial" w:hAnsi="Arial" w:cs="Arial"/>
          <w:color w:val="000000" w:themeColor="text1"/>
        </w:rPr>
      </w:pPr>
    </w:p>
    <w:p w14:paraId="0046EC67" w14:textId="3BE7CF16" w:rsidR="006A2ACD" w:rsidRPr="00D74025" w:rsidRDefault="006A2ACD" w:rsidP="00017375">
      <w:pPr>
        <w:rPr>
          <w:color w:val="000000" w:themeColor="text1"/>
        </w:rPr>
      </w:pPr>
    </w:p>
    <w:tbl>
      <w:tblPr>
        <w:tblStyle w:val="TableGrid"/>
        <w:tblW w:w="0" w:type="auto"/>
        <w:tblLook w:val="04A0" w:firstRow="1" w:lastRow="0" w:firstColumn="1" w:lastColumn="0" w:noHBand="0" w:noVBand="1"/>
      </w:tblPr>
      <w:tblGrid>
        <w:gridCol w:w="9286"/>
      </w:tblGrid>
      <w:tr w:rsidR="00D74025" w:rsidRPr="00D74025" w14:paraId="64D84A75" w14:textId="77777777">
        <w:trPr>
          <w:trHeight w:val="4648"/>
        </w:trPr>
        <w:tc>
          <w:tcPr>
            <w:tcW w:w="9286" w:type="dxa"/>
            <w:tcBorders>
              <w:top w:val="single" w:sz="4" w:space="0" w:color="auto"/>
              <w:left w:val="single" w:sz="4" w:space="0" w:color="auto"/>
              <w:bottom w:val="single" w:sz="4" w:space="0" w:color="auto"/>
              <w:right w:val="single" w:sz="4" w:space="0" w:color="auto"/>
            </w:tcBorders>
            <w:hideMark/>
          </w:tcPr>
          <w:p w14:paraId="70436721" w14:textId="66E0CF5C" w:rsidR="006A2ACD" w:rsidRPr="00D74025" w:rsidRDefault="00963EB8" w:rsidP="000D71A7">
            <w:pPr>
              <w:spacing w:beforeAutospacing="0" w:after="0"/>
              <w:ind w:firstLine="0"/>
              <w:jc w:val="center"/>
              <w:rPr>
                <w:rFonts w:ascii="Arial" w:hAnsi="Arial" w:cs="Arial"/>
                <w:color w:val="000000" w:themeColor="text1"/>
                <w:sz w:val="20"/>
                <w:szCs w:val="20"/>
              </w:rPr>
            </w:pPr>
            <w:r w:rsidRPr="00D74025">
              <w:rPr>
                <w:rFonts w:ascii="Arial" w:hAnsi="Arial" w:cs="Arial"/>
                <w:noProof/>
                <w:color w:val="000000" w:themeColor="text1"/>
                <w:sz w:val="20"/>
                <w:szCs w:val="20"/>
              </w:rPr>
              <w:drawing>
                <wp:inline distT="0" distB="0" distL="0" distR="0" wp14:anchorId="597FF3B5" wp14:editId="48C97336">
                  <wp:extent cx="5302277" cy="3087974"/>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333058" cy="3105901"/>
                          </a:xfrm>
                          <a:prstGeom prst="rect">
                            <a:avLst/>
                          </a:prstGeom>
                        </pic:spPr>
                      </pic:pic>
                    </a:graphicData>
                  </a:graphic>
                </wp:inline>
              </w:drawing>
            </w:r>
          </w:p>
        </w:tc>
      </w:tr>
      <w:tr w:rsidR="006A2ACD" w:rsidRPr="00D74025" w14:paraId="0C515C8E" w14:textId="77777777">
        <w:trPr>
          <w:trHeight w:val="1381"/>
        </w:trPr>
        <w:tc>
          <w:tcPr>
            <w:tcW w:w="9286" w:type="dxa"/>
            <w:tcBorders>
              <w:top w:val="single" w:sz="4" w:space="0" w:color="auto"/>
              <w:left w:val="single" w:sz="4" w:space="0" w:color="auto"/>
              <w:bottom w:val="single" w:sz="4" w:space="0" w:color="auto"/>
              <w:right w:val="single" w:sz="4" w:space="0" w:color="auto"/>
            </w:tcBorders>
            <w:hideMark/>
          </w:tcPr>
          <w:p w14:paraId="58AD52E1" w14:textId="53751B60" w:rsidR="006A2ACD" w:rsidRPr="00B544FB" w:rsidRDefault="004448DD" w:rsidP="00B544FB">
            <w:pPr>
              <w:spacing w:line="360" w:lineRule="auto"/>
              <w:ind w:firstLine="0"/>
            </w:pPr>
            <w:bookmarkStart w:id="129" w:name="_Hlk56620863"/>
            <w:bookmarkStart w:id="130" w:name="_Toc121217355"/>
            <w:r w:rsidRPr="004448DD">
              <w:rPr>
                <w:rFonts w:ascii="Arial" w:hAnsi="Arial" w:cs="Arial"/>
                <w:b/>
                <w:bCs/>
                <w:color w:val="000000" w:themeColor="text1"/>
              </w:rPr>
              <w:t xml:space="preserve">Figure </w:t>
            </w:r>
            <w:r w:rsidRPr="004448DD">
              <w:rPr>
                <w:rFonts w:ascii="Arial" w:hAnsi="Arial" w:cs="Arial"/>
                <w:b/>
                <w:bCs/>
                <w:color w:val="000000" w:themeColor="text1"/>
              </w:rPr>
              <w:fldChar w:fldCharType="begin"/>
            </w:r>
            <w:r w:rsidRPr="004448DD">
              <w:rPr>
                <w:rFonts w:ascii="Arial" w:hAnsi="Arial" w:cs="Arial"/>
                <w:b/>
                <w:bCs/>
                <w:color w:val="000000" w:themeColor="text1"/>
              </w:rPr>
              <w:instrText xml:space="preserve"> SEQ Figure \* ARABIC </w:instrText>
            </w:r>
            <w:r w:rsidRPr="004448DD">
              <w:rPr>
                <w:rFonts w:ascii="Arial" w:hAnsi="Arial" w:cs="Arial"/>
                <w:b/>
                <w:bCs/>
                <w:color w:val="000000" w:themeColor="text1"/>
              </w:rPr>
              <w:fldChar w:fldCharType="separate"/>
            </w:r>
            <w:r w:rsidR="002C4B25">
              <w:rPr>
                <w:rFonts w:ascii="Arial" w:hAnsi="Arial" w:cs="Arial"/>
                <w:b/>
                <w:bCs/>
                <w:noProof/>
                <w:color w:val="000000" w:themeColor="text1"/>
              </w:rPr>
              <w:t>33</w:t>
            </w:r>
            <w:r w:rsidRPr="004448DD">
              <w:rPr>
                <w:rFonts w:ascii="Arial" w:hAnsi="Arial" w:cs="Arial"/>
                <w:b/>
                <w:bCs/>
                <w:color w:val="000000" w:themeColor="text1"/>
              </w:rPr>
              <w:fldChar w:fldCharType="end"/>
            </w:r>
            <w:r w:rsidR="00B544FB" w:rsidRPr="00D74025">
              <w:rPr>
                <w:rFonts w:ascii="Arial" w:hAnsi="Arial" w:cs="Arial"/>
                <w:b/>
                <w:bCs/>
                <w:color w:val="000000" w:themeColor="text1"/>
              </w:rPr>
              <w:t>: Viability of HUVEC cells after NIR laser treatment at 37°C in an incubator</w:t>
            </w:r>
            <w:bookmarkEnd w:id="129"/>
            <w:r w:rsidR="00B544FB" w:rsidRPr="00D74025">
              <w:rPr>
                <w:rFonts w:ascii="Arial" w:hAnsi="Arial" w:cs="Arial"/>
                <w:b/>
                <w:bCs/>
                <w:color w:val="000000" w:themeColor="text1"/>
              </w:rPr>
              <w:t>.</w:t>
            </w:r>
            <w:r w:rsidR="00B544FB" w:rsidRPr="00D74025">
              <w:rPr>
                <w:rFonts w:ascii="Arial" w:hAnsi="Arial" w:cs="Arial"/>
                <w:color w:val="000000" w:themeColor="text1"/>
              </w:rPr>
              <w:t xml:space="preserve"> The graph shows the temperature elevation (in °C) of HUVEC cells incubated for </w:t>
            </w:r>
            <w:r w:rsidR="007F1A8B">
              <w:rPr>
                <w:rFonts w:ascii="Arial" w:hAnsi="Arial" w:cs="Arial"/>
                <w:color w:val="000000" w:themeColor="text1"/>
              </w:rPr>
              <w:t>2 h</w:t>
            </w:r>
            <w:r w:rsidR="00B544FB" w:rsidRPr="00D74025">
              <w:rPr>
                <w:rFonts w:ascii="Arial" w:hAnsi="Arial" w:cs="Arial"/>
                <w:color w:val="000000" w:themeColor="text1"/>
              </w:rPr>
              <w:t xml:space="preserve"> with the conjugate (in orange) or incubated with VCBM medium as a control (in blue) </w:t>
            </w:r>
            <w:r w:rsidR="00B544FB">
              <w:rPr>
                <w:rFonts w:ascii="Arial" w:hAnsi="Arial" w:cs="Arial"/>
                <w:color w:val="000000" w:themeColor="text1"/>
              </w:rPr>
              <w:t>before</w:t>
            </w:r>
            <w:r w:rsidR="00B544FB" w:rsidRPr="00D74025">
              <w:rPr>
                <w:rFonts w:ascii="Arial" w:hAnsi="Arial" w:cs="Arial"/>
                <w:color w:val="000000" w:themeColor="text1"/>
              </w:rPr>
              <w:t xml:space="preserve"> laser irradiation. After incubation with the conjugate, the cells were washed four times with PBS. </w:t>
            </w:r>
            <w:r w:rsidR="00B544FB">
              <w:rPr>
                <w:rFonts w:ascii="Arial" w:hAnsi="Arial" w:cs="Arial"/>
                <w:color w:val="000000" w:themeColor="text1"/>
              </w:rPr>
              <w:t>The laser</w:t>
            </w:r>
            <w:r w:rsidR="00B544FB" w:rsidRPr="00D74025">
              <w:rPr>
                <w:rFonts w:ascii="Arial" w:hAnsi="Arial" w:cs="Arial"/>
                <w:color w:val="000000" w:themeColor="text1"/>
              </w:rPr>
              <w:t xml:space="preserve"> wavelength was 9</w:t>
            </w:r>
            <w:r w:rsidR="00B5171A">
              <w:rPr>
                <w:rFonts w:ascii="Arial" w:hAnsi="Arial" w:cs="Arial"/>
                <w:color w:val="000000" w:themeColor="text1"/>
              </w:rPr>
              <w:t>80</w:t>
            </w:r>
            <w:r w:rsidR="00B544FB" w:rsidRPr="00D74025">
              <w:rPr>
                <w:rFonts w:ascii="Arial" w:hAnsi="Arial" w:cs="Arial"/>
                <w:color w:val="000000" w:themeColor="text1"/>
              </w:rPr>
              <w:t xml:space="preserve"> nm</w:t>
            </w:r>
            <w:r w:rsidR="00B544FB">
              <w:rPr>
                <w:rFonts w:ascii="Arial" w:hAnsi="Arial" w:cs="Arial"/>
                <w:color w:val="000000" w:themeColor="text1"/>
              </w:rPr>
              <w:t>,</w:t>
            </w:r>
            <w:r w:rsidR="00B544FB" w:rsidRPr="00D74025">
              <w:rPr>
                <w:rFonts w:ascii="Arial" w:hAnsi="Arial" w:cs="Arial"/>
                <w:color w:val="000000" w:themeColor="text1"/>
              </w:rPr>
              <w:t xml:space="preserve"> and </w:t>
            </w:r>
            <w:r w:rsidR="00B544FB">
              <w:rPr>
                <w:rFonts w:ascii="Arial" w:hAnsi="Arial" w:cs="Arial"/>
                <w:color w:val="000000" w:themeColor="text1"/>
              </w:rPr>
              <w:t xml:space="preserve">the </w:t>
            </w:r>
            <w:r w:rsidR="00B544FB" w:rsidRPr="00D74025">
              <w:rPr>
                <w:rFonts w:ascii="Arial" w:hAnsi="Arial" w:cs="Arial"/>
                <w:color w:val="000000" w:themeColor="text1"/>
              </w:rPr>
              <w:t xml:space="preserve">power density </w:t>
            </w:r>
            <w:r w:rsidR="00B544FB">
              <w:rPr>
                <w:rFonts w:ascii="Arial" w:hAnsi="Arial" w:cs="Arial"/>
                <w:color w:val="000000" w:themeColor="text1"/>
              </w:rPr>
              <w:t xml:space="preserve">was </w:t>
            </w:r>
            <w:r w:rsidR="00B544FB" w:rsidRPr="00D74025">
              <w:rPr>
                <w:rFonts w:ascii="Arial" w:hAnsi="Arial" w:cs="Arial"/>
                <w:color w:val="000000" w:themeColor="text1"/>
              </w:rPr>
              <w:t xml:space="preserve">1.0 W/cm². </w:t>
            </w:r>
            <w:r w:rsidR="00D510F2">
              <w:rPr>
                <w:rFonts w:ascii="Arial" w:hAnsi="Arial" w:cs="Arial"/>
                <w:color w:val="000000" w:themeColor="text1"/>
              </w:rPr>
              <w:t>Statistical analysis: u</w:t>
            </w:r>
            <w:r w:rsidR="00D510F2" w:rsidRPr="0043760A">
              <w:rPr>
                <w:rFonts w:ascii="Arial" w:hAnsi="Arial" w:cs="Arial"/>
                <w:color w:val="000000" w:themeColor="text1"/>
              </w:rPr>
              <w:t xml:space="preserve">npaired </w:t>
            </w:r>
            <w:r w:rsidR="00D510F2">
              <w:rPr>
                <w:rFonts w:ascii="Arial" w:hAnsi="Arial" w:cs="Arial"/>
                <w:color w:val="000000" w:themeColor="text1"/>
              </w:rPr>
              <w:t>t-test</w:t>
            </w:r>
            <w:r w:rsidR="00D510F2" w:rsidRPr="0043760A">
              <w:rPr>
                <w:rFonts w:ascii="Arial" w:hAnsi="Arial" w:cs="Arial"/>
                <w:color w:val="000000" w:themeColor="text1"/>
              </w:rPr>
              <w:t xml:space="preserve"> with Welch’s correction for assumed unequal variances</w:t>
            </w:r>
            <w:r w:rsidR="00D510F2" w:rsidRPr="00D74025">
              <w:rPr>
                <w:rFonts w:ascii="Arial" w:hAnsi="Arial" w:cs="Arial"/>
                <w:color w:val="000000" w:themeColor="text1"/>
              </w:rPr>
              <w:t xml:space="preserve"> was carried out on the GraphPad Prism</w:t>
            </w:r>
            <w:r w:rsidR="003654C1">
              <w:rPr>
                <w:rFonts w:ascii="Arial" w:hAnsi="Arial" w:cs="Arial"/>
                <w:color w:val="000000" w:themeColor="text1"/>
              </w:rPr>
              <w:t xml:space="preserve"> 8</w:t>
            </w:r>
            <w:r w:rsidR="00B544FB" w:rsidRPr="00D74025">
              <w:rPr>
                <w:rFonts w:ascii="Arial" w:hAnsi="Arial" w:cs="Arial"/>
                <w:color w:val="000000" w:themeColor="text1"/>
              </w:rPr>
              <w:t>. (n = 3, *p &lt; 0.05 and **p &lt; 0.01).</w:t>
            </w:r>
            <w:bookmarkEnd w:id="130"/>
          </w:p>
        </w:tc>
      </w:tr>
    </w:tbl>
    <w:p w14:paraId="33409C21" w14:textId="77777777" w:rsidR="004448DD" w:rsidRPr="00D74025" w:rsidRDefault="004448DD" w:rsidP="00017375">
      <w:pPr>
        <w:rPr>
          <w:color w:val="000000" w:themeColor="text1"/>
        </w:rPr>
      </w:pPr>
    </w:p>
    <w:p w14:paraId="1C88A0C4" w14:textId="2A3F11D3" w:rsidR="004B2D92" w:rsidRPr="00D74025" w:rsidRDefault="004B2D92" w:rsidP="004B2D92">
      <w:pPr>
        <w:spacing w:line="360" w:lineRule="auto"/>
        <w:ind w:firstLine="1440"/>
        <w:jc w:val="both"/>
        <w:rPr>
          <w:rFonts w:ascii="Arial" w:hAnsi="Arial" w:cs="Arial"/>
          <w:color w:val="000000" w:themeColor="text1"/>
        </w:rPr>
      </w:pPr>
      <w:r w:rsidRPr="00C31731">
        <w:rPr>
          <w:rFonts w:ascii="Arial" w:hAnsi="Arial" w:cs="Arial"/>
          <w:b/>
          <w:bCs/>
          <w:color w:val="000000" w:themeColor="text1"/>
        </w:rPr>
        <w:t xml:space="preserve">Figure </w:t>
      </w:r>
      <w:r w:rsidR="00C31731" w:rsidRPr="00C31731">
        <w:rPr>
          <w:rFonts w:ascii="Arial" w:hAnsi="Arial" w:cs="Arial"/>
          <w:b/>
          <w:bCs/>
          <w:color w:val="000000" w:themeColor="text1"/>
        </w:rPr>
        <w:t>33</w:t>
      </w:r>
      <w:r w:rsidRPr="00D74025">
        <w:rPr>
          <w:rFonts w:ascii="Arial" w:hAnsi="Arial" w:cs="Arial"/>
          <w:color w:val="000000" w:themeColor="text1"/>
        </w:rPr>
        <w:t xml:space="preserve"> shows that even after 7 mi</w:t>
      </w:r>
      <w:r w:rsidR="00153F7C">
        <w:rPr>
          <w:rFonts w:ascii="Arial" w:hAnsi="Arial" w:cs="Arial"/>
          <w:color w:val="000000" w:themeColor="text1"/>
        </w:rPr>
        <w:t>n</w:t>
      </w:r>
      <w:r w:rsidRPr="00D74025">
        <w:rPr>
          <w:rFonts w:ascii="Arial" w:hAnsi="Arial" w:cs="Arial"/>
          <w:color w:val="000000" w:themeColor="text1"/>
        </w:rPr>
        <w:t xml:space="preserve"> of treatment, corresponding to a power density of 420 J/cm</w:t>
      </w:r>
      <w:r w:rsidRPr="00D74025">
        <w:rPr>
          <w:rFonts w:ascii="Arial" w:hAnsi="Arial" w:cs="Arial"/>
          <w:color w:val="000000" w:themeColor="text1"/>
          <w:vertAlign w:val="superscript"/>
        </w:rPr>
        <w:t>2</w:t>
      </w:r>
      <w:r w:rsidRPr="00D74025">
        <w:rPr>
          <w:rFonts w:ascii="Arial" w:hAnsi="Arial" w:cs="Arial"/>
          <w:color w:val="000000" w:themeColor="text1"/>
        </w:rPr>
        <w:t xml:space="preserve">, neither SWCNT-ANXA5 nor </w:t>
      </w:r>
      <w:r>
        <w:rPr>
          <w:rFonts w:ascii="Arial" w:hAnsi="Arial" w:cs="Arial"/>
          <w:color w:val="000000" w:themeColor="text1"/>
        </w:rPr>
        <w:t xml:space="preserve">the </w:t>
      </w:r>
      <w:r w:rsidRPr="00D74025">
        <w:rPr>
          <w:rFonts w:ascii="Arial" w:hAnsi="Arial" w:cs="Arial"/>
          <w:color w:val="000000" w:themeColor="text1"/>
        </w:rPr>
        <w:t>control group had a significant cell viability decrease. These results suggest that for the 2 h</w:t>
      </w:r>
      <w:r w:rsidR="00153F7C">
        <w:rPr>
          <w:rFonts w:ascii="Arial" w:hAnsi="Arial" w:cs="Arial"/>
          <w:color w:val="000000" w:themeColor="text1"/>
        </w:rPr>
        <w:t xml:space="preserve"> </w:t>
      </w:r>
      <w:r w:rsidRPr="00D74025">
        <w:rPr>
          <w:rFonts w:ascii="Arial" w:hAnsi="Arial" w:cs="Arial"/>
          <w:color w:val="000000" w:themeColor="text1"/>
        </w:rPr>
        <w:t xml:space="preserve">incubation </w:t>
      </w:r>
      <w:r>
        <w:rPr>
          <w:rFonts w:ascii="Arial" w:hAnsi="Arial" w:cs="Arial"/>
          <w:color w:val="000000" w:themeColor="text1"/>
        </w:rPr>
        <w:t>times</w:t>
      </w:r>
      <w:r w:rsidRPr="00D74025">
        <w:rPr>
          <w:rFonts w:ascii="Arial" w:hAnsi="Arial" w:cs="Arial"/>
          <w:color w:val="000000" w:themeColor="text1"/>
        </w:rPr>
        <w:t xml:space="preserve"> the SWCNT-ANXA5 </w:t>
      </w:r>
      <w:r>
        <w:rPr>
          <w:rFonts w:ascii="Arial" w:hAnsi="Arial" w:cs="Arial"/>
          <w:color w:val="000000" w:themeColor="text1"/>
        </w:rPr>
        <w:t>did not</w:t>
      </w:r>
      <w:r w:rsidRPr="00D74025">
        <w:rPr>
          <w:rFonts w:ascii="Arial" w:hAnsi="Arial" w:cs="Arial"/>
          <w:color w:val="000000" w:themeColor="text1"/>
        </w:rPr>
        <w:t xml:space="preserve"> bind confluent healthy endothelial cells and</w:t>
      </w:r>
      <w:r>
        <w:rPr>
          <w:rFonts w:ascii="Arial" w:hAnsi="Arial" w:cs="Arial"/>
          <w:color w:val="000000" w:themeColor="text1"/>
        </w:rPr>
        <w:t>,</w:t>
      </w:r>
      <w:r w:rsidRPr="00D74025">
        <w:rPr>
          <w:rFonts w:ascii="Arial" w:hAnsi="Arial" w:cs="Arial"/>
          <w:color w:val="000000" w:themeColor="text1"/>
        </w:rPr>
        <w:t xml:space="preserve"> therefore, </w:t>
      </w:r>
      <w:r>
        <w:rPr>
          <w:rFonts w:ascii="Arial" w:hAnsi="Arial" w:cs="Arial"/>
          <w:color w:val="000000" w:themeColor="text1"/>
        </w:rPr>
        <w:t>was</w:t>
      </w:r>
      <w:r w:rsidRPr="00D74025">
        <w:rPr>
          <w:rFonts w:ascii="Arial" w:hAnsi="Arial" w:cs="Arial"/>
          <w:color w:val="000000" w:themeColor="text1"/>
        </w:rPr>
        <w:t xml:space="preserve"> washed away during washing steps, resulting in an ineffective PTT. </w:t>
      </w:r>
      <w:r>
        <w:rPr>
          <w:rFonts w:ascii="Arial" w:hAnsi="Arial" w:cs="Arial"/>
          <w:color w:val="000000" w:themeColor="text1"/>
        </w:rPr>
        <w:t>Comparing the results of healthy cells to</w:t>
      </w:r>
      <w:r w:rsidRPr="00D74025">
        <w:rPr>
          <w:rFonts w:ascii="Arial" w:hAnsi="Arial" w:cs="Arial"/>
          <w:color w:val="000000" w:themeColor="text1"/>
        </w:rPr>
        <w:t xml:space="preserve"> the ones gathered from </w:t>
      </w:r>
      <w:r>
        <w:rPr>
          <w:rFonts w:ascii="Arial" w:hAnsi="Arial" w:cs="Arial"/>
          <w:color w:val="000000" w:themeColor="text1"/>
        </w:rPr>
        <w:t>PS-expressing</w:t>
      </w:r>
      <w:r w:rsidRPr="00D74025">
        <w:rPr>
          <w:rFonts w:ascii="Arial" w:hAnsi="Arial" w:cs="Arial"/>
          <w:color w:val="000000" w:themeColor="text1"/>
        </w:rPr>
        <w:t xml:space="preserve"> EMT6 tumor cells</w:t>
      </w:r>
      <w:r>
        <w:rPr>
          <w:rFonts w:ascii="Arial" w:hAnsi="Arial" w:cs="Arial"/>
          <w:color w:val="000000" w:themeColor="text1"/>
        </w:rPr>
        <w:t xml:space="preserve"> demonstrates the </w:t>
      </w:r>
      <w:r w:rsidRPr="00D74025">
        <w:rPr>
          <w:rFonts w:ascii="Arial" w:hAnsi="Arial" w:cs="Arial"/>
          <w:color w:val="000000" w:themeColor="text1"/>
        </w:rPr>
        <w:t xml:space="preserve">targeting capabilities of ANXA5 to </w:t>
      </w:r>
      <w:r>
        <w:rPr>
          <w:rFonts w:ascii="Arial" w:hAnsi="Arial" w:cs="Arial"/>
          <w:color w:val="000000" w:themeColor="text1"/>
        </w:rPr>
        <w:t>PS-expressing</w:t>
      </w:r>
      <w:r w:rsidRPr="00D74025">
        <w:rPr>
          <w:rFonts w:ascii="Arial" w:hAnsi="Arial" w:cs="Arial"/>
          <w:color w:val="000000" w:themeColor="text1"/>
        </w:rPr>
        <w:t xml:space="preserve"> cells.</w:t>
      </w:r>
    </w:p>
    <w:p w14:paraId="3B13D039" w14:textId="34EC0A8B" w:rsidR="00765416" w:rsidRDefault="00765416" w:rsidP="00765416">
      <w:pPr>
        <w:spacing w:line="360" w:lineRule="auto"/>
        <w:ind w:firstLine="1440"/>
        <w:jc w:val="both"/>
        <w:rPr>
          <w:rFonts w:ascii="Arial" w:hAnsi="Arial" w:cs="Arial"/>
          <w:color w:val="000000" w:themeColor="text1"/>
        </w:rPr>
      </w:pPr>
      <w:r>
        <w:rPr>
          <w:rFonts w:ascii="Arial" w:hAnsi="Arial" w:cs="Arial"/>
          <w:color w:val="000000" w:themeColor="text1"/>
        </w:rPr>
        <w:t>It</w:t>
      </w:r>
      <w:r w:rsidRPr="00D74025">
        <w:rPr>
          <w:rFonts w:ascii="Arial" w:hAnsi="Arial" w:cs="Arial"/>
          <w:color w:val="000000" w:themeColor="text1"/>
        </w:rPr>
        <w:t xml:space="preserve"> has been reported that CNT conjugated to targeting agents can induce cell uptake and enhance the performance of PTT</w:t>
      </w:r>
      <w:r w:rsidRPr="00D74025">
        <w:rPr>
          <w:rFonts w:ascii="Arial" w:hAnsi="Arial" w:cs="Arial"/>
          <w:color w:val="000000" w:themeColor="text1"/>
        </w:rPr>
        <w:fldChar w:fldCharType="begin" w:fldLock="1"/>
      </w:r>
      <w:r w:rsidR="000F4F53">
        <w:rPr>
          <w:rFonts w:ascii="Arial" w:hAnsi="Arial" w:cs="Arial"/>
          <w:color w:val="000000" w:themeColor="text1"/>
        </w:rPr>
        <w:instrText xml:space="preserve"> ADDIN ZOTERO_ITEM CSL_CITATION {"citationID":"tdM9e19I","properties":{"formattedCitation":"\\super 296\\uc0\\u8211{}302\\nosupersub{}","plainCitation":"296–302","noteIndex":0},"citationItems":[{"id":"a7Mi7BUu/l3j0AZP9","uris":["http://www.mendeley.com/documents/?uuid=671318e1-6258-4248-9d71-2b7405cb2264"],"itemData":{"DOI":"10.1186/1471-2407-9-351","ISSN":"14712407","abstract":"Background: Nanocarrier-based antibody targeting is a promising modality in therapeutic and diagnostic oncology. Single-walled carbon nanotubes (SWNTs) exhibit two unique optical properties that can be exploited for these applications, strong Raman signal for cancer cell detection and near-infrared (NIR) absorbance for selective photothermal ablation of tumors. In the present study, we constructed a HER2 IgY-SWNT complex and demonstrated its dual functionality for both detection and selective destruction of cancer cells in an in vitro model consisting of HER2-expressing SK-BR-3 cells and HER2-negative MCF-7 cells. Methods: The complex was constructed by covalently conjugating carboxylated SWNTs with anti-HER2 chicken IgY antibody, which is more specific and sensitive than mammalian IgGs. Raman signals were recorded on Raman spectrometers with a laser excitation at 785 nm. NIR irradiation was performed using a diode laser system, and cells with or without nanotube treatment were irradiated by 808 nm laser at 5 W/cm2for 2 min. Cell viability was examined by the calcein AM/ethidium homodimer-1 (EthD-1) staining. Results: Using a Raman optical microscope, we found the Raman signal collected at single-cell level from the complex-treated SK-BR-3 cells was significantly greater than that from various control cells. NIR irradiation selectively destroyed the complex-targeted breast cancer cells without harming receptor-free cells. The cell death was effectuated without the need of internalization of SWNTs by the cancer cells, a finding that has not been reported previously. Conclusion: We have demonstrated that the HER2 IgY-SWNT complex specifically targeted HER2-expressing SK-BR-3 cells but not receptor-negative MCF-7 cells. The complex can be potentially used for both detection and selective photothermal ablation of receptor-positive breast cancer cells without the need of internalization by the cells. Thus, the unique intrinsic properties of SWNTs combined with high specificity and sensitivity of IgY antibodies can lead to new strategies for cancer detection and therapy. © 2009 Xiao et al; licensee BioMed Central Ltd.","author":[{"dropping-particle":"","family":"Xiao","given":"Yan","non-dropping-particle":"","parse-names":false,"suffix":""},{"dropping-particle":"","family":"Gao","given":"Xiugong","non-dropping-particle":"","parse-names":false,"suffix":""},{"dropping-particle":"","family":"Taratula","given":"Oleh","non-dropping-particle":"","parse-names":false,"suffix":""},{"dropping-particle":"","family":"Treado","given":"Stephen","non-dropping-particle":"","parse-names":false,"suffix":""},{"dropping-particle":"","family":"Urbas","given":"Aaron","non-dropping-particle":"","parse-names":false,"suffix":""},{"dropping-particle":"","family":"Holbrook","given":"R. David","non-dropping-particle":"","parse-names":false,"suffix":""},{"dropping-particle":"","family":"Cavicchi","given":"Richard E.","non-dropping-particle":"","parse-names":false,"suffix":""},{"dropping-particle":"","family":"Avedisian","given":"C. Thomas","non-dropping-particle":"","parse-names":false,"suffix":""},{"dropping-particle":"","family":"Mitra","given":"Somenath","non-dropping-particle":"","parse-names":false,"suffix":""},{"dropping-particle":"","family":"Savla","given":"Ronak","non-dropping-particle":"","parse-names":false,"suffix":""},{"dropping-particle":"","family":"Wagner","given":"Paul D.","non-dropping-particle":"","parse-names":false,"suffix":""},{"dropping-particle":"","family":"Srivastava","given":"Sudhir","non-dropping-particle":"","parse-names":false,"suffix":""},{"dropping-particle":"","family":"He","given":"Huixin","non-dropping-particle":"","parse-names":false,"suffix":""}],"container-title":"BMC Cancer","id":"ITEM-1","issued":{"date-parts":[["2009"]]},"page":"351","title":"Anti-HER2 IgY antibody-functionalized single-walled carbon nanotubes for detection and selective destruction of breast cancer cells","type":"article-journal","volume":"9"}},{"id":"a7Mi7BUu/uR0CmpUR","uris":["http://www.mendeley.com/documents/?uuid=d71ad65d-4867-4b68-8b21-1e924977657c"],"itemData":{"DOI":"10.1088/0957-4484/18/31/315101","ISSN":"09574484","abstract":"Molecular targeting and photodynamic therapy have shown great potential for selective cancer therapy. We hypothesized that monoclonal antibodies that are specific to the IGF1 receptor and HER2 cell surface antigens could be bound to single wall carbon nanotubes (SWCNT) in order to concentrate SWCNT on breast cancer cells for specific near-infrared phototherapy. SWCNT functionalized with HER2 and IGF1R specific antibodies showed selective attachment to breast cancer cells compared to SWCNT functionalized with non-specific antibodies. After the complexes were attached to specific cancer cells, SWCNT were excited by </w:instrText>
      </w:r>
      <w:r w:rsidR="000F4F53">
        <w:rPr>
          <w:rFonts w:ascii="Cambria Math" w:hAnsi="Cambria Math" w:cs="Cambria Math"/>
          <w:color w:val="000000" w:themeColor="text1"/>
        </w:rPr>
        <w:instrText>∼</w:instrText>
      </w:r>
      <w:r w:rsidR="000F4F53">
        <w:rPr>
          <w:rFonts w:ascii="Arial" w:hAnsi="Arial" w:cs="Arial"/>
          <w:color w:val="000000" w:themeColor="text1"/>
        </w:rPr>
        <w:instrText xml:space="preserve">808 nm infrared photons at </w:instrText>
      </w:r>
      <w:r w:rsidR="000F4F53">
        <w:rPr>
          <w:rFonts w:ascii="Cambria Math" w:hAnsi="Cambria Math" w:cs="Cambria Math"/>
          <w:color w:val="000000" w:themeColor="text1"/>
        </w:rPr>
        <w:instrText>∼</w:instrText>
      </w:r>
      <w:r w:rsidR="000F4F53">
        <w:rPr>
          <w:rFonts w:ascii="Arial" w:hAnsi="Arial" w:cs="Arial"/>
          <w:color w:val="000000" w:themeColor="text1"/>
        </w:rPr>
        <w:instrText xml:space="preserve">800 mW cm-2 for 3 min. Viability after phototherapy was determined by Trypan blue exclusion. Cells incubated with SWCNT/non-specific antibody hybrids were still alive after photo-thermal treatment due to the lack of SWNT binding to the cell membrane. All cancerous cells treated with IGF1R and HER2 specific antibody/SWCNT hybrids and receiving infrared photons showed cell death after the laser excitation. Quantitative analysis demonstrated that all the cells treated with SWCNT/IGF1R and HER2 specific antibody complex were completely destroyed, while more than 80% of the cells with SWCNT/non-specific antibody hybrids remained alive. Following multi-component targeting of IGF1R and HER2 surface receptors, integrated photo-thermal therapy in breast cancer cells led to the complete destruction of cancer cells. Functionalizing SWCNT with antibodies in combination with their intrinsic optical properties can therefore lead to a new class of molecular delivery and cancer therapeutic systems. © IOP Publishing Ltd.","author":[{"dropping-particle":"","family":"Shao","given":"Ning","non-dropping-particle":"","parse-names":false,"suffix":""},{"dropping-particle":"","family":"Lu","given":"Shaoxin","non-dropping-particle":"","parse-names":false,"suffix":""},{"dropping-particle":"","family":"Wickstrom","given":"Eric","non-dropping-particle":"","parse-names":false,"suffix":""},{"dropping-particle":"","family":"Panchapakesan","given":"Balaji","non-dropping-particle":"","parse-names":false,"suffix":""}],"container-title":"Nanotechnology","id":"ITEM-2","issue":"31","issued":{"date-parts":[["2007"]]},"title":"Integrated molecular targeting of IGF1R and HER2 surface receptors and destruction of breast cancer cells using single wall carbon nanotubes","type":"article-journal","volume":"18"}},{"id":"a7Mi7BUu/Qbjtv8v7","uris":["http://www.mendeley.com/documents/?uuid=2ec4a5f3-ae95-4960-939b-0b97d807e718"],"itemData":{"DOI":"10.1073/pnas.0502680102","ISSN":"00278424","abstract":"Biological systems are known to be highly transparent to 700- to 1,100-nm near-infrared (NIR) light. It is shown here that the strong optical absorbance of single-walled carbon nanotubes (SWNTs) in this special spectral window, an intrinsic property of SWNTs, can be used for optical stimulation of nanotubes inside living cells to afford multifunctional nanotube biological transporters. For oligonucleotides transported inside living cells by nanotubes, the oligos can translocate into cell nucleus upon endosomal rupture triggered by NIR laser pulses. Continuous NIR radiation can cause cell death because of excessive local heating of SWNT in vitro. Selective cancer cell destruction can be achieved by functionalization of SWNT with a folate moiety, selective internalization of SWNTs inside cells labeled with folate receptor tumor markers, and NIR-triggered cell death, without harming receptor-free normal cells. Thus, the transporting capabilities of carbon nanotubes combined with suitable functionalization chemistry and their intrinsic optical properties can lead to new classes of novel nanomaterials for drug delivery and cancer therapy. © 2005 by The National Academy of Sciences of the USA.","author":[{"dropping-particle":"","family":"Kam","given":"Nadine Wong Shi","non-dropping-particle":"","parse-names":false,"suffix":""},{"dropping-particle":"","family":"O'Connell","given":"Michael","non-dropping-particle":"","parse-names":false,"suffix":""},{"dropping-particle":"","family":"Wisdom","given":"Jeffrey A.","non-dropping-particle":"","parse-names":false,"suffix":""},{"dropping-particle":"","family":"Dai","given":"Hongjie","non-dropping-particle":"","parse-names":false,"suffix":""}],"container-title":"Proceedings of the National Academy of Sciences of the United States of America","id":"ITEM-3","issue":"33","issued":{"date-parts":[["2005"]]},"page":"11600-11605","title":"Carbon nanotubes as multifunctional biological transporters and near-infrared agents for selective cancer cell destruction","type":"article-journal","volume":"102"}},{"id":"a7Mi7BUu/MIRLNPDU","uris":["http://www.mendeley.com/documents/?uuid=0276c9b3-31ad-4c57-9e12-8edd35b19062"],"itemData":{"DOI":"10.1088/0957-4484/22/9/095101","ISSN":"09574484","abstract":"Single-walled carbon nanotubes (CNTs) convert absorbed near infrared (NIR) light into heat. The use of CNTs in the NIR-mediated photothermal ablation of tumor cells is attractive because the penetration of NIR light through normal tissues is optimal and the side effects are minimal. Targeted thermal ablation with minimal collateral damage can be achieved by using CNTs attached to tumor-specific monoclonal antibodies (MAbs). However, the role that the cellular internalization of CNTs plays in the subsequent sensitivity of the target cells to NIR-mediated photothermal ablation remains undefined. To address this issue, we used CNTs covalently coupled to an anti-Her2 or a control MAb and tested their ability to bind, internalize, and photothermally ablate Her2+ but not Her2- breast cancer cell lines. Using flow cytometry, immunofluorescence, and confocal Raman microscopy, we observed the gradual time-dependent receptor-mediated endocytosis of anti-Her2-CNTs whereas a control MAb-CNT conjugate did not bind to the cells. Most importantly, the Her2 + cells that internalized the MAb-CNTs were more sensitive to NIR-mediated photothermal damage than cells that could bind to, but not internalize the MAb-CNTs. These results suggest that both the targeting and internalization of MAb-CNTs might result in the most effective thermal ablation of tumor cells following their exposure to NIR light. © 2011 IOP Publishing Ltd.","author":[{"dropping-particle":"","family":"Marches","given":"Radu","non-dropping-particle":"","parse-names":false,"suffix":""},{"dropping-particle":"","family":"Mikoryak","given":"Carole","non-dropping-particle":"","parse-names":false,"suffix":""},{"dropping-particle":"","family":"Wang","given":"Ru Hung","non-dropping-particle":"","parse-names":false,"suffix":""},{"dropping-particle":"","family":"Pantano","given":"Paul","non-dropping-particle":"","parse-names":false,"suffix":""},{"dropping-particle":"","family":"Draper","given":"Rockford K.","non-dropping-particle":"","parse-names":false,"suffix":""},{"dropping-particle":"","family":"Vitetta","given":"Ellen S.","non-dropping-particle":"","parse-names":false,"suffix":""}],"container-title":"Nanotechnology","id":"ITEM-4","issue":"9","issued":{"date-parts":[["2011"]]},"title":"The importance of cellular internalization of antibody-targeted carbon nanotubes in the photothermal ablation of breast cancer cells","type":"article-journal","volume":"22"}},{"id":"a7Mi7BUu/81D1C6hC","uris":["http://www.mendeley.com/documents/?uuid=311b8c48-6d1a-44ab-afc9-df1de8388075"],"itemData":{"DOI":"10.1088/0957-4484/20/31/315101","ISSN":"09574484","abstract":"Despite aggressive multimodality therapy, most neuroblastoma-bearing patients relapse and survival rate remains poor. Exploration of alternative therapeutic modalities is needed. Carbon nanotubes (CNTs), revealing optical absorbance in the near-infrared region, warrant their merits in photothermal therapy. In order to specifically target disialoganglioside (GD2) overexpressed on the surface of neuroblastoma stNB-V1 cells, GD2 monoclonal antibody (anti-GD2) was conjugated to acidified CNTs. To examine the fate of anti-GD2 bound CNTs after incubation with stNB-V1 cells, rhodamine B was labeled on carboxylated CNTs functionalized with and without anti-GD2. Our results illustrated that anti-GD2-linked CNTs were extensively internalized by neuroblastoma cells via GD2-mediated endocytosis. In addition, we showed that anti-GD2 bound CNTs were not ingested by PC12 cells without GD2 expression. After anti-GD2 conjugated CNTs were incubated with neuroblastoma cells for 6h and endocytosed by the cells, CNT-laden neuroblastoma cells were further irradiated with an 808nm near-infrared (NIR) laser with intensity ramping from 0.6 to 6Wcm-2 for 10min which was then maintained at 6Wcm -2 for an additional 5min. Post-NIR laser exposure, and after being examined by calcein-AM dye, stNB-V1 cells were all found to undergo necrosis, while non-GD2 expressing PC12 cells all remained viable. Based on the invitro study, CNTs bound with anti-GD2 have the potential to be utilized as a therapeutic thermal coupling agent that generates heat sufficient to selectively kill neuroblastoma cells under NIR laser light exposure. © 2009 IOP Publishing Ltd.","author":[{"dropping-particle":"","family":"Wang","given":"Chung Hao","non-dropping-particle":"","parse-names":false,"suffix":""},{"dropping-particle":"","family":"Huang","given":"Yao Jhang","non-dropping-particle":"","parse-names":false,"suffix":""},{"dropping-particle":"","family":"Chang","given":"Chia Wei","non-dropping-particle":"","parse-names":false,"suffix":""},{"dropping-particle":"","family":"Hsu","given":"Wen Ming","non-dropping-particle":"","parse-names":false,"suffix":""},{"dropping-particle":"","family":"Peng","given":"Ching An","non-dropping-particle":"","parse-names":false,"suffix":""}],"container-title":"Nanotechnology","id":"ITEM-5","issue":"31","issued":{"date-parts":[["2009"]]},"title":"Invitro photothermal destruction of neuroblastoma cells using carbon nanotubes conjugated with GD2 monoclonal antibody","type":"article-journal","volume":"20"}},{"id":"a7Mi7BUu/5mu2OoxP","uris":["http://www.mendeley.com/documents/?uuid=2f9434be-3ced-4d38-9039-e4c3732b4910"],"itemData":{"DOI":"10.2147/IJN.S15841","ISSN":"11769114","abstract":"The main goal of this investigation was to develop and test a new method of treatment for human hepatocellular carcinoma (HCC). We present a method of carbon nanotube-enhanced laser thermal ablation of HepG2 cells (human hepatocellular liver carcinoma cell line) based on a simple multiwalled carbon nanotube (MWCNT) carrier system, such as human serum albumin (HSA), and demonstrate its selective therapeutic efficacy compared with normal hepatocyte cells. Both HepG2 cells and hepatocytes were treated with HSA-MWCNTs at various concentrations and at various incubation times and further irradiated using a 2 W, 808 nm laser beam. Transmission electron, phase contrast, and confocal microscopy combined with immunochemical staining were used to demonstrate the selective internalization of HSA-MWCNTs via Gp60 receptors and the caveolin-mediated endocytosis inside HepG2 cells. The postirradiation apoptotic rate of HepG2 cells treated with HSA-MWCNTs ranged from 88.24% (for 50 mg/L) at 60 sec to 92.34% (for 50 mg/L) at 30 min. Significantly lower necrotic rates were obtained when human hepatocytes were treated with HSA-MWCNTs in a similar manner. Our results clearly show that HSA-MWCNTs selectively attach on the albondin (aka Gp60) receptor located on the HepG2 membrane, followed by an uptake through a caveolin-dependent endocytosis process. These unique results may represent a major step in liver cancer treatment using nanolocalized thermal ablation by laser heating. © 2011 Iancu et al, publisher and licensee Dove Medical Press Ltd.","author":[{"dropping-particle":"","family":"Iancu","given":"Cornel","non-dropping-particle":"","parse-names":false,"suffix":""},{"dropping-particle":"","family":"Mocan","given":"Lucian","non-dropping-particle":"","parse-names":false,"suffix":""},{"dropping-particle":"","family":"Bele","given":"Constantin","non-dropping-particle":"","parse-names":false,"suffix":""},{"dropping-particle":"","family":"Orza","given":"Anamaria Ioana","non-dropping-particle":"","parse-names":false,"suffix":""},{"dropping-particle":"","family":"Tabaran","given":"Flaviu A.","non-dropping-particle":"","parse-names":false,"suffix":""},{"dropping-particle":"","family":"Catoi","given":"Cornel","non-dropping-particle":"","parse-names":false,"suffix":""},{"dropping-particle":"","family":"Stiufiuc","given":"Rares","non-dropping-particle":"","parse-names":false,"suffix":""},{"dropping-particle":"","family":"Stir","given":"Ariana","non-dropping-particle":"","parse-names":false,"suffix":""},{"dropping-particle":"","family":"Matea","given":"Cristian","non-dropping-particle":"","parse-names":false,"suffix":""},{"dropping-particle":"","family":"Iancu","given":"Dana","non-dropping-particle":"","parse-names":false,"suffix":""},{"dropping-particle":"","family":"Agoston-Coldea","given":"Lucia","non-dropping-particle":"","parse-names":false,"suffix":""},{"dropping-particle":"","family":"Zaharie","given":"Florin","non-dropping-particle":"","parse-names":false,"suffix":""},{"dropping-particle":"","family":"Mocan","given":"Teodora","non-dropping-particle":"","parse-names":false,"suffix":""}],"container-title":"International Journal of Nanomedicine","id":"ITEM-6","issue":"1","issued":{"date-parts":[["2011"]]},"page":"129-141","title":"Enhanced laser thermal ablation for the in vitro treatment of liver cancer by specific delivery of multiwalled carbon nanotubes functionalized with human serum albumin","type":"article-journal","volume":"6"}},{"id":"a7Mi7BUu/nI531GFr","uris":["http://www.mendeley.com/documents/?uuid=c7bcfac6-9cd1-4420-be4e-036293404a52"],"itemData":{"DOI":"10.1016/j.msec.2012.11.035","ISSN":"09284931","abstract":"Functionalized multi-walled carbon nanotubes (f-MWCNTs) were conjugated to an antibody of BT-474 cancer cells (f-MWCNTs-ab), and the photothermal effect of the f-MWCNTs-ab for BT-474 cancer cell destruction was demonstrated. After near-infrared irradiation, the f-MWCNTs-ab were more capable of killing cancer cells and possessed higher cell specificity than f-MWCNTs. Quantitative results showed that the viability of the cancer cells was affected by the concentration of the f-MWCNTs-ab solution, irradiation time, and settling time after irradiation. The membrane impermeable fluorescence dye ethidium bromide was used to detect cell viability after near-infrared irradiation, and the results agreed with those obtained from the Alamar Blue cell viability assay. The EtBr fluorescence results suggest that the cell membrane, attached to f-MWCNTs-ab, was damaged after irradiation, which led to cell death and necrosis. Using confocal microscopy, a few f-MWCNTs-ab were detected in the cell, indicating the endocytosis effect. The results not only explain the improved efficiency of thermotherapy but also indicate that necrosis may result from protein denaturation attributing to the heated f-MWCNTs-ab in the cell. © 2012 Elsevier B.V.","author":[{"dropping-particle":"","family":"Chou","given":"Hung Tao","non-dropping-particle":"","parse-names":false,"suffix":""},{"dropping-particle":"","family":"Wang","given":"Tsung Pao","non-dropping-particle":"","parse-names":false,"suffix":""},{"dropping-particle":"","family":"Lee","given":"Chi Young","non-dropping-particle":"","parse-names":false,"suffix":""},{"dropping-particle":"","family":"Tai","given":"Nyan Hwa","non-dropping-particle":"","parse-names":false,"suffix":""},{"dropping-particle":"","family":"Chang","given":"Hwan You","non-dropping-particle":"","parse-names":false,"suffix":""}],"container-title":"Materials Science and Engineering C","id":"ITEM-7","issue":"2","issued":{"date-parts":[["2013"]]},"page":"989-995","publisher":"Elsevier B.V.","title":"Photothermal effects of multi-walled carbon nanotubes on the viability of BT-474 cancer cells","type":"article-journal","volume":"33"}}],"schema":"https://github.com/citation-style-language/schema/raw/master/csl-citation.json"}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296–302</w:t>
      </w:r>
      <w:r w:rsidRPr="00D74025">
        <w:rPr>
          <w:rFonts w:ascii="Arial" w:hAnsi="Arial" w:cs="Arial"/>
          <w:color w:val="000000" w:themeColor="text1"/>
        </w:rPr>
        <w:fldChar w:fldCharType="end"/>
      </w:r>
      <w:r w:rsidRPr="00D74025">
        <w:rPr>
          <w:rFonts w:ascii="Arial" w:hAnsi="Arial" w:cs="Arial"/>
          <w:color w:val="000000" w:themeColor="text1"/>
        </w:rPr>
        <w:t xml:space="preserve">. Shao </w:t>
      </w:r>
      <w:r w:rsidRPr="00AD335D">
        <w:rPr>
          <w:rFonts w:ascii="Arial" w:hAnsi="Arial" w:cs="Arial"/>
          <w:i/>
          <w:iCs/>
          <w:color w:val="000000" w:themeColor="text1"/>
        </w:rPr>
        <w:t>et al.</w:t>
      </w:r>
      <w:r>
        <w:rPr>
          <w:rFonts w:ascii="Arial" w:hAnsi="Arial" w:cs="Arial"/>
          <w:color w:val="000000" w:themeColor="text1"/>
        </w:rPr>
        <w:t xml:space="preserve"> </w:t>
      </w:r>
      <w:r w:rsidRPr="00D74025">
        <w:rPr>
          <w:rFonts w:ascii="Arial" w:hAnsi="Arial" w:cs="Arial"/>
          <w:color w:val="000000" w:themeColor="text1"/>
        </w:rPr>
        <w:fldChar w:fldCharType="begin" w:fldLock="1"/>
      </w:r>
      <w:r w:rsidR="000F4F53">
        <w:rPr>
          <w:rFonts w:ascii="Arial" w:hAnsi="Arial" w:cs="Arial"/>
          <w:color w:val="000000" w:themeColor="text1"/>
        </w:rPr>
        <w:instrText xml:space="preserve"> ADDIN ZOTERO_ITEM CSL_CITATION {"citationID":"L2FKP2i2","properties":{"formattedCitation":"\\super 297\\nosupersub{}","plainCitation":"297","noteIndex":0},"citationItems":[{"id":"a7Mi7BUu/uR0CmpUR","uris":["http://www.mendeley.com/documents/?uuid=d71ad65d-4867-4b68-8b21-1e924977657c"],"itemData":{"DOI":"10.1088/0957-4484/18/31/315101","ISSN":"09574484","abstract":"Molecular targeting and photodynamic therapy have shown great potential for selective cancer therapy. We hypothesized that monoclonal antibodies that are specific to the IGF1 receptor and HER2 cell surface antigens could be bound to single wall carbon nanotubes (SWCNT) in order to concentrate SWCNT on breast cancer cells for specific near-infrared phototherapy. SWCNT functionalized with HER2 and IGF1R specific antibodies showed selective attachment to breast cancer cells compared to SWCNT functionalized with non-specific antibodies. After the complexes were attached to specific cancer cells, SWCNT were excited by </w:instrText>
      </w:r>
      <w:r w:rsidR="000F4F53">
        <w:rPr>
          <w:rFonts w:ascii="Cambria Math" w:hAnsi="Cambria Math" w:cs="Cambria Math"/>
          <w:color w:val="000000" w:themeColor="text1"/>
        </w:rPr>
        <w:instrText>∼</w:instrText>
      </w:r>
      <w:r w:rsidR="000F4F53">
        <w:rPr>
          <w:rFonts w:ascii="Arial" w:hAnsi="Arial" w:cs="Arial"/>
          <w:color w:val="000000" w:themeColor="text1"/>
        </w:rPr>
        <w:instrText xml:space="preserve">808 nm infrared photons at </w:instrText>
      </w:r>
      <w:r w:rsidR="000F4F53">
        <w:rPr>
          <w:rFonts w:ascii="Cambria Math" w:hAnsi="Cambria Math" w:cs="Cambria Math"/>
          <w:color w:val="000000" w:themeColor="text1"/>
        </w:rPr>
        <w:instrText>∼</w:instrText>
      </w:r>
      <w:r w:rsidR="000F4F53">
        <w:rPr>
          <w:rFonts w:ascii="Arial" w:hAnsi="Arial" w:cs="Arial"/>
          <w:color w:val="000000" w:themeColor="text1"/>
        </w:rPr>
        <w:instrText xml:space="preserve">800 mW cm-2 for 3 min. Viability after phototherapy was determined by Trypan blue exclusion. Cells incubated with SWCNT/non-specific antibody hybrids were still alive after photo-thermal treatment due to the lack of SWNT binding to the cell membrane. All cancerous cells treated with IGF1R and HER2 specific antibody/SWCNT hybrids and receiving infrared photons showed cell death after the laser excitation. Quantitative analysis demonstrated that all the cells treated with SWCNT/IGF1R and HER2 specific antibody complex were completely destroyed, while more than 80% of the cells with SWCNT/non-specific antibody hybrids remained alive. Following multi-component targeting of IGF1R and HER2 surface receptors, integrated photo-thermal therapy in breast cancer cells led to the complete destruction of cancer cells. Functionalizing SWCNT with antibodies in combination with their intrinsic optical properties can therefore lead to a new class of molecular delivery and cancer therapeutic systems. © IOP Publishing Ltd.","author":[{"dropping-particle":"","family":"Shao","given":"Ning","non-dropping-particle":"","parse-names":false,"suffix":""},{"dropping-particle":"","family":"Lu","given":"Shaoxin","non-dropping-particle":"","parse-names":false,"suffix":""},{"dropping-particle":"","family":"Wickstrom","given":"Eric","non-dropping-particle":"","parse-names":false,"suffix":""},{"dropping-particle":"","family":"Panchapakesan","given":"Balaji","non-dropping-particle":"","parse-names":false,"suffix":""}],"container-title":"Nanotechnology","id":"ITEM-1","issue":"31","issued":{"date-parts":[["2007"]]},"title":"Integrated molecular targeting of IGF1R and HER2 surface receptors and destruction of breast cancer cells using single wall carbon nanotubes","type":"article-journal","volume":"18"}}],"schema":"https://github.com/citation-style-language/schema/raw/master/csl-citation.json"}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297</w:t>
      </w:r>
      <w:r w:rsidRPr="00D74025">
        <w:rPr>
          <w:rFonts w:ascii="Arial" w:hAnsi="Arial" w:cs="Arial"/>
          <w:color w:val="000000" w:themeColor="text1"/>
        </w:rPr>
        <w:fldChar w:fldCharType="end"/>
      </w:r>
      <w:r w:rsidRPr="00D74025">
        <w:rPr>
          <w:rFonts w:ascii="Arial" w:hAnsi="Arial" w:cs="Arial"/>
          <w:color w:val="000000" w:themeColor="text1"/>
        </w:rPr>
        <w:t xml:space="preserve"> studied the internalization and PTT efficiency </w:t>
      </w:r>
      <w:r>
        <w:rPr>
          <w:rFonts w:ascii="Arial" w:hAnsi="Arial" w:cs="Arial"/>
          <w:color w:val="000000" w:themeColor="text1"/>
        </w:rPr>
        <w:t>of</w:t>
      </w:r>
      <w:r w:rsidRPr="00D74025">
        <w:rPr>
          <w:rFonts w:ascii="Arial" w:hAnsi="Arial" w:cs="Arial"/>
          <w:color w:val="000000" w:themeColor="text1"/>
        </w:rPr>
        <w:t xml:space="preserve"> MCF7 cells when they </w:t>
      </w:r>
      <w:r>
        <w:rPr>
          <w:rFonts w:ascii="Arial" w:hAnsi="Arial" w:cs="Arial"/>
          <w:color w:val="000000" w:themeColor="text1"/>
        </w:rPr>
        <w:t>were</w:t>
      </w:r>
      <w:r w:rsidRPr="00D74025">
        <w:rPr>
          <w:rFonts w:ascii="Arial" w:hAnsi="Arial" w:cs="Arial"/>
          <w:color w:val="000000" w:themeColor="text1"/>
        </w:rPr>
        <w:t xml:space="preserve"> incubated with different SWC</w:t>
      </w:r>
      <w:r w:rsidR="00187AE6">
        <w:rPr>
          <w:rFonts w:ascii="Arial" w:hAnsi="Arial" w:cs="Arial"/>
          <w:color w:val="000000" w:themeColor="text1"/>
        </w:rPr>
        <w:t>N</w:t>
      </w:r>
      <w:r w:rsidRPr="00D74025">
        <w:rPr>
          <w:rFonts w:ascii="Arial" w:hAnsi="Arial" w:cs="Arial"/>
          <w:color w:val="000000" w:themeColor="text1"/>
        </w:rPr>
        <w:t>T complexes that had or did not have targeting agents. PEGylated-SWCNT (SWCNT-PEG) were treated with Alexa Fluor 488 (green fluorescence)</w:t>
      </w:r>
      <w:r>
        <w:rPr>
          <w:rFonts w:ascii="Arial" w:hAnsi="Arial" w:cs="Arial"/>
          <w:color w:val="000000" w:themeColor="text1"/>
        </w:rPr>
        <w:t>,</w:t>
      </w:r>
      <w:r w:rsidRPr="00D74025">
        <w:rPr>
          <w:rFonts w:ascii="Arial" w:hAnsi="Arial" w:cs="Arial"/>
          <w:color w:val="000000" w:themeColor="text1"/>
        </w:rPr>
        <w:t xml:space="preserve"> and after 30 min of incubation on cells, confocal microscopy </w:t>
      </w:r>
      <w:r>
        <w:rPr>
          <w:rFonts w:ascii="Arial" w:hAnsi="Arial" w:cs="Arial"/>
          <w:color w:val="000000" w:themeColor="text1"/>
        </w:rPr>
        <w:t>did</w:t>
      </w:r>
      <w:r w:rsidR="00153F7C">
        <w:rPr>
          <w:rFonts w:ascii="Arial" w:hAnsi="Arial" w:cs="Arial"/>
          <w:color w:val="000000" w:themeColor="text1"/>
        </w:rPr>
        <w:t xml:space="preserve"> not</w:t>
      </w:r>
      <w:r w:rsidRPr="00D74025">
        <w:rPr>
          <w:rFonts w:ascii="Arial" w:hAnsi="Arial" w:cs="Arial"/>
          <w:color w:val="000000" w:themeColor="text1"/>
        </w:rPr>
        <w:t xml:space="preserve"> show </w:t>
      </w:r>
      <w:r>
        <w:rPr>
          <w:rFonts w:ascii="Arial" w:hAnsi="Arial" w:cs="Arial"/>
          <w:color w:val="000000" w:themeColor="text1"/>
        </w:rPr>
        <w:t xml:space="preserve">the </w:t>
      </w:r>
      <w:r w:rsidRPr="00D74025">
        <w:rPr>
          <w:rFonts w:ascii="Arial" w:hAnsi="Arial" w:cs="Arial"/>
          <w:color w:val="000000" w:themeColor="text1"/>
        </w:rPr>
        <w:t xml:space="preserve">internalization of the SWCNT complex. When the SWCNT was conjugated with anti-IGF1R (SWCNT-PEG-anti-IGF1R) and the fluorescent dye, the green fluorescence could be </w:t>
      </w:r>
      <w:r>
        <w:rPr>
          <w:rFonts w:ascii="Arial" w:hAnsi="Arial" w:cs="Arial"/>
          <w:color w:val="000000" w:themeColor="text1"/>
        </w:rPr>
        <w:t>found</w:t>
      </w:r>
      <w:r w:rsidRPr="00D74025">
        <w:rPr>
          <w:rFonts w:ascii="Arial" w:hAnsi="Arial" w:cs="Arial"/>
          <w:color w:val="000000" w:themeColor="text1"/>
        </w:rPr>
        <w:t xml:space="preserve"> inside the cell after 30</w:t>
      </w:r>
      <w:r w:rsidR="007B4027">
        <w:rPr>
          <w:rFonts w:ascii="Arial" w:hAnsi="Arial" w:cs="Arial"/>
          <w:color w:val="000000" w:themeColor="text1"/>
        </w:rPr>
        <w:t> </w:t>
      </w:r>
      <w:r w:rsidRPr="00D74025">
        <w:rPr>
          <w:rFonts w:ascii="Arial" w:hAnsi="Arial" w:cs="Arial"/>
          <w:color w:val="000000" w:themeColor="text1"/>
        </w:rPr>
        <w:t xml:space="preserve">min of incubation. Furthermore, the PTT efficiency related to the presence or absence of </w:t>
      </w:r>
      <w:r>
        <w:rPr>
          <w:rFonts w:ascii="Arial" w:hAnsi="Arial" w:cs="Arial"/>
          <w:color w:val="000000" w:themeColor="text1"/>
        </w:rPr>
        <w:t xml:space="preserve">a </w:t>
      </w:r>
      <w:r w:rsidRPr="00D74025">
        <w:rPr>
          <w:rFonts w:ascii="Arial" w:hAnsi="Arial" w:cs="Arial"/>
          <w:color w:val="000000" w:themeColor="text1"/>
        </w:rPr>
        <w:t xml:space="preserve">targeting agent was </w:t>
      </w:r>
      <w:r>
        <w:rPr>
          <w:rFonts w:ascii="Arial" w:hAnsi="Arial" w:cs="Arial"/>
          <w:color w:val="000000" w:themeColor="text1"/>
        </w:rPr>
        <w:t>ass</w:t>
      </w:r>
      <w:r w:rsidRPr="00D74025">
        <w:rPr>
          <w:rFonts w:ascii="Arial" w:hAnsi="Arial" w:cs="Arial"/>
          <w:color w:val="000000" w:themeColor="text1"/>
        </w:rPr>
        <w:t xml:space="preserve">essed through optical microscopy. MCF7 cells, previously incubated with SWCNT-PEG and SWCNT-PEG-anti-IGF1R, were subject to NIR laser treatment (808 nm, 800 </w:t>
      </w:r>
      <w:proofErr w:type="spellStart"/>
      <w:r w:rsidRPr="00D74025">
        <w:rPr>
          <w:rFonts w:ascii="Arial" w:hAnsi="Arial" w:cs="Arial"/>
          <w:color w:val="000000" w:themeColor="text1"/>
        </w:rPr>
        <w:t>mW</w:t>
      </w:r>
      <w:proofErr w:type="spellEnd"/>
      <w:r w:rsidRPr="00D74025">
        <w:rPr>
          <w:rFonts w:ascii="Arial" w:hAnsi="Arial" w:cs="Arial"/>
          <w:color w:val="000000" w:themeColor="text1"/>
        </w:rPr>
        <w:t xml:space="preserve">/cm², 3 min). Trypan Blue staining showed that only the cells incubated with targeted SWCNT complex presented blue color, indicating cell death. Despite the lack of quantitative analysis, </w:t>
      </w:r>
      <w:r>
        <w:rPr>
          <w:rFonts w:ascii="Arial" w:hAnsi="Arial" w:cs="Arial"/>
          <w:color w:val="000000" w:themeColor="text1"/>
        </w:rPr>
        <w:t>the experiment's reproducibility</w:t>
      </w:r>
      <w:r w:rsidRPr="00D74025">
        <w:rPr>
          <w:rFonts w:ascii="Arial" w:hAnsi="Arial" w:cs="Arial"/>
          <w:color w:val="000000" w:themeColor="text1"/>
        </w:rPr>
        <w:t xml:space="preserve"> was </w:t>
      </w:r>
      <w:r>
        <w:rPr>
          <w:rFonts w:ascii="Arial" w:hAnsi="Arial" w:cs="Arial"/>
          <w:color w:val="000000" w:themeColor="text1"/>
        </w:rPr>
        <w:t>assessed</w:t>
      </w:r>
      <w:r w:rsidRPr="00D74025">
        <w:rPr>
          <w:rFonts w:ascii="Arial" w:hAnsi="Arial" w:cs="Arial"/>
          <w:color w:val="000000" w:themeColor="text1"/>
        </w:rPr>
        <w:t>.</w:t>
      </w:r>
    </w:p>
    <w:p w14:paraId="0227E0FE" w14:textId="28874CC3" w:rsidR="00765416" w:rsidRDefault="00765416" w:rsidP="00765416">
      <w:pPr>
        <w:spacing w:line="360" w:lineRule="auto"/>
        <w:ind w:firstLine="1440"/>
        <w:jc w:val="both"/>
        <w:rPr>
          <w:rFonts w:ascii="Arial" w:hAnsi="Arial" w:cs="Arial"/>
          <w:color w:val="000000" w:themeColor="text1"/>
        </w:rPr>
      </w:pPr>
      <w:proofErr w:type="spellStart"/>
      <w:r w:rsidRPr="00AD335D">
        <w:rPr>
          <w:rFonts w:ascii="Arial" w:hAnsi="Arial" w:cs="Arial"/>
          <w:color w:val="000000" w:themeColor="text1"/>
          <w:lang w:val="pt-BR"/>
        </w:rPr>
        <w:t>Xiao</w:t>
      </w:r>
      <w:proofErr w:type="spellEnd"/>
      <w:r w:rsidRPr="00AD335D">
        <w:rPr>
          <w:rFonts w:ascii="Arial" w:hAnsi="Arial" w:cs="Arial"/>
          <w:color w:val="000000" w:themeColor="text1"/>
          <w:lang w:val="pt-BR"/>
        </w:rPr>
        <w:t xml:space="preserve"> </w:t>
      </w:r>
      <w:r w:rsidRPr="00AD335D">
        <w:rPr>
          <w:rFonts w:ascii="Arial" w:hAnsi="Arial" w:cs="Arial"/>
          <w:i/>
          <w:iCs/>
          <w:color w:val="000000" w:themeColor="text1"/>
          <w:lang w:val="pt-BR"/>
        </w:rPr>
        <w:t xml:space="preserve">et al. </w:t>
      </w:r>
      <w:r w:rsidRPr="00D74025">
        <w:rPr>
          <w:rFonts w:ascii="Arial" w:hAnsi="Arial" w:cs="Arial"/>
          <w:color w:val="000000" w:themeColor="text1"/>
        </w:rPr>
        <w:fldChar w:fldCharType="begin" w:fldLock="1"/>
      </w:r>
      <w:r w:rsidR="000F4F53">
        <w:rPr>
          <w:rFonts w:ascii="Arial" w:hAnsi="Arial" w:cs="Arial"/>
          <w:color w:val="000000" w:themeColor="text1"/>
          <w:lang w:val="pt-BR"/>
        </w:rPr>
        <w:instrText xml:space="preserve"> ADDIN ZOTERO_ITEM CSL_CITATION {"citationID":"zz294RVs","properties":{"formattedCitation":"\\super 296\\nosupersub{}","plainCitation":"296","noteIndex":0},"citationItems":[{"id":"a7Mi7BUu/l3j0AZP9","uris":["http://www.mendeley.com/documents/?uuid=671318e1-6258-4248-9d71-2b7405cb2264"],"itemData":{"DOI":"10.1186/1471-2407-9-351","ISSN":"14712407","abstract":"Background: Nanocarrier-based antibody targeting is a promising modality in therapeutic and diagnostic oncology. Single-walled carbon nanotubes (SWNTs) exhibit two unique optical properties that can be exploited for these applications, strong Raman signal for cancer cell detection and near-infrared (NIR) absorbance for selective photothermal ablation of tumors. In the present study, we constructed a HER2 IgY-SWNT complex and demonstrated its dual functionality for both detection and selective destruction of cancer cells in an in vitro model consisting of HER2-expressing SK-BR-3 cells and HER2-negative MCF-7 cells. Methods: The complex was constructed by covalently conjugating carboxylated SWNTs with anti-HER2 chicken IgY antibody, which is more specific and sensitive than mammalian IgGs. Raman signals were recorded on Raman spectrometers with a laser excitation at 785 nm. NIR irradiation was performed using a diode laser system, and cells with or without nanotube treatment were irradiated by 808 nm laser at 5 W/cm2for 2 min. Cell viability was examined by the calcein AM/ethidium homodimer-1 (EthD-1) staining. Results: Using a Raman optical microscope, we found the Raman signal collected at single-cell level from the complex-treated SK-BR-3 cells was significantly greater than that from various control cells. NIR irradiation selectively destroyed the complex-targeted breast cancer cells without harming receptor-free cells. The cell death was effectuated without the need of internalization of SWNTs by the cancer cells, a finding that has not been reported previously. Conclusion: We have demonstrated that the HER2 IgY-SWNT complex specifically targeted HER2-expressing SK-BR-3 cells but not receptor-negative MCF-7 cells. The complex can be potentially used for both detection and selective photothermal ablation of receptor-positive breast cancer cells without the need of internalization by the cells. Thus, the unique intrinsic properties of SWNTs combined with high specificity and sensitivity of IgY antibodies can lead to new strategies for cancer detection and therapy. © 2009 Xiao et al; licensee BioMed Central Ltd.","author":[{"dropping-particle":"","family":"Xiao","given":"Yan","non-dropping-particle":"","parse-names":false,"suffix":""},{"dropping-particle":"","family":"Gao","given":"Xiugong","non-dropping-particle":"","parse-names":false,"suffix":""},{"dropping-particle":"","family":"Taratula","given":"Oleh","non-dropping-particle":"","parse-names":false,"suffix":""},{"dropping-particle":"","family":"Treado","given":"Stephen","non-dropping-particle":"","parse-names":false,"suffix":""},{"dropping-particle":"","family":"Urbas","given":"Aaron","non-dropping-particle":"","parse-names":false,"suffix":""},{"dropping-particle":"","family":"Holbrook","given":"R. David","non-dropping-particle":"","parse-names":false,"suffix":""},{"dropping-particle":"","family":"Cavicchi","given":"Richard E.","non-dropping-particle":"","parse-names":false,"suffix":""},{"dropping-particle":"","family":"Avedisian","given":"C. Thomas","non-dropping-particle":"","parse-names":false,"suffix":""},{"dropping-particle":"","family":"Mitra","given":"Somenath","non-dropping-particle":"","parse-names":false,"suffix":""},{"dropping-particle":"","family":"Savla","given":"Ronak","non-dropping-particle":"","parse-names":false,"suffix":""},{"dropping-particle":"","family":"Wagner","given":"Paul D.","non-dropping-particle":"","parse-names":false,"suffix":""},{"dropping-particle":"","family":"Srivastava","given":"Sudhir","non-dropping-particle":"","parse-names":false,"suffix":""},{"dropping-particle":"","family":"He","given":"Huixin","non-dropping-particle":"","parse-names":false,"suffix":""}],"container-title":"BMC Cancer","id":"ITEM-1","issued":{"date-parts":[["2009"]]},"page":"351","title":"Anti-HER2 IgY antibody-functionalized single-walled carbon nanotubes for detection and selective destruction of breast cancer cells","type":"article-journal","volume":"9"}}],"schema":"https://github.com/citation-style-language/schema/raw/master/csl-citation.json"} </w:instrText>
      </w:r>
      <w:r w:rsidRPr="00D74025">
        <w:rPr>
          <w:rFonts w:ascii="Arial" w:hAnsi="Arial" w:cs="Arial"/>
          <w:color w:val="000000" w:themeColor="text1"/>
        </w:rPr>
        <w:fldChar w:fldCharType="separate"/>
      </w:r>
      <w:r w:rsidR="000F4F53" w:rsidRPr="00844C70">
        <w:rPr>
          <w:rFonts w:ascii="Arial" w:hAnsi="Arial" w:cs="Arial"/>
          <w:color w:val="000000"/>
          <w:vertAlign w:val="superscript"/>
          <w:lang w:val="pt-BR"/>
        </w:rPr>
        <w:t>296</w:t>
      </w:r>
      <w:r w:rsidRPr="00D74025">
        <w:rPr>
          <w:rFonts w:ascii="Arial" w:hAnsi="Arial" w:cs="Arial"/>
          <w:color w:val="000000" w:themeColor="text1"/>
        </w:rPr>
        <w:fldChar w:fldCharType="end"/>
      </w:r>
      <w:r w:rsidRPr="00851850">
        <w:rPr>
          <w:rFonts w:ascii="Arial" w:hAnsi="Arial" w:cs="Arial"/>
          <w:color w:val="000000" w:themeColor="text1"/>
          <w:lang w:val="pt-BR"/>
        </w:rPr>
        <w:t xml:space="preserve"> </w:t>
      </w:r>
      <w:proofErr w:type="spellStart"/>
      <w:r w:rsidRPr="00851850">
        <w:rPr>
          <w:rFonts w:ascii="Arial" w:hAnsi="Arial" w:cs="Arial"/>
          <w:color w:val="000000" w:themeColor="text1"/>
          <w:lang w:val="pt-BR"/>
        </w:rPr>
        <w:t>quantified</w:t>
      </w:r>
      <w:proofErr w:type="spellEnd"/>
      <w:r w:rsidRPr="00851850">
        <w:rPr>
          <w:rFonts w:ascii="Arial" w:hAnsi="Arial" w:cs="Arial"/>
          <w:color w:val="000000" w:themeColor="text1"/>
          <w:lang w:val="pt-BR"/>
        </w:rPr>
        <w:t xml:space="preserve"> </w:t>
      </w:r>
      <w:proofErr w:type="spellStart"/>
      <w:r w:rsidRPr="00851850">
        <w:rPr>
          <w:rFonts w:ascii="Arial" w:hAnsi="Arial" w:cs="Arial"/>
          <w:color w:val="000000" w:themeColor="text1"/>
          <w:lang w:val="pt-BR"/>
        </w:rPr>
        <w:t>the</w:t>
      </w:r>
      <w:proofErr w:type="spellEnd"/>
      <w:r w:rsidRPr="00851850">
        <w:rPr>
          <w:rFonts w:ascii="Arial" w:hAnsi="Arial" w:cs="Arial"/>
          <w:color w:val="000000" w:themeColor="text1"/>
          <w:lang w:val="pt-BR"/>
        </w:rPr>
        <w:t xml:space="preserve"> </w:t>
      </w:r>
      <w:proofErr w:type="spellStart"/>
      <w:r w:rsidRPr="00851850">
        <w:rPr>
          <w:rFonts w:ascii="Arial" w:hAnsi="Arial" w:cs="Arial"/>
          <w:color w:val="000000" w:themeColor="text1"/>
          <w:lang w:val="pt-BR"/>
        </w:rPr>
        <w:t>efficiency</w:t>
      </w:r>
      <w:proofErr w:type="spellEnd"/>
      <w:r w:rsidRPr="00851850">
        <w:rPr>
          <w:rFonts w:ascii="Arial" w:hAnsi="Arial" w:cs="Arial"/>
          <w:color w:val="000000" w:themeColor="text1"/>
          <w:lang w:val="pt-BR"/>
        </w:rPr>
        <w:t xml:space="preserve"> </w:t>
      </w:r>
      <w:proofErr w:type="spellStart"/>
      <w:r w:rsidRPr="00851850">
        <w:rPr>
          <w:rFonts w:ascii="Arial" w:hAnsi="Arial" w:cs="Arial"/>
          <w:color w:val="000000" w:themeColor="text1"/>
          <w:lang w:val="pt-BR"/>
        </w:rPr>
        <w:t>of</w:t>
      </w:r>
      <w:proofErr w:type="spellEnd"/>
      <w:r w:rsidRPr="00851850">
        <w:rPr>
          <w:rFonts w:ascii="Arial" w:hAnsi="Arial" w:cs="Arial"/>
          <w:color w:val="000000" w:themeColor="text1"/>
          <w:lang w:val="pt-BR"/>
        </w:rPr>
        <w:t xml:space="preserve"> </w:t>
      </w:r>
      <w:proofErr w:type="spellStart"/>
      <w:r w:rsidRPr="00851850">
        <w:rPr>
          <w:rFonts w:ascii="Arial" w:hAnsi="Arial" w:cs="Arial"/>
          <w:color w:val="000000" w:themeColor="text1"/>
          <w:lang w:val="pt-BR"/>
        </w:rPr>
        <w:t>the</w:t>
      </w:r>
      <w:proofErr w:type="spellEnd"/>
      <w:r w:rsidRPr="00851850">
        <w:rPr>
          <w:rFonts w:ascii="Arial" w:hAnsi="Arial" w:cs="Arial"/>
          <w:color w:val="000000" w:themeColor="text1"/>
          <w:lang w:val="pt-BR"/>
        </w:rPr>
        <w:t xml:space="preserve"> PTT </w:t>
      </w:r>
      <w:proofErr w:type="spellStart"/>
      <w:r w:rsidRPr="00851850">
        <w:rPr>
          <w:rFonts w:ascii="Arial" w:hAnsi="Arial" w:cs="Arial"/>
          <w:color w:val="000000" w:themeColor="text1"/>
          <w:lang w:val="pt-BR"/>
        </w:rPr>
        <w:t>allied</w:t>
      </w:r>
      <w:proofErr w:type="spellEnd"/>
      <w:r w:rsidRPr="00851850">
        <w:rPr>
          <w:rFonts w:ascii="Arial" w:hAnsi="Arial" w:cs="Arial"/>
          <w:color w:val="000000" w:themeColor="text1"/>
          <w:lang w:val="pt-BR"/>
        </w:rPr>
        <w:t xml:space="preserve"> </w:t>
      </w:r>
      <w:proofErr w:type="spellStart"/>
      <w:r w:rsidRPr="00851850">
        <w:rPr>
          <w:rFonts w:ascii="Arial" w:hAnsi="Arial" w:cs="Arial"/>
          <w:color w:val="000000" w:themeColor="text1"/>
          <w:lang w:val="pt-BR"/>
        </w:rPr>
        <w:t>to</w:t>
      </w:r>
      <w:proofErr w:type="spellEnd"/>
      <w:r w:rsidRPr="00851850">
        <w:rPr>
          <w:rFonts w:ascii="Arial" w:hAnsi="Arial" w:cs="Arial"/>
          <w:color w:val="000000" w:themeColor="text1"/>
          <w:lang w:val="pt-BR"/>
        </w:rPr>
        <w:t xml:space="preserve"> </w:t>
      </w:r>
      <w:proofErr w:type="spellStart"/>
      <w:r w:rsidRPr="00851850">
        <w:rPr>
          <w:rFonts w:ascii="Arial" w:hAnsi="Arial" w:cs="Arial"/>
          <w:color w:val="000000" w:themeColor="text1"/>
          <w:lang w:val="pt-BR"/>
        </w:rPr>
        <w:t>targeted</w:t>
      </w:r>
      <w:proofErr w:type="spellEnd"/>
      <w:r w:rsidRPr="00851850">
        <w:rPr>
          <w:rFonts w:ascii="Arial" w:hAnsi="Arial" w:cs="Arial"/>
          <w:color w:val="000000" w:themeColor="text1"/>
          <w:lang w:val="pt-BR"/>
        </w:rPr>
        <w:t xml:space="preserve"> </w:t>
      </w:r>
      <w:proofErr w:type="spellStart"/>
      <w:r w:rsidRPr="00851850">
        <w:rPr>
          <w:rFonts w:ascii="Arial" w:hAnsi="Arial" w:cs="Arial"/>
          <w:color w:val="000000" w:themeColor="text1"/>
          <w:lang w:val="pt-BR"/>
        </w:rPr>
        <w:t>and</w:t>
      </w:r>
      <w:proofErr w:type="spellEnd"/>
      <w:r w:rsidRPr="00851850">
        <w:rPr>
          <w:rFonts w:ascii="Arial" w:hAnsi="Arial" w:cs="Arial"/>
          <w:color w:val="000000" w:themeColor="text1"/>
          <w:lang w:val="pt-BR"/>
        </w:rPr>
        <w:t xml:space="preserve"> </w:t>
      </w:r>
      <w:proofErr w:type="spellStart"/>
      <w:r w:rsidRPr="00851850">
        <w:rPr>
          <w:rFonts w:ascii="Arial" w:hAnsi="Arial" w:cs="Arial"/>
          <w:color w:val="000000" w:themeColor="text1"/>
          <w:lang w:val="pt-BR"/>
        </w:rPr>
        <w:t>nontargeted</w:t>
      </w:r>
      <w:proofErr w:type="spellEnd"/>
      <w:r w:rsidRPr="00851850">
        <w:rPr>
          <w:rFonts w:ascii="Arial" w:hAnsi="Arial" w:cs="Arial"/>
          <w:color w:val="000000" w:themeColor="text1"/>
          <w:lang w:val="pt-BR"/>
        </w:rPr>
        <w:t xml:space="preserve"> SWCNT complexes. </w:t>
      </w:r>
      <w:r w:rsidRPr="001F62D7">
        <w:rPr>
          <w:rFonts w:ascii="Arial" w:hAnsi="Arial" w:cs="Arial"/>
          <w:color w:val="000000" w:themeColor="text1"/>
        </w:rPr>
        <w:t xml:space="preserve">SWCNT was conjugated to anti-HER2 </w:t>
      </w:r>
      <w:proofErr w:type="spellStart"/>
      <w:r w:rsidRPr="001F62D7">
        <w:rPr>
          <w:rFonts w:ascii="Arial" w:hAnsi="Arial" w:cs="Arial"/>
          <w:color w:val="000000" w:themeColor="text1"/>
        </w:rPr>
        <w:t>IgY</w:t>
      </w:r>
      <w:proofErr w:type="spellEnd"/>
      <w:r w:rsidRPr="001F62D7">
        <w:rPr>
          <w:rFonts w:ascii="Arial" w:hAnsi="Arial" w:cs="Arial"/>
          <w:color w:val="000000" w:themeColor="text1"/>
        </w:rPr>
        <w:t xml:space="preserve">. </w:t>
      </w:r>
      <w:r w:rsidRPr="00D74025">
        <w:rPr>
          <w:rFonts w:ascii="Arial" w:hAnsi="Arial" w:cs="Arial"/>
          <w:color w:val="000000" w:themeColor="text1"/>
        </w:rPr>
        <w:t>SK-BR-3 cells</w:t>
      </w:r>
      <w:r>
        <w:rPr>
          <w:rFonts w:ascii="Arial" w:hAnsi="Arial" w:cs="Arial"/>
          <w:color w:val="000000" w:themeColor="text1"/>
        </w:rPr>
        <w:t xml:space="preserve"> expressing</w:t>
      </w:r>
      <w:r w:rsidRPr="00D74025">
        <w:rPr>
          <w:rFonts w:ascii="Arial" w:hAnsi="Arial" w:cs="Arial"/>
          <w:color w:val="000000" w:themeColor="text1"/>
        </w:rPr>
        <w:t xml:space="preserve"> HER2 receptors were incubated with suspended SWCNT and antibody-functionalized SWC</w:t>
      </w:r>
      <w:r w:rsidR="00187AE6">
        <w:rPr>
          <w:rFonts w:ascii="Arial" w:hAnsi="Arial" w:cs="Arial"/>
          <w:color w:val="000000" w:themeColor="text1"/>
        </w:rPr>
        <w:t>N</w:t>
      </w:r>
      <w:r w:rsidRPr="00D74025">
        <w:rPr>
          <w:rFonts w:ascii="Arial" w:hAnsi="Arial" w:cs="Arial"/>
          <w:color w:val="000000" w:themeColor="text1"/>
        </w:rPr>
        <w:t xml:space="preserve">T for 24 h, followed by NIR irradiation with </w:t>
      </w:r>
      <w:r>
        <w:rPr>
          <w:rFonts w:ascii="Arial" w:hAnsi="Arial" w:cs="Arial"/>
          <w:color w:val="000000" w:themeColor="text1"/>
        </w:rPr>
        <w:t xml:space="preserve">an </w:t>
      </w:r>
      <w:r w:rsidRPr="00D74025">
        <w:rPr>
          <w:rFonts w:ascii="Arial" w:hAnsi="Arial" w:cs="Arial"/>
          <w:color w:val="000000" w:themeColor="text1"/>
        </w:rPr>
        <w:t>808 nm laser at 5 W/cm</w:t>
      </w:r>
      <w:r w:rsidRPr="00D74025">
        <w:rPr>
          <w:rFonts w:ascii="Arial" w:hAnsi="Arial" w:cs="Arial"/>
          <w:color w:val="000000" w:themeColor="text1"/>
          <w:vertAlign w:val="superscript"/>
        </w:rPr>
        <w:t>2</w:t>
      </w:r>
      <w:r w:rsidRPr="00D74025">
        <w:rPr>
          <w:rFonts w:ascii="Arial" w:hAnsi="Arial" w:cs="Arial"/>
          <w:color w:val="000000" w:themeColor="text1"/>
        </w:rPr>
        <w:t xml:space="preserve"> for 2 min. Similarly, MCF7 cells, which do not express HER2 receptor, were also incubated with SWCNT-PEG-anti-IGF1R for 24h and subjected to NIR irradiation. Only SK-BR-3 incubated with the targeted SWCNT had statistically significant cell death evaluated by </w:t>
      </w:r>
      <w:proofErr w:type="spellStart"/>
      <w:r w:rsidRPr="00D74025">
        <w:rPr>
          <w:rFonts w:ascii="Arial" w:hAnsi="Arial" w:cs="Arial"/>
          <w:color w:val="000000" w:themeColor="text1"/>
        </w:rPr>
        <w:t>calcein</w:t>
      </w:r>
      <w:proofErr w:type="spellEnd"/>
      <w:r w:rsidRPr="00D74025">
        <w:rPr>
          <w:rFonts w:ascii="Arial" w:hAnsi="Arial" w:cs="Arial"/>
          <w:color w:val="000000" w:themeColor="text1"/>
        </w:rPr>
        <w:t xml:space="preserve"> AM/EthD-1 fluorescence staining, evidencing </w:t>
      </w:r>
      <w:r>
        <w:rPr>
          <w:rFonts w:ascii="Arial" w:hAnsi="Arial" w:cs="Arial"/>
          <w:color w:val="000000" w:themeColor="text1"/>
        </w:rPr>
        <w:t xml:space="preserve">the </w:t>
      </w:r>
      <w:r w:rsidRPr="00D74025">
        <w:rPr>
          <w:rFonts w:ascii="Arial" w:hAnsi="Arial" w:cs="Arial"/>
          <w:color w:val="000000" w:themeColor="text1"/>
        </w:rPr>
        <w:t xml:space="preserve">selectiveness of </w:t>
      </w:r>
      <w:r>
        <w:rPr>
          <w:rFonts w:ascii="Arial" w:hAnsi="Arial" w:cs="Arial"/>
          <w:color w:val="000000" w:themeColor="text1"/>
        </w:rPr>
        <w:t xml:space="preserve">the </w:t>
      </w:r>
      <w:r w:rsidRPr="00D74025">
        <w:rPr>
          <w:rFonts w:ascii="Arial" w:hAnsi="Arial" w:cs="Arial"/>
          <w:color w:val="000000" w:themeColor="text1"/>
        </w:rPr>
        <w:t xml:space="preserve">targeted CNT complex. </w:t>
      </w:r>
    </w:p>
    <w:p w14:paraId="4EEF3249" w14:textId="06D0D43B" w:rsidR="00765416" w:rsidRDefault="00765416" w:rsidP="00765416">
      <w:pPr>
        <w:spacing w:line="360" w:lineRule="auto"/>
        <w:ind w:firstLine="1440"/>
        <w:jc w:val="both"/>
        <w:rPr>
          <w:rFonts w:ascii="Arial" w:hAnsi="Arial" w:cs="Arial"/>
          <w:color w:val="000000" w:themeColor="text1"/>
        </w:rPr>
      </w:pPr>
      <w:r w:rsidRPr="00D74025">
        <w:rPr>
          <w:rFonts w:ascii="Arial" w:hAnsi="Arial" w:cs="Arial"/>
          <w:color w:val="000000" w:themeColor="text1"/>
        </w:rPr>
        <w:lastRenderedPageBreak/>
        <w:t xml:space="preserve">Marches </w:t>
      </w:r>
      <w:r w:rsidRPr="00AA648F">
        <w:rPr>
          <w:rFonts w:ascii="Arial" w:hAnsi="Arial" w:cs="Arial"/>
          <w:i/>
          <w:iCs/>
          <w:color w:val="000000" w:themeColor="text1"/>
        </w:rPr>
        <w:t>et al.</w:t>
      </w:r>
      <w:r>
        <w:rPr>
          <w:rFonts w:ascii="Arial" w:hAnsi="Arial" w:cs="Arial"/>
          <w:color w:val="000000" w:themeColor="text1"/>
        </w:rPr>
        <w:t xml:space="preserve"> </w:t>
      </w:r>
      <w:r w:rsidRPr="00D74025">
        <w:rPr>
          <w:rFonts w:ascii="Arial" w:hAnsi="Arial" w:cs="Arial"/>
          <w:color w:val="000000" w:themeColor="text1"/>
        </w:rPr>
        <w:fldChar w:fldCharType="begin" w:fldLock="1"/>
      </w:r>
      <w:r w:rsidR="000F4F53">
        <w:rPr>
          <w:rFonts w:ascii="Arial" w:hAnsi="Arial" w:cs="Arial"/>
          <w:color w:val="000000" w:themeColor="text1"/>
        </w:rPr>
        <w:instrText xml:space="preserve"> ADDIN ZOTERO_ITEM CSL_CITATION {"citationID":"P3sS2QA3","properties":{"formattedCitation":"\\super 299\\nosupersub{}","plainCitation":"299","noteIndex":0},"citationItems":[{"id":"a7Mi7BUu/MIRLNPDU","uris":["http://www.mendeley.com/documents/?uuid=0276c9b3-31ad-4c57-9e12-8edd35b19062"],"itemData":{"DOI":"10.1088/0957-4484/22/9/095101","ISSN":"09574484","abstract":"Single-walled carbon nanotubes (CNTs) convert absorbed near infrared (NIR) light into heat. The use of CNTs in the NIR-mediated photothermal ablation of tumor cells is attractive because the penetration of NIR light through normal tissues is optimal and the side effects are minimal. Targeted thermal ablation with minimal collateral damage can be achieved by using CNTs attached to tumor-specific monoclonal antibodies (MAbs). However, the role that the cellular internalization of CNTs plays in the subsequent sensitivity of the target cells to NIR-mediated photothermal ablation remains undefined. To address this issue, we used CNTs covalently coupled to an anti-Her2 or a control MAb and tested their ability to bind, internalize, and photothermally ablate Her2+ but not Her2- breast cancer cell lines. Using flow cytometry, immunofluorescence, and confocal Raman microscopy, we observed the gradual time-dependent receptor-mediated endocytosis of anti-Her2-CNTs whereas a control MAb-CNT conjugate did not bind to the cells. Most importantly, the Her2 + cells that internalized the MAb-CNTs were more sensitive to NIR-mediated photothermal damage than cells that could bind to, but not internalize the MAb-CNTs. These results suggest that both the targeting and internalization of MAb-CNTs might result in the most effective thermal ablation of tumor cells following their exposure to NIR light. © 2011 IOP Publishing Ltd.","author":[{"dropping-particle":"","family":"Marches","given":"Radu","non-dropping-particle":"","parse-names":false,"suffix":""},{"dropping-particle":"","family":"Mikoryak","given":"Carole","non-dropping-particle":"","parse-names":false,"suffix":""},{"dropping-particle":"","family":"Wang","given":"Ru Hung","non-dropping-particle":"","parse-names":false,"suffix":""},{"dropping-particle":"","family":"Pantano","given":"Paul","non-dropping-particle":"","parse-names":false,"suffix":""},{"dropping-particle":"","family":"Draper","given":"Rockford K.","non-dropping-particle":"","parse-names":false,"suffix":""},{"dropping-particle":"","family":"Vitetta","given":"Ellen S.","non-dropping-particle":"","parse-names":false,"suffix":""}],"container-title":"Nanotechnology","id":"ITEM-1","issue":"9","issued":{"date-parts":[["2011"]]},"title":"The importance of cellular internalization of antibody-targeted carbon nanotubes in the photothermal ablation of breast cancer cells","type":"article-journal","volume":"22"}}],"schema":"https://github.com/citation-style-language/schema/raw/master/csl-citation.json"}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299</w:t>
      </w:r>
      <w:r w:rsidRPr="00D74025">
        <w:rPr>
          <w:rFonts w:ascii="Arial" w:hAnsi="Arial" w:cs="Arial"/>
          <w:color w:val="000000" w:themeColor="text1"/>
        </w:rPr>
        <w:fldChar w:fldCharType="end"/>
      </w:r>
      <w:r w:rsidRPr="00D74025">
        <w:rPr>
          <w:rFonts w:ascii="Arial" w:hAnsi="Arial" w:cs="Arial"/>
          <w:color w:val="000000" w:themeColor="text1"/>
        </w:rPr>
        <w:t xml:space="preserve"> also studied the improvement in efficiency when targeted CNT</w:t>
      </w:r>
      <w:r w:rsidR="000F37D1">
        <w:rPr>
          <w:rFonts w:ascii="Arial" w:hAnsi="Arial" w:cs="Arial"/>
          <w:color w:val="000000" w:themeColor="text1"/>
        </w:rPr>
        <w:t>s</w:t>
      </w:r>
      <w:r w:rsidRPr="00D74025">
        <w:rPr>
          <w:rFonts w:ascii="Arial" w:hAnsi="Arial" w:cs="Arial"/>
          <w:color w:val="000000" w:themeColor="text1"/>
        </w:rPr>
        <w:t xml:space="preserve"> are internalized in cells for PTT. They conjugated SWCNT to two different antibodies: IgG1 anti-Her2 (HER50) as active targeting and anti-human CD22 (RFB4) as </w:t>
      </w:r>
      <w:r>
        <w:rPr>
          <w:rFonts w:ascii="Arial" w:hAnsi="Arial" w:cs="Arial"/>
          <w:color w:val="000000" w:themeColor="text1"/>
        </w:rPr>
        <w:t xml:space="preserve">the </w:t>
      </w:r>
      <w:r w:rsidRPr="00D74025">
        <w:rPr>
          <w:rFonts w:ascii="Arial" w:hAnsi="Arial" w:cs="Arial"/>
          <w:color w:val="000000" w:themeColor="text1"/>
        </w:rPr>
        <w:t xml:space="preserve">negative control. BT-474 breast </w:t>
      </w:r>
      <w:r w:rsidR="000F37D1">
        <w:rPr>
          <w:rFonts w:ascii="Arial" w:hAnsi="Arial" w:cs="Arial"/>
          <w:color w:val="000000" w:themeColor="text1"/>
        </w:rPr>
        <w:t xml:space="preserve">cancer cells </w:t>
      </w:r>
      <w:r w:rsidRPr="00D74025">
        <w:rPr>
          <w:rFonts w:ascii="Arial" w:hAnsi="Arial" w:cs="Arial"/>
          <w:color w:val="000000" w:themeColor="text1"/>
        </w:rPr>
        <w:t>positive for H</w:t>
      </w:r>
      <w:r>
        <w:rPr>
          <w:rFonts w:ascii="Arial" w:hAnsi="Arial" w:cs="Arial"/>
          <w:color w:val="000000" w:themeColor="text1"/>
        </w:rPr>
        <w:t>ER</w:t>
      </w:r>
      <w:r w:rsidRPr="00D74025">
        <w:rPr>
          <w:rFonts w:ascii="Arial" w:hAnsi="Arial" w:cs="Arial"/>
          <w:color w:val="000000" w:themeColor="text1"/>
        </w:rPr>
        <w:t xml:space="preserve">2 receptor were then incubated with both conjugates for </w:t>
      </w:r>
      <w:r>
        <w:rPr>
          <w:rFonts w:ascii="Arial" w:hAnsi="Arial" w:cs="Arial"/>
          <w:color w:val="000000" w:themeColor="text1"/>
        </w:rPr>
        <w:t xml:space="preserve">a </w:t>
      </w:r>
      <w:r w:rsidRPr="00D74025">
        <w:rPr>
          <w:rFonts w:ascii="Arial" w:hAnsi="Arial" w:cs="Arial"/>
          <w:color w:val="000000" w:themeColor="text1"/>
        </w:rPr>
        <w:t>different amount of time and subsequently subject to 808 nm-laser treatment (4 min at 9.5</w:t>
      </w:r>
      <w:r w:rsidR="000F37D1">
        <w:rPr>
          <w:rFonts w:ascii="Arial" w:hAnsi="Arial" w:cs="Arial"/>
          <w:color w:val="000000" w:themeColor="text1"/>
        </w:rPr>
        <w:t xml:space="preserve"> </w:t>
      </w:r>
      <w:r w:rsidRPr="00D74025">
        <w:rPr>
          <w:rFonts w:ascii="Arial" w:hAnsi="Arial" w:cs="Arial"/>
          <w:color w:val="000000" w:themeColor="text1"/>
        </w:rPr>
        <w:t>W/cm²). Quantitative analysis show</w:t>
      </w:r>
      <w:r w:rsidR="00651E7A">
        <w:rPr>
          <w:rFonts w:ascii="Arial" w:hAnsi="Arial" w:cs="Arial"/>
          <w:color w:val="000000" w:themeColor="text1"/>
        </w:rPr>
        <w:t>ed</w:t>
      </w:r>
      <w:r w:rsidRPr="00D74025">
        <w:rPr>
          <w:rFonts w:ascii="Arial" w:hAnsi="Arial" w:cs="Arial"/>
          <w:color w:val="000000" w:themeColor="text1"/>
        </w:rPr>
        <w:t xml:space="preserve"> that only SWCNT-HER50 conjugate </w:t>
      </w:r>
      <w:r>
        <w:rPr>
          <w:rFonts w:ascii="Arial" w:hAnsi="Arial" w:cs="Arial"/>
          <w:color w:val="000000" w:themeColor="text1"/>
        </w:rPr>
        <w:t>induced</w:t>
      </w:r>
      <w:r w:rsidRPr="00D74025">
        <w:rPr>
          <w:rFonts w:ascii="Arial" w:hAnsi="Arial" w:cs="Arial"/>
          <w:color w:val="000000" w:themeColor="text1"/>
        </w:rPr>
        <w:t xml:space="preserve"> statistically significant cell death for incubation times of 30 min, 2</w:t>
      </w:r>
      <w:r w:rsidR="00651E7A">
        <w:rPr>
          <w:rFonts w:ascii="Arial" w:hAnsi="Arial" w:cs="Arial"/>
          <w:color w:val="000000" w:themeColor="text1"/>
        </w:rPr>
        <w:t> </w:t>
      </w:r>
      <w:r w:rsidRPr="00D74025">
        <w:rPr>
          <w:rFonts w:ascii="Arial" w:hAnsi="Arial" w:cs="Arial"/>
          <w:color w:val="000000" w:themeColor="text1"/>
        </w:rPr>
        <w:t>h, 24 h</w:t>
      </w:r>
      <w:r>
        <w:rPr>
          <w:rFonts w:ascii="Arial" w:hAnsi="Arial" w:cs="Arial"/>
          <w:color w:val="000000" w:themeColor="text1"/>
        </w:rPr>
        <w:t>,</w:t>
      </w:r>
      <w:r w:rsidRPr="00D74025">
        <w:rPr>
          <w:rFonts w:ascii="Arial" w:hAnsi="Arial" w:cs="Arial"/>
          <w:color w:val="000000" w:themeColor="text1"/>
        </w:rPr>
        <w:t xml:space="preserve"> and 48 h. SW</w:t>
      </w:r>
      <w:r w:rsidR="00187AE6">
        <w:rPr>
          <w:rFonts w:ascii="Arial" w:hAnsi="Arial" w:cs="Arial"/>
          <w:color w:val="000000" w:themeColor="text1"/>
        </w:rPr>
        <w:t>C</w:t>
      </w:r>
      <w:r w:rsidRPr="00D74025">
        <w:rPr>
          <w:rFonts w:ascii="Arial" w:hAnsi="Arial" w:cs="Arial"/>
          <w:color w:val="000000" w:themeColor="text1"/>
        </w:rPr>
        <w:t xml:space="preserve">NT-RFB4 </w:t>
      </w:r>
      <w:r>
        <w:rPr>
          <w:rFonts w:ascii="Arial" w:hAnsi="Arial" w:cs="Arial"/>
          <w:color w:val="000000" w:themeColor="text1"/>
        </w:rPr>
        <w:t>did</w:t>
      </w:r>
      <w:r w:rsidR="00651E7A">
        <w:rPr>
          <w:rFonts w:ascii="Arial" w:hAnsi="Arial" w:cs="Arial"/>
          <w:color w:val="000000" w:themeColor="text1"/>
        </w:rPr>
        <w:t xml:space="preserve"> not </w:t>
      </w:r>
      <w:r w:rsidRPr="00D74025">
        <w:rPr>
          <w:rFonts w:ascii="Arial" w:hAnsi="Arial" w:cs="Arial"/>
          <w:color w:val="000000" w:themeColor="text1"/>
        </w:rPr>
        <w:t xml:space="preserve">promote </w:t>
      </w:r>
      <w:r>
        <w:rPr>
          <w:rFonts w:ascii="Arial" w:hAnsi="Arial" w:cs="Arial"/>
          <w:color w:val="000000" w:themeColor="text1"/>
        </w:rPr>
        <w:t>considerable</w:t>
      </w:r>
      <w:r w:rsidRPr="00D74025">
        <w:rPr>
          <w:rFonts w:ascii="Arial" w:hAnsi="Arial" w:cs="Arial"/>
          <w:color w:val="000000" w:themeColor="text1"/>
        </w:rPr>
        <w:t xml:space="preserve"> cell death compared to </w:t>
      </w:r>
      <w:r>
        <w:rPr>
          <w:rFonts w:ascii="Arial" w:hAnsi="Arial" w:cs="Arial"/>
          <w:color w:val="000000" w:themeColor="text1"/>
        </w:rPr>
        <w:t xml:space="preserve">the </w:t>
      </w:r>
      <w:r w:rsidRPr="00D74025">
        <w:rPr>
          <w:rFonts w:ascii="Arial" w:hAnsi="Arial" w:cs="Arial"/>
          <w:color w:val="000000" w:themeColor="text1"/>
        </w:rPr>
        <w:t xml:space="preserve">negative control. </w:t>
      </w:r>
    </w:p>
    <w:p w14:paraId="4968F556" w14:textId="77777777" w:rsidR="00765416" w:rsidRPr="00D74025" w:rsidRDefault="00765416" w:rsidP="00765416">
      <w:pPr>
        <w:spacing w:line="360" w:lineRule="auto"/>
        <w:ind w:firstLine="1440"/>
        <w:jc w:val="both"/>
        <w:rPr>
          <w:rFonts w:ascii="Arial" w:hAnsi="Arial" w:cs="Arial"/>
          <w:color w:val="000000" w:themeColor="text1"/>
        </w:rPr>
      </w:pPr>
      <w:r>
        <w:rPr>
          <w:rFonts w:ascii="Arial" w:hAnsi="Arial" w:cs="Arial"/>
          <w:color w:val="000000" w:themeColor="text1"/>
        </w:rPr>
        <w:t>In conclusion, there is evidence that using targeting agents improves the efficiency of CNT-mediated PTT. In our studies, the use of ANXA5 as a targeting agent is promising due to its potential application in many types of tumors beyond the breast cancer models that are the scope of this dissertation.</w:t>
      </w:r>
    </w:p>
    <w:p w14:paraId="5AD8137B" w14:textId="47622A79" w:rsidR="007F5E34" w:rsidRPr="00D74025" w:rsidRDefault="007F5E34" w:rsidP="007F5E34">
      <w:pPr>
        <w:spacing w:line="360" w:lineRule="auto"/>
        <w:ind w:firstLine="1440"/>
        <w:jc w:val="both"/>
        <w:rPr>
          <w:rFonts w:ascii="Arial" w:hAnsi="Arial" w:cs="Arial"/>
          <w:color w:val="000000" w:themeColor="text1"/>
        </w:rPr>
      </w:pPr>
      <w:r w:rsidRPr="00D74025">
        <w:rPr>
          <w:rFonts w:ascii="Arial" w:hAnsi="Arial" w:cs="Arial"/>
          <w:i/>
          <w:iCs/>
          <w:color w:val="000000" w:themeColor="text1"/>
        </w:rPr>
        <w:t>In vitro</w:t>
      </w:r>
      <w:r w:rsidRPr="00D74025">
        <w:rPr>
          <w:rFonts w:ascii="Arial" w:hAnsi="Arial" w:cs="Arial"/>
          <w:color w:val="000000" w:themeColor="text1"/>
        </w:rPr>
        <w:t xml:space="preserve"> studies provide </w:t>
      </w:r>
      <w:r>
        <w:rPr>
          <w:rFonts w:ascii="Arial" w:hAnsi="Arial" w:cs="Arial"/>
          <w:color w:val="000000" w:themeColor="text1"/>
        </w:rPr>
        <w:t>essential</w:t>
      </w:r>
      <w:r w:rsidRPr="00D74025">
        <w:rPr>
          <w:rFonts w:ascii="Arial" w:hAnsi="Arial" w:cs="Arial"/>
          <w:color w:val="000000" w:themeColor="text1"/>
        </w:rPr>
        <w:t xml:space="preserve"> data </w:t>
      </w:r>
      <w:r>
        <w:rPr>
          <w:rFonts w:ascii="Arial" w:hAnsi="Arial" w:cs="Arial"/>
          <w:color w:val="000000" w:themeColor="text1"/>
        </w:rPr>
        <w:t>on</w:t>
      </w:r>
      <w:r w:rsidRPr="00D74025">
        <w:rPr>
          <w:rFonts w:ascii="Arial" w:hAnsi="Arial" w:cs="Arial"/>
          <w:color w:val="000000" w:themeColor="text1"/>
        </w:rPr>
        <w:t xml:space="preserve"> individual steps in mechanistic processes in cancer development and therapeutics. Nevertheless, </w:t>
      </w:r>
      <w:r w:rsidRPr="00D74025">
        <w:rPr>
          <w:rFonts w:ascii="Arial" w:hAnsi="Arial" w:cs="Arial"/>
          <w:i/>
          <w:iCs/>
          <w:color w:val="000000" w:themeColor="text1"/>
        </w:rPr>
        <w:t>in vivo</w:t>
      </w:r>
      <w:r w:rsidRPr="00D74025">
        <w:rPr>
          <w:rFonts w:ascii="Arial" w:hAnsi="Arial" w:cs="Arial"/>
          <w:color w:val="000000" w:themeColor="text1"/>
        </w:rPr>
        <w:t xml:space="preserve"> studies are necessary to excel </w:t>
      </w:r>
      <w:r>
        <w:rPr>
          <w:rFonts w:ascii="Arial" w:hAnsi="Arial" w:cs="Arial"/>
          <w:color w:val="000000" w:themeColor="text1"/>
        </w:rPr>
        <w:t xml:space="preserve">in </w:t>
      </w:r>
      <w:r w:rsidRPr="00D74025">
        <w:rPr>
          <w:rFonts w:ascii="Arial" w:hAnsi="Arial" w:cs="Arial"/>
          <w:color w:val="000000" w:themeColor="text1"/>
        </w:rPr>
        <w:t>modeling physiological interactions and tumor microenvironment complexity, including stroma, endothelium, angiogenesis, immunity interactions</w:t>
      </w:r>
      <w:r>
        <w:rPr>
          <w:rFonts w:ascii="Arial" w:hAnsi="Arial" w:cs="Arial"/>
          <w:color w:val="000000" w:themeColor="text1"/>
        </w:rPr>
        <w:t>,</w:t>
      </w:r>
      <w:r w:rsidRPr="00D74025">
        <w:rPr>
          <w:rFonts w:ascii="Arial" w:hAnsi="Arial" w:cs="Arial"/>
          <w:color w:val="000000" w:themeColor="text1"/>
        </w:rPr>
        <w:t xml:space="preserve"> and other </w:t>
      </w:r>
      <w:r w:rsidR="00AB545D">
        <w:rPr>
          <w:rFonts w:ascii="Arial" w:hAnsi="Arial" w:cs="Arial"/>
          <w:color w:val="000000" w:themeColor="text1"/>
        </w:rPr>
        <w:t>processes</w:t>
      </w:r>
      <w:r w:rsidRPr="00D74025">
        <w:rPr>
          <w:rFonts w:ascii="Arial" w:hAnsi="Arial" w:cs="Arial"/>
          <w:color w:val="000000" w:themeColor="text1"/>
        </w:rPr>
        <w:t xml:space="preserve">. Another </w:t>
      </w:r>
      <w:r>
        <w:rPr>
          <w:rFonts w:ascii="Arial" w:hAnsi="Arial" w:cs="Arial"/>
          <w:color w:val="000000" w:themeColor="text1"/>
        </w:rPr>
        <w:t>critical</w:t>
      </w:r>
      <w:r w:rsidRPr="00D74025">
        <w:rPr>
          <w:rFonts w:ascii="Arial" w:hAnsi="Arial" w:cs="Arial"/>
          <w:color w:val="000000" w:themeColor="text1"/>
        </w:rPr>
        <w:t xml:space="preserve"> factor that can only be analyzed </w:t>
      </w:r>
      <w:r w:rsidRPr="00D74025">
        <w:rPr>
          <w:rFonts w:ascii="Arial" w:hAnsi="Arial" w:cs="Arial"/>
          <w:i/>
          <w:iCs/>
          <w:color w:val="000000" w:themeColor="text1"/>
        </w:rPr>
        <w:t>in vivo</w:t>
      </w:r>
      <w:r w:rsidRPr="00D74025">
        <w:rPr>
          <w:rFonts w:ascii="Arial" w:hAnsi="Arial" w:cs="Arial"/>
          <w:color w:val="000000" w:themeColor="text1"/>
        </w:rPr>
        <w:t xml:space="preserve"> is metastasis, which is the cause of 90% of the deaths related to cancer</w:t>
      </w:r>
      <w:r w:rsidRPr="00D74025">
        <w:rPr>
          <w:rFonts w:ascii="Arial" w:hAnsi="Arial" w:cs="Arial"/>
          <w:color w:val="000000" w:themeColor="text1"/>
        </w:rPr>
        <w:fldChar w:fldCharType="begin" w:fldLock="1"/>
      </w:r>
      <w:r w:rsidR="000F4F53">
        <w:rPr>
          <w:rFonts w:ascii="Arial" w:hAnsi="Arial" w:cs="Arial"/>
          <w:color w:val="000000" w:themeColor="text1"/>
        </w:rPr>
        <w:instrText xml:space="preserve"> ADDIN ZOTERO_ITEM CSL_CITATION {"citationID":"yPZLi56f","properties":{"formattedCitation":"\\super 303\\nosupersub{}","plainCitation":"303","noteIndex":0},"citationItems":[{"id":"a7Mi7BUu/w0lB7SED","uris":["http://www.mendeley.com/documents/?uuid=afe1d505-7f7d-49ed-8f9b-183ce457f826"],"itemData":{"DOI":"10.3389/fbioe.2016.00012","ISSN":"22964185","PMID":"26904541","abstract":"In vitro tumor models have provided important tools for cancer research and serve as low-cost screening platforms for drug therapies; however, cancer recurrence remains largely unchecked due to metastasis, which is the cause of the majority of cancer-related deaths. The need for an improved understanding of the progression and treatment of cancer has pushed for increased accuracy and physiological relevance of in vitro tumor models. As a result, in vitro tumor models have concurrently increased in complexity and their output parameters further diversified, since these models have progressed beyond simple proliferation, invasion, and cytotoxicity screens and have begun recapitulating critical steps in the metastatic cascade, such as intravasation, extravasation, angiogenesis, matrix remodeling, and tumor cell dormancy. Advances in tumor cell biology, 3D cell culture, tissue engineering, biomaterials, microfabrication, and microfluidics have enabled rapid development of new in vitro tumor models that often incorporate multiple cell types, extracellular matrix materials, and spatial and temporal introduction of soluble factors. Other innovations include the incorporation of perfusable microvessels to simulate the tumor vasculature and model intravasation and extravasation. The drive toward precision medicine has increased interest in adapting in vitro tumor models for patient-specific therapies, clinical management, and assessment of metastatic potential. Here, we review the wide range of current in vitro tumor models and summarize their advantages, disadvantages, and suitability in modeling specific aspects of the metastatic cascade and drug treatment.","author":[{"dropping-particle":"","family":"Katt","given":"Moriah E.","non-dropping-particle":"","parse-names":false,"suffix":""},{"dropping-particle":"","family":"Placone","given":"Amanda L.","non-dropping-particle":"","parse-names":false,"suffix":""},{"dropping-particle":"","family":"Wong","given":"Andrew D.","non-dropping-particle":"","parse-names":false,"suffix":""},{"dropping-particle":"","family":"Xu","given":"Zinnia S.","non-dropping-particle":"","parse-names":false,"suffix":""},{"dropping-particle":"","family":"Searson","given":"Peter C.","non-dropping-particle":"","parse-names":false,"suffix":""}],"container-title":"Frontiers in Bioengineering and Biotechnology","id":"ITEM-1","issue":"FEB","issued":{"date-parts":[["2016"]]},"title":"In vitro tumor models: Advantages, disadvantages, variables, and selecting the right platform","type":"article-journal","volume":"4"}}],"schema":"https://github.com/citation-style-language/schema/raw/master/csl-citation.json"}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303</w:t>
      </w:r>
      <w:r w:rsidRPr="00D74025">
        <w:rPr>
          <w:rFonts w:ascii="Arial" w:hAnsi="Arial" w:cs="Arial"/>
          <w:color w:val="000000" w:themeColor="text1"/>
        </w:rPr>
        <w:fldChar w:fldCharType="end"/>
      </w:r>
      <w:r w:rsidRPr="00D74025">
        <w:rPr>
          <w:rFonts w:ascii="Arial" w:hAnsi="Arial" w:cs="Arial"/>
          <w:color w:val="000000" w:themeColor="text1"/>
        </w:rPr>
        <w:t xml:space="preserve">. Therefore, the </w:t>
      </w:r>
      <w:r>
        <w:rPr>
          <w:rFonts w:ascii="Arial" w:hAnsi="Arial" w:cs="Arial"/>
          <w:color w:val="000000" w:themeColor="text1"/>
        </w:rPr>
        <w:t>following</w:t>
      </w:r>
      <w:r w:rsidRPr="00D74025">
        <w:rPr>
          <w:rFonts w:ascii="Arial" w:hAnsi="Arial" w:cs="Arial"/>
          <w:color w:val="000000" w:themeColor="text1"/>
        </w:rPr>
        <w:t xml:space="preserve"> section presents the results from </w:t>
      </w:r>
      <w:r w:rsidRPr="00D74025">
        <w:rPr>
          <w:rFonts w:ascii="Arial" w:hAnsi="Arial" w:cs="Arial"/>
          <w:i/>
          <w:iCs/>
          <w:color w:val="000000" w:themeColor="text1"/>
        </w:rPr>
        <w:t>in vivo</w:t>
      </w:r>
      <w:r w:rsidRPr="00D74025">
        <w:rPr>
          <w:rFonts w:ascii="Arial" w:hAnsi="Arial" w:cs="Arial"/>
          <w:color w:val="000000" w:themeColor="text1"/>
        </w:rPr>
        <w:t xml:space="preserve"> studies </w:t>
      </w:r>
      <w:r>
        <w:rPr>
          <w:rFonts w:ascii="Arial" w:hAnsi="Arial" w:cs="Arial"/>
          <w:color w:val="000000" w:themeColor="text1"/>
        </w:rPr>
        <w:t>using</w:t>
      </w:r>
      <w:r w:rsidRPr="00D74025">
        <w:rPr>
          <w:rFonts w:ascii="Arial" w:hAnsi="Arial" w:cs="Arial"/>
          <w:color w:val="000000" w:themeColor="text1"/>
        </w:rPr>
        <w:t xml:space="preserve"> SWCNT-ANXA5 mediated PTT</w:t>
      </w:r>
      <w:r>
        <w:rPr>
          <w:rFonts w:ascii="Arial" w:hAnsi="Arial" w:cs="Arial"/>
          <w:color w:val="000000" w:themeColor="text1"/>
        </w:rPr>
        <w:t xml:space="preserve"> to treat triple-negative breast cancer models in mice.</w:t>
      </w:r>
    </w:p>
    <w:p w14:paraId="5BAA60BD" w14:textId="77777777" w:rsidR="00C10C1B" w:rsidRPr="00D74025" w:rsidRDefault="00C10C1B" w:rsidP="00017375">
      <w:pPr>
        <w:rPr>
          <w:color w:val="000000" w:themeColor="text1"/>
        </w:rPr>
      </w:pPr>
    </w:p>
    <w:p w14:paraId="6BE65027" w14:textId="0FB77B44" w:rsidR="00407943" w:rsidRDefault="00407943" w:rsidP="00017375">
      <w:pPr>
        <w:rPr>
          <w:color w:val="000000" w:themeColor="text1"/>
        </w:rPr>
      </w:pPr>
      <w:r>
        <w:rPr>
          <w:color w:val="000000" w:themeColor="text1"/>
        </w:rPr>
        <w:br w:type="page"/>
      </w:r>
    </w:p>
    <w:p w14:paraId="6BA6D5BD" w14:textId="3825772B" w:rsidR="00017375" w:rsidRPr="00D74025" w:rsidRDefault="00647216" w:rsidP="00366232">
      <w:pPr>
        <w:pStyle w:val="Heading2"/>
        <w:ind w:firstLine="0"/>
        <w:rPr>
          <w:rFonts w:ascii="Arial" w:hAnsi="Arial" w:cs="Arial"/>
          <w:b/>
          <w:bCs/>
          <w:color w:val="000000" w:themeColor="text1"/>
          <w:sz w:val="28"/>
          <w:szCs w:val="28"/>
        </w:rPr>
      </w:pPr>
      <w:bookmarkStart w:id="131" w:name="_Toc121217283"/>
      <w:r w:rsidRPr="00D74025">
        <w:rPr>
          <w:rFonts w:ascii="Arial" w:hAnsi="Arial" w:cs="Arial"/>
          <w:b/>
          <w:bCs/>
          <w:color w:val="000000" w:themeColor="text1"/>
          <w:sz w:val="28"/>
          <w:szCs w:val="28"/>
        </w:rPr>
        <w:lastRenderedPageBreak/>
        <w:t>3.2</w:t>
      </w:r>
      <w:r w:rsidR="00084C5E" w:rsidRPr="00D74025">
        <w:rPr>
          <w:rFonts w:ascii="Arial" w:hAnsi="Arial" w:cs="Arial"/>
          <w:b/>
          <w:bCs/>
          <w:color w:val="000000" w:themeColor="text1"/>
          <w:sz w:val="28"/>
          <w:szCs w:val="28"/>
        </w:rPr>
        <w:t xml:space="preserve"> </w:t>
      </w:r>
      <w:r w:rsidR="00084C5E" w:rsidRPr="00D74025">
        <w:rPr>
          <w:rFonts w:ascii="Arial" w:hAnsi="Arial" w:cs="Arial"/>
          <w:b/>
          <w:bCs/>
          <w:i/>
          <w:iCs/>
          <w:color w:val="000000" w:themeColor="text1"/>
          <w:sz w:val="28"/>
          <w:szCs w:val="28"/>
        </w:rPr>
        <w:t xml:space="preserve">In vivo </w:t>
      </w:r>
      <w:r w:rsidR="00084C5E" w:rsidRPr="00D74025">
        <w:rPr>
          <w:rFonts w:ascii="Arial" w:hAnsi="Arial" w:cs="Arial"/>
          <w:b/>
          <w:bCs/>
          <w:color w:val="000000" w:themeColor="text1"/>
          <w:sz w:val="28"/>
          <w:szCs w:val="28"/>
        </w:rPr>
        <w:t>studies with SWCNT-ANXA5</w:t>
      </w:r>
      <w:r w:rsidR="00C2282F" w:rsidRPr="00D74025">
        <w:rPr>
          <w:rFonts w:ascii="Arial" w:hAnsi="Arial" w:cs="Arial"/>
          <w:b/>
          <w:bCs/>
          <w:color w:val="000000" w:themeColor="text1"/>
          <w:sz w:val="28"/>
          <w:szCs w:val="28"/>
        </w:rPr>
        <w:t>-</w:t>
      </w:r>
      <w:r w:rsidR="00084C5E" w:rsidRPr="00D74025">
        <w:rPr>
          <w:rFonts w:ascii="Arial" w:hAnsi="Arial" w:cs="Arial"/>
          <w:b/>
          <w:bCs/>
          <w:color w:val="000000" w:themeColor="text1"/>
          <w:sz w:val="28"/>
          <w:szCs w:val="28"/>
        </w:rPr>
        <w:t>mediated PTT</w:t>
      </w:r>
      <w:bookmarkEnd w:id="131"/>
    </w:p>
    <w:p w14:paraId="40B83484" w14:textId="77777777" w:rsidR="00E113AE" w:rsidRPr="00D74025" w:rsidRDefault="00E113AE" w:rsidP="00E113AE">
      <w:pPr>
        <w:rPr>
          <w:color w:val="000000" w:themeColor="text1"/>
        </w:rPr>
      </w:pPr>
    </w:p>
    <w:p w14:paraId="7061096D" w14:textId="46A1C6A4" w:rsidR="00017375" w:rsidRPr="00D74025" w:rsidRDefault="00AE1064" w:rsidP="00F300C8">
      <w:pPr>
        <w:pStyle w:val="Heading3"/>
        <w:rPr>
          <w:rFonts w:ascii="Arial" w:hAnsi="Arial" w:cs="Arial"/>
          <w:b/>
          <w:bCs/>
          <w:color w:val="000000" w:themeColor="text1"/>
        </w:rPr>
      </w:pPr>
      <w:bookmarkStart w:id="132" w:name="_Toc121217284"/>
      <w:r w:rsidRPr="00D74025">
        <w:rPr>
          <w:rFonts w:ascii="Arial" w:hAnsi="Arial" w:cs="Arial"/>
          <w:b/>
          <w:bCs/>
          <w:color w:val="000000" w:themeColor="text1"/>
        </w:rPr>
        <w:t>3.2.1 EMT6 tumor model treated with SWCNT-ANXA5 mediated PTT</w:t>
      </w:r>
      <w:bookmarkEnd w:id="132"/>
    </w:p>
    <w:p w14:paraId="66B9770B" w14:textId="7418DC53" w:rsidR="00017375" w:rsidRPr="00D74025" w:rsidRDefault="00017375" w:rsidP="006E1DE5">
      <w:pPr>
        <w:spacing w:line="360" w:lineRule="auto"/>
        <w:rPr>
          <w:color w:val="000000" w:themeColor="text1"/>
        </w:rPr>
      </w:pPr>
    </w:p>
    <w:p w14:paraId="58E0B6A6" w14:textId="4A237514" w:rsidR="001003F1" w:rsidRPr="00D74025" w:rsidRDefault="001003F1" w:rsidP="001003F1">
      <w:pPr>
        <w:spacing w:line="360" w:lineRule="auto"/>
        <w:ind w:firstLine="1440"/>
        <w:jc w:val="both"/>
        <w:rPr>
          <w:rFonts w:ascii="Arial" w:eastAsiaTheme="minorEastAsia" w:hAnsi="Arial" w:cs="Arial"/>
          <w:color w:val="000000" w:themeColor="text1"/>
        </w:rPr>
      </w:pPr>
      <w:r w:rsidRPr="00D74025">
        <w:rPr>
          <w:rFonts w:ascii="Arial" w:eastAsiaTheme="minorEastAsia" w:hAnsi="Arial" w:cs="Arial"/>
          <w:color w:val="000000" w:themeColor="text1"/>
        </w:rPr>
        <w:t>Previous work in our lab was done by treating female BALB/</w:t>
      </w:r>
      <w:proofErr w:type="spellStart"/>
      <w:r w:rsidRPr="00D74025">
        <w:rPr>
          <w:rFonts w:ascii="Arial" w:eastAsiaTheme="minorEastAsia" w:hAnsi="Arial" w:cs="Arial"/>
          <w:color w:val="000000" w:themeColor="text1"/>
        </w:rPr>
        <w:t>cJ</w:t>
      </w:r>
      <w:proofErr w:type="spellEnd"/>
      <w:r w:rsidRPr="00D74025">
        <w:rPr>
          <w:rFonts w:ascii="Arial" w:eastAsiaTheme="minorEastAsia" w:hAnsi="Arial" w:cs="Arial"/>
          <w:color w:val="000000" w:themeColor="text1"/>
        </w:rPr>
        <w:t xml:space="preserve"> mice bearing EMT6 tumors with combination therapy of SWCNT-ANXA5 mediated photothermal therapy and checkpoint inhibition </w:t>
      </w:r>
      <w:r w:rsidR="00F671D0">
        <w:rPr>
          <w:rFonts w:ascii="Arial" w:eastAsiaTheme="minorEastAsia" w:hAnsi="Arial" w:cs="Arial"/>
          <w:color w:val="000000" w:themeColor="text1"/>
        </w:rPr>
        <w:t>with</w:t>
      </w:r>
      <w:r w:rsidRPr="00D74025">
        <w:rPr>
          <w:rFonts w:ascii="Arial" w:eastAsiaTheme="minorEastAsia" w:hAnsi="Arial" w:cs="Arial"/>
          <w:color w:val="000000" w:themeColor="text1"/>
        </w:rPr>
        <w:t xml:space="preserve"> anti-CTLA-4. The treatment consisted of </w:t>
      </w:r>
      <w:r w:rsidR="00F671D0">
        <w:rPr>
          <w:rFonts w:ascii="Arial" w:eastAsiaTheme="minorEastAsia" w:hAnsi="Arial" w:cs="Arial"/>
          <w:color w:val="000000" w:themeColor="text1"/>
        </w:rPr>
        <w:t>three</w:t>
      </w:r>
      <w:r w:rsidRPr="00D74025">
        <w:rPr>
          <w:rFonts w:ascii="Arial" w:eastAsiaTheme="minorEastAsia" w:hAnsi="Arial" w:cs="Arial"/>
          <w:color w:val="000000" w:themeColor="text1"/>
        </w:rPr>
        <w:t xml:space="preserve"> injections of anti-CTLA-4, </w:t>
      </w:r>
      <w:r>
        <w:rPr>
          <w:rFonts w:ascii="Arial" w:eastAsiaTheme="minorEastAsia" w:hAnsi="Arial" w:cs="Arial"/>
          <w:color w:val="000000" w:themeColor="text1"/>
        </w:rPr>
        <w:t xml:space="preserve">an </w:t>
      </w:r>
      <w:r w:rsidRPr="00D74025">
        <w:rPr>
          <w:rFonts w:ascii="Arial" w:eastAsiaTheme="minorEastAsia" w:hAnsi="Arial" w:cs="Arial"/>
          <w:color w:val="000000" w:themeColor="text1"/>
        </w:rPr>
        <w:t>intravenous injection of SWCNT-ANXA5, and 980 nm-laser treatment at 1</w:t>
      </w:r>
      <w:r w:rsidR="00F671D0">
        <w:rPr>
          <w:rFonts w:ascii="Arial" w:eastAsiaTheme="minorEastAsia" w:hAnsi="Arial" w:cs="Arial"/>
          <w:color w:val="000000" w:themeColor="text1"/>
        </w:rPr>
        <w:t> </w:t>
      </w:r>
      <w:r w:rsidRPr="00D74025">
        <w:rPr>
          <w:rFonts w:ascii="Arial" w:eastAsiaTheme="minorEastAsia" w:hAnsi="Arial" w:cs="Arial"/>
          <w:color w:val="000000" w:themeColor="text1"/>
        </w:rPr>
        <w:t>W/cm</w:t>
      </w:r>
      <w:r w:rsidRPr="00D74025">
        <w:rPr>
          <w:rFonts w:ascii="Arial" w:eastAsiaTheme="minorEastAsia" w:hAnsi="Arial" w:cs="Arial"/>
          <w:color w:val="000000" w:themeColor="text1"/>
          <w:vertAlign w:val="superscript"/>
        </w:rPr>
        <w:t>2</w:t>
      </w:r>
      <w:r w:rsidRPr="00D74025">
        <w:rPr>
          <w:rFonts w:ascii="Arial" w:eastAsiaTheme="minorEastAsia" w:hAnsi="Arial" w:cs="Arial"/>
          <w:color w:val="000000" w:themeColor="text1"/>
        </w:rPr>
        <w:t xml:space="preserve"> for 175 s. The complete treatment group had a 55% survival at 100 days after tumor inoculation</w:t>
      </w:r>
      <w:r w:rsidR="003D5118">
        <w:rPr>
          <w:rFonts w:ascii="Arial" w:eastAsiaTheme="minorEastAsia" w:hAnsi="Arial" w:cs="Arial"/>
          <w:color w:val="000000" w:themeColor="text1"/>
        </w:rPr>
        <w:t xml:space="preserve">. </w:t>
      </w:r>
      <w:r w:rsidR="00782FB0">
        <w:rPr>
          <w:rFonts w:ascii="Arial" w:eastAsiaTheme="minorEastAsia" w:hAnsi="Arial" w:cs="Arial"/>
          <w:color w:val="000000" w:themeColor="text1"/>
        </w:rPr>
        <w:t xml:space="preserve">Nevertheless, </w:t>
      </w:r>
      <w:r w:rsidRPr="00D74025">
        <w:rPr>
          <w:rFonts w:ascii="Arial" w:eastAsiaTheme="minorEastAsia" w:hAnsi="Arial" w:cs="Arial"/>
          <w:color w:val="000000" w:themeColor="text1"/>
        </w:rPr>
        <w:t xml:space="preserve">anti-CTLA-4 </w:t>
      </w:r>
      <w:r w:rsidR="00782FB0">
        <w:rPr>
          <w:rFonts w:ascii="Arial" w:eastAsiaTheme="minorEastAsia" w:hAnsi="Arial" w:cs="Arial"/>
          <w:color w:val="000000" w:themeColor="text1"/>
        </w:rPr>
        <w:t xml:space="preserve">alone </w:t>
      </w:r>
      <w:r w:rsidRPr="00D74025">
        <w:rPr>
          <w:rFonts w:ascii="Arial" w:eastAsiaTheme="minorEastAsia" w:hAnsi="Arial" w:cs="Arial"/>
          <w:color w:val="000000" w:themeColor="text1"/>
        </w:rPr>
        <w:t xml:space="preserve">and PTT alone </w:t>
      </w:r>
      <w:r>
        <w:rPr>
          <w:rFonts w:ascii="Arial" w:eastAsiaTheme="minorEastAsia" w:hAnsi="Arial" w:cs="Arial"/>
          <w:color w:val="000000" w:themeColor="text1"/>
        </w:rPr>
        <w:t>increase</w:t>
      </w:r>
      <w:r w:rsidRPr="00D74025">
        <w:rPr>
          <w:rFonts w:ascii="Arial" w:eastAsiaTheme="minorEastAsia" w:hAnsi="Arial" w:cs="Arial"/>
          <w:color w:val="000000" w:themeColor="text1"/>
        </w:rPr>
        <w:t xml:space="preserve"> survival compared to untreated control</w:t>
      </w:r>
      <w:r w:rsidR="00451CA7">
        <w:rPr>
          <w:rFonts w:ascii="Arial" w:eastAsiaTheme="minorEastAsia" w:hAnsi="Arial" w:cs="Arial"/>
          <w:color w:val="000000" w:themeColor="text1"/>
        </w:rPr>
        <w:t xml:space="preserve">, but all the mice died </w:t>
      </w:r>
      <w:r w:rsidR="00557D0B">
        <w:rPr>
          <w:rFonts w:ascii="Arial" w:eastAsiaTheme="minorEastAsia" w:hAnsi="Arial" w:cs="Arial"/>
          <w:color w:val="000000" w:themeColor="text1"/>
        </w:rPr>
        <w:t>before 100 days</w:t>
      </w:r>
      <w:r w:rsidRPr="00D74025">
        <w:rPr>
          <w:rFonts w:ascii="Arial" w:eastAsiaTheme="minorEastAsia" w:hAnsi="Arial" w:cs="Arial"/>
          <w:color w:val="000000" w:themeColor="text1"/>
        </w:rPr>
        <w:fldChar w:fldCharType="begin"/>
      </w:r>
      <w:r w:rsidR="000F4F53">
        <w:rPr>
          <w:rFonts w:ascii="Arial" w:eastAsiaTheme="minorEastAsia" w:hAnsi="Arial" w:cs="Arial"/>
          <w:color w:val="000000" w:themeColor="text1"/>
        </w:rPr>
        <w:instrText xml:space="preserve"> ADDIN ZOTERO_ITEM CSL_CITATION {"citationID":"a1ikc7e7dch","properties":{"formattedCitation":"\\super 283\\nosupersub{}","plainCitation":"283","noteIndex":0},"citationItems":[{"id":375,"uris":["http://zotero.org/users/7661987/items/CYBISZI9"],"itemData":{"id":375,"type":"article-journal","abstract":"The greatest contributors to cancer mortality are metastasis and the consequences of its treatment. Here, we present a novel treatment of metastatic breast cancer that combines photothermal therapy with targeted single-walled carbon nanotubes (SWCNTs) and immunostimulation with a checkpoint inhibitor. We find that the selective near-infrared photothermal ablation of primary orthotopic EMT6 breast tumors in syngeneic BALB/cJ mice using an annexin A5 (ANXA5) functionalized SWCNT bioconjugate synergistically enhances an anti-cytotoxic T-lymphocyte-associated protein 4 (anti-CTLA-4)-dependent abscopal response, resulting in an increased survival (55%) at 100 days after tumor inoculation. In comparison, there was no survival at 100 days for either photothermal therapy by itself or immunostimulation by itself. Prior to photothermal therapy, the SWCNT-ANXA5 bioconjugate was administered systemically at a relatively low dose of 1.2 mg/kg, where it then accumulated in tumor vasculature via ANXA5-dependent binding. During photothermal therapy, the average maximum temperature in the tumor reached 54 °C (duration 175 s). The mechanism of prolonged survival resulting from combinatorial photothermal ablation and immune stimulation was evaluated by flow cytometric quantification of splenic antitumoral immune effector cells and serum cytokine quantification.","container-title":"Nanoscale Research Letters","DOI":"10.1186/s11671-020-03459-x","ISSN":"1556-276X","issue":"1","journalAbbreviation":"Nanoscale Research Letters","page":"9","title":"Targeted Single-Walled Carbon Nanotubes for Photothermal Therapy Combined with Immune Checkpoint Inhibition for the Treatment of Metastatic Breast Cancer","volume":"16","author":[{"family":"McKernan","given":"Patrick"},{"family":"Virani","given":"Needa A."},{"family":"Faria","given":"Gabriela N. F."},{"family":"Karch","given":"Clément G."},{"family":"Prada Silvy","given":"Ricardo"},{"family":"Resasco","given":"Daniel E."},{"family":"Thompson","given":"Linda F."},{"family":"Harrison","given":"Roger G."}],"issued":{"date-parts":[["2021",1,7]]}}}],"schema":"https://github.com/citation-style-language/schema/raw/master/csl-citation.json"} </w:instrText>
      </w:r>
      <w:r w:rsidRPr="00D74025">
        <w:rPr>
          <w:rFonts w:ascii="Arial" w:eastAsiaTheme="minorEastAsia" w:hAnsi="Arial" w:cs="Arial"/>
          <w:color w:val="000000" w:themeColor="text1"/>
        </w:rPr>
        <w:fldChar w:fldCharType="separate"/>
      </w:r>
      <w:r w:rsidR="000F4F53" w:rsidRPr="000F4F53">
        <w:rPr>
          <w:rFonts w:ascii="Arial" w:hAnsi="Arial" w:cs="Arial"/>
          <w:color w:val="000000"/>
          <w:vertAlign w:val="superscript"/>
        </w:rPr>
        <w:t>283</w:t>
      </w:r>
      <w:r w:rsidRPr="00D74025">
        <w:rPr>
          <w:rFonts w:ascii="Arial" w:eastAsiaTheme="minorEastAsia" w:hAnsi="Arial" w:cs="Arial"/>
          <w:color w:val="000000" w:themeColor="text1"/>
        </w:rPr>
        <w:fldChar w:fldCharType="end"/>
      </w:r>
      <w:r w:rsidRPr="00D74025">
        <w:rPr>
          <w:rFonts w:ascii="Arial" w:eastAsiaTheme="minorEastAsia" w:hAnsi="Arial" w:cs="Arial"/>
          <w:color w:val="000000" w:themeColor="text1"/>
        </w:rPr>
        <w:t>. To study the mechanism of immune system activation for treatment</w:t>
      </w:r>
      <w:r>
        <w:rPr>
          <w:rFonts w:ascii="Arial" w:eastAsiaTheme="minorEastAsia" w:hAnsi="Arial" w:cs="Arial"/>
          <w:color w:val="000000" w:themeColor="text1"/>
        </w:rPr>
        <w:t>,</w:t>
      </w:r>
      <w:r w:rsidRPr="00D74025">
        <w:rPr>
          <w:rFonts w:ascii="Arial" w:eastAsiaTheme="minorEastAsia" w:hAnsi="Arial" w:cs="Arial"/>
          <w:color w:val="000000" w:themeColor="text1"/>
        </w:rPr>
        <w:t xml:space="preserve"> serum levels of TNF-</w:t>
      </w:r>
      <w:r w:rsidRPr="00D74025">
        <w:rPr>
          <w:rFonts w:ascii="Arial" w:eastAsiaTheme="minorEastAsia" w:hAnsi="Arial" w:cs="Arial"/>
          <w:color w:val="000000" w:themeColor="text1"/>
        </w:rPr>
        <w:sym w:font="Symbol" w:char="F061"/>
      </w:r>
      <w:r w:rsidRPr="00D74025">
        <w:rPr>
          <w:rFonts w:ascii="Arial" w:eastAsiaTheme="minorEastAsia" w:hAnsi="Arial" w:cs="Arial"/>
          <w:color w:val="000000" w:themeColor="text1"/>
        </w:rPr>
        <w:t>, IL-6, IFN-</w:t>
      </w:r>
      <w:r w:rsidRPr="00D74025">
        <w:rPr>
          <w:rFonts w:ascii="Arial" w:eastAsiaTheme="minorEastAsia" w:hAnsi="Arial" w:cs="Arial"/>
          <w:color w:val="000000" w:themeColor="text1"/>
        </w:rPr>
        <w:sym w:font="Symbol" w:char="F067"/>
      </w:r>
      <w:r w:rsidRPr="00D74025">
        <w:rPr>
          <w:rFonts w:ascii="Arial" w:eastAsiaTheme="minorEastAsia" w:hAnsi="Arial" w:cs="Arial"/>
          <w:color w:val="000000" w:themeColor="text1"/>
        </w:rPr>
        <w:t xml:space="preserve"> and IL-12 (p70) were quantified following procedures described in section </w:t>
      </w:r>
      <w:r>
        <w:rPr>
          <w:rFonts w:ascii="Arial" w:eastAsiaTheme="minorEastAsia" w:hAnsi="Arial" w:cs="Arial"/>
          <w:color w:val="000000" w:themeColor="text1"/>
        </w:rPr>
        <w:t>2.5.3</w:t>
      </w:r>
      <w:r w:rsidRPr="00D74025">
        <w:rPr>
          <w:rFonts w:ascii="Arial" w:eastAsiaTheme="minorEastAsia" w:hAnsi="Arial" w:cs="Arial"/>
          <w:color w:val="000000" w:themeColor="text1"/>
        </w:rPr>
        <w:t xml:space="preserve">. </w:t>
      </w:r>
      <w:r w:rsidRPr="00750F01">
        <w:rPr>
          <w:rFonts w:ascii="Arial" w:eastAsiaTheme="minorEastAsia" w:hAnsi="Arial" w:cs="Arial"/>
          <w:b/>
          <w:bCs/>
          <w:color w:val="000000" w:themeColor="text1"/>
        </w:rPr>
        <w:t xml:space="preserve">Figure </w:t>
      </w:r>
      <w:r w:rsidR="00750F01" w:rsidRPr="00750F01">
        <w:rPr>
          <w:rFonts w:ascii="Arial" w:eastAsiaTheme="minorEastAsia" w:hAnsi="Arial" w:cs="Arial"/>
          <w:b/>
          <w:bCs/>
          <w:color w:val="000000" w:themeColor="text1"/>
        </w:rPr>
        <w:t>34</w:t>
      </w:r>
      <w:r w:rsidRPr="00D74025">
        <w:rPr>
          <w:rFonts w:ascii="Arial" w:eastAsiaTheme="minorEastAsia" w:hAnsi="Arial" w:cs="Arial"/>
          <w:color w:val="000000" w:themeColor="text1"/>
        </w:rPr>
        <w:t xml:space="preserve"> </w:t>
      </w:r>
      <w:r>
        <w:rPr>
          <w:rFonts w:ascii="Arial" w:eastAsiaTheme="minorEastAsia" w:hAnsi="Arial" w:cs="Arial"/>
          <w:color w:val="000000" w:themeColor="text1"/>
        </w:rPr>
        <w:t>shows</w:t>
      </w:r>
      <w:r w:rsidRPr="00D74025">
        <w:rPr>
          <w:rFonts w:ascii="Arial" w:eastAsiaTheme="minorEastAsia" w:hAnsi="Arial" w:cs="Arial"/>
          <w:color w:val="000000" w:themeColor="text1"/>
        </w:rPr>
        <w:t xml:space="preserve"> TNF-</w:t>
      </w:r>
      <w:r w:rsidRPr="00D74025">
        <w:rPr>
          <w:rFonts w:ascii="Arial" w:eastAsiaTheme="minorEastAsia" w:hAnsi="Arial" w:cs="Arial"/>
          <w:color w:val="000000" w:themeColor="text1"/>
        </w:rPr>
        <w:sym w:font="Symbol" w:char="F061"/>
      </w:r>
      <w:r w:rsidRPr="00D74025">
        <w:rPr>
          <w:rFonts w:ascii="Arial" w:eastAsiaTheme="minorEastAsia" w:hAnsi="Arial" w:cs="Arial"/>
          <w:color w:val="000000" w:themeColor="text1"/>
        </w:rPr>
        <w:t xml:space="preserve">, IL-6, </w:t>
      </w:r>
      <w:r>
        <w:rPr>
          <w:rFonts w:ascii="Arial" w:eastAsiaTheme="minorEastAsia" w:hAnsi="Arial" w:cs="Arial"/>
          <w:color w:val="000000" w:themeColor="text1"/>
        </w:rPr>
        <w:t xml:space="preserve">and </w:t>
      </w:r>
      <w:r w:rsidRPr="00D74025">
        <w:rPr>
          <w:rFonts w:ascii="Arial" w:eastAsiaTheme="minorEastAsia" w:hAnsi="Arial" w:cs="Arial"/>
          <w:color w:val="000000" w:themeColor="text1"/>
        </w:rPr>
        <w:t>IFN-</w:t>
      </w:r>
      <w:r w:rsidRPr="00D74025">
        <w:rPr>
          <w:rFonts w:ascii="Arial" w:eastAsiaTheme="minorEastAsia" w:hAnsi="Arial" w:cs="Arial"/>
          <w:color w:val="000000" w:themeColor="text1"/>
        </w:rPr>
        <w:sym w:font="Symbol" w:char="F067"/>
      </w:r>
      <w:r w:rsidRPr="00D74025">
        <w:rPr>
          <w:rFonts w:ascii="Arial" w:eastAsiaTheme="minorEastAsia" w:hAnsi="Arial" w:cs="Arial"/>
          <w:color w:val="000000" w:themeColor="text1"/>
        </w:rPr>
        <w:t xml:space="preserve"> levels for each group (levels of IL-12 (p70) weren’t statistically significantly different between samples, so the results are in </w:t>
      </w:r>
      <w:r w:rsidR="001B1653">
        <w:rPr>
          <w:rFonts w:ascii="Arial" w:eastAsiaTheme="minorEastAsia" w:hAnsi="Arial" w:cs="Arial"/>
          <w:color w:val="000000" w:themeColor="text1"/>
        </w:rPr>
        <w:t>A</w:t>
      </w:r>
      <w:r w:rsidRPr="00D74025">
        <w:rPr>
          <w:rFonts w:ascii="Arial" w:eastAsiaTheme="minorEastAsia" w:hAnsi="Arial" w:cs="Arial"/>
          <w:color w:val="000000" w:themeColor="text1"/>
        </w:rPr>
        <w:t>ppendix</w:t>
      </w:r>
      <w:r>
        <w:rPr>
          <w:rFonts w:ascii="Arial" w:eastAsiaTheme="minorEastAsia" w:hAnsi="Arial" w:cs="Arial"/>
          <w:color w:val="000000" w:themeColor="text1"/>
        </w:rPr>
        <w:t xml:space="preserve"> A</w:t>
      </w:r>
      <w:r w:rsidR="001B1653">
        <w:rPr>
          <w:rFonts w:ascii="Arial" w:eastAsiaTheme="minorEastAsia" w:hAnsi="Arial" w:cs="Arial"/>
          <w:color w:val="000000" w:themeColor="text1"/>
        </w:rPr>
        <w:t xml:space="preserve"> - </w:t>
      </w:r>
      <w:r w:rsidR="001B1653" w:rsidRPr="001B1653">
        <w:rPr>
          <w:rFonts w:ascii="Arial" w:eastAsiaTheme="minorEastAsia" w:hAnsi="Arial" w:cs="Arial"/>
          <w:b/>
          <w:bCs/>
          <w:color w:val="000000" w:themeColor="text1"/>
        </w:rPr>
        <w:t>Figure 71</w:t>
      </w:r>
      <w:r w:rsidRPr="00D74025">
        <w:rPr>
          <w:rFonts w:ascii="Arial" w:eastAsiaTheme="minorEastAsia" w:hAnsi="Arial" w:cs="Arial"/>
          <w:color w:val="000000" w:themeColor="text1"/>
        </w:rPr>
        <w:t>).</w:t>
      </w:r>
    </w:p>
    <w:p w14:paraId="3BBC2D8F" w14:textId="77777777" w:rsidR="00241417" w:rsidRPr="00D74025" w:rsidRDefault="00241417" w:rsidP="00DA0BBB">
      <w:pPr>
        <w:spacing w:line="480" w:lineRule="auto"/>
        <w:ind w:left="360"/>
        <w:jc w:val="both"/>
        <w:rPr>
          <w:color w:val="000000" w:themeColor="text1"/>
        </w:rPr>
      </w:pPr>
    </w:p>
    <w:tbl>
      <w:tblPr>
        <w:tblStyle w:val="TableGrid"/>
        <w:tblW w:w="9356" w:type="dxa"/>
        <w:tblInd w:w="-5" w:type="dxa"/>
        <w:tblLayout w:type="fixed"/>
        <w:tblLook w:val="04A0" w:firstRow="1" w:lastRow="0" w:firstColumn="1" w:lastColumn="0" w:noHBand="0" w:noVBand="1"/>
      </w:tblPr>
      <w:tblGrid>
        <w:gridCol w:w="9356"/>
      </w:tblGrid>
      <w:tr w:rsidR="00D74025" w:rsidRPr="00D74025" w14:paraId="7D4215E1" w14:textId="77777777" w:rsidTr="00DA0BBB">
        <w:tc>
          <w:tcPr>
            <w:tcW w:w="9356" w:type="dxa"/>
          </w:tcPr>
          <w:p w14:paraId="61C27CFE" w14:textId="77777777" w:rsidR="00DA0BBB" w:rsidRPr="00D74025" w:rsidRDefault="00CA4574" w:rsidP="000D71A7">
            <w:pPr>
              <w:spacing w:beforeAutospacing="0"/>
              <w:ind w:firstLine="0"/>
              <w:jc w:val="left"/>
              <w:rPr>
                <w:color w:val="000000" w:themeColor="text1"/>
              </w:rPr>
            </w:pPr>
            <w:r w:rsidRPr="00F02202">
              <w:rPr>
                <w:noProof/>
                <w:color w:val="000000" w:themeColor="text1"/>
              </w:rPr>
            </w:r>
            <w:r w:rsidR="00CA4574" w:rsidRPr="00F02202">
              <w:rPr>
                <w:noProof/>
                <w:color w:val="000000" w:themeColor="text1"/>
              </w:rPr>
              <w:object w:dxaOrig="12696" w:dyaOrig="7152" w14:anchorId="0E5C7B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hart, bar chart&#13;&#13;&#13;&#13;&#13;&#13;&#13;&#13;&#13;&#13;&#13;&#13;&#13;&#13;&#13;&#13;&#13;&#13;&#13;&#13;&#13;&#13;&#13;&#13;&#13;&#13;&#13;&#13;&#13;&#13;&#13;&#13;&#13;&#13;&#13;&#13;&#13;&#13;&#13;&#13;&#10;&#13;&#13;&#13;&#13;&#13;&#13;&#13;&#13;&#13;&#13;&#13;&#13;&#13;&#13;&#13;&#13;&#13;&#13;&#13;&#13;&#13;&#13;&#13;&#13;&#13;&#13;&#13;&#13;&#13;&#13;&#13;&#13;&#13;&#13;&#13;&#13;&#13;&#13;&#13;&#13;&#10;Description automatically generated" style="width:453.2pt;height:256.95pt;mso-width-percent:0;mso-height-percent:0;mso-width-percent:0;mso-height-percent:0" o:ole="">
                  <v:imagedata r:id="rId53" o:title=""/>
                </v:shape>
                <o:OLEObject Type="Embed" ProgID="PBrush" ShapeID="_x0000_i1025" DrawAspect="Content" ObjectID="_1732099538" r:id="rId54"/>
              </w:object>
            </w:r>
          </w:p>
        </w:tc>
      </w:tr>
      <w:tr w:rsidR="00D74025" w:rsidRPr="00D74025" w14:paraId="3694946F" w14:textId="77777777" w:rsidTr="00DA0BBB">
        <w:tc>
          <w:tcPr>
            <w:tcW w:w="9356" w:type="dxa"/>
          </w:tcPr>
          <w:p w14:paraId="6B4E515F" w14:textId="3792325C" w:rsidR="00DA0BBB" w:rsidRPr="007C3AC6" w:rsidRDefault="004448DD" w:rsidP="007C3AC6">
            <w:pPr>
              <w:spacing w:line="360" w:lineRule="auto"/>
              <w:ind w:firstLine="0"/>
            </w:pPr>
            <w:bookmarkStart w:id="133" w:name="_Hlk56620898"/>
            <w:bookmarkStart w:id="134" w:name="_Toc121217356"/>
            <w:r w:rsidRPr="004448DD">
              <w:rPr>
                <w:rFonts w:ascii="Arial" w:hAnsi="Arial" w:cs="Arial"/>
                <w:b/>
                <w:bCs/>
                <w:color w:val="000000" w:themeColor="text1"/>
              </w:rPr>
              <w:t xml:space="preserve">Figure </w:t>
            </w:r>
            <w:r w:rsidRPr="004448DD">
              <w:rPr>
                <w:rFonts w:ascii="Arial" w:hAnsi="Arial" w:cs="Arial"/>
                <w:b/>
                <w:bCs/>
                <w:color w:val="000000" w:themeColor="text1"/>
              </w:rPr>
              <w:fldChar w:fldCharType="begin"/>
            </w:r>
            <w:r w:rsidRPr="004448DD">
              <w:rPr>
                <w:rFonts w:ascii="Arial" w:hAnsi="Arial" w:cs="Arial"/>
                <w:b/>
                <w:bCs/>
                <w:color w:val="000000" w:themeColor="text1"/>
              </w:rPr>
              <w:instrText xml:space="preserve"> SEQ Figure \* ARABIC </w:instrText>
            </w:r>
            <w:r w:rsidRPr="004448DD">
              <w:rPr>
                <w:rFonts w:ascii="Arial" w:hAnsi="Arial" w:cs="Arial"/>
                <w:b/>
                <w:bCs/>
                <w:color w:val="000000" w:themeColor="text1"/>
              </w:rPr>
              <w:fldChar w:fldCharType="separate"/>
            </w:r>
            <w:r w:rsidR="002C4B25">
              <w:rPr>
                <w:rFonts w:ascii="Arial" w:hAnsi="Arial" w:cs="Arial"/>
                <w:b/>
                <w:bCs/>
                <w:noProof/>
                <w:color w:val="000000" w:themeColor="text1"/>
              </w:rPr>
              <w:t>34</w:t>
            </w:r>
            <w:r w:rsidRPr="004448DD">
              <w:rPr>
                <w:rFonts w:ascii="Arial" w:hAnsi="Arial" w:cs="Arial"/>
                <w:b/>
                <w:bCs/>
                <w:color w:val="000000" w:themeColor="text1"/>
              </w:rPr>
              <w:fldChar w:fldCharType="end"/>
            </w:r>
            <w:r w:rsidR="007C3AC6" w:rsidRPr="00D74025">
              <w:rPr>
                <w:rFonts w:ascii="Arial" w:hAnsi="Arial" w:cs="Arial"/>
                <w:b/>
                <w:bCs/>
                <w:color w:val="000000" w:themeColor="text1"/>
              </w:rPr>
              <w:t xml:space="preserve">: Cytokine concentrations in serum 7 days </w:t>
            </w:r>
            <w:bookmarkEnd w:id="133"/>
            <w:r w:rsidR="007C3AC6" w:rsidRPr="00D74025">
              <w:rPr>
                <w:rFonts w:ascii="Arial" w:hAnsi="Arial" w:cs="Arial"/>
                <w:b/>
                <w:bCs/>
                <w:color w:val="000000" w:themeColor="text1"/>
              </w:rPr>
              <w:t xml:space="preserve">after PTT in mice treated </w:t>
            </w:r>
            <w:r w:rsidR="007C3AC6">
              <w:rPr>
                <w:rFonts w:ascii="Arial" w:hAnsi="Arial" w:cs="Arial"/>
                <w:b/>
                <w:bCs/>
                <w:color w:val="000000" w:themeColor="text1"/>
              </w:rPr>
              <w:t xml:space="preserve">with </w:t>
            </w:r>
            <w:r w:rsidR="007C3AC6" w:rsidRPr="00D74025">
              <w:rPr>
                <w:rFonts w:ascii="Arial" w:hAnsi="Arial" w:cs="Arial"/>
                <w:b/>
                <w:bCs/>
                <w:color w:val="000000" w:themeColor="text1"/>
              </w:rPr>
              <w:t xml:space="preserve">combination therapy of SWCNT-ANXA5 mediated PTT and anti-CTLA-4: </w:t>
            </w:r>
            <w:r w:rsidR="007C3AC6" w:rsidRPr="00D74025">
              <w:rPr>
                <w:rFonts w:ascii="Arial" w:hAnsi="Arial" w:cs="Arial"/>
                <w:color w:val="000000" w:themeColor="text1"/>
              </w:rPr>
              <w:t xml:space="preserve">The diagram shows the level of </w:t>
            </w:r>
            <w:r w:rsidR="007C3AC6" w:rsidRPr="00D74025">
              <w:rPr>
                <w:rFonts w:ascii="Arial" w:eastAsiaTheme="minorEastAsia" w:hAnsi="Arial" w:cs="Arial"/>
                <w:color w:val="000000" w:themeColor="text1"/>
              </w:rPr>
              <w:t>TNF-</w:t>
            </w:r>
            <w:r w:rsidR="007C3AC6" w:rsidRPr="00D74025">
              <w:rPr>
                <w:rFonts w:ascii="Arial" w:eastAsiaTheme="minorEastAsia" w:hAnsi="Arial" w:cs="Arial"/>
                <w:color w:val="000000" w:themeColor="text1"/>
              </w:rPr>
              <w:sym w:font="Symbol" w:char="F061"/>
            </w:r>
            <w:r w:rsidR="007C3AC6" w:rsidRPr="00D74025">
              <w:rPr>
                <w:rFonts w:ascii="Arial" w:eastAsiaTheme="minorEastAsia" w:hAnsi="Arial" w:cs="Arial"/>
                <w:color w:val="000000" w:themeColor="text1"/>
              </w:rPr>
              <w:t>, IL-6, IFN-</w:t>
            </w:r>
            <w:r w:rsidR="007C3AC6" w:rsidRPr="00D74025">
              <w:rPr>
                <w:rFonts w:ascii="Arial" w:eastAsiaTheme="minorEastAsia" w:hAnsi="Arial" w:cs="Arial"/>
                <w:color w:val="000000" w:themeColor="text1"/>
              </w:rPr>
              <w:sym w:font="Symbol" w:char="F067"/>
            </w:r>
            <w:r w:rsidR="007C3AC6" w:rsidRPr="00D74025">
              <w:rPr>
                <w:rFonts w:ascii="Arial" w:eastAsiaTheme="minorEastAsia" w:hAnsi="Arial" w:cs="Arial"/>
                <w:color w:val="000000" w:themeColor="text1"/>
              </w:rPr>
              <w:t xml:space="preserve"> </w:t>
            </w:r>
            <w:r w:rsidR="007C3AC6" w:rsidRPr="00D74025">
              <w:rPr>
                <w:rFonts w:ascii="Arial" w:hAnsi="Arial" w:cs="Arial"/>
                <w:color w:val="000000" w:themeColor="text1"/>
              </w:rPr>
              <w:t xml:space="preserve">in the serum of mice treated with IV injections of </w:t>
            </w:r>
            <w:r w:rsidR="007C3AC6">
              <w:rPr>
                <w:rFonts w:ascii="Arial" w:hAnsi="Arial" w:cs="Arial"/>
                <w:color w:val="000000" w:themeColor="text1"/>
              </w:rPr>
              <w:t xml:space="preserve">the </w:t>
            </w:r>
            <w:r w:rsidR="007C3AC6" w:rsidRPr="00D74025">
              <w:rPr>
                <w:rFonts w:ascii="Arial" w:hAnsi="Arial" w:cs="Arial"/>
                <w:color w:val="000000" w:themeColor="text1"/>
              </w:rPr>
              <w:t xml:space="preserve">conjugate, anti-CTLA-4 injection alone, IV injections of conjugate combined with PTT, IV injections of conjugate combined with PTT and anti-CTLA4 injection, or untreated mice as a control. </w:t>
            </w:r>
            <w:r w:rsidR="007C3AC6">
              <w:rPr>
                <w:rFonts w:ascii="Arial" w:hAnsi="Arial" w:cs="Arial"/>
                <w:color w:val="000000" w:themeColor="text1"/>
              </w:rPr>
              <w:t>The laser</w:t>
            </w:r>
            <w:r w:rsidR="007C3AC6" w:rsidRPr="00D74025">
              <w:rPr>
                <w:rFonts w:ascii="Arial" w:hAnsi="Arial" w:cs="Arial"/>
                <w:color w:val="000000" w:themeColor="text1"/>
              </w:rPr>
              <w:t xml:space="preserve"> wavelength was 980 nm</w:t>
            </w:r>
            <w:r w:rsidR="007C3AC6">
              <w:rPr>
                <w:rFonts w:ascii="Arial" w:hAnsi="Arial" w:cs="Arial"/>
                <w:color w:val="000000" w:themeColor="text1"/>
              </w:rPr>
              <w:t>,</w:t>
            </w:r>
            <w:r w:rsidR="007C3AC6" w:rsidRPr="00D74025">
              <w:rPr>
                <w:rFonts w:ascii="Arial" w:hAnsi="Arial" w:cs="Arial"/>
                <w:color w:val="000000" w:themeColor="text1"/>
              </w:rPr>
              <w:t xml:space="preserve"> and </w:t>
            </w:r>
            <w:r w:rsidR="007C3AC6">
              <w:rPr>
                <w:rFonts w:ascii="Arial" w:hAnsi="Arial" w:cs="Arial"/>
                <w:color w:val="000000" w:themeColor="text1"/>
              </w:rPr>
              <w:t xml:space="preserve">the </w:t>
            </w:r>
            <w:r w:rsidR="007C3AC6" w:rsidRPr="00D74025">
              <w:rPr>
                <w:rFonts w:ascii="Arial" w:hAnsi="Arial" w:cs="Arial"/>
                <w:color w:val="000000" w:themeColor="text1"/>
              </w:rPr>
              <w:t xml:space="preserve">power density </w:t>
            </w:r>
            <w:r w:rsidR="007C3AC6">
              <w:rPr>
                <w:rFonts w:ascii="Arial" w:hAnsi="Arial" w:cs="Arial"/>
                <w:color w:val="000000" w:themeColor="text1"/>
              </w:rPr>
              <w:t xml:space="preserve">was </w:t>
            </w:r>
            <w:r w:rsidR="007C3AC6" w:rsidRPr="00D74025">
              <w:rPr>
                <w:rFonts w:ascii="Arial" w:hAnsi="Arial" w:cs="Arial"/>
                <w:color w:val="000000" w:themeColor="text1"/>
              </w:rPr>
              <w:t>1.0 W/cm² for 175 s. Blood samples were collected 7 days after photothermal therapy. Data are presented as mean ± SE (n = 4–5). For each treatment compared to the control, one-way ANOVA and Dunnett</w:t>
            </w:r>
            <w:r w:rsidR="007C3AC6">
              <w:rPr>
                <w:rFonts w:ascii="Arial" w:hAnsi="Arial" w:cs="Arial"/>
                <w:color w:val="000000" w:themeColor="text1"/>
              </w:rPr>
              <w:t>’</w:t>
            </w:r>
            <w:r w:rsidR="007C3AC6" w:rsidRPr="00D74025">
              <w:rPr>
                <w:rFonts w:ascii="Arial" w:hAnsi="Arial" w:cs="Arial"/>
                <w:color w:val="000000" w:themeColor="text1"/>
              </w:rPr>
              <w:t xml:space="preserve">s multiple comparisons were carried out on the GraphPad Prism </w:t>
            </w:r>
            <w:r w:rsidR="003654C1">
              <w:rPr>
                <w:rFonts w:ascii="Arial" w:hAnsi="Arial" w:cs="Arial"/>
                <w:color w:val="000000" w:themeColor="text1"/>
              </w:rPr>
              <w:t>8</w:t>
            </w:r>
            <w:r w:rsidR="007C3AC6" w:rsidRPr="00D74025">
              <w:rPr>
                <w:rFonts w:ascii="Arial" w:hAnsi="Arial" w:cs="Arial"/>
                <w:color w:val="000000" w:themeColor="text1"/>
              </w:rPr>
              <w:t>.  (*p &lt; 0.05, and ****p &lt; 0.0001)</w:t>
            </w:r>
            <w:bookmarkEnd w:id="134"/>
          </w:p>
        </w:tc>
      </w:tr>
    </w:tbl>
    <w:p w14:paraId="25A174B2" w14:textId="48F8F66C" w:rsidR="004448DD" w:rsidRDefault="004448DD" w:rsidP="00017375">
      <w:pPr>
        <w:rPr>
          <w:color w:val="000000" w:themeColor="text1"/>
        </w:rPr>
      </w:pPr>
    </w:p>
    <w:p w14:paraId="12125625" w14:textId="77777777" w:rsidR="004448DD" w:rsidRPr="00D74025" w:rsidRDefault="004448DD" w:rsidP="00017375">
      <w:pPr>
        <w:rPr>
          <w:color w:val="000000" w:themeColor="text1"/>
        </w:rPr>
      </w:pPr>
    </w:p>
    <w:p w14:paraId="33527B14" w14:textId="77777777" w:rsidR="00AA4BBF" w:rsidRPr="00D74025" w:rsidRDefault="00AA4BBF" w:rsidP="00AA4BBF">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Mice treated with anti-CTLA-4 alone or intravenous injection of SWCNT-ANXA5 alone did not </w:t>
      </w:r>
      <w:r>
        <w:rPr>
          <w:rFonts w:ascii="Arial" w:hAnsi="Arial" w:cs="Arial"/>
          <w:color w:val="000000" w:themeColor="text1"/>
        </w:rPr>
        <w:t>significantly increase</w:t>
      </w:r>
      <w:r w:rsidRPr="00D74025">
        <w:rPr>
          <w:rFonts w:ascii="Arial" w:hAnsi="Arial" w:cs="Arial"/>
          <w:color w:val="000000" w:themeColor="text1"/>
        </w:rPr>
        <w:t xml:space="preserve"> proinflammatory cytokines in the serum compared to the untreated control. The combination of SWCNT-ANXA5 mediated photothermal therapy and anti-CTLA-4 injections resulted in significantly increased serum levels of </w:t>
      </w:r>
      <w:r w:rsidRPr="00D74025">
        <w:rPr>
          <w:rFonts w:ascii="Arial" w:eastAsiaTheme="minorEastAsia" w:hAnsi="Arial" w:cs="Arial"/>
          <w:color w:val="000000" w:themeColor="text1"/>
        </w:rPr>
        <w:t>TNF-</w:t>
      </w:r>
      <w:r w:rsidRPr="00D74025">
        <w:rPr>
          <w:rFonts w:ascii="Arial" w:eastAsiaTheme="minorEastAsia" w:hAnsi="Arial" w:cs="Arial"/>
          <w:color w:val="000000" w:themeColor="text1"/>
        </w:rPr>
        <w:sym w:font="Symbol" w:char="F061"/>
      </w:r>
      <w:r w:rsidRPr="00D74025">
        <w:rPr>
          <w:rFonts w:ascii="Arial" w:eastAsiaTheme="minorEastAsia" w:hAnsi="Arial" w:cs="Arial"/>
          <w:color w:val="000000" w:themeColor="text1"/>
        </w:rPr>
        <w:t>, IL-6, IFN-</w:t>
      </w:r>
      <w:r w:rsidRPr="00D74025">
        <w:rPr>
          <w:rFonts w:ascii="Arial" w:eastAsiaTheme="minorEastAsia" w:hAnsi="Arial" w:cs="Arial"/>
          <w:color w:val="000000" w:themeColor="text1"/>
        </w:rPr>
        <w:sym w:font="Symbol" w:char="F067"/>
      </w:r>
      <w:r w:rsidRPr="00D74025">
        <w:rPr>
          <w:rFonts w:ascii="Arial" w:eastAsiaTheme="minorEastAsia" w:hAnsi="Arial" w:cs="Arial"/>
          <w:color w:val="000000" w:themeColor="text1"/>
        </w:rPr>
        <w:t xml:space="preserve"> </w:t>
      </w:r>
      <w:r w:rsidRPr="00D74025">
        <w:rPr>
          <w:rFonts w:ascii="Arial" w:hAnsi="Arial" w:cs="Arial"/>
          <w:color w:val="000000" w:themeColor="text1"/>
        </w:rPr>
        <w:t xml:space="preserve">compared to the untreated control, while mice treated with the combination of SWCNT-ANXA5 + PTT only increased serum levels of </w:t>
      </w:r>
      <w:r w:rsidRPr="00D74025">
        <w:rPr>
          <w:rFonts w:ascii="Arial" w:eastAsiaTheme="minorEastAsia" w:hAnsi="Arial" w:cs="Arial"/>
          <w:color w:val="000000" w:themeColor="text1"/>
        </w:rPr>
        <w:t>TNF-</w:t>
      </w:r>
      <w:r w:rsidRPr="00D74025">
        <w:rPr>
          <w:rFonts w:ascii="Arial" w:eastAsiaTheme="minorEastAsia" w:hAnsi="Arial" w:cs="Arial"/>
          <w:color w:val="000000" w:themeColor="text1"/>
        </w:rPr>
        <w:sym w:font="Symbol" w:char="F061"/>
      </w:r>
      <w:r w:rsidRPr="00D74025">
        <w:rPr>
          <w:rFonts w:ascii="Arial" w:eastAsiaTheme="minorEastAsia" w:hAnsi="Arial" w:cs="Arial"/>
          <w:color w:val="000000" w:themeColor="text1"/>
        </w:rPr>
        <w:t xml:space="preserve"> </w:t>
      </w:r>
      <w:r w:rsidRPr="00D74025">
        <w:rPr>
          <w:rFonts w:ascii="Arial" w:hAnsi="Arial" w:cs="Arial"/>
          <w:color w:val="000000" w:themeColor="text1"/>
        </w:rPr>
        <w:lastRenderedPageBreak/>
        <w:t>compared to the control</w:t>
      </w:r>
      <w:r>
        <w:rPr>
          <w:rFonts w:ascii="Arial" w:hAnsi="Arial" w:cs="Arial"/>
          <w:color w:val="000000" w:themeColor="text1"/>
        </w:rPr>
        <w:t xml:space="preserve"> group</w:t>
      </w:r>
      <w:r w:rsidRPr="00D74025">
        <w:rPr>
          <w:rFonts w:ascii="Arial" w:hAnsi="Arial" w:cs="Arial"/>
          <w:color w:val="000000" w:themeColor="text1"/>
        </w:rPr>
        <w:t xml:space="preserve">. </w:t>
      </w:r>
      <w:r w:rsidRPr="00D74025">
        <w:rPr>
          <w:rFonts w:ascii="Arial" w:eastAsiaTheme="minorEastAsia" w:hAnsi="Arial" w:cs="Arial"/>
          <w:color w:val="000000" w:themeColor="text1"/>
        </w:rPr>
        <w:t>IFN-</w:t>
      </w:r>
      <w:r w:rsidRPr="00D74025">
        <w:rPr>
          <w:rFonts w:ascii="Arial" w:eastAsiaTheme="minorEastAsia" w:hAnsi="Arial" w:cs="Arial"/>
          <w:color w:val="000000" w:themeColor="text1"/>
        </w:rPr>
        <w:sym w:font="Symbol" w:char="F067"/>
      </w:r>
      <w:r w:rsidRPr="00D74025">
        <w:rPr>
          <w:rFonts w:ascii="Arial" w:hAnsi="Arial" w:cs="Arial"/>
          <w:color w:val="000000" w:themeColor="text1"/>
        </w:rPr>
        <w:t xml:space="preserve"> is known for playing a </w:t>
      </w:r>
      <w:r>
        <w:rPr>
          <w:rFonts w:ascii="Arial" w:hAnsi="Arial" w:cs="Arial"/>
          <w:color w:val="000000" w:themeColor="text1"/>
        </w:rPr>
        <w:t>pivotal</w:t>
      </w:r>
      <w:r w:rsidRPr="00D74025">
        <w:rPr>
          <w:rFonts w:ascii="Arial" w:hAnsi="Arial" w:cs="Arial"/>
          <w:color w:val="000000" w:themeColor="text1"/>
        </w:rPr>
        <w:t xml:space="preserve"> role in tumor surveillance, </w:t>
      </w:r>
      <w:r w:rsidRPr="00D74025">
        <w:rPr>
          <w:rFonts w:ascii="Arial" w:eastAsiaTheme="minorEastAsia" w:hAnsi="Arial" w:cs="Arial"/>
          <w:color w:val="000000" w:themeColor="text1"/>
        </w:rPr>
        <w:t>TNF-</w:t>
      </w:r>
      <w:r w:rsidRPr="00D74025">
        <w:rPr>
          <w:rFonts w:ascii="Arial" w:eastAsiaTheme="minorEastAsia" w:hAnsi="Arial" w:cs="Arial"/>
          <w:color w:val="000000" w:themeColor="text1"/>
        </w:rPr>
        <w:sym w:font="Symbol" w:char="F061"/>
      </w:r>
      <w:r w:rsidRPr="00D74025">
        <w:rPr>
          <w:rFonts w:ascii="Arial" w:hAnsi="Arial" w:cs="Arial"/>
          <w:color w:val="000000" w:themeColor="text1"/>
        </w:rPr>
        <w:t xml:space="preserve"> is a </w:t>
      </w:r>
      <w:r>
        <w:rPr>
          <w:rFonts w:ascii="Arial" w:hAnsi="Arial" w:cs="Arial"/>
          <w:color w:val="000000" w:themeColor="text1"/>
        </w:rPr>
        <w:t>tumor-associated</w:t>
      </w:r>
      <w:r w:rsidRPr="00D74025">
        <w:rPr>
          <w:rFonts w:ascii="Arial" w:hAnsi="Arial" w:cs="Arial"/>
          <w:color w:val="000000" w:themeColor="text1"/>
        </w:rPr>
        <w:t xml:space="preserve"> </w:t>
      </w:r>
      <w:r>
        <w:rPr>
          <w:rFonts w:ascii="Arial" w:hAnsi="Arial" w:cs="Arial"/>
          <w:color w:val="000000" w:themeColor="text1"/>
        </w:rPr>
        <w:t>macrophage</w:t>
      </w:r>
      <w:r w:rsidRPr="00D74025">
        <w:rPr>
          <w:rFonts w:ascii="Arial" w:hAnsi="Arial" w:cs="Arial"/>
          <w:color w:val="000000" w:themeColor="text1"/>
        </w:rPr>
        <w:t xml:space="preserve"> activator, and IL-6 enhances lymphocyte and macrophage proliferation. Therefore, the increased levels of those cytokines strengthen the hypothesis that </w:t>
      </w:r>
      <w:r>
        <w:rPr>
          <w:rFonts w:ascii="Arial" w:hAnsi="Arial" w:cs="Arial"/>
          <w:color w:val="000000" w:themeColor="text1"/>
        </w:rPr>
        <w:t xml:space="preserve">the </w:t>
      </w:r>
      <w:r w:rsidRPr="00D74025">
        <w:rPr>
          <w:rFonts w:ascii="Arial" w:hAnsi="Arial" w:cs="Arial"/>
          <w:color w:val="000000" w:themeColor="text1"/>
        </w:rPr>
        <w:t>combination therapy generates a systemic</w:t>
      </w:r>
      <w:r>
        <w:rPr>
          <w:rFonts w:ascii="Arial" w:hAnsi="Arial" w:cs="Arial"/>
          <w:color w:val="000000" w:themeColor="text1"/>
        </w:rPr>
        <w:t xml:space="preserve"> </w:t>
      </w:r>
      <w:r w:rsidRPr="00D74025">
        <w:rPr>
          <w:rFonts w:ascii="Arial" w:hAnsi="Arial" w:cs="Arial"/>
          <w:color w:val="000000" w:themeColor="text1"/>
        </w:rPr>
        <w:t xml:space="preserve">antitumoral immune response. </w:t>
      </w:r>
    </w:p>
    <w:p w14:paraId="47340E62" w14:textId="7FD8B035" w:rsidR="000161E9" w:rsidRPr="00D74025" w:rsidRDefault="000161E9" w:rsidP="000161E9">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The published results were encouraging, but we wanted to improve the treatment method and apply the combination therapy </w:t>
      </w:r>
      <w:r>
        <w:rPr>
          <w:rFonts w:ascii="Arial" w:hAnsi="Arial" w:cs="Arial"/>
          <w:color w:val="000000" w:themeColor="text1"/>
        </w:rPr>
        <w:t>to</w:t>
      </w:r>
      <w:r w:rsidRPr="00D74025">
        <w:rPr>
          <w:rFonts w:ascii="Arial" w:hAnsi="Arial" w:cs="Arial"/>
          <w:color w:val="000000" w:themeColor="text1"/>
        </w:rPr>
        <w:t xml:space="preserve"> more challenging tumor models. Firs</w:t>
      </w:r>
      <w:r w:rsidR="004D1D3E">
        <w:rPr>
          <w:rFonts w:ascii="Arial" w:hAnsi="Arial" w:cs="Arial"/>
          <w:color w:val="000000" w:themeColor="text1"/>
        </w:rPr>
        <w:t>t</w:t>
      </w:r>
      <w:r w:rsidRPr="00D74025">
        <w:rPr>
          <w:rFonts w:ascii="Arial" w:hAnsi="Arial" w:cs="Arial"/>
          <w:color w:val="000000" w:themeColor="text1"/>
        </w:rPr>
        <w:t xml:space="preserve">, we compared the immune system stimulation generated by </w:t>
      </w:r>
      <w:proofErr w:type="spellStart"/>
      <w:r w:rsidRPr="00D74025">
        <w:rPr>
          <w:rFonts w:ascii="Arial" w:hAnsi="Arial" w:cs="Arial"/>
          <w:color w:val="000000" w:themeColor="text1"/>
        </w:rPr>
        <w:t>intratumoral</w:t>
      </w:r>
      <w:proofErr w:type="spellEnd"/>
      <w:r w:rsidRPr="00D74025">
        <w:rPr>
          <w:rFonts w:ascii="Arial" w:hAnsi="Arial" w:cs="Arial"/>
          <w:color w:val="000000" w:themeColor="text1"/>
        </w:rPr>
        <w:t xml:space="preserve"> (IT) and intravenous (IV) injection of SWCNT-ANXA5 by measuring the T</w:t>
      </w:r>
      <w:r w:rsidRPr="00D74025">
        <w:rPr>
          <w:rFonts w:ascii="Arial" w:eastAsiaTheme="minorEastAsia" w:hAnsi="Arial" w:cs="Arial"/>
          <w:color w:val="000000" w:themeColor="text1"/>
        </w:rPr>
        <w:t>NF-</w:t>
      </w:r>
      <w:r w:rsidRPr="00D74025">
        <w:rPr>
          <w:rFonts w:ascii="Arial" w:eastAsiaTheme="minorEastAsia" w:hAnsi="Arial" w:cs="Arial"/>
          <w:color w:val="000000" w:themeColor="text1"/>
        </w:rPr>
        <w:sym w:font="Symbol" w:char="F061"/>
      </w:r>
      <w:r w:rsidRPr="00D74025">
        <w:rPr>
          <w:rFonts w:ascii="Arial" w:eastAsiaTheme="minorEastAsia" w:hAnsi="Arial" w:cs="Arial"/>
          <w:color w:val="000000" w:themeColor="text1"/>
        </w:rPr>
        <w:t xml:space="preserve"> levels in serum </w:t>
      </w:r>
      <w:r w:rsidRPr="00D74025">
        <w:rPr>
          <w:rFonts w:ascii="Arial" w:hAnsi="Arial" w:cs="Arial"/>
          <w:color w:val="000000" w:themeColor="text1"/>
        </w:rPr>
        <w:t xml:space="preserve">one day after PTT. After </w:t>
      </w:r>
      <w:r>
        <w:rPr>
          <w:rFonts w:ascii="Arial" w:hAnsi="Arial" w:cs="Arial"/>
          <w:color w:val="000000" w:themeColor="text1"/>
        </w:rPr>
        <w:t>either the</w:t>
      </w:r>
      <w:r w:rsidRPr="00D74025">
        <w:rPr>
          <w:rFonts w:ascii="Arial" w:hAnsi="Arial" w:cs="Arial"/>
          <w:color w:val="000000" w:themeColor="text1"/>
        </w:rPr>
        <w:t xml:space="preserve"> IV or IT injection of SWCNT-ANXA5, female BALB/</w:t>
      </w:r>
      <w:proofErr w:type="spellStart"/>
      <w:r w:rsidRPr="00D74025">
        <w:rPr>
          <w:rFonts w:ascii="Arial" w:hAnsi="Arial" w:cs="Arial"/>
          <w:color w:val="000000" w:themeColor="text1"/>
        </w:rPr>
        <w:t>cJ</w:t>
      </w:r>
      <w:proofErr w:type="spellEnd"/>
      <w:r w:rsidRPr="00D74025">
        <w:rPr>
          <w:rFonts w:ascii="Arial" w:hAnsi="Arial" w:cs="Arial"/>
          <w:color w:val="000000" w:themeColor="text1"/>
        </w:rPr>
        <w:t xml:space="preserve"> mice bearing EMT6 tumors were treated by </w:t>
      </w:r>
      <w:r>
        <w:rPr>
          <w:rFonts w:ascii="Arial" w:hAnsi="Arial" w:cs="Arial"/>
          <w:color w:val="000000" w:themeColor="text1"/>
        </w:rPr>
        <w:t xml:space="preserve">a </w:t>
      </w:r>
      <w:r w:rsidRPr="00D74025">
        <w:rPr>
          <w:rFonts w:ascii="Arial" w:hAnsi="Arial" w:cs="Arial"/>
          <w:color w:val="000000" w:themeColor="text1"/>
        </w:rPr>
        <w:t>980-nm NIR laser at 1 W/cm</w:t>
      </w:r>
      <w:r w:rsidRPr="00D74025">
        <w:rPr>
          <w:rFonts w:ascii="Arial" w:hAnsi="Arial" w:cs="Arial"/>
          <w:color w:val="000000" w:themeColor="text1"/>
          <w:vertAlign w:val="superscript"/>
        </w:rPr>
        <w:t>2</w:t>
      </w:r>
      <w:r w:rsidRPr="00D74025">
        <w:rPr>
          <w:rFonts w:ascii="Arial" w:hAnsi="Arial" w:cs="Arial"/>
          <w:color w:val="000000" w:themeColor="text1"/>
        </w:rPr>
        <w:t xml:space="preserve"> for 175 s. Blood samples were collected 1 day after irradiation</w:t>
      </w:r>
      <w:r>
        <w:rPr>
          <w:rFonts w:ascii="Arial" w:hAnsi="Arial" w:cs="Arial"/>
          <w:color w:val="000000" w:themeColor="text1"/>
        </w:rPr>
        <w:t>,</w:t>
      </w:r>
      <w:r w:rsidRPr="00D74025">
        <w:rPr>
          <w:rFonts w:ascii="Arial" w:hAnsi="Arial" w:cs="Arial"/>
          <w:color w:val="000000" w:themeColor="text1"/>
        </w:rPr>
        <w:t xml:space="preserve"> and levels of </w:t>
      </w:r>
      <w:r w:rsidRPr="00D74025">
        <w:rPr>
          <w:rFonts w:ascii="Arial" w:eastAsiaTheme="minorEastAsia" w:hAnsi="Arial" w:cs="Arial"/>
          <w:color w:val="000000" w:themeColor="text1"/>
        </w:rPr>
        <w:t>TNF-</w:t>
      </w:r>
      <w:r w:rsidRPr="00D74025">
        <w:rPr>
          <w:rFonts w:ascii="Arial" w:eastAsiaTheme="minorEastAsia" w:hAnsi="Arial" w:cs="Arial"/>
          <w:color w:val="000000" w:themeColor="text1"/>
        </w:rPr>
        <w:sym w:font="Symbol" w:char="F061"/>
      </w:r>
      <w:r w:rsidRPr="00D74025">
        <w:rPr>
          <w:rFonts w:ascii="Arial" w:hAnsi="Arial" w:cs="Arial"/>
          <w:color w:val="000000" w:themeColor="text1"/>
        </w:rPr>
        <w:t xml:space="preserve"> in the serum were quantified by ELISA. </w:t>
      </w:r>
      <w:r>
        <w:rPr>
          <w:rFonts w:ascii="Arial" w:hAnsi="Arial" w:cs="Arial"/>
          <w:color w:val="000000" w:themeColor="text1"/>
        </w:rPr>
        <w:t>The results</w:t>
      </w:r>
      <w:r w:rsidRPr="00D74025">
        <w:rPr>
          <w:rFonts w:ascii="Arial" w:hAnsi="Arial" w:cs="Arial"/>
          <w:color w:val="000000" w:themeColor="text1"/>
        </w:rPr>
        <w:t xml:space="preserve"> are shown in </w:t>
      </w:r>
      <w:r w:rsidR="00750F01" w:rsidRPr="00750F01">
        <w:rPr>
          <w:rFonts w:ascii="Arial" w:hAnsi="Arial" w:cs="Arial"/>
          <w:b/>
          <w:bCs/>
          <w:color w:val="000000" w:themeColor="text1"/>
        </w:rPr>
        <w:t>F</w:t>
      </w:r>
      <w:r w:rsidRPr="00750F01">
        <w:rPr>
          <w:rFonts w:ascii="Arial" w:hAnsi="Arial" w:cs="Arial"/>
          <w:b/>
          <w:bCs/>
          <w:color w:val="000000" w:themeColor="text1"/>
        </w:rPr>
        <w:t xml:space="preserve">igure </w:t>
      </w:r>
      <w:r w:rsidR="00750F01" w:rsidRPr="00750F01">
        <w:rPr>
          <w:rFonts w:ascii="Arial" w:hAnsi="Arial" w:cs="Arial"/>
          <w:b/>
          <w:bCs/>
          <w:color w:val="000000" w:themeColor="text1"/>
        </w:rPr>
        <w:t>35</w:t>
      </w:r>
      <w:r w:rsidRPr="00D74025">
        <w:rPr>
          <w:rFonts w:ascii="Arial" w:hAnsi="Arial" w:cs="Arial"/>
          <w:color w:val="000000" w:themeColor="text1"/>
        </w:rPr>
        <w:t xml:space="preserve">. </w:t>
      </w:r>
    </w:p>
    <w:p w14:paraId="06747DC0" w14:textId="3E08D543" w:rsidR="00A71B6A" w:rsidRPr="00D74025" w:rsidRDefault="00A71B6A" w:rsidP="00DD25AB">
      <w:pPr>
        <w:rPr>
          <w:color w:val="000000" w:themeColor="text1"/>
        </w:rPr>
      </w:pPr>
    </w:p>
    <w:p w14:paraId="7F836F53" w14:textId="77777777" w:rsidR="00A71B6A" w:rsidRPr="00D74025" w:rsidRDefault="00A71B6A" w:rsidP="00A71B6A">
      <w:pPr>
        <w:rPr>
          <w:rFonts w:ascii="Arial" w:hAnsi="Arial" w:cs="Arial"/>
          <w:color w:val="000000" w:themeColor="text1"/>
          <w:sz w:val="20"/>
          <w:szCs w:val="20"/>
        </w:rPr>
      </w:pPr>
    </w:p>
    <w:tbl>
      <w:tblPr>
        <w:tblStyle w:val="TableGrid"/>
        <w:tblpPr w:leftFromText="180" w:rightFromText="180" w:vertAnchor="text" w:horzAnchor="margin" w:tblpY="37"/>
        <w:tblW w:w="9355" w:type="dxa"/>
        <w:tblLook w:val="04A0" w:firstRow="1" w:lastRow="0" w:firstColumn="1" w:lastColumn="0" w:noHBand="0" w:noVBand="1"/>
      </w:tblPr>
      <w:tblGrid>
        <w:gridCol w:w="9355"/>
      </w:tblGrid>
      <w:tr w:rsidR="00D74025" w:rsidRPr="00D74025" w14:paraId="3228CB4A" w14:textId="77777777">
        <w:trPr>
          <w:trHeight w:val="4101"/>
        </w:trPr>
        <w:tc>
          <w:tcPr>
            <w:tcW w:w="9355" w:type="dxa"/>
            <w:tcBorders>
              <w:top w:val="single" w:sz="4" w:space="0" w:color="auto"/>
              <w:left w:val="single" w:sz="4" w:space="0" w:color="auto"/>
              <w:bottom w:val="single" w:sz="4" w:space="0" w:color="auto"/>
              <w:right w:val="single" w:sz="4" w:space="0" w:color="auto"/>
            </w:tcBorders>
            <w:hideMark/>
          </w:tcPr>
          <w:p w14:paraId="7052C3A7" w14:textId="77777777" w:rsidR="00A71B6A" w:rsidRPr="00D74025" w:rsidRDefault="00A71B6A" w:rsidP="000D71A7">
            <w:pPr>
              <w:spacing w:beforeAutospacing="0" w:after="0"/>
              <w:ind w:firstLine="0"/>
              <w:jc w:val="center"/>
              <w:rPr>
                <w:rFonts w:ascii="Arial" w:hAnsi="Arial" w:cs="Arial"/>
                <w:color w:val="000000" w:themeColor="text1"/>
                <w:sz w:val="20"/>
                <w:szCs w:val="20"/>
              </w:rPr>
            </w:pPr>
            <w:r w:rsidRPr="00D74025">
              <w:rPr>
                <w:rFonts w:ascii="Arial" w:hAnsi="Arial" w:cs="Arial"/>
                <w:noProof/>
                <w:color w:val="000000" w:themeColor="text1"/>
                <w:sz w:val="20"/>
                <w:szCs w:val="20"/>
              </w:rPr>
              <w:drawing>
                <wp:inline distT="0" distB="0" distL="0" distR="0" wp14:anchorId="4D75808F" wp14:editId="0CBDF9E6">
                  <wp:extent cx="2203555" cy="2813195"/>
                  <wp:effectExtent l="0" t="0" r="0" b="6350"/>
                  <wp:docPr id="246" name="Content Placeholder 8" descr="A close up of a logo&#10;&#10;Description automatically generated">
                    <a:extLst xmlns:a="http://schemas.openxmlformats.org/drawingml/2006/main">
                      <a:ext uri="{FF2B5EF4-FFF2-40B4-BE49-F238E27FC236}">
                        <a16:creationId xmlns:a16="http://schemas.microsoft.com/office/drawing/2014/main" id="{53E43AF9-ADB7-EC4A-8645-EC6B199B19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Content Placeholder 8" descr="A close up of a logo&#10;&#10;Description automatically generated">
                            <a:extLst>
                              <a:ext uri="{FF2B5EF4-FFF2-40B4-BE49-F238E27FC236}">
                                <a16:creationId xmlns:a16="http://schemas.microsoft.com/office/drawing/2014/main" id="{53E43AF9-ADB7-EC4A-8645-EC6B199B1972}"/>
                              </a:ext>
                            </a:extLst>
                          </pic:cNvPr>
                          <pic:cNvPicPr>
                            <a:picLocks noChangeAspect="1"/>
                          </pic:cNvPicPr>
                        </pic:nvPicPr>
                        <pic:blipFill rotWithShape="1">
                          <a:blip r:embed="rId55"/>
                          <a:srcRect t="939" b="12918"/>
                          <a:stretch/>
                        </pic:blipFill>
                        <pic:spPr bwMode="auto">
                          <a:xfrm>
                            <a:off x="0" y="0"/>
                            <a:ext cx="2218409" cy="2832159"/>
                          </a:xfrm>
                          <a:prstGeom prst="rect">
                            <a:avLst/>
                          </a:prstGeom>
                          <a:ln>
                            <a:noFill/>
                          </a:ln>
                          <a:extLst>
                            <a:ext uri="{53640926-AAD7-44D8-BBD7-CCE9431645EC}">
                              <a14:shadowObscured xmlns:a14="http://schemas.microsoft.com/office/drawing/2010/main"/>
                            </a:ext>
                          </a:extLst>
                        </pic:spPr>
                      </pic:pic>
                    </a:graphicData>
                  </a:graphic>
                </wp:inline>
              </w:drawing>
            </w:r>
          </w:p>
        </w:tc>
      </w:tr>
      <w:tr w:rsidR="00D74025" w:rsidRPr="00D74025" w14:paraId="73E5AEF2" w14:textId="77777777">
        <w:tc>
          <w:tcPr>
            <w:tcW w:w="9355" w:type="dxa"/>
            <w:tcBorders>
              <w:top w:val="single" w:sz="4" w:space="0" w:color="auto"/>
              <w:left w:val="single" w:sz="4" w:space="0" w:color="auto"/>
              <w:bottom w:val="single" w:sz="4" w:space="0" w:color="auto"/>
              <w:right w:val="single" w:sz="4" w:space="0" w:color="auto"/>
            </w:tcBorders>
            <w:hideMark/>
          </w:tcPr>
          <w:p w14:paraId="620BA5D4" w14:textId="1DBC83A7" w:rsidR="00A71B6A" w:rsidRPr="00D25731" w:rsidRDefault="004448DD" w:rsidP="00D25731">
            <w:pPr>
              <w:spacing w:line="360" w:lineRule="auto"/>
              <w:ind w:firstLine="0"/>
            </w:pPr>
            <w:bookmarkStart w:id="135" w:name="_Toc121217357"/>
            <w:r w:rsidRPr="004448DD">
              <w:rPr>
                <w:rFonts w:ascii="Arial" w:hAnsi="Arial" w:cs="Arial"/>
                <w:b/>
                <w:bCs/>
                <w:color w:val="000000" w:themeColor="text1"/>
              </w:rPr>
              <w:t xml:space="preserve">Figure </w:t>
            </w:r>
            <w:r w:rsidRPr="004448DD">
              <w:rPr>
                <w:rFonts w:ascii="Arial" w:hAnsi="Arial" w:cs="Arial"/>
                <w:b/>
                <w:bCs/>
                <w:color w:val="000000" w:themeColor="text1"/>
              </w:rPr>
              <w:fldChar w:fldCharType="begin"/>
            </w:r>
            <w:r w:rsidRPr="004448DD">
              <w:rPr>
                <w:rFonts w:ascii="Arial" w:hAnsi="Arial" w:cs="Arial"/>
                <w:b/>
                <w:bCs/>
                <w:color w:val="000000" w:themeColor="text1"/>
              </w:rPr>
              <w:instrText xml:space="preserve"> SEQ Figure \* ARABIC </w:instrText>
            </w:r>
            <w:r w:rsidRPr="004448DD">
              <w:rPr>
                <w:rFonts w:ascii="Arial" w:hAnsi="Arial" w:cs="Arial"/>
                <w:b/>
                <w:bCs/>
                <w:color w:val="000000" w:themeColor="text1"/>
              </w:rPr>
              <w:fldChar w:fldCharType="separate"/>
            </w:r>
            <w:r w:rsidR="002C4B25">
              <w:rPr>
                <w:rFonts w:ascii="Arial" w:hAnsi="Arial" w:cs="Arial"/>
                <w:b/>
                <w:bCs/>
                <w:noProof/>
                <w:color w:val="000000" w:themeColor="text1"/>
              </w:rPr>
              <w:t>35</w:t>
            </w:r>
            <w:r w:rsidRPr="004448DD">
              <w:rPr>
                <w:rFonts w:ascii="Arial" w:hAnsi="Arial" w:cs="Arial"/>
                <w:b/>
                <w:bCs/>
                <w:color w:val="000000" w:themeColor="text1"/>
              </w:rPr>
              <w:fldChar w:fldCharType="end"/>
            </w:r>
            <w:r w:rsidR="00D25731" w:rsidRPr="00D74025">
              <w:rPr>
                <w:rFonts w:ascii="Arial" w:hAnsi="Arial" w:cs="Arial"/>
                <w:b/>
                <w:bCs/>
                <w:color w:val="000000" w:themeColor="text1"/>
              </w:rPr>
              <w:t>: TNF-</w:t>
            </w:r>
            <w:r w:rsidR="00D25731" w:rsidRPr="00D74025">
              <w:rPr>
                <w:rFonts w:ascii="Arial" w:hAnsi="Arial" w:cs="Arial"/>
                <w:b/>
                <w:bCs/>
                <w:color w:val="000000" w:themeColor="text1"/>
              </w:rPr>
              <w:sym w:font="Symbol" w:char="F061"/>
            </w:r>
            <w:r w:rsidR="00D25731" w:rsidRPr="00D74025">
              <w:rPr>
                <w:rFonts w:ascii="Arial" w:hAnsi="Arial" w:cs="Arial"/>
                <w:b/>
                <w:bCs/>
                <w:color w:val="000000" w:themeColor="text1"/>
                <w:lang w:val="el-GR"/>
              </w:rPr>
              <w:t xml:space="preserve"> </w:t>
            </w:r>
            <w:r w:rsidR="00D25731" w:rsidRPr="00D74025">
              <w:rPr>
                <w:rFonts w:ascii="Arial" w:hAnsi="Arial" w:cs="Arial"/>
                <w:b/>
                <w:bCs/>
                <w:color w:val="000000" w:themeColor="text1"/>
              </w:rPr>
              <w:t xml:space="preserve">concentrations in serum 24 hours after PTT in mice treated with IV injection or IT injection of SWCNT-ANXA5. </w:t>
            </w:r>
            <w:r w:rsidR="00D25731" w:rsidRPr="00D74025">
              <w:rPr>
                <w:rFonts w:ascii="Arial" w:hAnsi="Arial" w:cs="Arial"/>
                <w:color w:val="000000" w:themeColor="text1"/>
              </w:rPr>
              <w:t xml:space="preserve">Mice were treated with </w:t>
            </w:r>
            <w:r w:rsidR="00D25731">
              <w:rPr>
                <w:rFonts w:ascii="Arial" w:hAnsi="Arial" w:cs="Arial"/>
                <w:color w:val="000000" w:themeColor="text1"/>
              </w:rPr>
              <w:t xml:space="preserve">a </w:t>
            </w:r>
            <w:r w:rsidR="00D25731" w:rsidRPr="00D74025">
              <w:rPr>
                <w:rFonts w:ascii="Arial" w:hAnsi="Arial" w:cs="Arial"/>
                <w:color w:val="000000" w:themeColor="text1"/>
              </w:rPr>
              <w:t>980</w:t>
            </w:r>
            <w:r w:rsidR="00F00207">
              <w:rPr>
                <w:rFonts w:ascii="Arial" w:hAnsi="Arial" w:cs="Arial"/>
                <w:color w:val="000000" w:themeColor="text1"/>
              </w:rPr>
              <w:t xml:space="preserve"> </w:t>
            </w:r>
            <w:r w:rsidR="00D25731" w:rsidRPr="00D74025">
              <w:rPr>
                <w:rFonts w:ascii="Arial" w:hAnsi="Arial" w:cs="Arial"/>
                <w:color w:val="000000" w:themeColor="text1"/>
              </w:rPr>
              <w:t>nm</w:t>
            </w:r>
            <w:r w:rsidR="00D25731">
              <w:rPr>
                <w:rFonts w:ascii="Arial" w:hAnsi="Arial" w:cs="Arial"/>
                <w:color w:val="000000" w:themeColor="text1"/>
              </w:rPr>
              <w:t xml:space="preserve"> </w:t>
            </w:r>
            <w:r w:rsidR="00D25731" w:rsidRPr="00D74025">
              <w:rPr>
                <w:rFonts w:ascii="Arial" w:hAnsi="Arial" w:cs="Arial"/>
                <w:color w:val="000000" w:themeColor="text1"/>
              </w:rPr>
              <w:t xml:space="preserve">laser at </w:t>
            </w:r>
            <w:r w:rsidR="00D25731">
              <w:rPr>
                <w:rFonts w:ascii="Arial" w:hAnsi="Arial" w:cs="Arial"/>
                <w:color w:val="000000" w:themeColor="text1"/>
              </w:rPr>
              <w:t xml:space="preserve">a </w:t>
            </w:r>
            <w:r w:rsidR="00D25731" w:rsidRPr="00D74025">
              <w:rPr>
                <w:rFonts w:ascii="Arial" w:hAnsi="Arial" w:cs="Arial"/>
                <w:color w:val="000000" w:themeColor="text1"/>
              </w:rPr>
              <w:t xml:space="preserve">power density </w:t>
            </w:r>
            <w:r w:rsidR="00D25731">
              <w:rPr>
                <w:rFonts w:ascii="Arial" w:hAnsi="Arial" w:cs="Arial"/>
                <w:color w:val="000000" w:themeColor="text1"/>
              </w:rPr>
              <w:t xml:space="preserve">of </w:t>
            </w:r>
            <w:r w:rsidR="00D25731" w:rsidRPr="00D74025">
              <w:rPr>
                <w:rFonts w:ascii="Arial" w:hAnsi="Arial" w:cs="Arial"/>
                <w:color w:val="000000" w:themeColor="text1"/>
              </w:rPr>
              <w:t>1.0 W/cm² for 175</w:t>
            </w:r>
            <w:r w:rsidR="00F00207">
              <w:rPr>
                <w:rFonts w:ascii="Arial" w:hAnsi="Arial" w:cs="Arial"/>
                <w:color w:val="000000" w:themeColor="text1"/>
              </w:rPr>
              <w:t> </w:t>
            </w:r>
            <w:r w:rsidR="00D25731" w:rsidRPr="00D74025">
              <w:rPr>
                <w:rFonts w:ascii="Arial" w:hAnsi="Arial" w:cs="Arial"/>
                <w:color w:val="000000" w:themeColor="text1"/>
              </w:rPr>
              <w:t>s after injection of SWCNT-ANXA5 conjugate intravenously or intratumorally.</w:t>
            </w:r>
            <w:r w:rsidR="00D25731">
              <w:rPr>
                <w:rFonts w:ascii="Arial" w:hAnsi="Arial" w:cs="Arial"/>
                <w:color w:val="000000" w:themeColor="text1"/>
              </w:rPr>
              <w:t xml:space="preserve"> </w:t>
            </w:r>
            <w:r w:rsidR="00D25731" w:rsidRPr="00D74025">
              <w:rPr>
                <w:rFonts w:ascii="Arial" w:hAnsi="Arial" w:cs="Arial"/>
                <w:color w:val="000000" w:themeColor="text1"/>
              </w:rPr>
              <w:t>Blood samples were collected 1 day after PTT</w:t>
            </w:r>
            <w:r w:rsidR="00D25731">
              <w:rPr>
                <w:rFonts w:ascii="Arial" w:hAnsi="Arial" w:cs="Arial"/>
                <w:color w:val="000000" w:themeColor="text1"/>
              </w:rPr>
              <w:t>,</w:t>
            </w:r>
            <w:r w:rsidR="00D25731" w:rsidRPr="00D74025">
              <w:rPr>
                <w:rFonts w:ascii="Arial" w:hAnsi="Arial" w:cs="Arial"/>
                <w:color w:val="000000" w:themeColor="text1"/>
              </w:rPr>
              <w:t xml:space="preserve"> and the levels of TNF-</w:t>
            </w:r>
            <w:r w:rsidR="00D25731" w:rsidRPr="00D74025">
              <w:rPr>
                <w:rFonts w:ascii="Arial" w:hAnsi="Arial" w:cs="Arial"/>
                <w:color w:val="000000" w:themeColor="text1"/>
              </w:rPr>
              <w:sym w:font="Symbol" w:char="F061"/>
            </w:r>
            <w:r w:rsidR="00D25731" w:rsidRPr="00D74025">
              <w:rPr>
                <w:rFonts w:ascii="Arial" w:hAnsi="Arial" w:cs="Arial"/>
                <w:color w:val="000000" w:themeColor="text1"/>
                <w:lang w:val="el-GR"/>
              </w:rPr>
              <w:t xml:space="preserve"> </w:t>
            </w:r>
            <w:r w:rsidR="00D25731" w:rsidRPr="00D74025">
              <w:rPr>
                <w:rFonts w:ascii="Arial" w:hAnsi="Arial" w:cs="Arial"/>
                <w:color w:val="000000" w:themeColor="text1"/>
              </w:rPr>
              <w:t xml:space="preserve">in the serum were analyzed by ELISA </w:t>
            </w:r>
            <w:r w:rsidR="00D25731">
              <w:rPr>
                <w:rFonts w:ascii="Arial" w:hAnsi="Arial" w:cs="Arial"/>
                <w:color w:val="000000" w:themeColor="text1"/>
              </w:rPr>
              <w:t>compared</w:t>
            </w:r>
            <w:r w:rsidR="00D25731" w:rsidRPr="00D74025">
              <w:rPr>
                <w:rFonts w:ascii="Arial" w:hAnsi="Arial" w:cs="Arial"/>
                <w:color w:val="000000" w:themeColor="text1"/>
              </w:rPr>
              <w:t xml:space="preserve"> to untreated control </w:t>
            </w:r>
            <w:r w:rsidR="00D25731" w:rsidRPr="00D74025">
              <w:rPr>
                <w:rFonts w:ascii="Arial" w:hAnsi="Arial" w:cs="Arial"/>
                <w:color w:val="000000" w:themeColor="text1"/>
              </w:rPr>
              <w:lastRenderedPageBreak/>
              <w:t>(no injection, no PTT).</w:t>
            </w:r>
            <w:r w:rsidR="00D25731">
              <w:rPr>
                <w:rFonts w:ascii="Arial" w:hAnsi="Arial" w:cs="Arial"/>
                <w:color w:val="000000" w:themeColor="text1"/>
              </w:rPr>
              <w:t xml:space="preserve"> </w:t>
            </w:r>
            <w:r w:rsidR="00D25731" w:rsidRPr="00D74025">
              <w:rPr>
                <w:rFonts w:ascii="Arial" w:hAnsi="Arial" w:cs="Arial"/>
                <w:color w:val="000000" w:themeColor="text1"/>
              </w:rPr>
              <w:t>Data are presented as mean ± SE (n = 4–5).</w:t>
            </w:r>
            <w:r w:rsidR="00D25731">
              <w:rPr>
                <w:rFonts w:ascii="Arial" w:hAnsi="Arial" w:cs="Arial"/>
                <w:color w:val="000000" w:themeColor="text1"/>
              </w:rPr>
              <w:t xml:space="preserve"> </w:t>
            </w:r>
            <w:r w:rsidR="00D25731" w:rsidRPr="00D74025">
              <w:rPr>
                <w:rFonts w:ascii="Arial" w:hAnsi="Arial" w:cs="Arial"/>
                <w:color w:val="000000" w:themeColor="text1"/>
              </w:rPr>
              <w:t>Statistical significance was analyzed for the treated groups compared to the untreated control group by one-way ANOVA with Dunnett’s multiple comparisons test.</w:t>
            </w:r>
            <w:r w:rsidR="00D25731">
              <w:rPr>
                <w:rFonts w:ascii="Arial" w:hAnsi="Arial" w:cs="Arial"/>
                <w:color w:val="000000" w:themeColor="text1"/>
              </w:rPr>
              <w:t xml:space="preserve"> </w:t>
            </w:r>
            <w:r w:rsidR="00D25731" w:rsidRPr="00D74025">
              <w:rPr>
                <w:rFonts w:ascii="Arial" w:hAnsi="Arial" w:cs="Arial"/>
                <w:color w:val="000000" w:themeColor="text1"/>
              </w:rPr>
              <w:t>Statistical significance is indicated by ***p &lt; 0.001</w:t>
            </w:r>
            <w:bookmarkEnd w:id="135"/>
          </w:p>
        </w:tc>
      </w:tr>
    </w:tbl>
    <w:p w14:paraId="08640681" w14:textId="1442CC9C" w:rsidR="004448DD" w:rsidRDefault="004448DD" w:rsidP="00DD25AB">
      <w:pPr>
        <w:rPr>
          <w:color w:val="000000" w:themeColor="text1"/>
        </w:rPr>
      </w:pPr>
    </w:p>
    <w:p w14:paraId="61B027D4" w14:textId="77777777" w:rsidR="004448DD" w:rsidRPr="00D74025" w:rsidRDefault="004448DD" w:rsidP="00DD25AB">
      <w:pPr>
        <w:rPr>
          <w:color w:val="000000" w:themeColor="text1"/>
        </w:rPr>
      </w:pPr>
    </w:p>
    <w:p w14:paraId="4151AFBE" w14:textId="55129E7F" w:rsidR="00E975F2" w:rsidRPr="00D74025" w:rsidRDefault="00E975F2" w:rsidP="00E975F2">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In </w:t>
      </w:r>
      <w:r w:rsidR="00574918" w:rsidRPr="00574918">
        <w:rPr>
          <w:rFonts w:ascii="Arial" w:hAnsi="Arial" w:cs="Arial"/>
          <w:b/>
          <w:bCs/>
          <w:color w:val="000000" w:themeColor="text1"/>
        </w:rPr>
        <w:t>F</w:t>
      </w:r>
      <w:r w:rsidRPr="00574918">
        <w:rPr>
          <w:rFonts w:ascii="Arial" w:hAnsi="Arial" w:cs="Arial"/>
          <w:b/>
          <w:bCs/>
          <w:color w:val="000000" w:themeColor="text1"/>
        </w:rPr>
        <w:t xml:space="preserve">igure </w:t>
      </w:r>
      <w:r w:rsidR="00574918" w:rsidRPr="00574918">
        <w:rPr>
          <w:rFonts w:ascii="Arial" w:hAnsi="Arial" w:cs="Arial"/>
          <w:b/>
          <w:bCs/>
          <w:color w:val="000000" w:themeColor="text1"/>
        </w:rPr>
        <w:t>35</w:t>
      </w:r>
      <w:r w:rsidRPr="00D74025">
        <w:rPr>
          <w:rFonts w:ascii="Arial" w:hAnsi="Arial" w:cs="Arial"/>
          <w:color w:val="000000" w:themeColor="text1"/>
        </w:rPr>
        <w:t xml:space="preserve">, mice treated with </w:t>
      </w:r>
      <w:proofErr w:type="spellStart"/>
      <w:r w:rsidRPr="00D74025">
        <w:rPr>
          <w:rFonts w:ascii="Arial" w:hAnsi="Arial" w:cs="Arial"/>
          <w:color w:val="000000" w:themeColor="text1"/>
        </w:rPr>
        <w:t>intratumoral</w:t>
      </w:r>
      <w:proofErr w:type="spellEnd"/>
      <w:r w:rsidRPr="00D74025">
        <w:rPr>
          <w:rFonts w:ascii="Arial" w:hAnsi="Arial" w:cs="Arial"/>
          <w:color w:val="000000" w:themeColor="text1"/>
        </w:rPr>
        <w:t xml:space="preserve"> injections of SWCNT-ANXA5 presented significantly increased serum levels of TNF-</w:t>
      </w:r>
      <w:r w:rsidRPr="00D74025">
        <w:rPr>
          <w:rFonts w:ascii="Arial" w:hAnsi="Arial" w:cs="Arial"/>
          <w:color w:val="000000" w:themeColor="text1"/>
        </w:rPr>
        <w:sym w:font="Symbol" w:char="F061"/>
      </w:r>
      <w:r w:rsidRPr="00D74025">
        <w:rPr>
          <w:rFonts w:ascii="Arial" w:hAnsi="Arial" w:cs="Arial"/>
          <w:color w:val="000000" w:themeColor="text1"/>
          <w:lang w:val="el-GR"/>
        </w:rPr>
        <w:t xml:space="preserve"> </w:t>
      </w:r>
      <w:r w:rsidRPr="00D74025">
        <w:rPr>
          <w:rFonts w:ascii="Arial" w:hAnsi="Arial" w:cs="Arial"/>
          <w:color w:val="000000" w:themeColor="text1"/>
        </w:rPr>
        <w:t xml:space="preserve"> (***p &lt; 0.001)</w:t>
      </w:r>
      <w:r>
        <w:rPr>
          <w:rFonts w:ascii="Arial" w:hAnsi="Arial" w:cs="Arial"/>
          <w:color w:val="000000" w:themeColor="text1"/>
        </w:rPr>
        <w:t>. In contrast,</w:t>
      </w:r>
      <w:r w:rsidRPr="00D74025">
        <w:rPr>
          <w:rFonts w:ascii="Arial" w:hAnsi="Arial" w:cs="Arial"/>
          <w:color w:val="000000" w:themeColor="text1"/>
        </w:rPr>
        <w:t xml:space="preserve"> </w:t>
      </w:r>
      <w:r>
        <w:rPr>
          <w:rFonts w:ascii="Arial" w:hAnsi="Arial" w:cs="Arial"/>
          <w:color w:val="000000" w:themeColor="text1"/>
        </w:rPr>
        <w:t xml:space="preserve">an </w:t>
      </w:r>
      <w:r w:rsidRPr="00D74025">
        <w:rPr>
          <w:rFonts w:ascii="Arial" w:hAnsi="Arial" w:cs="Arial"/>
          <w:color w:val="000000" w:themeColor="text1"/>
        </w:rPr>
        <w:t>intravenous injection was</w:t>
      </w:r>
      <w:r w:rsidR="00166F0C">
        <w:rPr>
          <w:rFonts w:ascii="Arial" w:hAnsi="Arial" w:cs="Arial"/>
          <w:color w:val="000000" w:themeColor="text1"/>
        </w:rPr>
        <w:t xml:space="preserve"> not </w:t>
      </w:r>
      <w:r w:rsidRPr="00D74025">
        <w:rPr>
          <w:rFonts w:ascii="Arial" w:hAnsi="Arial" w:cs="Arial"/>
          <w:color w:val="000000" w:themeColor="text1"/>
        </w:rPr>
        <w:t xml:space="preserve">efficient inducing </w:t>
      </w:r>
      <w:r>
        <w:rPr>
          <w:rFonts w:ascii="Arial" w:hAnsi="Arial" w:cs="Arial"/>
          <w:color w:val="000000" w:themeColor="text1"/>
        </w:rPr>
        <w:t xml:space="preserve">an </w:t>
      </w:r>
      <w:r w:rsidRPr="00D74025">
        <w:rPr>
          <w:rFonts w:ascii="Arial" w:hAnsi="Arial" w:cs="Arial"/>
          <w:color w:val="000000" w:themeColor="text1"/>
        </w:rPr>
        <w:t xml:space="preserve">increase in the cytokine level compared to the untreated control. This is evidence that the intratumorally injected SWCNT-ANXA5 mediated PTT is more efficient </w:t>
      </w:r>
      <w:r>
        <w:rPr>
          <w:rFonts w:ascii="Arial" w:hAnsi="Arial" w:cs="Arial"/>
          <w:color w:val="000000" w:themeColor="text1"/>
        </w:rPr>
        <w:t>in generating</w:t>
      </w:r>
      <w:r w:rsidRPr="00D74025">
        <w:rPr>
          <w:rFonts w:ascii="Arial" w:hAnsi="Arial" w:cs="Arial"/>
          <w:color w:val="000000" w:themeColor="text1"/>
        </w:rPr>
        <w:t xml:space="preserve"> an immune response.</w:t>
      </w:r>
      <w:r>
        <w:rPr>
          <w:rFonts w:ascii="Arial" w:hAnsi="Arial" w:cs="Arial"/>
          <w:color w:val="000000" w:themeColor="text1"/>
        </w:rPr>
        <w:t xml:space="preserve"> </w:t>
      </w:r>
      <w:r w:rsidRPr="00D74025">
        <w:rPr>
          <w:rFonts w:ascii="Arial" w:hAnsi="Arial" w:cs="Arial"/>
          <w:color w:val="000000" w:themeColor="text1"/>
        </w:rPr>
        <w:t xml:space="preserve">Therefore, the </w:t>
      </w:r>
      <w:r>
        <w:rPr>
          <w:rFonts w:ascii="Arial" w:hAnsi="Arial" w:cs="Arial"/>
          <w:color w:val="000000" w:themeColor="text1"/>
        </w:rPr>
        <w:t>subsequent</w:t>
      </w:r>
      <w:r w:rsidRPr="00D74025">
        <w:rPr>
          <w:rFonts w:ascii="Arial" w:hAnsi="Arial" w:cs="Arial"/>
          <w:color w:val="000000" w:themeColor="text1"/>
        </w:rPr>
        <w:t xml:space="preserve"> experiments were </w:t>
      </w:r>
      <w:r>
        <w:rPr>
          <w:rFonts w:ascii="Arial" w:hAnsi="Arial" w:cs="Arial"/>
          <w:color w:val="000000" w:themeColor="text1"/>
        </w:rPr>
        <w:t>conducted</w:t>
      </w:r>
      <w:r w:rsidRPr="00D74025">
        <w:rPr>
          <w:rFonts w:ascii="Arial" w:hAnsi="Arial" w:cs="Arial"/>
          <w:color w:val="000000" w:themeColor="text1"/>
        </w:rPr>
        <w:t xml:space="preserve"> using </w:t>
      </w:r>
      <w:proofErr w:type="spellStart"/>
      <w:r>
        <w:rPr>
          <w:rFonts w:ascii="Arial" w:hAnsi="Arial" w:cs="Arial"/>
          <w:color w:val="000000" w:themeColor="text1"/>
        </w:rPr>
        <w:t>intratumoral</w:t>
      </w:r>
      <w:proofErr w:type="spellEnd"/>
      <w:r w:rsidRPr="00D74025">
        <w:rPr>
          <w:rFonts w:ascii="Arial" w:hAnsi="Arial" w:cs="Arial"/>
          <w:color w:val="000000" w:themeColor="text1"/>
        </w:rPr>
        <w:t xml:space="preserve"> injection (IT).</w:t>
      </w:r>
    </w:p>
    <w:p w14:paraId="3A438560" w14:textId="08B2BF1B" w:rsidR="00D101F3" w:rsidRPr="00D74025" w:rsidRDefault="00D101F3" w:rsidP="00D101F3">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One can argue that the clinical relevance of </w:t>
      </w:r>
      <w:proofErr w:type="spellStart"/>
      <w:r w:rsidRPr="00D74025">
        <w:rPr>
          <w:rFonts w:ascii="Arial" w:hAnsi="Arial" w:cs="Arial"/>
          <w:color w:val="000000" w:themeColor="text1"/>
        </w:rPr>
        <w:t>intratumoral</w:t>
      </w:r>
      <w:proofErr w:type="spellEnd"/>
      <w:r w:rsidRPr="00D74025">
        <w:rPr>
          <w:rFonts w:ascii="Arial" w:hAnsi="Arial" w:cs="Arial"/>
          <w:color w:val="000000" w:themeColor="text1"/>
        </w:rPr>
        <w:t xml:space="preserve"> injection is questionable. This injection method in clinics would require an imaging-guided technique associated </w:t>
      </w:r>
      <w:r>
        <w:rPr>
          <w:rFonts w:ascii="Arial" w:hAnsi="Arial" w:cs="Arial"/>
          <w:color w:val="000000" w:themeColor="text1"/>
        </w:rPr>
        <w:t>with</w:t>
      </w:r>
      <w:r w:rsidRPr="00D74025">
        <w:rPr>
          <w:rFonts w:ascii="Arial" w:hAnsi="Arial" w:cs="Arial"/>
          <w:color w:val="000000" w:themeColor="text1"/>
        </w:rPr>
        <w:t xml:space="preserve"> </w:t>
      </w:r>
      <w:r>
        <w:rPr>
          <w:rFonts w:ascii="Arial" w:hAnsi="Arial" w:cs="Arial"/>
          <w:color w:val="000000" w:themeColor="text1"/>
        </w:rPr>
        <w:t>treating</w:t>
      </w:r>
      <w:r w:rsidRPr="00D74025">
        <w:rPr>
          <w:rFonts w:ascii="Arial" w:hAnsi="Arial" w:cs="Arial"/>
          <w:color w:val="000000" w:themeColor="text1"/>
        </w:rPr>
        <w:t xml:space="preserve"> non-superficial tumors. Additionally, some tumor types are inherently non-detectable to most common imaging techniques, which would further limit the applicability of this method. Nonetheless, the current clinical trials involving the ablation of solid </w:t>
      </w:r>
      <w:r>
        <w:rPr>
          <w:rFonts w:ascii="Arial" w:hAnsi="Arial" w:cs="Arial"/>
          <w:color w:val="000000" w:themeColor="text1"/>
        </w:rPr>
        <w:t>tumors</w:t>
      </w:r>
      <w:r w:rsidRPr="00D74025">
        <w:rPr>
          <w:rFonts w:ascii="Arial" w:hAnsi="Arial" w:cs="Arial"/>
          <w:color w:val="000000" w:themeColor="text1"/>
        </w:rPr>
        <w:t xml:space="preserve"> already rely on imaged-guided ablation</w:t>
      </w:r>
      <w:r w:rsidRPr="00D74025">
        <w:rPr>
          <w:rFonts w:ascii="Arial" w:hAnsi="Arial" w:cs="Arial"/>
          <w:color w:val="000000" w:themeColor="text1"/>
        </w:rPr>
        <w:fldChar w:fldCharType="begin"/>
      </w:r>
      <w:r w:rsidRPr="00D74025">
        <w:rPr>
          <w:rFonts w:ascii="Arial" w:hAnsi="Arial" w:cs="Arial"/>
          <w:color w:val="000000" w:themeColor="text1"/>
        </w:rPr>
        <w:instrText xml:space="preserve"> ADDIN ZOTERO_TEMP </w:instrText>
      </w:r>
      <w:r w:rsidR="00DE0DE2">
        <w:rPr>
          <w:rFonts w:ascii="Arial" w:hAnsi="Arial" w:cs="Arial"/>
          <w:color w:val="000000" w:themeColor="text1"/>
        </w:rPr>
        <w:fldChar w:fldCharType="separate"/>
      </w:r>
      <w:r w:rsidRPr="00D74025">
        <w:rPr>
          <w:rFonts w:ascii="Arial" w:hAnsi="Arial" w:cs="Arial"/>
          <w:color w:val="000000" w:themeColor="text1"/>
        </w:rPr>
        <w:fldChar w:fldCharType="end"/>
      </w:r>
      <w:r w:rsidRPr="00D74025">
        <w:rPr>
          <w:rFonts w:ascii="Arial" w:hAnsi="Arial" w:cs="Arial"/>
          <w:color w:val="000000" w:themeColor="text1"/>
        </w:rPr>
        <w:t xml:space="preserve">. </w:t>
      </w:r>
      <w:r w:rsidRPr="005478F7">
        <w:rPr>
          <w:rFonts w:ascii="Arial" w:hAnsi="Arial" w:cs="Arial"/>
        </w:rPr>
        <w:t xml:space="preserve">Therefore, adding one step that uses imaging techniques for the entire PTT procedure would not require </w:t>
      </w:r>
      <w:r>
        <w:rPr>
          <w:rFonts w:ascii="Arial" w:hAnsi="Arial" w:cs="Arial"/>
        </w:rPr>
        <w:t>a substantial increase in the</w:t>
      </w:r>
      <w:r w:rsidRPr="005478F7">
        <w:rPr>
          <w:rFonts w:ascii="Arial" w:hAnsi="Arial" w:cs="Arial"/>
        </w:rPr>
        <w:t xml:space="preserve"> effort</w:t>
      </w:r>
      <w:r>
        <w:rPr>
          <w:rFonts w:ascii="Arial" w:hAnsi="Arial" w:cs="Arial"/>
        </w:rPr>
        <w:t xml:space="preserve"> to treat the tumors</w:t>
      </w:r>
      <w:r w:rsidRPr="005478F7">
        <w:rPr>
          <w:rFonts w:ascii="Arial" w:hAnsi="Arial" w:cs="Arial"/>
        </w:rPr>
        <w:t xml:space="preserve">. </w:t>
      </w:r>
      <w:r w:rsidRPr="00D74025">
        <w:rPr>
          <w:rFonts w:ascii="Arial" w:hAnsi="Arial" w:cs="Arial"/>
          <w:color w:val="000000" w:themeColor="text1"/>
        </w:rPr>
        <w:t xml:space="preserve">Additionally, </w:t>
      </w:r>
      <w:r>
        <w:rPr>
          <w:rFonts w:ascii="Arial" w:hAnsi="Arial" w:cs="Arial"/>
          <w:color w:val="000000" w:themeColor="text1"/>
        </w:rPr>
        <w:t>using</w:t>
      </w:r>
      <w:r w:rsidRPr="00D74025">
        <w:rPr>
          <w:rFonts w:ascii="Arial" w:hAnsi="Arial" w:cs="Arial"/>
          <w:color w:val="000000" w:themeColor="text1"/>
        </w:rPr>
        <w:t xml:space="preserve"> </w:t>
      </w:r>
      <w:r>
        <w:rPr>
          <w:rFonts w:ascii="Arial" w:hAnsi="Arial" w:cs="Arial"/>
          <w:color w:val="000000" w:themeColor="text1"/>
        </w:rPr>
        <w:t xml:space="preserve">the </w:t>
      </w:r>
      <w:proofErr w:type="spellStart"/>
      <w:r w:rsidRPr="00D74025">
        <w:rPr>
          <w:rFonts w:ascii="Arial" w:hAnsi="Arial" w:cs="Arial"/>
          <w:color w:val="000000" w:themeColor="text1"/>
        </w:rPr>
        <w:t>intratumoral</w:t>
      </w:r>
      <w:proofErr w:type="spellEnd"/>
      <w:r w:rsidRPr="00D74025">
        <w:rPr>
          <w:rFonts w:ascii="Arial" w:hAnsi="Arial" w:cs="Arial"/>
          <w:color w:val="000000" w:themeColor="text1"/>
        </w:rPr>
        <w:t xml:space="preserve"> injection of SWCNT might prevent the systemic delivery of those particles</w:t>
      </w:r>
      <w:r>
        <w:rPr>
          <w:rFonts w:ascii="Arial" w:hAnsi="Arial" w:cs="Arial"/>
          <w:color w:val="000000" w:themeColor="text1"/>
        </w:rPr>
        <w:t>, ultimately avoiding</w:t>
      </w:r>
      <w:r w:rsidRPr="00D74025">
        <w:rPr>
          <w:rFonts w:ascii="Arial" w:hAnsi="Arial" w:cs="Arial"/>
          <w:color w:val="000000" w:themeColor="text1"/>
        </w:rPr>
        <w:t xml:space="preserve"> to accumulation in major organs and lingering clearance. The biodistribution of SWC</w:t>
      </w:r>
      <w:r w:rsidR="00187AE6">
        <w:rPr>
          <w:rFonts w:ascii="Arial" w:hAnsi="Arial" w:cs="Arial"/>
          <w:color w:val="000000" w:themeColor="text1"/>
        </w:rPr>
        <w:t>N</w:t>
      </w:r>
      <w:r w:rsidRPr="00D74025">
        <w:rPr>
          <w:rFonts w:ascii="Arial" w:hAnsi="Arial" w:cs="Arial"/>
          <w:color w:val="000000" w:themeColor="text1"/>
        </w:rPr>
        <w:t xml:space="preserve">T-ANXA5 after </w:t>
      </w:r>
      <w:proofErr w:type="spellStart"/>
      <w:r w:rsidRPr="00D74025">
        <w:rPr>
          <w:rFonts w:ascii="Arial" w:hAnsi="Arial" w:cs="Arial"/>
          <w:color w:val="000000" w:themeColor="text1"/>
        </w:rPr>
        <w:t>intratumoral</w:t>
      </w:r>
      <w:proofErr w:type="spellEnd"/>
      <w:r w:rsidRPr="00D74025">
        <w:rPr>
          <w:rFonts w:ascii="Arial" w:hAnsi="Arial" w:cs="Arial"/>
          <w:color w:val="000000" w:themeColor="text1"/>
        </w:rPr>
        <w:t xml:space="preserve"> injection will be discussed later in this work.</w:t>
      </w:r>
    </w:p>
    <w:p w14:paraId="2845EC46" w14:textId="069B2F1E" w:rsidR="00C367BB" w:rsidRPr="00D74025" w:rsidRDefault="00C367BB" w:rsidP="00C367BB">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Various studies have shown efficient tumor ablation when the conjugates are injected </w:t>
      </w:r>
      <w:r>
        <w:rPr>
          <w:rFonts w:ascii="Arial" w:hAnsi="Arial" w:cs="Arial"/>
          <w:color w:val="000000" w:themeColor="text1"/>
        </w:rPr>
        <w:t>directly</w:t>
      </w:r>
      <w:r w:rsidRPr="00D74025">
        <w:rPr>
          <w:rFonts w:ascii="Arial" w:hAnsi="Arial" w:cs="Arial"/>
          <w:color w:val="000000" w:themeColor="text1"/>
        </w:rPr>
        <w:t xml:space="preserve"> inside the tumor and laser irradiation is applied</w:t>
      </w:r>
      <w:r w:rsidRPr="00D74025">
        <w:rPr>
          <w:rFonts w:ascii="Arial" w:hAnsi="Arial" w:cs="Arial"/>
          <w:color w:val="000000" w:themeColor="text1"/>
        </w:rPr>
        <w:fldChar w:fldCharType="begin" w:fldLock="1"/>
      </w:r>
      <w:r w:rsidR="000F4F53">
        <w:rPr>
          <w:rFonts w:ascii="Arial" w:hAnsi="Arial" w:cs="Arial"/>
          <w:color w:val="000000" w:themeColor="text1"/>
        </w:rPr>
        <w:instrText xml:space="preserve"> ADDIN ZOTERO_ITEM CSL_CITATION {"citationID":"U4US0J2z","properties":{"formattedCitation":"\\super 207,209,304\\uc0\\u8211{}312\\nosupersub{}","plainCitation":"207,209,304–312","noteIndex":0},"citationItems":[{"id":"a7Mi7BUu/Y2ywfOVk","uris":["http://www.mendeley.com/documents/?uuid=74c9c183-0231-4283-a35e-c2a2c9ac9169"],"itemData":{"DOI":"10.1021/nn900904h","ISSN":"19360851","abstract":"The photothermal therapy using nanomaterials has been recently attracted as an efficient strategy for the next generation of cancer treatments. Single walled carbon nanotube (SWNT) is an upcoming potent candidate for the photothermal therapeutic agent since it generates significant amounts of heat upon excitation with near-infrared light (NIR, λ = 700-1100 nm) which is transparent to biological systems including skins. Such a photothermal effect can be employed to induce thermal cell death in a noninvasive manner. Here, we demonstrate in vivo obliteration of solid malignant tumors by the combined treatments of SWNTs and NIR irradiation. The photothermally treated mice displayed complete destruction of the tumors without harmful side effects or recurrence of tumors over 6 months, while the tumors treated in other control groups were continuously grown until the death of the mice. Most of the injected SWNTs were almost completely excreted from mice bodies in about 2 months through biliary or urinary pathway. These results suggest that SWNTs may potentially serve as an effective photothermal agent and pave the way to future cancer therapeutics. © 2009 American Chemical Society.","author":[{"dropping-particle":"","family":"Moon","given":"Hye Kyung","non-dropping-particle":"","parse-names":false,"suffix":""},{"dropping-particle":"","family":"Lee","given":"Sang Ho","non-dropping-particle":"","parse-names":false,"suffix":""},{"dropping-particle":"","family":"Choi","given":"Hee Cheul","non-dropping-particle":"","parse-names":false,"suffix":""}],"container-title":"ACS Nano","id":"ITEM-1","issue":"11","issued":{"date-parts":[["2009"]]},"page":"3707-3713","title":"In vivo near-infrared mediated tumor destruction by photothermal effect of carbon nanotubes","type":"article-journal","volume":"3"}},{"id":"a7Mi7BUu/xYwoEaFQ","uris":["http://www.mendeley.com/documents/?uuid=9b3919e4-e4d2-4359-88dc-2a300a532f58"],"itemData":{"DOI":"10.1073/pnas.0905195106","ISSN":"00278424","abstract":"Multiwalled carbon nanotubes (MWCNTs) exhibit physical properties that render them ideal candidates for application as noninvasive mediators of photothermal cancer ablation. Here, we demonstrate that use of MWCNTs to generate heat in response to near-infrared radiation (NIR) results in thermal destruction of kidney cancer in vitro and in vivo. We document the thermal effects of the therapy through magnetic resonance temperature-mapping and heat shock protein-reactive immunohistochemistry. Our results demonstrate that use of MWCNTs enables ablation of tumors with low laser powers (3 W/cm 2 ) and very short treatment times (a single 30-sec treatment) with minimal local toxicity and no evident systemic toxicity. These treatment parameters resulted in complete ablation of tumors and a &gt;3.5-month durable remission in 80% of mice treated with 100 μg of MWCNT. Use of MWCNTs with NIR may be effective in anticancer therapy.","author":[{"dropping-particle":"","family":"Burke","given":"Andrew","non-dropping-particle":"","parse-names":false,"suffix":""},{"dropping-particle":"","family":"Ding","given":"Xuanfeng","non-dropping-particle":"","parse-names":false,"suffix":""},{"dropping-particle":"","family":"Singh","given":"Ravi","non-dropping-particle":"","parse-names":false,"suffix":""},{"dropping-particle":"","family":"Kraft","given":"Robert A.","non-dropping-particle":"","parse-names":false,"suffix":""},{"dropping-particle":"","family":"Levi-Polyachenko","given":"Nicole","non-dropping-particle":"","parse-names":false,"suffix":""},{"dropping-particle":"","family":"Rylander","given":"Marissa Nichole","non-dropping-particle":"","parse-names":false,"suffix":""},{"dropping-particle":"","family":"Szot","given":"Chris","non-dropping-particle":"","parse-names":false,"suffix":""},{"dropping-particle":"","family":"Buchanan","given":"Cara","non-dropping-particle":"","parse-names":false,"suffix":""},{"dropping-particle":"","family":"Whitney","given":"Jon","non-dropping-particle":"","parse-names":false,"suffix":""},{"dropping-particle":"","family":"Fisher","given":"Jessica","non-dropping-particle":"","parse-names":false,"suffix":""},{"dropping-particle":"","family":"Hatcher","given":"Heather C.","non-dropping-particle":"","parse-names":false,"suffix":""},{"dropping-particle":"","family":"D'Agostino","given":"Ralph","non-dropping-particle":"","parse-names":false,"suffix":""},{"dropping-particle":"","family":"Kock","given":"Nancy D.","non-dropping-particle":"","parse-names":false,"suffix":""},{"dropping-particle":"","family":"Ajayan","given":"P. M.","non-dropping-particle":"","parse-names":false,"suffix":""},{"dropping-particle":"","family":"Carroll","given":"David L.","non-dropping-particle":"","parse-names":false,"suffix":""},{"dropping-particle":"","family":"Akman","given":"Steven","non-dropping-particle":"","parse-names":false,"suffix":""},{"dropping-particle":"","family":"Torti","given":"Frank M.","non-dropping-particle":"","parse-names":false,"suffix":""},{"dropping-particle":"V.","family":"Torti","given":"Suzy","non-dropping-particle":"","parse-names":false,"suffix":""}],"container-title":"Proceedings of the National Academy of Sciences of the United States of America","id":"ITEM-2","issue":"31","issued":{"date-parts":[["2009"]]},"page":"12897-12902","title":"Long-term survival following a single treatment of kidney tumors with multiwalled carbon nanotubes and near-infrared radiation","type":"article-journal","volume":"106"}},{"id":"a7Mi7BUu/vprBkzPY","uris":["http://www.mendeley.com/documents/?uuid=12972bd1-5ab5-4245-919b-2ba249e531e1"],"itemData":{"DOI":"10.1021/nn900368b","ISSN":"19360851","abstract":"Nanoparticles, including multiwalled carbon nanotubes (MWNTs), strongly absorb near-infrared (nIR) radiation and efficiently convert absorbed energy to released heat which can be used for localized hyperthermia applications. We demonstrate for the first time that DNA-encasement increases heat emission following nIR irradiation of MWNTs, and DNA-encased MWNTs can be used to safely eradicate a tumor mass in vivo. Upon irradiation of DNA-encased MWNTs, heat is generated with a linear dependence on irradiation time and laser power. DNA-encasement resulted in a 3-fold reduction in the concentration of MWNTs required to impart a 10 °C temperature increase in bulk solution temperature. A single treatment consisting of intratumoral injection of MWNTs (100 (xLofa500 μg/mL solution) followed by laser irradiation at 1064 nm, 2.5 W/cm2 completely eradicated PC3 xenograft tumors in 8/8 (100%) of nude mice. Tumors that received only MWNT injection or laser irradiation showed growth rates indistinguishable from nontreated control tumors. Nonmalignant tissues displayed no long-term damage from treatment. The results demonstrate that DNA-encased MWNTs are more efficient at converting nIR irradiation into heat compared to nonencased MWNTs and that DNA-encased MWNTs can be used safely and effectively for the selective thermal ablation of malignant tissue in vivo. © 2009 American Chemical Society.","author":[{"dropping-particle":"","family":"Ghosh","given":"Supratim","non-dropping-particle":"","parse-names":false,"suffix":""},{"dropping-particle":"","family":"Dutta","given":"Samrat","non-dropping-particle":"","parse-names":false,"suffix":""},{"dropping-particle":"","family":"Gomes","given":"Evan","non-dropping-particle":"","parse-names":false,"suffix":""},{"dropping-particle":"","family":"Carroll","given":"David","non-dropping-particle":"","parse-names":false,"suffix":""},{"dropping-particle":"","family":"D'Agostino","given":"Ralph","non-dropping-particle":"","parse-names":false,"suffix":""},{"dropping-particle":"","family":"Olson","given":"John","non-dropping-particle":"","parse-names":false,"suffix":""},{"dropping-particle":"","family":"Guthold","given":"Martin","non-dropping-particle":"","parse-names":false,"suffix":""},{"dropping-particle":"","family":"Gmeiner","given":"William H.","non-dropping-particle":"","parse-names":false,"suffix":""}],"container-title":"ACS Nano","id":"ITEM-3","issue":"9","issued":{"date-parts":[["2009"]]},"page":"2667-2673","title":"Increased heating efficiency and selective thermal ablation of malignant tissue with DNA-encased multiwalled carbon nanotubes","type":"article-journal","volume":"3"}},{"id":"a7Mi7BUu/iCTh46lj","uris":["http://www.mendeley.com/documents/?uuid=5ca36253-39fb-46d4-b817-dca63e4915e4"],"itemData":{"DOI":"10.1002/lsm.20968","ISSN":"01968092","abstract":"Background and Objectives: There has been a dramatic increase in photothermal therapy as a minimally invasive treatment modality for cancer treatment due to the development of novel nanomaterials as the light absorption agents. Single-wall carbon nanotubes (SWNTs) with strong optical absorption in the broad visible and near IR offer unique advantages for photothermal cancer therapy. A broad range of wavelengths can be used for the treatment with SWNTs, whereas conventional photothermal therapeutic agent is designed to absorb light only near one selected wavelength. The objective of this study is to validate the hypothesis that intratumoral injected SWNTs can absorb 785 nm near IR laser light and generate significant local hyperthermia to destroy tumors. Study Design/Materials and Methods: SCCVII tumor in C3H/HeN mice was exposed to 785-nm laser after intratumoral injection of SWNTs with different light and SWNTs dose combinations. The temperatures of the tumor with laser irradiation were monitored. In vivo and ex vivo Raman spectra in different organs were obtained with a rapid Raman system. Tumor responses (tumor volume and mouse survival) were documented daily after treatment up to day 45 to assess the effectiveness of the treatment. Results: The temperature within the tumors increased in a light- and SWNTs-dose dependent manner. Squamous cell carcinomas can be eradicated at a moderate light irradiance and fluence (200 mW/cm2 and 120 J/cm2). This light dose is also comparable to those used with photodynamic therapy. Tissue Raman spectroscopy measurements revealed that SWNTs remained localized in the tumor even 3 months after injection but was not found in other organs. Conclusions This animal study represents a significant step forward towards the goal of advancing SWNTs based photothermal cancer therapy into clinical applications. © 2010 Wiley-Liss, Inc.","author":[{"dropping-particle":"","family":"Huang","given":"Naiyan","non-dropping-particle":"","parse-names":false,"suffix":""},{"dropping-particle":"","family":"Wang","given":"Hequn","non-dropping-particle":"","parse-names":false,"suffix":""},{"dropping-particle":"","family":"Zhao","given":"Jianhua","non-dropping-particle":"","parse-names":false,"suffix":""},{"dropping-particle":"","family":"Lui","given":"Harvey","non-dropping-particle":"","parse-names":false,"suffix":""},{"dropping-particle":"","family":"Korbelik","given":"Mladen","non-dropping-particle":"","parse-names":false,"suffix":""},{"dropping-particle":"","family":"Zeng","given":"Haishan","non-dropping-particle":"","parse-names":false,"suffix":""}],"container-title":"Lasers in Surgery and Medicine","id":"ITEM-4","issue":"9","issued":{"date-parts":[["2010"]]},"page":"638-648","title":"Single-wall carbon nanotubes assisted photothermal cancer therapy: Animal study with a murine model of squamous cell carcinoma","type":"article-journal","volume":"42"}},{"id":"a7Mi7BUu/nO5qv51h","uris":["http://www.mendeley.com/documents/?uuid=8a38a768-9845-4760-afa6-8f49b0e63113"],"itemData":{"DOI":"10.1016/j.biomaterials.2011.12.029","ISSN":"18785905","abstract":"An immunologically modified nanotube system was developed using an immunoadjuvant, glycated chitosan (GC), as surfactant of single-walled carbon nanotube (SWNTs). This SWNT-GC system not only retained both optical properties of SWNTs and immunological functions of GC, but also could enter cells due to the carrier properties of SWNTs. Cellular SWNTs induced thermal destruction of tumor cells when irradiated by a near-infrared laser and, at the same time, cellular GC could serve both as damage associated molecular pattern molecules (DAMPs) and pathogen associated molecular pattern molecules (PAMPs) to enhance the tumor immunogenicity and enhance the uptake and presentation of tumor antigens, leading to special antitumor response. Using this system and a 980nm laser, we treated tumors, both invitro and invivo, and investigated the induced thermal and immunological effects. Laser+SWNT-GC afford a remarkable efficacy in suppressing tumor growth in animal cancer models, in many cases resulting in complete tumor regression and long-term survival. Mice successfully treated by Laser+SWNT-GC could establish resistance to tumor rechallenge. This system forms a multifunctional temporal-spatial continuum, which can synergize photothermal and immunological effects. The Laser+SWNT-GC could represent a promising treatment modality to induce systemic antitumor response through a local intervention, while minimizing the adverse side effects. © 2011 Elsevier Ltd.","author":[{"dropping-particle":"","family":"Zhou","given":"Feifan","non-dropping-particle":"","parse-names":false,"suffix":""},{"dropping-particle":"","family":"Wu","given":"Shengnan","non-dropping-particle":"","parse-names":false,"suffix":""},{"dropping-particle":"","family":"Song","given":"Sheng","non-dropping-particle":"","parse-names":false,"suffix":""},{"dropping-particle":"","family":"Chen","given":"Wei R.","non-dropping-particle":"","parse-names":false,"suffix":""},{"dropping-particle":"","family":"Resasco","given":"Daniel E.","non-dropping-particle":"","parse-names":false,"suffix":""},{"dropping-particle":"","family":"Xing","given":"Da","non-dropping-particle":"","parse-names":false,"suffix":""}],"container-title":"Biomaterials","id":"ITEM-5","issue":"11","issued":{"date-parts":[["2012"]]},"page":"3235-3242","publisher":"Elsevier Ltd","title":"Antitumor immunologically modified carbon nanotubes for photothermal therapy","type":"article-journal","volume":"33"}},{"id":"a7Mi7BUu/LBoDqval","uris":["http://www.mendeley.com/documents/?uuid=3917489a-8d7e-46d0-99c1-be74e6e18655"],"itemData":{"DOI":"10.1002/smll.201100669","ISSN":"16136810","abstract":"Nanomaterials have recently attracted much attention as efficient transducers for cancer photothermal therapy, based on their intrinsic absorption properties in the near-infrared region. This study explores a novel therapy model with mitochondria-targeting single-walled carbon nanotubes (SWNTs), which act efficiently to convert 980-nm laser energy into heat and selectively destroy the target mitochondria, thereby inducing mitochondrial depolarization, cytochrome c release, and caspase 3 activation. The laser+SWNTs process affords remarkable efficacy in suppressing tumor growth in a breast cancer model, and results in complete tumor regression in some cases. Laser+SWNTs could prove to be a promising selective local treatment modality, while minimizing adverse side effects. A novel therapy model with mitochondria- targeting single-walled carbon nanotubes (SWNTs), which convert laser energy into heat and selectively destroy the target mitochondria, is explored. The procedure induces cytochrome c release and cell apoptosis. The laser-SWNT method could be a promising selective local treatment modality, while minimizing adverse side effects. Copyright © 2011 WILEY-VCH Verlag GmbH &amp; Co. KGaA, Weinheim.","author":[{"dropping-particle":"","family":"Zhou","given":"Feifan","non-dropping-particle":"","parse-names":false,"suffix":""},{"dropping-particle":"","family":"Wu","given":"Shengnan","non-dropping-particle":"","parse-names":false,"suffix":""},{"dropping-particle":"","family":"Wu","given":"Baoyan","non-dropping-particle":"","parse-names":false,"suffix":""},{"dropping-particle":"","family":"Chen","given":"Wei R.","non-dropping-particle":"","parse-names":false,"suffix":""},{"dropping-particle":"","family":"Xing","given":"Da","non-dropping-particle":"","parse-names":false,"suffix":""}],"container-title":"Small","id":"ITEM-6","issue":"19","issued":{"date-parts":[["2011"]]},"page":"2727-2735","title":"Mitochondria-targeting single-walled carbon nanotubes for cancer photothermal therapy","type":"article-journal","volume":"7"}},{"id":"a7Mi7BUu/gNzVNf3j","uris":["http://www.mendeley.com/documents/?uuid=f95aaaf0-9d59-4931-a7bf-3cdd9105a689"],"itemData":{"DOI":"10.1002/adma.201402996","ISSN":"15214095","abstract":"(Figure Presented) Photothermal ablation of primary tumors with single-walled carbon nanotubes is demonstrated to be able to trigger significant adaptive immune responses, which are not observed if tumors are removed by surgical resection. Such a treatment in combination with anti-CTLA-4 antibody therapy is able to prevent the development of tumor metastasis, which is a major cause of cancer death.","author":[{"dropping-particle":"","family":"Wang","given":"Chao","non-dropping-particle":"","parse-names":false,"suffix":""},{"dropping-particle":"","family":"Xu","given":"Ligeng","non-dropping-particle":"","parse-names":false,"suffix":""},{"dropping-particle":"","family":"Liang","given":"Chao","non-dropping-particle":"","parse-names":false,"suffix":""},{"dropping-particle":"","family":"Xiang","given":"Jian","non-dropping-particle":"","parse-names":false,"suffix":""},{"dropping-particle":"","family":"Peng","given":"Rui","non-dropping-particle":"","parse-names":false,"suffix":""},{"dropping-particle":"","family":"Liu","given":"Zhuang","non-dropping-particle":"","parse-names":false,"suffix":""}],"container-title":"Advanced Materials","id":"ITEM-7","issue":"48","issued":{"date-parts":[["2014"]]},"page":"8154-8162","title":"Immunological responses triggered by photothermal therapy with carbon nanotubes in combination with anti-CTLA-4 therapy to inhibit cancer metastasis","type":"article-journal","volume":"26"}},{"id":"a7Mi7BUu/t6RVIslt","uris":["http://www.mendeley.com/documents/?uuid=edae5757-ccd4-4830-8f08-654860ab33d7"],"itemData":{"DOI":"10.1016/j.nano.2017.07.002","ISSN":"15499642","abstract":"Chemotherapy and photothermal therapy can be efficiently integrated to achieve enhanced antitumor efficacy by using carbon nanotubes (CNTs) which are super in delivering drug and converting near infrared radiation (NIR) into heat. We previously developed an innovative TAT-chitosan functionalized MWCNTs (MWCNTs/TC) based drug delivery system for doxorubicin (DOX) and preliminarily investigated its release profile and antitumor effect. In the present study, the application potential of MWCNTs/DOX/TC in chemo-photothermal combination therapy was further explored. The in vitro drug release, photothermal effect, cellular uptake and cytotoxicity were assessed. The in vivo anti-tumor effect of MWCNTs/DOX/TC was further evaluated by noninvasive bioluminescence imaging. It was demonstrated that this innovative drug delivery system not only realized a conspicuously sustained release of DOX, but also retained the optical properties of MWCNTs for a high photothermal effect upon NIR irradiation, and exhibited remarkably enhanced anti-tumor efficacy through the synergistic function of chemotherapy and photothermal ablation.","author":[{"dropping-particle":"","family":"Dong","given":"Xia","non-dropping-particle":"","parse-names":false,"suffix":""},{"dropping-particle":"","family":"Sun","given":"Zhiting","non-dropping-particle":"","parse-names":false,"suffix":""},{"dropping-particle":"","family":"Wang","given":"Xiaoxiao","non-dropping-particle":"","parse-names":false,"suffix":""},{"dropping-particle":"","family":"Leng","given":"Xigang","non-dropping-particle":"","parse-names":false,"suffix":""}],"container-title":"Nanomedicine: Nanotechnology, Biology, and Medicine","id":"ITEM-8","issue":"7","issued":{"date-parts":[["2017"]]},"page":"2271-2280","publisher":"Elsevier Inc.","title":"An innovative MWCNTs/DOX/TC nanosystem for chemo-photothermal combination therapy of cancer","type":"article-journal","volume":"13"}},{"id":"a7Mi7BUu/tYkj0RBE","uris":["http://www.mendeley.com/documents/?uuid=cba9d689-4d74-49f5-9c92-85d0239e3b3a"],"itemData":{"DOI":"10.1016/j.nano.2019.02.009","ISSN":"15499642","abstract":"Metastasis is the major cause of cancer-death. Checkpoint inhibition shows great promise as an immunotherapeutic treatment for cancer patients. However, most currently available checkpoint inhibitors have low response rates. To augment the antitumor efficacy of checkpoint inhibitors, such as CTLA-4 antibodies, a single-walled carbon nanotube (SWNT) modified by a novel immunoadjuvant, glycated chitosan (GC), was used for the treatment of metastatic mammary tumors in mice. We treated the primary tumors by intratumoral administration of SWNT-GC, followed with irradiation with a 1064-nm laser to achieve local ablation through photothermal therapy (PTT). The treatment induced a systemic antitumor immunity which inhibited lung metastasis and prolonged the animal survival time of treated. Combining SWNT-GC-laser treatment with anti-CTLA-4 produced synergistic immunomodulatory effects and further extended the survival time of the treated mice. The results showed that the special combination, PTT + SWNT-GC + anti-CTLA, could effectively suppress primary tumors and inhibit metastases, providing a new treatment strategy for metastatic cancers.","author":[{"dropping-particle":"","family":"Li","given":"Yong","non-dropping-particle":"","parse-names":false,"suffix":""},{"dropping-particle":"","family":"Li","given":"Xiaosong","non-dropping-particle":"","parse-names":false,"suffix":""},{"dropping-particle":"","family":"Doughty","given":"Austin","non-dropping-particle":"","parse-names":false,"suffix":""},{"dropping-particle":"","family":"West","given":"Connor","non-dropping-particle":"","parse-names":false,"suffix":""},{"dropping-particle":"","family":"Wang","given":"Lu","non-dropping-particle":"","parse-names":false,"suffix":""},{"dropping-particle":"","family":"Zhou","given":"Feifan","non-dropping-particle":"","parse-names":false,"suffix":""},{"dropping-particle":"","family":"Nordquist","given":"Robert E.","non-dropping-particle":"","parse-names":false,"suffix":""},{"dropping-particle":"","family":"Chen","given":"Wei R.","non-dropping-particle":"","parse-names":false,"suffix":""}],"container-title":"Nanomedicine: Nanotechnology, Biology, and Medicine","id":"ITEM-9","issued":{"date-parts":[["2019"]]},"page":"44-53","publisher":"Elsevier Inc","title":"Phototherapy using immunologically modified carbon nanotubes to potentiate checkpoint blockade for metastatic breast cancer","type":"article-journal","volume":"18"}},{"id":225,"uris":["http://zotero.org/users/7661987/items/EXHZHMXD"],"itemData":{"id":225,"type":"article-journal","abstract":"Significance\n            Prostate cancer is the most common nonskin cancer in the United States, where approximately 1 in 9 men will be diagnosed in their lifetime. The prostate is near several vital structures, such as the urethra and neurovascular bundle, and whole gland treatments for prostate cancer can disrupt normal urinary, bowel, and sexual functioning. Here we report the initial results of a clinical trial for nanoparticle-based photothermal cancer therapy. The trial was designed to perform ultrafocal photothermal ablation of cancerous tumors within the prostate. Gold-silica nanoparticles designed to absorb near-infrared light at wavelengths of high tissue transparency provide a highly localized light-based strategy for the treatment of prostate cancer, with substantially reduced risks for deleterious treatment-related side effects.\n          , \n            Biocompatible gold nanoparticles designed to absorb light at wavelengths of high tissue transparency have been of particular interest for biomedical applications. The ability of such nanoparticles to convert absorbed near-infrared light to heat and induce highly localized hyperthermia has been shown to be highly effective for photothermal cancer therapy, resulting in cell death and tumor remission in a multitude of preclinical animal models. Here we report the initial results of a clinical trial in which laser-excited gold-silica nanoshells (GSNs) were used in combination with magnetic resonance–ultrasound fusion imaging to focally ablate low-intermediate-grade tumors within the prostate. The overall goal is to provide highly localized regional control of prostate cancer that also results in greatly reduced patient morbidity and improved functional outcomes. This pilot device study reports feasibility and safety data from 16 cases of patients diagnosed with low- or intermediate-risk localized prostate cancer. After GSN infusion and high-precision laser ablation, patients underwent multiparametric MRI of the prostate at 48 to 72 h, followed by postprocedure mpMRI/ultrasound targeted fusion biopsies at 3 and 12 mo, as well as a standard 12-core systematic biopsy at 12 mo. GSN-mediated focal laser ablation was successfully achieved in 94% (15/16) of patients, with no significant difference in International Prostate Symptom Score or Sexual Health Inventory for Men observed after treatment. This treatment protocol appears to be feasible and safe in men with low- or intermediate-risk localized prostate cancer without serious complications or deleterious changes in genitourinary function.","container-title":"Proceedings of the National Academy of Sciences","DOI":"10.1073/pnas.1906929116","ISSN":"0027-8424, 1091-6490","issue":"37","journalAbbreviation":"Proc. Natl. Acad. Sci. U.S.A.","language":"en","page":"18590-18596","source":"DOI.org (Crossref)","title":"Gold nanoshell-localized photothermal ablation of prostate tumors in a clinical pilot device study","volume":"116","author":[{"family":"Rastinehad","given":"Ardeshir R."},{"family":"Anastos","given":"Harry"},{"family":"Wajswol","given":"Ethan"},{"family":"Winoker","given":"Jared S."},{"family":"Sfakianos","given":"John P."},{"family":"Doppalapudi","given":"Sai K."},{"family":"Carrick","given":"Michael R."},{"family":"Knauer","given":"Cynthia J."},{"family":"Taouli","given":"Bachir"},{"family":"Lewis","given":"Sara C."},{"family":"Tewari","given":"Ashutosh K."},{"family":"Schwartz","given":"Jon A."},{"family":"Canfield","given":"Steven E."},{"family":"George","given":"Arvin K."},{"family":"West","given":"Jennifer L."},{"family":"Halas","given":"Naomi J."}],"issued":{"date-parts":[["2019",9,10]]}}},{"id":219,"uris":["http://zotero.org/users/7661987/items/92NL88PD"],"itemData":{"id":219,"type":"article-journal","abstract":"Among modalities of cancer immunotherapy, near-infrared photoimmunotherapy (NIR-PIT) has reached significant preclinical and clinical stages and quickly evolved over the last 5 years. NIR-PIT uses deep-penetrable NIR light to induce physicochemical changes in the antibody–photosensitizer conjugate (APC), leading to resultant necrosis and immunogenic cell death (ICD) of the cancer cells. Alternatively, other types of photomedicine use photosensitizers to convert absorbed light energy either into reactive oxygen species for photodynamic therapy (PDT) or into heat for photothermal therapy (PTT). ICD is a unique and relevant outcome of NIR-PIT because it induces long-lasting antitumor host immunity, which overcomes the immunosuppressive network of cancer. Due to its high specificity and durable antitumor effects, NIR-PIT is now considered a promising cancer therapy, and optimized NIR-PIT is readily expanding its applicability to many different types of cancer. Along with the traditional method of NIR-PIT, new avenues in its realm of treatment are currently being explored, such as the targeting of other immunosuppressive elements, delivery of NIR light through a catheter, real-time imaging for tumor detection, and the use of tumor-seeking small molecules for improved efficacy and safety. In addition, its effect on hyperpermeability has opened a door for a wide array of combination therapies with other modalities. This review summarizes the recent findings in clinical and preclinical studies of NIR-induced photomedicine and its future significance in the field of cancer research.","container-title":"VIEW","DOI":"10.1002/VIW.20200110","ISSN":"2688-268X, 2688-268X","issue":"3","journalAbbreviation":"VIEW","language":"en","page":"20200110","source":"DOI.org (Crossref)","title":"Quickly evolving near</w:instrText>
      </w:r>
      <w:r w:rsidR="000F4F53">
        <w:rPr>
          <w:rFonts w:ascii="Cambria Math" w:hAnsi="Cambria Math" w:cs="Cambria Math"/>
          <w:color w:val="000000" w:themeColor="text1"/>
        </w:rPr>
        <w:instrText>‐</w:instrText>
      </w:r>
      <w:r w:rsidR="000F4F53">
        <w:rPr>
          <w:rFonts w:ascii="Arial" w:hAnsi="Arial" w:cs="Arial"/>
          <w:color w:val="000000" w:themeColor="text1"/>
        </w:rPr>
        <w:instrText xml:space="preserve">infrared photoimmunotherapy provides multifaceted approach to modern cancer treatment","volume":"3","author":[{"family":"Monaco","given":"Hailey"},{"family":"Yokomizo","given":"Shinya"},{"family":"Choi","given":"Hak Soo"},{"family":"Kashiwagi","given":"Satoshi"}],"issued":{"date-parts":[["2022",5]]}}}],"schema":"https://github.com/citation-style-language/schema/raw/master/csl-citation.json"}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207,209,304–312</w:t>
      </w:r>
      <w:r w:rsidRPr="00D74025">
        <w:rPr>
          <w:rFonts w:ascii="Arial" w:hAnsi="Arial" w:cs="Arial"/>
          <w:color w:val="000000" w:themeColor="text1"/>
        </w:rPr>
        <w:fldChar w:fldCharType="end"/>
      </w:r>
      <w:r w:rsidRPr="00D74025">
        <w:rPr>
          <w:rFonts w:ascii="Arial" w:hAnsi="Arial" w:cs="Arial"/>
          <w:color w:val="000000" w:themeColor="text1"/>
        </w:rPr>
        <w:t xml:space="preserve">. Huang </w:t>
      </w:r>
      <w:r w:rsidRPr="00C401ED">
        <w:rPr>
          <w:rFonts w:ascii="Arial" w:hAnsi="Arial" w:cs="Arial"/>
          <w:i/>
          <w:iCs/>
          <w:color w:val="000000" w:themeColor="text1"/>
        </w:rPr>
        <w:t>et al.</w:t>
      </w:r>
      <w:r>
        <w:rPr>
          <w:rFonts w:ascii="Arial" w:hAnsi="Arial" w:cs="Arial"/>
          <w:color w:val="000000" w:themeColor="text1"/>
        </w:rPr>
        <w:t xml:space="preserve"> </w:t>
      </w:r>
      <w:r w:rsidRPr="00D74025">
        <w:rPr>
          <w:rFonts w:ascii="Arial" w:hAnsi="Arial" w:cs="Arial"/>
          <w:color w:val="000000" w:themeColor="text1"/>
        </w:rPr>
        <w:fldChar w:fldCharType="begin" w:fldLock="1"/>
      </w:r>
      <w:r w:rsidR="000F4F53">
        <w:rPr>
          <w:rFonts w:ascii="Arial" w:hAnsi="Arial" w:cs="Arial"/>
          <w:color w:val="000000" w:themeColor="text1"/>
        </w:rPr>
        <w:instrText xml:space="preserve"> ADDIN ZOTERO_ITEM CSL_CITATION {"citationID":"McGwSqUy","properties":{"formattedCitation":"\\super 307\\nosupersub{}","plainCitation":"307","noteIndex":0},"citationItems":[{"id":"a7Mi7BUu/iCTh46lj","uris":["http://www.mendeley.com/documents/?uuid=5ca36253-39fb-46d4-b817-dca63e4915e4"],"itemData":{"DOI":"10.1002/lsm.20968","ISSN":"01968092","abstract":"Background and Objectives: There has been a dramatic increase in photothermal therapy as a minimally invasive treatment modality for cancer treatment due to the development of novel nanomaterials as the light absorption agents. Single-wall carbon nanotubes (SWNTs) with strong optical absorption in the broad visible and near IR offer unique advantages for photothermal cancer therapy. A broad range of wavelengths can be used for the treatment with SWNTs, whereas conventional photothermal therapeutic agent is designed to absorb light only near one selected wavelength. The objective of this study is to validate the hypothesis that intratumoral injected SWNTs can absorb 785 nm near IR laser light and generate significant local hyperthermia to destroy tumors. Study Design/Materials and Methods: SCCVII tumor in C3H/HeN mice was exposed to 785-nm laser after intratumoral injection of SWNTs with different light and SWNTs dose combinations. The temperatures of the tumor with laser irradiation were monitored. In vivo and ex vivo Raman spectra in different organs were obtained with a rapid Raman system. Tumor responses (tumor volume and mouse survival) were documented daily after treatment up to day 45 to assess the effectiveness of the treatment. Results: The temperature within the tumors increased in a light- and SWNTs-dose dependent manner. Squamous cell carcinomas can be eradicated at a moderate light irradiance and fluence (200 mW/cm2 and 120 J/cm2). This light dose is also comparable to those used with photodynamic therapy. Tissue Raman spectroscopy measurements revealed that SWNTs remained localized in the tumor even 3 months after injection but was not found in other organs. Conclusions This animal study represents a significant step forward towards the goal of advancing SWNTs based photothermal cancer therapy into clinical applications. © 2010 Wiley-Liss, Inc.","author":[{"dropping-particle":"","family":"Huang","given":"Naiyan","non-dropping-particle":"","parse-names":false,"suffix":""},{"dropping-particle":"","family":"Wang","given":"Hequn","non-dropping-particle":"","parse-names":false,"suffix":""},{"dropping-particle":"","family":"Zhao","given":"Jianhua","non-dropping-particle":"","parse-names":false,"suffix":""},{"dropping-particle":"","family":"Lui","given":"Harvey","non-dropping-particle":"","parse-names":false,"suffix":""},{"dropping-particle":"","family":"Korbelik","given":"Mladen","non-dropping-particle":"","parse-names":false,"suffix":""},{"dropping-particle":"","family":"Zeng","given":"Haishan","non-dropping-particle":"","parse-names":false,"suffix":""}],"container-title":"Lasers in Surgery and Medicine","id":"ITEM-1","issue":"9","issued":{"date-parts":[["2010"]]},"page":"638-648","title":"Single-wall carbon nanotubes assisted photothermal cancer therapy: Animal study with a murine model of squamous cell carcinoma","type":"article-journal","volume":"42"}}],"schema":"https://github.com/citation-style-language/schema/raw/master/csl-citation.json"}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307</w:t>
      </w:r>
      <w:r w:rsidRPr="00D74025">
        <w:rPr>
          <w:rFonts w:ascii="Arial" w:hAnsi="Arial" w:cs="Arial"/>
          <w:color w:val="000000" w:themeColor="text1"/>
        </w:rPr>
        <w:fldChar w:fldCharType="end"/>
      </w:r>
      <w:r w:rsidRPr="00D74025">
        <w:rPr>
          <w:rFonts w:ascii="Arial" w:hAnsi="Arial" w:cs="Arial"/>
          <w:color w:val="000000" w:themeColor="text1"/>
        </w:rPr>
        <w:t xml:space="preserve"> studied the photothermal therapy efficiency on orthotopic squamous cell carcinoma in mice. </w:t>
      </w:r>
      <w:r>
        <w:rPr>
          <w:rFonts w:ascii="Arial" w:hAnsi="Arial" w:cs="Arial"/>
          <w:color w:val="000000" w:themeColor="text1"/>
        </w:rPr>
        <w:t>Tumor-bearing</w:t>
      </w:r>
      <w:r w:rsidRPr="00D74025">
        <w:rPr>
          <w:rFonts w:ascii="Arial" w:hAnsi="Arial" w:cs="Arial"/>
          <w:color w:val="000000" w:themeColor="text1"/>
        </w:rPr>
        <w:t xml:space="preserve"> mice were intratumorally injected with different doses of covalently PEGylated SWCNT and subjected to 785 nm</w:t>
      </w:r>
      <w:r w:rsidR="00166F0C">
        <w:rPr>
          <w:rFonts w:ascii="Arial" w:hAnsi="Arial" w:cs="Arial"/>
          <w:color w:val="000000" w:themeColor="text1"/>
        </w:rPr>
        <w:t xml:space="preserve"> </w:t>
      </w:r>
      <w:r w:rsidRPr="00D74025">
        <w:rPr>
          <w:rFonts w:ascii="Arial" w:hAnsi="Arial" w:cs="Arial"/>
          <w:color w:val="000000" w:themeColor="text1"/>
        </w:rPr>
        <w:t xml:space="preserve">laser treatment at different energy density dosages. For each combination of SWCNT and energy dosages, </w:t>
      </w:r>
      <w:r>
        <w:rPr>
          <w:rFonts w:ascii="Arial" w:hAnsi="Arial" w:cs="Arial"/>
          <w:color w:val="000000" w:themeColor="text1"/>
        </w:rPr>
        <w:t xml:space="preserve">the </w:t>
      </w:r>
      <w:r w:rsidRPr="00D74025">
        <w:rPr>
          <w:rFonts w:ascii="Arial" w:hAnsi="Arial" w:cs="Arial"/>
          <w:color w:val="000000" w:themeColor="text1"/>
        </w:rPr>
        <w:t xml:space="preserve">superficial temperature of the tumors </w:t>
      </w:r>
      <w:r>
        <w:rPr>
          <w:rFonts w:ascii="Arial" w:hAnsi="Arial" w:cs="Arial"/>
          <w:color w:val="000000" w:themeColor="text1"/>
        </w:rPr>
        <w:t>was</w:t>
      </w:r>
      <w:r w:rsidRPr="00D74025">
        <w:rPr>
          <w:rFonts w:ascii="Arial" w:hAnsi="Arial" w:cs="Arial"/>
          <w:color w:val="000000" w:themeColor="text1"/>
        </w:rPr>
        <w:t xml:space="preserve"> measured. Additionally, tumor volumes were recorded 11 days after treatment</w:t>
      </w:r>
      <w:r>
        <w:rPr>
          <w:rFonts w:ascii="Arial" w:hAnsi="Arial" w:cs="Arial"/>
          <w:color w:val="000000" w:themeColor="text1"/>
        </w:rPr>
        <w:t>,</w:t>
      </w:r>
      <w:r w:rsidRPr="00D74025">
        <w:rPr>
          <w:rFonts w:ascii="Arial" w:hAnsi="Arial" w:cs="Arial"/>
          <w:color w:val="000000" w:themeColor="text1"/>
        </w:rPr>
        <w:t xml:space="preserve"> and survival </w:t>
      </w:r>
      <w:r>
        <w:rPr>
          <w:rFonts w:ascii="Arial" w:hAnsi="Arial" w:cs="Arial"/>
          <w:color w:val="000000" w:themeColor="text1"/>
        </w:rPr>
        <w:t>curves were</w:t>
      </w:r>
      <w:r w:rsidRPr="00D74025">
        <w:rPr>
          <w:rFonts w:ascii="Arial" w:hAnsi="Arial" w:cs="Arial"/>
          <w:color w:val="000000" w:themeColor="text1"/>
        </w:rPr>
        <w:t xml:space="preserve"> reported for 45 days. Results showed that the highest dosage of MWCNT and power density (1 mg/ml and 200 W/cm² </w:t>
      </w:r>
      <w:r w:rsidRPr="00D74025">
        <w:rPr>
          <w:rFonts w:ascii="Arial" w:hAnsi="Arial" w:cs="Arial"/>
          <w:color w:val="000000" w:themeColor="text1"/>
        </w:rPr>
        <w:lastRenderedPageBreak/>
        <w:t>for 10 min) caused an increase of 56°C on the surface of the tumor, total tumor regression for 11 days and 62.5% survival for 45 days (n</w:t>
      </w:r>
      <w:r w:rsidR="0050218D">
        <w:rPr>
          <w:rFonts w:ascii="Arial" w:hAnsi="Arial" w:cs="Arial"/>
          <w:color w:val="000000" w:themeColor="text1"/>
        </w:rPr>
        <w:t> </w:t>
      </w:r>
      <w:r w:rsidRPr="00D74025">
        <w:rPr>
          <w:rFonts w:ascii="Arial" w:hAnsi="Arial" w:cs="Arial"/>
          <w:color w:val="000000" w:themeColor="text1"/>
        </w:rPr>
        <w:t>=</w:t>
      </w:r>
      <w:r w:rsidR="0050218D">
        <w:rPr>
          <w:rFonts w:ascii="Arial" w:hAnsi="Arial" w:cs="Arial"/>
          <w:color w:val="000000" w:themeColor="text1"/>
        </w:rPr>
        <w:t> </w:t>
      </w:r>
      <w:r w:rsidRPr="00D74025">
        <w:rPr>
          <w:rFonts w:ascii="Arial" w:hAnsi="Arial" w:cs="Arial"/>
          <w:color w:val="000000" w:themeColor="text1"/>
        </w:rPr>
        <w:t xml:space="preserve">8). Zhou </w:t>
      </w:r>
      <w:r w:rsidRPr="00C401ED">
        <w:rPr>
          <w:rFonts w:ascii="Arial" w:hAnsi="Arial" w:cs="Arial"/>
          <w:i/>
          <w:iCs/>
          <w:color w:val="000000" w:themeColor="text1"/>
        </w:rPr>
        <w:t>et al.</w:t>
      </w:r>
      <w:r>
        <w:rPr>
          <w:rFonts w:ascii="Arial" w:hAnsi="Arial" w:cs="Arial"/>
          <w:color w:val="000000" w:themeColor="text1"/>
        </w:rPr>
        <w:t xml:space="preserve"> </w:t>
      </w:r>
      <w:r w:rsidRPr="00D74025">
        <w:rPr>
          <w:rFonts w:ascii="Arial" w:hAnsi="Arial" w:cs="Arial"/>
          <w:color w:val="000000" w:themeColor="text1"/>
          <w:vertAlign w:val="superscript"/>
        </w:rPr>
        <w:fldChar w:fldCharType="begin" w:fldLock="1"/>
      </w:r>
      <w:r w:rsidR="000F4F53">
        <w:rPr>
          <w:rFonts w:ascii="Arial" w:hAnsi="Arial" w:cs="Arial"/>
          <w:color w:val="000000" w:themeColor="text1"/>
          <w:vertAlign w:val="superscript"/>
        </w:rPr>
        <w:instrText xml:space="preserve"> ADDIN ZOTERO_ITEM CSL_CITATION {"citationID":"3lNPruGV","properties":{"formattedCitation":"\\super 309\\nosupersub{}","plainCitation":"309","noteIndex":0},"citationItems":[{"id":"a7Mi7BUu/LBoDqval","uris":["http://www.mendeley.com/documents/?uuid=3917489a-8d7e-46d0-99c1-be74e6e18655"],"itemData":{"DOI":"10.1002/smll.201100669","ISSN":"16136810","abstract":"Nanomaterials have recently attracted much attention as efficient transducers for cancer photothermal therapy, based on their intrinsic absorption properties in the near-infrared region. This study explores a novel therapy model with mitochondria-targeting single-walled carbon nanotubes (SWNTs), which act efficiently to convert 980-nm laser energy into heat and selectively destroy the target mitochondria, thereby inducing mitochondrial depolarization, cytochrome c release, and caspase 3 activation. The laser+SWNTs process affords remarkable efficacy in suppressing tumor growth in a breast cancer model, and results in complete tumor regression in some cases. Laser+SWNTs could prove to be a promising selective local treatment modality, while minimizing adverse side effects. A novel therapy model with mitochondria- targeting single-walled carbon nanotubes (SWNTs), which convert laser energy into heat and selectively destroy the target mitochondria, is explored. The procedure induces cytochrome c release and cell apoptosis. The laser-SWNT method could be a promising selective local treatment modality, while minimizing adverse side effects. Copyright © 2011 WILEY-VCH Verlag GmbH &amp; Co. KGaA, Weinheim.","author":[{"dropping-particle":"","family":"Zhou","given":"Feifan","non-dropping-particle":"","parse-names":false,"suffix":""},{"dropping-particle":"","family":"Wu","given":"Shengnan","non-dropping-particle":"","parse-names":false,"suffix":""},{"dropping-particle":"","family":"Wu","given":"Baoyan","non-dropping-particle":"","parse-names":false,"suffix":""},{"dropping-particle":"","family":"Chen","given":"Wei R.","non-dropping-particle":"","parse-names":false,"suffix":""},{"dropping-particle":"","family":"Xing","given":"Da","non-dropping-particle":"","parse-names":false,"suffix":""}],"container-title":"Small","id":"ITEM-1","issue":"19","issued":{"date-parts":[["2011"]]},"page":"2727-2735","title":"Mitochondria-targeting single-walled carbon nanotubes for cancer photothermal therapy","type":"article-journal","volume":"7"}}],"schema":"https://github.com/citation-style-language/schema/raw/master/csl-citation.json"} </w:instrText>
      </w:r>
      <w:r w:rsidRPr="00D74025">
        <w:rPr>
          <w:rFonts w:ascii="Arial" w:hAnsi="Arial" w:cs="Arial"/>
          <w:color w:val="000000" w:themeColor="text1"/>
          <w:vertAlign w:val="superscript"/>
        </w:rPr>
        <w:fldChar w:fldCharType="separate"/>
      </w:r>
      <w:r w:rsidR="000F4F53" w:rsidRPr="000F4F53">
        <w:rPr>
          <w:rFonts w:ascii="Arial" w:hAnsi="Arial" w:cs="Arial"/>
          <w:color w:val="000000"/>
          <w:vertAlign w:val="superscript"/>
        </w:rPr>
        <w:t>309</w:t>
      </w:r>
      <w:r w:rsidRPr="00D74025">
        <w:rPr>
          <w:rFonts w:ascii="Arial" w:hAnsi="Arial" w:cs="Arial"/>
          <w:color w:val="000000" w:themeColor="text1"/>
        </w:rPr>
        <w:fldChar w:fldCharType="end"/>
      </w:r>
      <w:r w:rsidRPr="00D74025">
        <w:rPr>
          <w:rFonts w:ascii="Arial" w:hAnsi="Arial" w:cs="Arial"/>
          <w:color w:val="000000" w:themeColor="text1"/>
        </w:rPr>
        <w:t xml:space="preserve"> studied the </w:t>
      </w:r>
      <w:r>
        <w:rPr>
          <w:rFonts w:ascii="Arial" w:hAnsi="Arial" w:cs="Arial"/>
          <w:color w:val="000000" w:themeColor="text1"/>
        </w:rPr>
        <w:t>therapeutic</w:t>
      </w:r>
      <w:r w:rsidRPr="00D74025">
        <w:rPr>
          <w:rFonts w:ascii="Arial" w:hAnsi="Arial" w:cs="Arial"/>
          <w:color w:val="000000" w:themeColor="text1"/>
        </w:rPr>
        <w:t xml:space="preserve"> effects of PEGylated SWCNTs combined with laser irradiation </w:t>
      </w:r>
      <w:r w:rsidRPr="000D41A3">
        <w:rPr>
          <w:rFonts w:ascii="Arial" w:hAnsi="Arial" w:cs="Arial"/>
          <w:i/>
          <w:iCs/>
          <w:color w:val="000000" w:themeColor="text1"/>
        </w:rPr>
        <w:t>in vivo</w:t>
      </w:r>
      <w:r w:rsidRPr="00D74025">
        <w:rPr>
          <w:rFonts w:ascii="Arial" w:hAnsi="Arial" w:cs="Arial"/>
          <w:color w:val="000000" w:themeColor="text1"/>
        </w:rPr>
        <w:t xml:space="preserve">. Mice that bore non-orthotopic breast cancer models were injected intratumorally with 1 mg/kg and irradiated with </w:t>
      </w:r>
      <w:r>
        <w:rPr>
          <w:rFonts w:ascii="Arial" w:hAnsi="Arial" w:cs="Arial"/>
          <w:color w:val="000000" w:themeColor="text1"/>
        </w:rPr>
        <w:t xml:space="preserve">a </w:t>
      </w:r>
      <w:r w:rsidRPr="00D74025">
        <w:rPr>
          <w:rFonts w:ascii="Arial" w:hAnsi="Arial" w:cs="Arial"/>
          <w:color w:val="000000" w:themeColor="text1"/>
        </w:rPr>
        <w:t>980</w:t>
      </w:r>
      <w:r w:rsidR="0050218D">
        <w:rPr>
          <w:rFonts w:ascii="Arial" w:hAnsi="Arial" w:cs="Arial"/>
          <w:color w:val="000000" w:themeColor="text1"/>
        </w:rPr>
        <w:t xml:space="preserve"> </w:t>
      </w:r>
      <w:r w:rsidRPr="00D74025">
        <w:rPr>
          <w:rFonts w:ascii="Arial" w:hAnsi="Arial" w:cs="Arial"/>
          <w:color w:val="000000" w:themeColor="text1"/>
        </w:rPr>
        <w:t>nm</w:t>
      </w:r>
      <w:r>
        <w:rPr>
          <w:rFonts w:ascii="Arial" w:hAnsi="Arial" w:cs="Arial"/>
          <w:color w:val="000000" w:themeColor="text1"/>
        </w:rPr>
        <w:t xml:space="preserve"> </w:t>
      </w:r>
      <w:r w:rsidRPr="00D74025">
        <w:rPr>
          <w:rFonts w:ascii="Arial" w:hAnsi="Arial" w:cs="Arial"/>
          <w:color w:val="000000" w:themeColor="text1"/>
        </w:rPr>
        <w:t xml:space="preserve">laser (1 W/cm²,10 min). </w:t>
      </w:r>
      <w:r>
        <w:rPr>
          <w:rFonts w:ascii="Arial" w:hAnsi="Arial" w:cs="Arial"/>
          <w:color w:val="000000" w:themeColor="text1"/>
        </w:rPr>
        <w:t>The tumor</w:t>
      </w:r>
      <w:r w:rsidRPr="00D74025">
        <w:rPr>
          <w:rFonts w:ascii="Arial" w:hAnsi="Arial" w:cs="Arial"/>
          <w:color w:val="000000" w:themeColor="text1"/>
        </w:rPr>
        <w:t xml:space="preserve"> surface temperature reached 76°C after 5 min of irradiation. Tumor volume assessment showed complete tumor regression for </w:t>
      </w:r>
      <w:r>
        <w:rPr>
          <w:rFonts w:ascii="Arial" w:hAnsi="Arial" w:cs="Arial"/>
          <w:color w:val="000000" w:themeColor="text1"/>
        </w:rPr>
        <w:t xml:space="preserve">the </w:t>
      </w:r>
      <w:proofErr w:type="spellStart"/>
      <w:r w:rsidRPr="00D74025">
        <w:rPr>
          <w:rFonts w:ascii="Arial" w:hAnsi="Arial" w:cs="Arial"/>
          <w:color w:val="000000" w:themeColor="text1"/>
        </w:rPr>
        <w:t>SWCNT+laser</w:t>
      </w:r>
      <w:proofErr w:type="spellEnd"/>
      <w:r w:rsidRPr="00D74025">
        <w:rPr>
          <w:rFonts w:ascii="Arial" w:hAnsi="Arial" w:cs="Arial"/>
          <w:color w:val="000000" w:themeColor="text1"/>
        </w:rPr>
        <w:t xml:space="preserve"> treatment group for 30 days and 75% survival for 100 days. </w:t>
      </w:r>
    </w:p>
    <w:p w14:paraId="134AB3DE" w14:textId="6C58FD7F" w:rsidR="00844140" w:rsidRDefault="00844140" w:rsidP="00844140">
      <w:pPr>
        <w:spacing w:line="360" w:lineRule="auto"/>
        <w:ind w:firstLine="1440"/>
        <w:jc w:val="both"/>
        <w:rPr>
          <w:rFonts w:ascii="Arial" w:hAnsi="Arial" w:cs="Arial"/>
          <w:color w:val="000000" w:themeColor="text1"/>
        </w:rPr>
      </w:pPr>
      <w:r w:rsidRPr="00D74025">
        <w:rPr>
          <w:rFonts w:ascii="Arial" w:hAnsi="Arial" w:cs="Arial"/>
          <w:color w:val="000000" w:themeColor="text1"/>
        </w:rPr>
        <w:t>It can be noted that the temperatures obtained in those experiments were extreme, with reports of temperatures of 76°C. Those extreme temperatures are very efficient at ablating solid tumors due to the induction of instantaneous cell death</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{"citationID":"ohMdcH9G","properties":{"formattedCitation":"\\super 187\\nosupersub{}","plainCitation":"187","noteIndex":0},"citationItems":[{"id":243,"uris":["http://zotero.org/users/7661987/items/RR6GGUU7"],"itemData":{"id":243,"type":"article-journal","abstract":"Tumor ablation is a minimally invasive technique that is commonly used in the treatment of tumors of the liver, kidney, bone, and lung. During tumor ablation, thermal energy is used to heat or cool tissue to cytotoxic levels (less than −40°C or more than 60°C). An additional technique is being developed that targets the permeability of the cell membrane and is ostensibly nonthermal. Within the classification of tumor ablation, there are several modalities used worldwide: radiofrequency, microwave, laser, high-intensity focused ultrasound, cryoablation, and irreversible electroporation. Each technique, although similar in purpose, has specific and optimal indications. This review serves to discuss general principles and technique, reviews each modality, and discusses modality selection.","container-title":"Techniques in Vascular and Interventional Radiology","DOI":"10.1053/j.tvir.2013.08.002","ISSN":"10892516","issue":"4","journalAbbreviation":"Techniques in Vascular and Interventional Radiology","language":"en","page":"192-200","source":"DOI.org (Crossref)","title":"Tumor Ablation: Common Modalities and General Practices","title-short":"Tumor Ablation","volume":"16","author":[{"family":"Knavel","given":"Erica M."},{"family":"Brace","given":"Christopher L."}],"issued":{"date-parts":[["2013",12]]}}}],"schema":"https://github.com/citation-style-language/schema/raw/master/csl-citation.json"}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187</w:t>
      </w:r>
      <w:r w:rsidRPr="00D74025">
        <w:rPr>
          <w:rFonts w:ascii="Arial" w:hAnsi="Arial" w:cs="Arial"/>
          <w:color w:val="000000" w:themeColor="text1"/>
        </w:rPr>
        <w:fldChar w:fldCharType="end"/>
      </w:r>
      <w:r w:rsidRPr="00D74025">
        <w:rPr>
          <w:rFonts w:ascii="Arial" w:hAnsi="Arial" w:cs="Arial"/>
          <w:color w:val="000000" w:themeColor="text1"/>
        </w:rPr>
        <w:t>. Nonetheless, concerns about the safety of procedures that involve such high temperatures should be addressed. Therefore, in the next experiment</w:t>
      </w:r>
      <w:r>
        <w:rPr>
          <w:rFonts w:ascii="Arial" w:hAnsi="Arial" w:cs="Arial"/>
          <w:color w:val="000000" w:themeColor="text1"/>
        </w:rPr>
        <w:t>,</w:t>
      </w:r>
      <w:r w:rsidRPr="00D74025">
        <w:rPr>
          <w:rFonts w:ascii="Arial" w:hAnsi="Arial" w:cs="Arial"/>
          <w:color w:val="000000" w:themeColor="text1"/>
        </w:rPr>
        <w:t xml:space="preserve"> we analyzed the immune activation of PTT by reaching various endpoint tumor surface </w:t>
      </w:r>
      <w:r>
        <w:rPr>
          <w:rFonts w:ascii="Arial" w:hAnsi="Arial" w:cs="Arial"/>
          <w:color w:val="000000" w:themeColor="text1"/>
        </w:rPr>
        <w:t>temperatures</w:t>
      </w:r>
      <w:r w:rsidRPr="00D74025">
        <w:rPr>
          <w:rFonts w:ascii="Arial" w:hAnsi="Arial" w:cs="Arial"/>
          <w:color w:val="000000" w:themeColor="text1"/>
        </w:rPr>
        <w:t>. For that, mice were injected intratumorally with SWCNT-ANXA5 and treated with PTT at 1 W/cm</w:t>
      </w:r>
      <w:r w:rsidRPr="00D74025">
        <w:rPr>
          <w:rFonts w:ascii="Arial" w:hAnsi="Arial" w:cs="Arial"/>
          <w:color w:val="000000" w:themeColor="text1"/>
          <w:vertAlign w:val="superscript"/>
        </w:rPr>
        <w:t>2</w:t>
      </w:r>
      <w:r w:rsidRPr="00D74025">
        <w:rPr>
          <w:rFonts w:ascii="Arial" w:hAnsi="Arial" w:cs="Arial"/>
          <w:color w:val="000000" w:themeColor="text1"/>
        </w:rPr>
        <w:t xml:space="preserve">. The tumor surface temperature was monitored during the irradiation by </w:t>
      </w:r>
      <w:r>
        <w:rPr>
          <w:rFonts w:ascii="Arial" w:hAnsi="Arial" w:cs="Arial"/>
          <w:color w:val="000000" w:themeColor="text1"/>
        </w:rPr>
        <w:t xml:space="preserve">a </w:t>
      </w:r>
      <w:r w:rsidRPr="00D74025">
        <w:rPr>
          <w:rFonts w:ascii="Arial" w:hAnsi="Arial" w:cs="Arial"/>
          <w:color w:val="000000" w:themeColor="text1"/>
        </w:rPr>
        <w:t>thermal camera. Irradiation ceased immediately after the tumor surface reached the temperature assigned to the groups of 45, 50, 55</w:t>
      </w:r>
      <w:r>
        <w:rPr>
          <w:rFonts w:ascii="Arial" w:hAnsi="Arial" w:cs="Arial"/>
          <w:color w:val="000000" w:themeColor="text1"/>
        </w:rPr>
        <w:t>,</w:t>
      </w:r>
      <w:r w:rsidRPr="00D74025">
        <w:rPr>
          <w:rFonts w:ascii="Arial" w:hAnsi="Arial" w:cs="Arial"/>
          <w:color w:val="000000" w:themeColor="text1"/>
        </w:rPr>
        <w:t xml:space="preserve"> or 60°C. The concentration of four cytokines (</w:t>
      </w:r>
      <w:r w:rsidRPr="00D74025">
        <w:rPr>
          <w:rFonts w:ascii="Arial" w:eastAsiaTheme="minorEastAsia" w:hAnsi="Arial" w:cs="Arial"/>
          <w:color w:val="000000" w:themeColor="text1"/>
        </w:rPr>
        <w:t>TNF-</w:t>
      </w:r>
      <w:r w:rsidRPr="00D74025">
        <w:rPr>
          <w:rFonts w:ascii="Arial" w:eastAsiaTheme="minorEastAsia" w:hAnsi="Arial" w:cs="Arial"/>
          <w:color w:val="000000" w:themeColor="text1"/>
        </w:rPr>
        <w:sym w:font="Symbol" w:char="F061"/>
      </w:r>
      <w:r w:rsidRPr="00D74025">
        <w:rPr>
          <w:rFonts w:ascii="Arial" w:eastAsiaTheme="minorEastAsia" w:hAnsi="Arial" w:cs="Arial"/>
          <w:color w:val="000000" w:themeColor="text1"/>
        </w:rPr>
        <w:t>, IL-6, IFN-</w:t>
      </w:r>
      <w:r w:rsidRPr="00D74025">
        <w:rPr>
          <w:rFonts w:ascii="Arial" w:eastAsiaTheme="minorEastAsia" w:hAnsi="Arial" w:cs="Arial"/>
          <w:color w:val="000000" w:themeColor="text1"/>
        </w:rPr>
        <w:sym w:font="Symbol" w:char="F067"/>
      </w:r>
      <w:r w:rsidRPr="00D74025">
        <w:rPr>
          <w:rFonts w:ascii="Arial" w:eastAsiaTheme="minorEastAsia" w:hAnsi="Arial" w:cs="Arial"/>
          <w:color w:val="000000" w:themeColor="text1"/>
        </w:rPr>
        <w:t xml:space="preserve"> and IL-12 p70) </w:t>
      </w:r>
      <w:r w:rsidRPr="00D74025">
        <w:rPr>
          <w:rFonts w:ascii="Arial" w:hAnsi="Arial" w:cs="Arial"/>
          <w:color w:val="000000" w:themeColor="text1"/>
        </w:rPr>
        <w:t xml:space="preserve">was measured in the serum 1 and 7 days after PTT. </w:t>
      </w:r>
      <w:r>
        <w:rPr>
          <w:rFonts w:ascii="Arial" w:hAnsi="Arial" w:cs="Arial"/>
          <w:color w:val="000000" w:themeColor="text1"/>
        </w:rPr>
        <w:t>The statistically significant results</w:t>
      </w:r>
      <w:r w:rsidRPr="00D74025">
        <w:rPr>
          <w:rFonts w:ascii="Arial" w:hAnsi="Arial" w:cs="Arial"/>
          <w:color w:val="000000" w:themeColor="text1"/>
        </w:rPr>
        <w:t xml:space="preserve"> are shown in </w:t>
      </w:r>
      <w:r w:rsidR="00B34010" w:rsidRPr="00B34010">
        <w:rPr>
          <w:rFonts w:ascii="Arial" w:hAnsi="Arial" w:cs="Arial"/>
          <w:b/>
          <w:bCs/>
          <w:color w:val="000000" w:themeColor="text1"/>
        </w:rPr>
        <w:t>F</w:t>
      </w:r>
      <w:r w:rsidRPr="00B34010">
        <w:rPr>
          <w:rFonts w:ascii="Arial" w:hAnsi="Arial" w:cs="Arial"/>
          <w:b/>
          <w:bCs/>
          <w:color w:val="000000" w:themeColor="text1"/>
        </w:rPr>
        <w:t xml:space="preserve">igure </w:t>
      </w:r>
      <w:r w:rsidR="00B34010" w:rsidRPr="00B34010">
        <w:rPr>
          <w:rFonts w:ascii="Arial" w:hAnsi="Arial" w:cs="Arial"/>
          <w:b/>
          <w:bCs/>
          <w:color w:val="000000" w:themeColor="text1"/>
        </w:rPr>
        <w:t>36</w:t>
      </w:r>
      <w:r w:rsidRPr="00D74025">
        <w:rPr>
          <w:rFonts w:ascii="Arial" w:hAnsi="Arial" w:cs="Arial"/>
          <w:color w:val="000000" w:themeColor="text1"/>
        </w:rPr>
        <w:t xml:space="preserve"> (results that were not statistically significant are available in </w:t>
      </w:r>
      <w:r w:rsidR="00073D2B">
        <w:rPr>
          <w:rFonts w:ascii="Arial" w:hAnsi="Arial" w:cs="Arial"/>
          <w:color w:val="000000" w:themeColor="text1"/>
        </w:rPr>
        <w:t>A</w:t>
      </w:r>
      <w:r w:rsidRPr="00D74025">
        <w:rPr>
          <w:rFonts w:ascii="Arial" w:hAnsi="Arial" w:cs="Arial"/>
          <w:color w:val="000000" w:themeColor="text1"/>
        </w:rPr>
        <w:t>ppendix A</w:t>
      </w:r>
      <w:r w:rsidR="00574918">
        <w:rPr>
          <w:rFonts w:ascii="Arial" w:hAnsi="Arial" w:cs="Arial"/>
          <w:color w:val="000000" w:themeColor="text1"/>
        </w:rPr>
        <w:t xml:space="preserve"> – </w:t>
      </w:r>
      <w:r w:rsidR="00574918" w:rsidRPr="00574918">
        <w:rPr>
          <w:rFonts w:ascii="Arial" w:hAnsi="Arial" w:cs="Arial"/>
          <w:b/>
          <w:bCs/>
          <w:color w:val="000000" w:themeColor="text1"/>
        </w:rPr>
        <w:t>Figure 72</w:t>
      </w:r>
      <w:r w:rsidRPr="00D74025">
        <w:rPr>
          <w:rFonts w:ascii="Arial" w:hAnsi="Arial" w:cs="Arial"/>
          <w:color w:val="000000" w:themeColor="text1"/>
        </w:rPr>
        <w:t>).</w:t>
      </w:r>
    </w:p>
    <w:p w14:paraId="51C40107" w14:textId="77777777" w:rsidR="00574918" w:rsidRPr="00D74025" w:rsidRDefault="00574918" w:rsidP="00844140">
      <w:pPr>
        <w:spacing w:line="360" w:lineRule="auto"/>
        <w:ind w:firstLine="1440"/>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5E116040" w14:textId="77777777">
        <w:tc>
          <w:tcPr>
            <w:tcW w:w="8494" w:type="dxa"/>
          </w:tcPr>
          <w:p w14:paraId="518107B4" w14:textId="58338061" w:rsidR="008267AC" w:rsidRPr="00D74025" w:rsidRDefault="00B23B74" w:rsidP="00550EA6">
            <w:pPr>
              <w:spacing w:beforeAutospacing="0"/>
              <w:ind w:firstLine="0"/>
              <w:rPr>
                <w:rFonts w:ascii="Arial" w:hAnsi="Arial" w:cs="Arial"/>
                <w:color w:val="000000" w:themeColor="text1"/>
                <w:sz w:val="20"/>
                <w:szCs w:val="20"/>
              </w:rPr>
            </w:pPr>
            <w:r w:rsidRPr="00B23B74">
              <w:rPr>
                <w:rFonts w:ascii="Arial" w:hAnsi="Arial" w:cs="Arial"/>
                <w:noProof/>
                <w:color w:val="000000" w:themeColor="text1"/>
                <w:sz w:val="20"/>
                <w:szCs w:val="20"/>
              </w:rPr>
              <w:drawing>
                <wp:inline distT="0" distB="0" distL="0" distR="0" wp14:anchorId="4AD0F80F" wp14:editId="611F55C6">
                  <wp:extent cx="5850466" cy="2362835"/>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1567"/>
                          <a:stretch/>
                        </pic:blipFill>
                        <pic:spPr bwMode="auto">
                          <a:xfrm>
                            <a:off x="0" y="0"/>
                            <a:ext cx="5850466" cy="2362835"/>
                          </a:xfrm>
                          <a:prstGeom prst="rect">
                            <a:avLst/>
                          </a:prstGeom>
                          <a:ln>
                            <a:noFill/>
                          </a:ln>
                          <a:extLst>
                            <a:ext uri="{53640926-AAD7-44D8-BBD7-CCE9431645EC}">
                              <a14:shadowObscured xmlns:a14="http://schemas.microsoft.com/office/drawing/2010/main"/>
                            </a:ext>
                          </a:extLst>
                        </pic:spPr>
                      </pic:pic>
                    </a:graphicData>
                  </a:graphic>
                </wp:inline>
              </w:drawing>
            </w:r>
          </w:p>
        </w:tc>
      </w:tr>
      <w:tr w:rsidR="008267AC" w:rsidRPr="00D74025" w14:paraId="1A7B4340" w14:textId="77777777">
        <w:tc>
          <w:tcPr>
            <w:tcW w:w="8494" w:type="dxa"/>
          </w:tcPr>
          <w:p w14:paraId="5BA66B9D" w14:textId="70E10E2E" w:rsidR="008267AC" w:rsidRPr="00DF4285" w:rsidRDefault="004448DD" w:rsidP="00DF4285">
            <w:pPr>
              <w:spacing w:line="360" w:lineRule="auto"/>
              <w:ind w:firstLine="0"/>
            </w:pPr>
            <w:bookmarkStart w:id="136" w:name="_Toc121217358"/>
            <w:r w:rsidRPr="004448DD">
              <w:rPr>
                <w:rFonts w:ascii="Arial" w:hAnsi="Arial" w:cs="Arial"/>
                <w:b/>
                <w:bCs/>
                <w:color w:val="000000" w:themeColor="text1"/>
              </w:rPr>
              <w:lastRenderedPageBreak/>
              <w:t xml:space="preserve">Figure </w:t>
            </w:r>
            <w:r w:rsidRPr="004448DD">
              <w:rPr>
                <w:rFonts w:ascii="Arial" w:hAnsi="Arial" w:cs="Arial"/>
                <w:b/>
                <w:bCs/>
                <w:color w:val="000000" w:themeColor="text1"/>
              </w:rPr>
              <w:fldChar w:fldCharType="begin"/>
            </w:r>
            <w:r w:rsidRPr="004448DD">
              <w:rPr>
                <w:rFonts w:ascii="Arial" w:hAnsi="Arial" w:cs="Arial"/>
                <w:b/>
                <w:bCs/>
                <w:color w:val="000000" w:themeColor="text1"/>
              </w:rPr>
              <w:instrText xml:space="preserve"> SEQ Figure \* ARABIC </w:instrText>
            </w:r>
            <w:r w:rsidRPr="004448DD">
              <w:rPr>
                <w:rFonts w:ascii="Arial" w:hAnsi="Arial" w:cs="Arial"/>
                <w:b/>
                <w:bCs/>
                <w:color w:val="000000" w:themeColor="text1"/>
              </w:rPr>
              <w:fldChar w:fldCharType="separate"/>
            </w:r>
            <w:r w:rsidR="002C4B25">
              <w:rPr>
                <w:rFonts w:ascii="Arial" w:hAnsi="Arial" w:cs="Arial"/>
                <w:b/>
                <w:bCs/>
                <w:noProof/>
                <w:color w:val="000000" w:themeColor="text1"/>
              </w:rPr>
              <w:t>36</w:t>
            </w:r>
            <w:r w:rsidRPr="004448DD">
              <w:rPr>
                <w:rFonts w:ascii="Arial" w:hAnsi="Arial" w:cs="Arial"/>
                <w:b/>
                <w:bCs/>
                <w:color w:val="000000" w:themeColor="text1"/>
              </w:rPr>
              <w:fldChar w:fldCharType="end"/>
            </w:r>
            <w:r w:rsidR="00DF4285" w:rsidRPr="00D74025">
              <w:rPr>
                <w:rFonts w:ascii="Arial" w:hAnsi="Arial" w:cs="Arial"/>
                <w:b/>
                <w:bCs/>
                <w:color w:val="000000" w:themeColor="text1"/>
              </w:rPr>
              <w:t xml:space="preserve">:  Cytokine concentrations in serum 1 day (24 h) and 7 days (168 h) after PTT with different final temperatures. </w:t>
            </w:r>
            <w:r w:rsidR="00DF4285" w:rsidRPr="00D74025">
              <w:rPr>
                <w:rFonts w:ascii="Arial" w:hAnsi="Arial" w:cs="Arial"/>
                <w:color w:val="000000" w:themeColor="text1"/>
              </w:rPr>
              <w:t>The level</w:t>
            </w:r>
            <w:r w:rsidR="00874F12">
              <w:rPr>
                <w:rFonts w:ascii="Arial" w:hAnsi="Arial" w:cs="Arial"/>
                <w:color w:val="000000" w:themeColor="text1"/>
              </w:rPr>
              <w:t>s</w:t>
            </w:r>
            <w:r w:rsidR="00DF4285" w:rsidRPr="00D74025">
              <w:rPr>
                <w:rFonts w:ascii="Arial" w:hAnsi="Arial" w:cs="Arial"/>
                <w:color w:val="000000" w:themeColor="text1"/>
              </w:rPr>
              <w:t xml:space="preserve"> of TNF-</w:t>
            </w:r>
            <w:r w:rsidR="00DF4285" w:rsidRPr="00D74025">
              <w:rPr>
                <w:rFonts w:ascii="Arial" w:hAnsi="Arial" w:cs="Arial"/>
                <w:color w:val="000000" w:themeColor="text1"/>
              </w:rPr>
              <w:sym w:font="Symbol" w:char="F061"/>
            </w:r>
            <w:r w:rsidR="00DF4285" w:rsidRPr="00D74025">
              <w:rPr>
                <w:rFonts w:ascii="Arial" w:hAnsi="Arial" w:cs="Arial"/>
                <w:color w:val="000000" w:themeColor="text1"/>
                <w:lang w:val="el-GR"/>
              </w:rPr>
              <w:t xml:space="preserve"> </w:t>
            </w:r>
            <w:r w:rsidR="00DF4285" w:rsidRPr="00D74025">
              <w:rPr>
                <w:rFonts w:ascii="Arial" w:hAnsi="Arial" w:cs="Arial"/>
                <w:color w:val="000000" w:themeColor="text1"/>
              </w:rPr>
              <w:t>and IL-12(p70) in the serum of mice treated with 980 nm-laser at power density 1.0 W/cm² after IT injection of SWCNT-ANXA5 conjugate</w:t>
            </w:r>
            <w:r w:rsidR="00874F12">
              <w:rPr>
                <w:rFonts w:ascii="Arial" w:hAnsi="Arial" w:cs="Arial"/>
                <w:color w:val="000000" w:themeColor="text1"/>
              </w:rPr>
              <w:t xml:space="preserve"> are shown</w:t>
            </w:r>
            <w:r w:rsidR="00DF4285" w:rsidRPr="00D74025">
              <w:rPr>
                <w:rFonts w:ascii="Arial" w:hAnsi="Arial" w:cs="Arial"/>
                <w:color w:val="000000" w:themeColor="text1"/>
              </w:rPr>
              <w:t>. Blood samples were collected 1 day and 7 days after PTT</w:t>
            </w:r>
            <w:r w:rsidR="00DF4285">
              <w:rPr>
                <w:rFonts w:ascii="Arial" w:hAnsi="Arial" w:cs="Arial"/>
                <w:color w:val="000000" w:themeColor="text1"/>
              </w:rPr>
              <w:t>,</w:t>
            </w:r>
            <w:r w:rsidR="00DF4285" w:rsidRPr="00D74025">
              <w:rPr>
                <w:rFonts w:ascii="Arial" w:hAnsi="Arial" w:cs="Arial"/>
                <w:color w:val="000000" w:themeColor="text1"/>
              </w:rPr>
              <w:t xml:space="preserve"> and the levels of TNF-</w:t>
            </w:r>
            <w:r w:rsidR="00DF4285" w:rsidRPr="00D74025">
              <w:rPr>
                <w:rFonts w:ascii="Arial" w:hAnsi="Arial" w:cs="Arial"/>
                <w:color w:val="000000" w:themeColor="text1"/>
              </w:rPr>
              <w:sym w:font="Symbol" w:char="F061"/>
            </w:r>
            <w:r w:rsidR="00DF4285" w:rsidRPr="00D74025">
              <w:rPr>
                <w:rFonts w:ascii="Arial" w:hAnsi="Arial" w:cs="Arial"/>
                <w:color w:val="000000" w:themeColor="text1"/>
                <w:lang w:val="el-GR"/>
              </w:rPr>
              <w:t xml:space="preserve"> </w:t>
            </w:r>
            <w:r w:rsidR="00DF4285" w:rsidRPr="00D74025">
              <w:rPr>
                <w:rFonts w:ascii="Arial" w:hAnsi="Arial" w:cs="Arial"/>
                <w:color w:val="000000" w:themeColor="text1"/>
              </w:rPr>
              <w:t xml:space="preserve">and IL-12 p70 in the serum were analyzed by ELISA </w:t>
            </w:r>
            <w:r w:rsidR="00DF4285">
              <w:rPr>
                <w:rFonts w:ascii="Arial" w:hAnsi="Arial" w:cs="Arial"/>
                <w:color w:val="000000" w:themeColor="text1"/>
              </w:rPr>
              <w:t>compared</w:t>
            </w:r>
            <w:r w:rsidR="00DF4285" w:rsidRPr="00D74025">
              <w:rPr>
                <w:rFonts w:ascii="Arial" w:hAnsi="Arial" w:cs="Arial"/>
                <w:color w:val="000000" w:themeColor="text1"/>
              </w:rPr>
              <w:t xml:space="preserve"> to untreated control (injected intratumorally with SWCNT-ANXA5 but not treated with PTT). Photothermal therapy was performed until reaching final temperatures of 45, 50, 55, or 60°C </w:t>
            </w:r>
            <w:r w:rsidR="00DF4285">
              <w:rPr>
                <w:rFonts w:ascii="Arial" w:hAnsi="Arial" w:cs="Arial"/>
                <w:color w:val="000000" w:themeColor="text1"/>
              </w:rPr>
              <w:t xml:space="preserve">were </w:t>
            </w:r>
            <w:r w:rsidR="00DF4285" w:rsidRPr="00D74025">
              <w:rPr>
                <w:rFonts w:ascii="Arial" w:hAnsi="Arial" w:cs="Arial"/>
                <w:color w:val="000000" w:themeColor="text1"/>
              </w:rPr>
              <w:t>assigned to the groups. Data are presented as mean ± SE (n = 4–5). Statistical significance was analyzed for the treated groups compared to the untreated control group by one-way ANOVA with Dunnett’s multiple comparisons test. Statistical significance is indicated by *p &lt; 0.05 and **p &lt; 0.01.</w:t>
            </w:r>
            <w:bookmarkEnd w:id="136"/>
          </w:p>
        </w:tc>
      </w:tr>
    </w:tbl>
    <w:p w14:paraId="76887ED8" w14:textId="5162F2CD" w:rsidR="004448DD" w:rsidRDefault="004448DD" w:rsidP="008267AC">
      <w:pPr>
        <w:rPr>
          <w:rFonts w:ascii="Arial" w:hAnsi="Arial" w:cs="Arial"/>
          <w:color w:val="000000" w:themeColor="text1"/>
          <w:sz w:val="20"/>
          <w:szCs w:val="20"/>
        </w:rPr>
      </w:pPr>
    </w:p>
    <w:p w14:paraId="5C09938A" w14:textId="77777777" w:rsidR="004448DD" w:rsidRPr="00D74025" w:rsidRDefault="004448DD" w:rsidP="008267AC">
      <w:pPr>
        <w:rPr>
          <w:rFonts w:ascii="Arial" w:hAnsi="Arial" w:cs="Arial"/>
          <w:color w:val="000000" w:themeColor="text1"/>
          <w:sz w:val="20"/>
          <w:szCs w:val="20"/>
        </w:rPr>
      </w:pPr>
    </w:p>
    <w:p w14:paraId="68E1513D" w14:textId="4B1B3FC4" w:rsidR="00FB7551" w:rsidRPr="00D74025" w:rsidRDefault="00FB7551" w:rsidP="00FB7551">
      <w:pPr>
        <w:spacing w:line="360" w:lineRule="auto"/>
        <w:ind w:firstLine="1440"/>
        <w:jc w:val="both"/>
        <w:rPr>
          <w:rFonts w:ascii="Arial" w:hAnsi="Arial" w:cs="Arial"/>
          <w:color w:val="000000" w:themeColor="text1"/>
        </w:rPr>
      </w:pPr>
      <w:r w:rsidRPr="00D74025">
        <w:rPr>
          <w:rFonts w:ascii="Arial" w:hAnsi="Arial" w:cs="Arial"/>
          <w:color w:val="000000" w:themeColor="text1"/>
        </w:rPr>
        <w:t>In</w:t>
      </w:r>
      <w:r w:rsidR="00B34010">
        <w:rPr>
          <w:rFonts w:ascii="Arial" w:hAnsi="Arial" w:cs="Arial"/>
          <w:color w:val="000000" w:themeColor="text1"/>
        </w:rPr>
        <w:t xml:space="preserve"> </w:t>
      </w:r>
      <w:r w:rsidR="00B34010" w:rsidRPr="00B34010">
        <w:rPr>
          <w:rFonts w:ascii="Arial" w:hAnsi="Arial" w:cs="Arial"/>
          <w:b/>
          <w:bCs/>
          <w:color w:val="000000" w:themeColor="text1"/>
        </w:rPr>
        <w:t>F</w:t>
      </w:r>
      <w:r w:rsidRPr="00B34010">
        <w:rPr>
          <w:rFonts w:ascii="Arial" w:hAnsi="Arial" w:cs="Arial"/>
          <w:b/>
          <w:bCs/>
          <w:color w:val="000000" w:themeColor="text1"/>
        </w:rPr>
        <w:t xml:space="preserve">igure </w:t>
      </w:r>
      <w:r w:rsidR="00B34010" w:rsidRPr="00B34010">
        <w:rPr>
          <w:rFonts w:ascii="Arial" w:hAnsi="Arial" w:cs="Arial"/>
          <w:b/>
          <w:bCs/>
          <w:color w:val="000000" w:themeColor="text1"/>
        </w:rPr>
        <w:t>36</w:t>
      </w:r>
      <w:r w:rsidRPr="00D74025">
        <w:rPr>
          <w:rFonts w:ascii="Arial" w:hAnsi="Arial" w:cs="Arial"/>
          <w:color w:val="000000" w:themeColor="text1"/>
        </w:rPr>
        <w:t>, mice treated with PTT that stopped at 45</w:t>
      </w:r>
      <w:r w:rsidRPr="00D74025">
        <w:rPr>
          <w:rFonts w:ascii="Arial" w:hAnsi="Arial" w:cs="Arial"/>
          <w:color w:val="000000" w:themeColor="text1"/>
        </w:rPr>
        <w:sym w:font="Symbol" w:char="F0B0"/>
      </w:r>
      <w:r w:rsidRPr="00D74025">
        <w:rPr>
          <w:rFonts w:ascii="Arial" w:hAnsi="Arial" w:cs="Arial"/>
          <w:color w:val="000000" w:themeColor="text1"/>
        </w:rPr>
        <w:t xml:space="preserve">C had </w:t>
      </w:r>
      <w:r>
        <w:rPr>
          <w:rFonts w:ascii="Arial" w:hAnsi="Arial" w:cs="Arial"/>
          <w:color w:val="000000" w:themeColor="text1"/>
        </w:rPr>
        <w:t xml:space="preserve">an </w:t>
      </w:r>
      <w:r w:rsidRPr="00D74025">
        <w:rPr>
          <w:rFonts w:ascii="Arial" w:hAnsi="Arial" w:cs="Arial"/>
          <w:color w:val="000000" w:themeColor="text1"/>
        </w:rPr>
        <w:t>elevation of TNF-</w:t>
      </w:r>
      <w:r w:rsidRPr="00D74025">
        <w:rPr>
          <w:rFonts w:ascii="Arial" w:hAnsi="Arial" w:cs="Arial"/>
          <w:color w:val="000000" w:themeColor="text1"/>
        </w:rPr>
        <w:sym w:font="Symbol" w:char="F061"/>
      </w:r>
      <w:r w:rsidRPr="00D74025">
        <w:rPr>
          <w:rFonts w:ascii="Arial" w:hAnsi="Arial" w:cs="Arial"/>
          <w:color w:val="000000" w:themeColor="text1"/>
        </w:rPr>
        <w:t xml:space="preserve"> (24 and 168 h after PTT) and IL-12 p70 (24 h after PTT). The fact that 45</w:t>
      </w:r>
      <w:r w:rsidRPr="00D74025">
        <w:rPr>
          <w:rFonts w:ascii="Arial" w:hAnsi="Arial" w:cs="Arial"/>
          <w:color w:val="000000" w:themeColor="text1"/>
        </w:rPr>
        <w:sym w:font="Symbol" w:char="F0B0"/>
      </w:r>
      <w:r w:rsidRPr="00D74025">
        <w:rPr>
          <w:rFonts w:ascii="Arial" w:hAnsi="Arial" w:cs="Arial"/>
          <w:color w:val="000000" w:themeColor="text1"/>
        </w:rPr>
        <w:t>C PTT increased the level of two pro-inflammatory cytokines a</w:t>
      </w:r>
      <w:r w:rsidR="00874F12">
        <w:rPr>
          <w:rFonts w:ascii="Arial" w:hAnsi="Arial" w:cs="Arial"/>
          <w:color w:val="000000" w:themeColor="text1"/>
        </w:rPr>
        <w:t>t</w:t>
      </w:r>
      <w:r w:rsidRPr="00D74025">
        <w:rPr>
          <w:rFonts w:ascii="Arial" w:hAnsi="Arial" w:cs="Arial"/>
          <w:color w:val="000000" w:themeColor="text1"/>
        </w:rPr>
        <w:t xml:space="preserve"> different time-points is evidence that the lower temperature is enough to induce an immune response in </w:t>
      </w:r>
      <w:r>
        <w:rPr>
          <w:rFonts w:ascii="Arial" w:hAnsi="Arial" w:cs="Arial"/>
          <w:color w:val="000000" w:themeColor="text1"/>
        </w:rPr>
        <w:t>an</w:t>
      </w:r>
      <w:r w:rsidRPr="00D74025">
        <w:rPr>
          <w:rFonts w:ascii="Arial" w:hAnsi="Arial" w:cs="Arial"/>
          <w:color w:val="000000" w:themeColor="text1"/>
        </w:rPr>
        <w:t xml:space="preserve"> EMT6 tumor model. We hypothesize that higher temperatures induce very rapid cell death and possibly necrotic cell death, impeding the release of danger signals and that cause recruitment of immune cells to the tumor site. Therefore, 45°C is optimal </w:t>
      </w:r>
      <w:r>
        <w:rPr>
          <w:rFonts w:ascii="Arial" w:hAnsi="Arial" w:cs="Arial"/>
          <w:color w:val="000000" w:themeColor="text1"/>
        </w:rPr>
        <w:t>for</w:t>
      </w:r>
      <w:r w:rsidRPr="00D74025">
        <w:rPr>
          <w:rFonts w:ascii="Arial" w:hAnsi="Arial" w:cs="Arial"/>
          <w:color w:val="000000" w:themeColor="text1"/>
        </w:rPr>
        <w:t xml:space="preserve"> the induction of immunogenic cell death. More studies are necessary to prove this hypothesis. Nonetheless, the decrease in the final temperature of the PTT is beneficial for the </w:t>
      </w:r>
      <w:r>
        <w:rPr>
          <w:rFonts w:ascii="Arial" w:hAnsi="Arial" w:cs="Arial"/>
          <w:color w:val="000000" w:themeColor="text1"/>
        </w:rPr>
        <w:t>procedure's safety</w:t>
      </w:r>
      <w:r w:rsidRPr="00D74025">
        <w:rPr>
          <w:rFonts w:ascii="Arial" w:hAnsi="Arial" w:cs="Arial"/>
          <w:color w:val="000000" w:themeColor="text1"/>
        </w:rPr>
        <w:t xml:space="preserve">, reducing the chance of damage to surrounding tissue. </w:t>
      </w:r>
    </w:p>
    <w:p w14:paraId="452A7795" w14:textId="1B81515E" w:rsidR="00CB455E" w:rsidRPr="00D74025" w:rsidRDefault="00CB455E" w:rsidP="00CB455E">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Following those results about </w:t>
      </w:r>
      <w:r>
        <w:rPr>
          <w:rFonts w:ascii="Arial" w:hAnsi="Arial" w:cs="Arial"/>
          <w:color w:val="000000" w:themeColor="text1"/>
        </w:rPr>
        <w:t xml:space="preserve">the </w:t>
      </w:r>
      <w:r w:rsidRPr="00D74025">
        <w:rPr>
          <w:rFonts w:ascii="Arial" w:hAnsi="Arial" w:cs="Arial"/>
          <w:color w:val="000000" w:themeColor="text1"/>
        </w:rPr>
        <w:t xml:space="preserve">injection mode of SWCNT-ANXA5 and tumor surface temperature at the end of irradiation, a long-term survival study was performed with the combination therapy of PTT and checkpoint inhibition </w:t>
      </w:r>
      <w:r w:rsidR="008A2337">
        <w:rPr>
          <w:rFonts w:ascii="Arial" w:hAnsi="Arial" w:cs="Arial"/>
          <w:color w:val="000000" w:themeColor="text1"/>
        </w:rPr>
        <w:t xml:space="preserve">with </w:t>
      </w:r>
      <w:r w:rsidRPr="00D74025">
        <w:rPr>
          <w:rFonts w:ascii="Arial" w:hAnsi="Arial" w:cs="Arial"/>
          <w:color w:val="000000" w:themeColor="text1"/>
        </w:rPr>
        <w:t xml:space="preserve">anti-PD-1. EMT6 </w:t>
      </w:r>
      <w:r>
        <w:rPr>
          <w:rFonts w:ascii="Arial" w:hAnsi="Arial" w:cs="Arial"/>
          <w:color w:val="000000" w:themeColor="text1"/>
        </w:rPr>
        <w:t>tumor-bearing</w:t>
      </w:r>
      <w:r w:rsidRPr="00D74025">
        <w:rPr>
          <w:rFonts w:ascii="Arial" w:hAnsi="Arial" w:cs="Arial"/>
          <w:color w:val="000000" w:themeColor="text1"/>
        </w:rPr>
        <w:t xml:space="preserve"> mice were injected intratumorally with SWCNT-ANXA5 on day 9 after tumor induction. The tumor size at the time was ~ 5 mm. PTT was performed with 1 W/cm</w:t>
      </w:r>
      <w:r w:rsidRPr="00D74025">
        <w:rPr>
          <w:rFonts w:ascii="Arial" w:hAnsi="Arial" w:cs="Arial"/>
          <w:color w:val="000000" w:themeColor="text1"/>
          <w:vertAlign w:val="superscript"/>
        </w:rPr>
        <w:t>2</w:t>
      </w:r>
      <w:r w:rsidRPr="00D74025">
        <w:rPr>
          <w:rFonts w:ascii="Arial" w:hAnsi="Arial" w:cs="Arial"/>
          <w:color w:val="000000" w:themeColor="text1"/>
        </w:rPr>
        <w:t xml:space="preserve"> while monitoring tumor surface temperature </w:t>
      </w:r>
      <w:r>
        <w:rPr>
          <w:rFonts w:ascii="Arial" w:hAnsi="Arial" w:cs="Arial"/>
          <w:color w:val="000000" w:themeColor="text1"/>
        </w:rPr>
        <w:t>with</w:t>
      </w:r>
      <w:r w:rsidRPr="00D74025">
        <w:rPr>
          <w:rFonts w:ascii="Arial" w:hAnsi="Arial" w:cs="Arial"/>
          <w:color w:val="000000" w:themeColor="text1"/>
        </w:rPr>
        <w:t xml:space="preserve"> </w:t>
      </w:r>
      <w:r>
        <w:rPr>
          <w:rFonts w:ascii="Arial" w:hAnsi="Arial" w:cs="Arial"/>
          <w:color w:val="000000" w:themeColor="text1"/>
        </w:rPr>
        <w:t xml:space="preserve">a </w:t>
      </w:r>
      <w:r w:rsidRPr="00D74025">
        <w:rPr>
          <w:rFonts w:ascii="Arial" w:hAnsi="Arial" w:cs="Arial"/>
          <w:color w:val="000000" w:themeColor="text1"/>
        </w:rPr>
        <w:t xml:space="preserve">thermal camera. The NIR irradiation was immediately stopped when the tumor surface temperature reached 45°C. </w:t>
      </w:r>
      <w:r>
        <w:rPr>
          <w:rFonts w:ascii="Arial" w:hAnsi="Arial" w:cs="Arial"/>
          <w:color w:val="000000" w:themeColor="text1"/>
        </w:rPr>
        <w:t>Three</w:t>
      </w:r>
      <w:r w:rsidRPr="00D74025">
        <w:rPr>
          <w:rFonts w:ascii="Arial" w:hAnsi="Arial" w:cs="Arial"/>
          <w:color w:val="000000" w:themeColor="text1"/>
        </w:rPr>
        <w:t xml:space="preserve"> doses of anti-PD-1 were injected </w:t>
      </w:r>
      <w:r>
        <w:rPr>
          <w:rFonts w:ascii="Arial" w:hAnsi="Arial" w:cs="Arial"/>
          <w:color w:val="000000" w:themeColor="text1"/>
        </w:rPr>
        <w:t>intraperitoneally</w:t>
      </w:r>
      <w:r w:rsidRPr="00D74025">
        <w:rPr>
          <w:rFonts w:ascii="Arial" w:hAnsi="Arial" w:cs="Arial"/>
          <w:color w:val="000000" w:themeColor="text1"/>
        </w:rPr>
        <w:t xml:space="preserve"> </w:t>
      </w:r>
      <w:r>
        <w:rPr>
          <w:rFonts w:ascii="Arial" w:hAnsi="Arial" w:cs="Arial"/>
          <w:color w:val="000000" w:themeColor="text1"/>
        </w:rPr>
        <w:t xml:space="preserve">in the assigned groups </w:t>
      </w:r>
      <w:r w:rsidRPr="00D74025">
        <w:rPr>
          <w:rFonts w:ascii="Arial" w:hAnsi="Arial" w:cs="Arial"/>
          <w:color w:val="000000" w:themeColor="text1"/>
        </w:rPr>
        <w:t>on days 4, 8</w:t>
      </w:r>
      <w:r>
        <w:rPr>
          <w:rFonts w:ascii="Arial" w:hAnsi="Arial" w:cs="Arial"/>
          <w:color w:val="000000" w:themeColor="text1"/>
        </w:rPr>
        <w:t>,</w:t>
      </w:r>
      <w:r w:rsidRPr="00D74025">
        <w:rPr>
          <w:rFonts w:ascii="Arial" w:hAnsi="Arial" w:cs="Arial"/>
          <w:color w:val="000000" w:themeColor="text1"/>
        </w:rPr>
        <w:t xml:space="preserve"> and 13 after tumor inoculation. Tumor volumes were monitored every 3 days, and </w:t>
      </w:r>
      <w:r w:rsidRPr="00D74025">
        <w:rPr>
          <w:rFonts w:ascii="Arial" w:hAnsi="Arial" w:cs="Arial"/>
          <w:color w:val="000000" w:themeColor="text1"/>
        </w:rPr>
        <w:lastRenderedPageBreak/>
        <w:t xml:space="preserve">so </w:t>
      </w:r>
      <w:r>
        <w:rPr>
          <w:rFonts w:ascii="Arial" w:hAnsi="Arial" w:cs="Arial"/>
          <w:color w:val="000000" w:themeColor="text1"/>
        </w:rPr>
        <w:t>were</w:t>
      </w:r>
      <w:r w:rsidRPr="00D74025">
        <w:rPr>
          <w:rFonts w:ascii="Arial" w:hAnsi="Arial" w:cs="Arial"/>
          <w:color w:val="000000" w:themeColor="text1"/>
        </w:rPr>
        <w:t xml:space="preserve"> the health conditions of the mice. Mice that seemed sick according to </w:t>
      </w:r>
      <w:r>
        <w:rPr>
          <w:rFonts w:ascii="Arial" w:hAnsi="Arial" w:cs="Arial"/>
          <w:color w:val="000000" w:themeColor="text1"/>
        </w:rPr>
        <w:t xml:space="preserve">the </w:t>
      </w:r>
      <w:r w:rsidRPr="00D74025">
        <w:rPr>
          <w:rFonts w:ascii="Arial" w:hAnsi="Arial" w:cs="Arial"/>
          <w:color w:val="000000" w:themeColor="text1"/>
        </w:rPr>
        <w:t xml:space="preserve">mouse Grimace scale were euthanized or when the tumor size was greater than 15 mm. Results from this experiment are shown in </w:t>
      </w:r>
      <w:r w:rsidRPr="009C541F">
        <w:rPr>
          <w:rFonts w:ascii="Arial" w:hAnsi="Arial" w:cs="Arial"/>
          <w:b/>
          <w:bCs/>
          <w:color w:val="000000" w:themeColor="text1"/>
        </w:rPr>
        <w:t xml:space="preserve">Figure </w:t>
      </w:r>
      <w:r w:rsidR="009C541F" w:rsidRPr="009C541F">
        <w:rPr>
          <w:rFonts w:ascii="Arial" w:hAnsi="Arial" w:cs="Arial"/>
          <w:b/>
          <w:bCs/>
          <w:color w:val="000000" w:themeColor="text1"/>
        </w:rPr>
        <w:t>37</w:t>
      </w:r>
      <w:r w:rsidR="009C541F">
        <w:rPr>
          <w:rFonts w:ascii="Arial" w:hAnsi="Arial" w:cs="Arial"/>
          <w:color w:val="000000" w:themeColor="text1"/>
        </w:rPr>
        <w:t xml:space="preserve"> and </w:t>
      </w:r>
      <w:r w:rsidR="009C541F">
        <w:rPr>
          <w:rFonts w:ascii="Arial" w:hAnsi="Arial" w:cs="Arial"/>
          <w:b/>
          <w:bCs/>
          <w:color w:val="000000" w:themeColor="text1"/>
        </w:rPr>
        <w:t>Figure 38</w:t>
      </w:r>
      <w:r w:rsidRPr="00D74025">
        <w:rPr>
          <w:rFonts w:ascii="Arial" w:hAnsi="Arial" w:cs="Arial"/>
          <w:color w:val="000000" w:themeColor="text1"/>
        </w:rPr>
        <w:t>.</w:t>
      </w:r>
    </w:p>
    <w:tbl>
      <w:tblPr>
        <w:tblStyle w:val="TableGrid"/>
        <w:tblW w:w="0" w:type="auto"/>
        <w:tblLook w:val="04A0" w:firstRow="1" w:lastRow="0" w:firstColumn="1" w:lastColumn="0" w:noHBand="0" w:noVBand="1"/>
      </w:tblPr>
      <w:tblGrid>
        <w:gridCol w:w="9350"/>
      </w:tblGrid>
      <w:tr w:rsidR="00D74025" w:rsidRPr="00D74025" w14:paraId="527AE545" w14:textId="77777777" w:rsidTr="00F4158F">
        <w:tc>
          <w:tcPr>
            <w:tcW w:w="9350" w:type="dxa"/>
          </w:tcPr>
          <w:p w14:paraId="3EC97ADA" w14:textId="45759FE4" w:rsidR="00F4158F" w:rsidRPr="00D74025" w:rsidRDefault="001B614F" w:rsidP="000D71A7">
            <w:pPr>
              <w:spacing w:beforeAutospacing="0" w:line="360" w:lineRule="auto"/>
              <w:ind w:firstLine="0"/>
              <w:jc w:val="center"/>
              <w:rPr>
                <w:rFonts w:ascii="Arial" w:hAnsi="Arial" w:cs="Arial"/>
                <w:color w:val="000000" w:themeColor="text1"/>
              </w:rPr>
            </w:pPr>
            <w:r w:rsidRPr="001B614F">
              <w:rPr>
                <w:rFonts w:ascii="Arial" w:hAnsi="Arial" w:cs="Arial"/>
                <w:noProof/>
                <w:color w:val="000000" w:themeColor="text1"/>
              </w:rPr>
              <w:lastRenderedPageBreak/>
              <w:drawing>
                <wp:inline distT="0" distB="0" distL="0" distR="0" wp14:anchorId="0ECF5423" wp14:editId="2E8DA4D1">
                  <wp:extent cx="5801737" cy="8177980"/>
                  <wp:effectExtent l="0" t="0" r="254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832553" cy="8221417"/>
                          </a:xfrm>
                          <a:prstGeom prst="rect">
                            <a:avLst/>
                          </a:prstGeom>
                        </pic:spPr>
                      </pic:pic>
                    </a:graphicData>
                  </a:graphic>
                </wp:inline>
              </w:drawing>
            </w:r>
          </w:p>
        </w:tc>
      </w:tr>
      <w:tr w:rsidR="00F4158F" w:rsidRPr="00D74025" w14:paraId="3E029F2B" w14:textId="77777777" w:rsidTr="00F4158F">
        <w:tc>
          <w:tcPr>
            <w:tcW w:w="9350" w:type="dxa"/>
          </w:tcPr>
          <w:p w14:paraId="4FBA6D5E" w14:textId="11EB243D" w:rsidR="00F4158F" w:rsidRPr="00163E5E" w:rsidRDefault="004448DD" w:rsidP="00D066B6">
            <w:pPr>
              <w:spacing w:line="360" w:lineRule="auto"/>
              <w:ind w:firstLine="0"/>
            </w:pPr>
            <w:bookmarkStart w:id="137" w:name="_Toc121217359"/>
            <w:r w:rsidRPr="004448DD">
              <w:rPr>
                <w:rFonts w:ascii="Arial" w:hAnsi="Arial" w:cs="Arial"/>
                <w:b/>
                <w:bCs/>
                <w:color w:val="000000" w:themeColor="text1"/>
              </w:rPr>
              <w:lastRenderedPageBreak/>
              <w:t xml:space="preserve">Figure </w:t>
            </w:r>
            <w:r w:rsidRPr="004448DD">
              <w:rPr>
                <w:rFonts w:ascii="Arial" w:hAnsi="Arial" w:cs="Arial"/>
                <w:b/>
                <w:bCs/>
                <w:color w:val="000000" w:themeColor="text1"/>
              </w:rPr>
              <w:fldChar w:fldCharType="begin"/>
            </w:r>
            <w:r w:rsidRPr="004448DD">
              <w:rPr>
                <w:rFonts w:ascii="Arial" w:hAnsi="Arial" w:cs="Arial"/>
                <w:b/>
                <w:bCs/>
                <w:color w:val="000000" w:themeColor="text1"/>
              </w:rPr>
              <w:instrText xml:space="preserve"> SEQ Figure \* ARABIC </w:instrText>
            </w:r>
            <w:r w:rsidRPr="004448DD">
              <w:rPr>
                <w:rFonts w:ascii="Arial" w:hAnsi="Arial" w:cs="Arial"/>
                <w:b/>
                <w:bCs/>
                <w:color w:val="000000" w:themeColor="text1"/>
              </w:rPr>
              <w:fldChar w:fldCharType="separate"/>
            </w:r>
            <w:r w:rsidR="002C4B25">
              <w:rPr>
                <w:rFonts w:ascii="Arial" w:hAnsi="Arial" w:cs="Arial"/>
                <w:b/>
                <w:bCs/>
                <w:noProof/>
                <w:color w:val="000000" w:themeColor="text1"/>
              </w:rPr>
              <w:t>37</w:t>
            </w:r>
            <w:r w:rsidRPr="004448DD">
              <w:rPr>
                <w:rFonts w:ascii="Arial" w:hAnsi="Arial" w:cs="Arial"/>
                <w:b/>
                <w:bCs/>
                <w:color w:val="000000" w:themeColor="text1"/>
              </w:rPr>
              <w:fldChar w:fldCharType="end"/>
            </w:r>
            <w:r w:rsidR="00163E5E" w:rsidRPr="00D74025">
              <w:rPr>
                <w:rFonts w:ascii="Arial" w:hAnsi="Arial" w:cs="Arial"/>
                <w:b/>
                <w:bCs/>
                <w:color w:val="000000" w:themeColor="text1"/>
              </w:rPr>
              <w:t xml:space="preserve">: Results of combinatorial photothermal therapy (PTT) and checkpoint inhibition (anti-PD-1) in EMT6 tumors. </w:t>
            </w:r>
            <w:r w:rsidR="00163E5E" w:rsidRPr="00D74025">
              <w:rPr>
                <w:rFonts w:ascii="Arial" w:hAnsi="Arial" w:cs="Arial"/>
                <w:color w:val="000000" w:themeColor="text1"/>
              </w:rPr>
              <w:t xml:space="preserve">Mice with well-developed orthotopic syngeneic tumors (d ≥ 5 mm) were administered an IT dose of 1.2 mg/kg SWCNT-ANXA5. Tumors were irradiated </w:t>
            </w:r>
            <w:r w:rsidR="00620B71">
              <w:rPr>
                <w:rFonts w:ascii="Arial" w:hAnsi="Arial" w:cs="Arial"/>
                <w:color w:val="000000" w:themeColor="text1"/>
              </w:rPr>
              <w:t>on day 9 after tumor induction</w:t>
            </w:r>
            <w:r w:rsidR="00620B71" w:rsidRPr="00D74025">
              <w:rPr>
                <w:rFonts w:ascii="Arial" w:hAnsi="Arial" w:cs="Arial"/>
                <w:color w:val="000000" w:themeColor="text1"/>
              </w:rPr>
              <w:t xml:space="preserve"> </w:t>
            </w:r>
            <w:r w:rsidR="00163E5E" w:rsidRPr="00D74025">
              <w:rPr>
                <w:rFonts w:ascii="Arial" w:hAnsi="Arial" w:cs="Arial"/>
                <w:color w:val="000000" w:themeColor="text1"/>
              </w:rPr>
              <w:t>with a NIR laser at a power density of 1 W/cm</w:t>
            </w:r>
            <w:r w:rsidR="00163E5E" w:rsidRPr="00D74025">
              <w:rPr>
                <w:rFonts w:ascii="Arial" w:hAnsi="Arial" w:cs="Arial"/>
                <w:color w:val="000000" w:themeColor="text1"/>
                <w:vertAlign w:val="superscript"/>
              </w:rPr>
              <w:t xml:space="preserve">2 </w:t>
            </w:r>
            <w:r w:rsidR="00163E5E" w:rsidRPr="00D74025">
              <w:rPr>
                <w:rFonts w:ascii="Arial" w:hAnsi="Arial" w:cs="Arial"/>
                <w:color w:val="000000" w:themeColor="text1"/>
              </w:rPr>
              <w:t>until tumor surface temperature reached 45</w:t>
            </w:r>
            <w:r w:rsidR="00163E5E" w:rsidRPr="00D74025">
              <w:rPr>
                <w:rFonts w:ascii="Arial" w:hAnsi="Arial" w:cs="Arial"/>
                <w:color w:val="000000" w:themeColor="text1"/>
              </w:rPr>
              <w:sym w:font="Symbol" w:char="F0B0"/>
            </w:r>
            <w:r w:rsidR="00163E5E" w:rsidRPr="00D74025">
              <w:rPr>
                <w:rFonts w:ascii="Arial" w:hAnsi="Arial" w:cs="Arial"/>
                <w:color w:val="000000" w:themeColor="text1"/>
              </w:rPr>
              <w:t>C. Select groups received anti-PD-1 (10 mg/kg) on days 8, 11, and 16.</w:t>
            </w:r>
            <w:r w:rsidR="00163E5E" w:rsidRPr="00D74025">
              <w:rPr>
                <w:rFonts w:ascii="Arial" w:hAnsi="Arial" w:cs="Arial"/>
                <w:b/>
                <w:bCs/>
                <w:color w:val="000000" w:themeColor="text1"/>
              </w:rPr>
              <w:t xml:space="preserve"> </w:t>
            </w:r>
            <w:r w:rsidR="00163E5E" w:rsidRPr="00D74025">
              <w:rPr>
                <w:rFonts w:ascii="Arial" w:hAnsi="Arial" w:cs="Arial"/>
                <w:color w:val="000000" w:themeColor="text1"/>
              </w:rPr>
              <w:t xml:space="preserve">A) Tumor volume shown as mean ± SE (n = 7). Statistical analysis is omitted due to </w:t>
            </w:r>
            <w:r w:rsidR="00111791">
              <w:rPr>
                <w:rFonts w:ascii="Arial" w:hAnsi="Arial" w:cs="Arial"/>
                <w:color w:val="000000" w:themeColor="text1"/>
              </w:rPr>
              <w:t>over</w:t>
            </w:r>
            <w:r w:rsidR="00AB7DD2">
              <w:rPr>
                <w:rFonts w:ascii="Arial" w:hAnsi="Arial" w:cs="Arial"/>
                <w:color w:val="000000" w:themeColor="text1"/>
              </w:rPr>
              <w:t>crowding of data on the graph</w:t>
            </w:r>
            <w:r w:rsidR="00163E5E" w:rsidRPr="00D74025">
              <w:rPr>
                <w:rFonts w:ascii="Arial" w:hAnsi="Arial" w:cs="Arial"/>
                <w:color w:val="000000" w:themeColor="text1"/>
              </w:rPr>
              <w:t xml:space="preserve"> (available in </w:t>
            </w:r>
            <w:r w:rsidR="00AF64F0">
              <w:rPr>
                <w:rFonts w:ascii="Arial" w:hAnsi="Arial" w:cs="Arial"/>
                <w:color w:val="000000" w:themeColor="text1"/>
              </w:rPr>
              <w:t>A</w:t>
            </w:r>
            <w:r w:rsidR="00163E5E" w:rsidRPr="00D74025">
              <w:rPr>
                <w:rFonts w:ascii="Arial" w:hAnsi="Arial" w:cs="Arial"/>
                <w:color w:val="000000" w:themeColor="text1"/>
              </w:rPr>
              <w:t>ppendix A</w:t>
            </w:r>
            <w:r w:rsidR="0036065F">
              <w:rPr>
                <w:rFonts w:ascii="Arial" w:hAnsi="Arial" w:cs="Arial"/>
                <w:color w:val="000000" w:themeColor="text1"/>
              </w:rPr>
              <w:t xml:space="preserve">- </w:t>
            </w:r>
            <w:r w:rsidR="0036065F" w:rsidRPr="00AF64F0">
              <w:rPr>
                <w:rFonts w:ascii="Arial" w:hAnsi="Arial" w:cs="Arial"/>
                <w:b/>
                <w:bCs/>
                <w:color w:val="000000" w:themeColor="text1"/>
              </w:rPr>
              <w:t>Figures 73</w:t>
            </w:r>
            <w:r w:rsidR="0036065F">
              <w:rPr>
                <w:rFonts w:ascii="Arial" w:hAnsi="Arial" w:cs="Arial"/>
                <w:color w:val="000000" w:themeColor="text1"/>
              </w:rPr>
              <w:t xml:space="preserve"> and </w:t>
            </w:r>
            <w:r w:rsidR="0036065F" w:rsidRPr="00AF64F0">
              <w:rPr>
                <w:rFonts w:ascii="Arial" w:hAnsi="Arial" w:cs="Arial"/>
                <w:b/>
                <w:bCs/>
                <w:color w:val="000000" w:themeColor="text1"/>
              </w:rPr>
              <w:t>74</w:t>
            </w:r>
            <w:r w:rsidR="00163E5E" w:rsidRPr="00D74025">
              <w:rPr>
                <w:rFonts w:ascii="Arial" w:hAnsi="Arial" w:cs="Arial"/>
                <w:color w:val="000000" w:themeColor="text1"/>
              </w:rPr>
              <w:t xml:space="preserve">). B) Survival curve of the combination of photothermal therapy and immune checkpoint inhibition. </w:t>
            </w:r>
            <w:r w:rsidR="00163E5E" w:rsidRPr="00D74025">
              <w:rPr>
                <w:rFonts w:ascii="Calibri" w:hAnsi="Calibri" w:cs="Calibri"/>
                <w:color w:val="000000" w:themeColor="text1"/>
              </w:rPr>
              <w:t>﻿</w:t>
            </w:r>
            <w:r w:rsidR="00163E5E">
              <w:rPr>
                <w:rFonts w:ascii="Arial" w:hAnsi="Arial" w:cs="Arial"/>
                <w:color w:val="000000" w:themeColor="text1"/>
              </w:rPr>
              <w:t>The statistical</w:t>
            </w:r>
            <w:r w:rsidR="00163E5E" w:rsidRPr="00D74025">
              <w:rPr>
                <w:rFonts w:ascii="Arial" w:hAnsi="Arial" w:cs="Arial"/>
                <w:color w:val="000000" w:themeColor="text1"/>
              </w:rPr>
              <w:t xml:space="preserve"> significance of survival curves was determined by the Mantel–Haenszel log-rank test in GraphPad Prim 8, compared to untreated control. Survival of PTT and anti-PD-1 groups were not statistically significant from </w:t>
            </w:r>
            <w:r w:rsidR="00163E5E">
              <w:rPr>
                <w:rFonts w:ascii="Arial" w:hAnsi="Arial" w:cs="Arial"/>
                <w:color w:val="000000" w:themeColor="text1"/>
              </w:rPr>
              <w:t xml:space="preserve">the </w:t>
            </w:r>
            <w:r w:rsidR="00163E5E" w:rsidRPr="00D74025">
              <w:rPr>
                <w:rFonts w:ascii="Arial" w:hAnsi="Arial" w:cs="Arial"/>
                <w:color w:val="000000" w:themeColor="text1"/>
              </w:rPr>
              <w:t xml:space="preserve">control. </w:t>
            </w:r>
            <w:r w:rsidR="00163E5E">
              <w:rPr>
                <w:rFonts w:ascii="Arial" w:hAnsi="Arial" w:cs="Arial"/>
                <w:color w:val="000000" w:themeColor="text1"/>
              </w:rPr>
              <w:t>The increase</w:t>
            </w:r>
            <w:r w:rsidR="00163E5E" w:rsidRPr="00D74025">
              <w:rPr>
                <w:rFonts w:ascii="Arial" w:hAnsi="Arial" w:cs="Arial"/>
                <w:color w:val="000000" w:themeColor="text1"/>
              </w:rPr>
              <w:t xml:space="preserve"> </w:t>
            </w:r>
            <w:r w:rsidR="00163E5E">
              <w:rPr>
                <w:rFonts w:ascii="Arial" w:hAnsi="Arial" w:cs="Arial"/>
                <w:color w:val="000000" w:themeColor="text1"/>
              </w:rPr>
              <w:t>in</w:t>
            </w:r>
            <w:r w:rsidR="00163E5E" w:rsidRPr="00D74025">
              <w:rPr>
                <w:rFonts w:ascii="Arial" w:hAnsi="Arial" w:cs="Arial"/>
                <w:color w:val="000000" w:themeColor="text1"/>
              </w:rPr>
              <w:t xml:space="preserve"> survival from </w:t>
            </w:r>
            <w:r w:rsidR="00163E5E">
              <w:rPr>
                <w:rFonts w:ascii="Arial" w:hAnsi="Arial" w:cs="Arial"/>
                <w:color w:val="000000" w:themeColor="text1"/>
              </w:rPr>
              <w:t xml:space="preserve">the </w:t>
            </w:r>
            <w:r w:rsidR="00163E5E" w:rsidRPr="00D74025">
              <w:rPr>
                <w:rFonts w:ascii="Arial" w:hAnsi="Arial" w:cs="Arial"/>
                <w:color w:val="000000" w:themeColor="text1"/>
              </w:rPr>
              <w:t xml:space="preserve">anti-PD-1 + PTT group is statistically significant from </w:t>
            </w:r>
            <w:r w:rsidR="00163E5E">
              <w:rPr>
                <w:rFonts w:ascii="Arial" w:hAnsi="Arial" w:cs="Arial"/>
                <w:color w:val="000000" w:themeColor="text1"/>
              </w:rPr>
              <w:t xml:space="preserve">the </w:t>
            </w:r>
            <w:r w:rsidR="00163E5E" w:rsidRPr="00D74025">
              <w:rPr>
                <w:rFonts w:ascii="Arial" w:hAnsi="Arial" w:cs="Arial"/>
                <w:color w:val="000000" w:themeColor="text1"/>
              </w:rPr>
              <w:t>control (p &lt; 0.01, n = 8).</w:t>
            </w:r>
            <w:bookmarkEnd w:id="137"/>
          </w:p>
        </w:tc>
      </w:tr>
    </w:tbl>
    <w:p w14:paraId="48CA1560" w14:textId="5F0C4918" w:rsidR="008831E2" w:rsidRDefault="008831E2" w:rsidP="00795545">
      <w:pPr>
        <w:rPr>
          <w:rFonts w:ascii="Arial" w:hAnsi="Arial" w:cs="Arial"/>
          <w:color w:val="000000" w:themeColor="text1"/>
        </w:rPr>
      </w:pPr>
    </w:p>
    <w:p w14:paraId="755CFC5A" w14:textId="77777777" w:rsidR="004448DD" w:rsidRPr="00D74025" w:rsidRDefault="004448DD" w:rsidP="00795545">
      <w:pPr>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6BAC614C" w14:textId="77777777" w:rsidTr="003A3093">
        <w:tc>
          <w:tcPr>
            <w:tcW w:w="9350" w:type="dxa"/>
          </w:tcPr>
          <w:p w14:paraId="1F2864B6" w14:textId="3C9CD5E2" w:rsidR="003A3093" w:rsidRPr="00D74025" w:rsidRDefault="003A3093" w:rsidP="000D71A7">
            <w:pPr>
              <w:spacing w:beforeAutospacing="0"/>
              <w:ind w:firstLine="0"/>
              <w:rPr>
                <w:rFonts w:ascii="Arial" w:hAnsi="Arial" w:cs="Arial"/>
                <w:color w:val="000000" w:themeColor="text1"/>
              </w:rPr>
            </w:pPr>
            <w:r w:rsidRPr="00D74025">
              <w:rPr>
                <w:rFonts w:ascii="Arial" w:hAnsi="Arial" w:cs="Arial"/>
                <w:noProof/>
                <w:color w:val="000000" w:themeColor="text1"/>
              </w:rPr>
              <w:drawing>
                <wp:inline distT="0" distB="0" distL="0" distR="0" wp14:anchorId="67C60143" wp14:editId="0189B7ED">
                  <wp:extent cx="5817617" cy="2639060"/>
                  <wp:effectExtent l="0" t="0" r="0" b="2540"/>
                  <wp:docPr id="49" name="Picture 4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hart&#10;&#10;Description automatically generated"/>
                          <pic:cNvPicPr/>
                        </pic:nvPicPr>
                        <pic:blipFill>
                          <a:blip r:embed="rId58"/>
                          <a:stretch>
                            <a:fillRect/>
                          </a:stretch>
                        </pic:blipFill>
                        <pic:spPr>
                          <a:xfrm>
                            <a:off x="0" y="0"/>
                            <a:ext cx="5825306" cy="2642548"/>
                          </a:xfrm>
                          <a:prstGeom prst="rect">
                            <a:avLst/>
                          </a:prstGeom>
                        </pic:spPr>
                      </pic:pic>
                    </a:graphicData>
                  </a:graphic>
                </wp:inline>
              </w:drawing>
            </w:r>
          </w:p>
        </w:tc>
      </w:tr>
      <w:tr w:rsidR="003A3093" w:rsidRPr="00D74025" w14:paraId="3C257A8A" w14:textId="77777777" w:rsidTr="003A3093">
        <w:tc>
          <w:tcPr>
            <w:tcW w:w="9350" w:type="dxa"/>
          </w:tcPr>
          <w:p w14:paraId="4F1D8FE1" w14:textId="7488A850" w:rsidR="003A3093" w:rsidRPr="00B45C82" w:rsidRDefault="004448DD" w:rsidP="00B45C82">
            <w:pPr>
              <w:spacing w:line="360" w:lineRule="auto"/>
              <w:ind w:firstLine="0"/>
            </w:pPr>
            <w:bookmarkStart w:id="138" w:name="_Toc121217360"/>
            <w:r w:rsidRPr="004448DD">
              <w:rPr>
                <w:rFonts w:ascii="Arial" w:hAnsi="Arial" w:cs="Arial"/>
                <w:b/>
                <w:bCs/>
                <w:color w:val="000000" w:themeColor="text1"/>
              </w:rPr>
              <w:t xml:space="preserve">Figure </w:t>
            </w:r>
            <w:r w:rsidRPr="004448DD">
              <w:rPr>
                <w:rFonts w:ascii="Arial" w:hAnsi="Arial" w:cs="Arial"/>
                <w:b/>
                <w:bCs/>
                <w:color w:val="000000" w:themeColor="text1"/>
              </w:rPr>
              <w:fldChar w:fldCharType="begin"/>
            </w:r>
            <w:r w:rsidRPr="004448DD">
              <w:rPr>
                <w:rFonts w:ascii="Arial" w:hAnsi="Arial" w:cs="Arial"/>
                <w:b/>
                <w:bCs/>
                <w:color w:val="000000" w:themeColor="text1"/>
              </w:rPr>
              <w:instrText xml:space="preserve"> SEQ Figure \* ARABIC </w:instrText>
            </w:r>
            <w:r w:rsidRPr="004448DD">
              <w:rPr>
                <w:rFonts w:ascii="Arial" w:hAnsi="Arial" w:cs="Arial"/>
                <w:b/>
                <w:bCs/>
                <w:color w:val="000000" w:themeColor="text1"/>
              </w:rPr>
              <w:fldChar w:fldCharType="separate"/>
            </w:r>
            <w:r w:rsidR="002C4B25">
              <w:rPr>
                <w:rFonts w:ascii="Arial" w:hAnsi="Arial" w:cs="Arial"/>
                <w:b/>
                <w:bCs/>
                <w:noProof/>
                <w:color w:val="000000" w:themeColor="text1"/>
              </w:rPr>
              <w:t>38</w:t>
            </w:r>
            <w:r w:rsidRPr="004448DD">
              <w:rPr>
                <w:rFonts w:ascii="Arial" w:hAnsi="Arial" w:cs="Arial"/>
                <w:b/>
                <w:bCs/>
                <w:color w:val="000000" w:themeColor="text1"/>
              </w:rPr>
              <w:fldChar w:fldCharType="end"/>
            </w:r>
            <w:r w:rsidR="00B45C82" w:rsidRPr="00D74025">
              <w:rPr>
                <w:rFonts w:ascii="Arial" w:hAnsi="Arial" w:cs="Arial"/>
                <w:b/>
                <w:bCs/>
                <w:color w:val="000000" w:themeColor="text1"/>
              </w:rPr>
              <w:t>: Tumor Volumes on days 9, 14</w:t>
            </w:r>
            <w:r w:rsidR="00B45C82">
              <w:rPr>
                <w:rFonts w:ascii="Arial" w:hAnsi="Arial" w:cs="Arial"/>
                <w:b/>
                <w:bCs/>
                <w:color w:val="000000" w:themeColor="text1"/>
              </w:rPr>
              <w:t>,</w:t>
            </w:r>
            <w:r w:rsidR="00B45C82" w:rsidRPr="00D74025">
              <w:rPr>
                <w:rFonts w:ascii="Arial" w:hAnsi="Arial" w:cs="Arial"/>
                <w:b/>
                <w:bCs/>
                <w:color w:val="000000" w:themeColor="text1"/>
              </w:rPr>
              <w:t xml:space="preserve"> and 21 after tumor inoculation of combinatorial photothermal therapy (PTT) and checkpoint inhibition (anti-PD-1) in EMT6 tumors. </w:t>
            </w:r>
            <w:r w:rsidR="00B45C82" w:rsidRPr="00D74025">
              <w:rPr>
                <w:rFonts w:ascii="Arial" w:hAnsi="Arial" w:cs="Arial"/>
                <w:color w:val="000000" w:themeColor="text1"/>
              </w:rPr>
              <w:t>Mice with well-developed orthotopic syngeneic tumors (d ≥ 5 mm) were administered an IT dose of 1.2 mg/kg SWCNT-ANXA5. Tumors were irradiated with a NIR laser at a power density of 1 W/cm</w:t>
            </w:r>
            <w:r w:rsidR="00B45C82" w:rsidRPr="00D74025">
              <w:rPr>
                <w:rFonts w:ascii="Arial" w:hAnsi="Arial" w:cs="Arial"/>
                <w:color w:val="000000" w:themeColor="text1"/>
                <w:vertAlign w:val="superscript"/>
              </w:rPr>
              <w:t xml:space="preserve">2 </w:t>
            </w:r>
            <w:r w:rsidR="00B45C82" w:rsidRPr="00D74025">
              <w:rPr>
                <w:rFonts w:ascii="Arial" w:hAnsi="Arial" w:cs="Arial"/>
                <w:color w:val="000000" w:themeColor="text1"/>
              </w:rPr>
              <w:t xml:space="preserve">until tumor surface temperature reached </w:t>
            </w:r>
            <w:r w:rsidR="00B45C82" w:rsidRPr="00D74025">
              <w:rPr>
                <w:rFonts w:ascii="Arial" w:hAnsi="Arial" w:cs="Arial"/>
                <w:color w:val="000000" w:themeColor="text1"/>
              </w:rPr>
              <w:lastRenderedPageBreak/>
              <w:t>45</w:t>
            </w:r>
            <w:r w:rsidR="00B45C82" w:rsidRPr="00D74025">
              <w:rPr>
                <w:rFonts w:ascii="Arial" w:hAnsi="Arial" w:cs="Arial"/>
                <w:color w:val="000000" w:themeColor="text1"/>
              </w:rPr>
              <w:sym w:font="Symbol" w:char="F0B0"/>
            </w:r>
            <w:r w:rsidR="00B45C82" w:rsidRPr="00D74025">
              <w:rPr>
                <w:rFonts w:ascii="Arial" w:hAnsi="Arial" w:cs="Arial"/>
                <w:color w:val="000000" w:themeColor="text1"/>
              </w:rPr>
              <w:t xml:space="preserve">C. Select groups received anti-PD-1 (10 mg/kg) on days 8, 11, and 13, while PTT was performed on day 9. Tumor volumes </w:t>
            </w:r>
            <w:r w:rsidR="00B45C82">
              <w:rPr>
                <w:rFonts w:ascii="Arial" w:hAnsi="Arial" w:cs="Arial"/>
                <w:color w:val="000000" w:themeColor="text1"/>
              </w:rPr>
              <w:t>are shown</w:t>
            </w:r>
            <w:r w:rsidR="00B45C82" w:rsidRPr="00D74025">
              <w:rPr>
                <w:rFonts w:ascii="Arial" w:hAnsi="Arial" w:cs="Arial"/>
                <w:color w:val="000000" w:themeColor="text1"/>
              </w:rPr>
              <w:t xml:space="preserve"> as mean ± SE (n = 8). Statistical significance was analyzed for the treated groups compared to the untreated control group by one-way ANOVA with Dunnett’s multiple comparisons test. Statistical significance is indicated by *p &lt; 0.05 and ***p &lt; 0.001.</w:t>
            </w:r>
            <w:bookmarkEnd w:id="138"/>
          </w:p>
        </w:tc>
      </w:tr>
    </w:tbl>
    <w:p w14:paraId="211EB4F7" w14:textId="5EAAB7A1" w:rsidR="008831E2" w:rsidRDefault="008831E2" w:rsidP="00795545">
      <w:pPr>
        <w:rPr>
          <w:rFonts w:ascii="Arial" w:hAnsi="Arial" w:cs="Arial"/>
          <w:color w:val="000000" w:themeColor="text1"/>
        </w:rPr>
      </w:pPr>
    </w:p>
    <w:p w14:paraId="565381C4" w14:textId="77777777" w:rsidR="004448DD" w:rsidRPr="00D74025" w:rsidRDefault="004448DD" w:rsidP="00795545">
      <w:pPr>
        <w:rPr>
          <w:rFonts w:ascii="Arial" w:hAnsi="Arial" w:cs="Arial"/>
          <w:color w:val="000000" w:themeColor="text1"/>
        </w:rPr>
      </w:pPr>
    </w:p>
    <w:p w14:paraId="2F72689F" w14:textId="168A9C23" w:rsidR="00C25500" w:rsidRPr="00D74025" w:rsidRDefault="00C25500" w:rsidP="00C25500">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Looking at the individual tumor volume graphs </w:t>
      </w:r>
      <w:r>
        <w:rPr>
          <w:rFonts w:ascii="Arial" w:hAnsi="Arial" w:cs="Arial"/>
          <w:color w:val="000000" w:themeColor="text1"/>
        </w:rPr>
        <w:t>in</w:t>
      </w:r>
      <w:r w:rsidRPr="00D74025">
        <w:rPr>
          <w:rFonts w:ascii="Arial" w:hAnsi="Arial" w:cs="Arial"/>
          <w:color w:val="000000" w:themeColor="text1"/>
        </w:rPr>
        <w:t xml:space="preserve"> </w:t>
      </w:r>
      <w:r w:rsidR="000C68DA">
        <w:rPr>
          <w:rFonts w:ascii="Arial" w:hAnsi="Arial" w:cs="Arial"/>
          <w:b/>
          <w:bCs/>
          <w:color w:val="000000" w:themeColor="text1"/>
        </w:rPr>
        <w:t>F</w:t>
      </w:r>
      <w:r w:rsidRPr="00E320FD">
        <w:rPr>
          <w:rFonts w:ascii="Arial" w:hAnsi="Arial" w:cs="Arial"/>
          <w:b/>
          <w:bCs/>
          <w:color w:val="000000" w:themeColor="text1"/>
        </w:rPr>
        <w:t xml:space="preserve">igure </w:t>
      </w:r>
      <w:r w:rsidR="00E320FD" w:rsidRPr="00E320FD">
        <w:rPr>
          <w:rFonts w:ascii="Arial" w:hAnsi="Arial" w:cs="Arial"/>
          <w:b/>
          <w:bCs/>
          <w:color w:val="000000" w:themeColor="text1"/>
        </w:rPr>
        <w:t>38</w:t>
      </w:r>
      <w:r w:rsidRPr="00D74025">
        <w:rPr>
          <w:rFonts w:ascii="Arial" w:hAnsi="Arial" w:cs="Arial"/>
          <w:color w:val="000000" w:themeColor="text1"/>
        </w:rPr>
        <w:t xml:space="preserve">, on the day of PTT (day 9 – </w:t>
      </w:r>
      <w:r w:rsidRPr="009C541F">
        <w:rPr>
          <w:rFonts w:ascii="Arial" w:hAnsi="Arial" w:cs="Arial"/>
          <w:b/>
          <w:bCs/>
          <w:color w:val="000000" w:themeColor="text1"/>
        </w:rPr>
        <w:t xml:space="preserve">Figure </w:t>
      </w:r>
      <w:r w:rsidR="009C541F" w:rsidRPr="009C541F">
        <w:rPr>
          <w:rFonts w:ascii="Arial" w:hAnsi="Arial" w:cs="Arial"/>
          <w:b/>
          <w:bCs/>
          <w:color w:val="000000" w:themeColor="text1"/>
        </w:rPr>
        <w:t>38</w:t>
      </w:r>
      <w:r w:rsidRPr="009C541F">
        <w:rPr>
          <w:rFonts w:ascii="Arial" w:hAnsi="Arial" w:cs="Arial"/>
          <w:b/>
          <w:bCs/>
          <w:color w:val="000000" w:themeColor="text1"/>
        </w:rPr>
        <w:t>A</w:t>
      </w:r>
      <w:r w:rsidRPr="00D74025">
        <w:rPr>
          <w:rFonts w:ascii="Arial" w:hAnsi="Arial" w:cs="Arial"/>
          <w:color w:val="000000" w:themeColor="text1"/>
        </w:rPr>
        <w:t>)</w:t>
      </w:r>
      <w:r>
        <w:rPr>
          <w:rFonts w:ascii="Arial" w:hAnsi="Arial" w:cs="Arial"/>
          <w:color w:val="000000" w:themeColor="text1"/>
        </w:rPr>
        <w:t>,</w:t>
      </w:r>
      <w:r w:rsidRPr="00D74025">
        <w:rPr>
          <w:rFonts w:ascii="Arial" w:hAnsi="Arial" w:cs="Arial"/>
          <w:color w:val="000000" w:themeColor="text1"/>
        </w:rPr>
        <w:t xml:space="preserve"> there was no significant difference between </w:t>
      </w:r>
      <w:r>
        <w:rPr>
          <w:rFonts w:ascii="Arial" w:hAnsi="Arial" w:cs="Arial"/>
          <w:color w:val="000000" w:themeColor="text1"/>
        </w:rPr>
        <w:t xml:space="preserve">the </w:t>
      </w:r>
      <w:r w:rsidRPr="00D74025">
        <w:rPr>
          <w:rFonts w:ascii="Arial" w:hAnsi="Arial" w:cs="Arial"/>
          <w:color w:val="000000" w:themeColor="text1"/>
        </w:rPr>
        <w:t xml:space="preserve">control and other groups, even though two anti-PD-1 injections were performed 1 and 4 days before. Statistical difference from </w:t>
      </w:r>
      <w:r>
        <w:rPr>
          <w:rFonts w:ascii="Arial" w:hAnsi="Arial" w:cs="Arial"/>
          <w:color w:val="000000" w:themeColor="text1"/>
        </w:rPr>
        <w:t xml:space="preserve">the </w:t>
      </w:r>
      <w:r w:rsidRPr="00D74025">
        <w:rPr>
          <w:rFonts w:ascii="Arial" w:hAnsi="Arial" w:cs="Arial"/>
          <w:color w:val="000000" w:themeColor="text1"/>
        </w:rPr>
        <w:t xml:space="preserve">control group was found on day 21 for </w:t>
      </w:r>
      <w:r>
        <w:rPr>
          <w:rFonts w:ascii="Arial" w:hAnsi="Arial" w:cs="Arial"/>
          <w:color w:val="000000" w:themeColor="text1"/>
        </w:rPr>
        <w:t xml:space="preserve">the </w:t>
      </w:r>
      <w:r w:rsidRPr="00D74025">
        <w:rPr>
          <w:rFonts w:ascii="Arial" w:hAnsi="Arial" w:cs="Arial"/>
          <w:color w:val="000000" w:themeColor="text1"/>
        </w:rPr>
        <w:t xml:space="preserve">anti-PD-1 group. That is evidence that </w:t>
      </w:r>
      <w:r w:rsidR="000C68DA">
        <w:rPr>
          <w:rFonts w:ascii="Arial" w:hAnsi="Arial" w:cs="Arial"/>
          <w:color w:val="000000" w:themeColor="text1"/>
        </w:rPr>
        <w:t>three</w:t>
      </w:r>
      <w:r w:rsidRPr="00D74025">
        <w:rPr>
          <w:rFonts w:ascii="Arial" w:hAnsi="Arial" w:cs="Arial"/>
          <w:color w:val="000000" w:themeColor="text1"/>
        </w:rPr>
        <w:t xml:space="preserve"> injections of anti-PD-1 </w:t>
      </w:r>
      <w:r>
        <w:rPr>
          <w:rFonts w:ascii="Arial" w:hAnsi="Arial" w:cs="Arial"/>
          <w:color w:val="000000" w:themeColor="text1"/>
        </w:rPr>
        <w:t xml:space="preserve">are necessary </w:t>
      </w:r>
      <w:r w:rsidRPr="00D74025">
        <w:rPr>
          <w:rFonts w:ascii="Arial" w:hAnsi="Arial" w:cs="Arial"/>
          <w:color w:val="000000" w:themeColor="text1"/>
        </w:rPr>
        <w:t>to induce an anti-tumoral effect. At day 21 (</w:t>
      </w:r>
      <w:r w:rsidR="0011623D" w:rsidRPr="0011623D">
        <w:rPr>
          <w:rFonts w:ascii="Arial" w:hAnsi="Arial" w:cs="Arial"/>
          <w:b/>
          <w:bCs/>
          <w:color w:val="000000" w:themeColor="text1"/>
        </w:rPr>
        <w:t>F</w:t>
      </w:r>
      <w:r w:rsidRPr="0011623D">
        <w:rPr>
          <w:rFonts w:ascii="Arial" w:hAnsi="Arial" w:cs="Arial"/>
          <w:b/>
          <w:bCs/>
          <w:color w:val="000000" w:themeColor="text1"/>
        </w:rPr>
        <w:t xml:space="preserve">igure </w:t>
      </w:r>
      <w:r w:rsidR="0011623D" w:rsidRPr="0011623D">
        <w:rPr>
          <w:rFonts w:ascii="Arial" w:hAnsi="Arial" w:cs="Arial"/>
          <w:b/>
          <w:bCs/>
          <w:color w:val="000000" w:themeColor="text1"/>
        </w:rPr>
        <w:t>38</w:t>
      </w:r>
      <w:r w:rsidRPr="0011623D">
        <w:rPr>
          <w:rFonts w:ascii="Arial" w:hAnsi="Arial" w:cs="Arial"/>
          <w:b/>
          <w:bCs/>
          <w:color w:val="000000" w:themeColor="text1"/>
        </w:rPr>
        <w:t>C</w:t>
      </w:r>
      <w:r w:rsidRPr="00D74025">
        <w:rPr>
          <w:rFonts w:ascii="Arial" w:hAnsi="Arial" w:cs="Arial"/>
          <w:color w:val="000000" w:themeColor="text1"/>
        </w:rPr>
        <w:t>)</w:t>
      </w:r>
      <w:r>
        <w:rPr>
          <w:rFonts w:ascii="Arial" w:hAnsi="Arial" w:cs="Arial"/>
          <w:color w:val="000000" w:themeColor="text1"/>
        </w:rPr>
        <w:t>,</w:t>
      </w:r>
      <w:r w:rsidRPr="00D74025">
        <w:rPr>
          <w:rFonts w:ascii="Arial" w:hAnsi="Arial" w:cs="Arial"/>
          <w:color w:val="000000" w:themeColor="text1"/>
        </w:rPr>
        <w:t xml:space="preserve"> groups anti-PD-1 alone</w:t>
      </w:r>
      <w:r>
        <w:rPr>
          <w:rFonts w:ascii="Arial" w:hAnsi="Arial" w:cs="Arial"/>
          <w:color w:val="000000" w:themeColor="text1"/>
        </w:rPr>
        <w:t>,</w:t>
      </w:r>
      <w:r w:rsidRPr="00D74025">
        <w:rPr>
          <w:rFonts w:ascii="Arial" w:hAnsi="Arial" w:cs="Arial"/>
          <w:color w:val="000000" w:themeColor="text1"/>
        </w:rPr>
        <w:t xml:space="preserve"> and PTT alone temporarily delayed primary tumor growth.</w:t>
      </w:r>
    </w:p>
    <w:p w14:paraId="69F83EFC" w14:textId="1CD362D5" w:rsidR="006B2495" w:rsidRPr="00D74025" w:rsidRDefault="005421FD" w:rsidP="00D2113F">
      <w:pPr>
        <w:spacing w:line="360" w:lineRule="auto"/>
        <w:ind w:firstLine="1440"/>
        <w:jc w:val="both"/>
        <w:rPr>
          <w:rFonts w:ascii="Arial" w:hAnsi="Arial" w:cs="Arial"/>
          <w:color w:val="000000" w:themeColor="text1"/>
        </w:rPr>
      </w:pPr>
      <w:r w:rsidRPr="00D74025">
        <w:rPr>
          <w:rFonts w:ascii="Arial" w:hAnsi="Arial" w:cs="Arial"/>
          <w:color w:val="000000" w:themeColor="text1"/>
        </w:rPr>
        <w:t>PTT at 45</w:t>
      </w:r>
      <w:r w:rsidRPr="00D74025">
        <w:rPr>
          <w:rFonts w:ascii="Arial" w:hAnsi="Arial" w:cs="Arial"/>
          <w:color w:val="000000" w:themeColor="text1"/>
        </w:rPr>
        <w:sym w:font="Symbol" w:char="F0B0"/>
      </w:r>
      <w:r w:rsidRPr="00D74025">
        <w:rPr>
          <w:rFonts w:ascii="Arial" w:hAnsi="Arial" w:cs="Arial"/>
          <w:color w:val="000000" w:themeColor="text1"/>
        </w:rPr>
        <w:t>C alone does not induce tumor recession</w:t>
      </w:r>
      <w:r w:rsidR="003D3A8D" w:rsidRPr="00D74025">
        <w:rPr>
          <w:rFonts w:ascii="Arial" w:hAnsi="Arial" w:cs="Arial"/>
          <w:color w:val="000000" w:themeColor="text1"/>
        </w:rPr>
        <w:t xml:space="preserve">, which can be seen </w:t>
      </w:r>
      <w:r w:rsidR="00D34092" w:rsidRPr="00D74025">
        <w:rPr>
          <w:rFonts w:ascii="Arial" w:hAnsi="Arial" w:cs="Arial"/>
          <w:color w:val="000000" w:themeColor="text1"/>
        </w:rPr>
        <w:t>in</w:t>
      </w:r>
      <w:r w:rsidR="000023D6" w:rsidRPr="00D74025">
        <w:rPr>
          <w:rFonts w:ascii="Arial" w:hAnsi="Arial" w:cs="Arial"/>
          <w:color w:val="000000" w:themeColor="text1"/>
        </w:rPr>
        <w:t xml:space="preserve"> the graph</w:t>
      </w:r>
      <w:r w:rsidR="003D3A8D" w:rsidRPr="00D74025">
        <w:rPr>
          <w:rFonts w:ascii="Arial" w:hAnsi="Arial" w:cs="Arial"/>
          <w:color w:val="000000" w:themeColor="text1"/>
        </w:rPr>
        <w:t xml:space="preserve"> tumor volumes </w:t>
      </w:r>
      <w:r w:rsidR="0052399F" w:rsidRPr="00D74025">
        <w:rPr>
          <w:rFonts w:ascii="Arial" w:hAnsi="Arial" w:cs="Arial"/>
          <w:color w:val="000000" w:themeColor="text1"/>
        </w:rPr>
        <w:t>on day 14 (5 days after PTT</w:t>
      </w:r>
      <w:r w:rsidR="00C54C14" w:rsidRPr="00D74025">
        <w:rPr>
          <w:rFonts w:ascii="Arial" w:hAnsi="Arial" w:cs="Arial"/>
          <w:color w:val="000000" w:themeColor="text1"/>
        </w:rPr>
        <w:t xml:space="preserve"> – </w:t>
      </w:r>
      <w:r w:rsidR="00C54C14" w:rsidRPr="00B00222">
        <w:rPr>
          <w:rFonts w:ascii="Arial" w:hAnsi="Arial" w:cs="Arial"/>
          <w:b/>
          <w:bCs/>
          <w:color w:val="000000" w:themeColor="text1"/>
        </w:rPr>
        <w:t xml:space="preserve">Figure </w:t>
      </w:r>
      <w:r w:rsidR="00B00222" w:rsidRPr="00B00222">
        <w:rPr>
          <w:rFonts w:ascii="Arial" w:hAnsi="Arial" w:cs="Arial"/>
          <w:b/>
          <w:bCs/>
          <w:color w:val="000000" w:themeColor="text1"/>
        </w:rPr>
        <w:t>38</w:t>
      </w:r>
      <w:r w:rsidR="008828A4" w:rsidRPr="00B00222">
        <w:rPr>
          <w:rFonts w:ascii="Arial" w:hAnsi="Arial" w:cs="Arial"/>
          <w:b/>
          <w:bCs/>
          <w:color w:val="000000" w:themeColor="text1"/>
        </w:rPr>
        <w:t>B</w:t>
      </w:r>
      <w:r w:rsidR="0052399F" w:rsidRPr="00D74025">
        <w:rPr>
          <w:rFonts w:ascii="Arial" w:hAnsi="Arial" w:cs="Arial"/>
          <w:color w:val="000000" w:themeColor="text1"/>
        </w:rPr>
        <w:t>).</w:t>
      </w:r>
      <w:r w:rsidR="00B14E27" w:rsidRPr="00D74025">
        <w:rPr>
          <w:rFonts w:ascii="Arial" w:hAnsi="Arial" w:cs="Arial"/>
          <w:color w:val="000000" w:themeColor="text1"/>
        </w:rPr>
        <w:t xml:space="preserve"> </w:t>
      </w:r>
      <w:r w:rsidR="007D2883" w:rsidRPr="00D74025">
        <w:rPr>
          <w:rFonts w:ascii="Arial" w:hAnsi="Arial" w:cs="Arial"/>
          <w:color w:val="000000" w:themeColor="text1"/>
        </w:rPr>
        <w:t>In previous studies</w:t>
      </w:r>
      <w:r w:rsidR="00B14E27" w:rsidRPr="00D74025">
        <w:rPr>
          <w:rFonts w:ascii="Arial" w:hAnsi="Arial" w:cs="Arial"/>
          <w:color w:val="000000" w:themeColor="text1"/>
        </w:rPr>
        <w:t xml:space="preserve"> in our lab</w:t>
      </w:r>
      <w:r w:rsidR="007D2883" w:rsidRPr="00D74025">
        <w:rPr>
          <w:rFonts w:ascii="Arial" w:hAnsi="Arial" w:cs="Arial"/>
          <w:color w:val="000000" w:themeColor="text1"/>
        </w:rPr>
        <w:t>, the ablation of EMT6 tumors to temperatures up to 54</w:t>
      </w:r>
      <w:r w:rsidR="00250BFC" w:rsidRPr="00D74025">
        <w:rPr>
          <w:rFonts w:ascii="Arial" w:hAnsi="Arial" w:cs="Arial"/>
          <w:color w:val="000000" w:themeColor="text1"/>
        </w:rPr>
        <w:sym w:font="Symbol" w:char="F0B0"/>
      </w:r>
      <w:r w:rsidR="00250BFC" w:rsidRPr="00D74025">
        <w:rPr>
          <w:rFonts w:ascii="Arial" w:hAnsi="Arial" w:cs="Arial"/>
          <w:color w:val="000000" w:themeColor="text1"/>
        </w:rPr>
        <w:t>C w</w:t>
      </w:r>
      <w:r w:rsidR="00B00222">
        <w:rPr>
          <w:rFonts w:ascii="Arial" w:hAnsi="Arial" w:cs="Arial"/>
          <w:color w:val="000000" w:themeColor="text1"/>
        </w:rPr>
        <w:t>as</w:t>
      </w:r>
      <w:r w:rsidR="00250BFC" w:rsidRPr="00D74025">
        <w:rPr>
          <w:rFonts w:ascii="Arial" w:hAnsi="Arial" w:cs="Arial"/>
          <w:color w:val="000000" w:themeColor="text1"/>
        </w:rPr>
        <w:t xml:space="preserve"> efficient at generat</w:t>
      </w:r>
      <w:r w:rsidR="00934B39">
        <w:rPr>
          <w:rFonts w:ascii="Arial" w:hAnsi="Arial" w:cs="Arial"/>
          <w:color w:val="000000" w:themeColor="text1"/>
        </w:rPr>
        <w:t>ing</w:t>
      </w:r>
      <w:r w:rsidR="00250BFC" w:rsidRPr="00D74025">
        <w:rPr>
          <w:rFonts w:ascii="Arial" w:hAnsi="Arial" w:cs="Arial"/>
          <w:color w:val="000000" w:themeColor="text1"/>
        </w:rPr>
        <w:t xml:space="preserve"> a complete recession</w:t>
      </w:r>
      <w:r w:rsidR="006219B5" w:rsidRPr="00D74025">
        <w:rPr>
          <w:rFonts w:ascii="Arial" w:hAnsi="Arial" w:cs="Arial"/>
          <w:color w:val="000000" w:themeColor="text1"/>
        </w:rPr>
        <w:t xml:space="preserve"> within a week of PTT without the combination with checkpoint inhibition</w:t>
      </w:r>
      <w:r w:rsidR="00934B39">
        <w:rPr>
          <w:rFonts w:ascii="Arial" w:hAnsi="Arial" w:cs="Arial"/>
          <w:color w:val="000000" w:themeColor="text1"/>
        </w:rPr>
        <w:t>;</w:t>
      </w:r>
      <w:r w:rsidR="000C1776" w:rsidRPr="00D74025">
        <w:rPr>
          <w:rFonts w:ascii="Arial" w:hAnsi="Arial" w:cs="Arial"/>
          <w:color w:val="000000" w:themeColor="text1"/>
        </w:rPr>
        <w:t xml:space="preserve"> however</w:t>
      </w:r>
      <w:r w:rsidR="00934B39">
        <w:rPr>
          <w:rFonts w:ascii="Arial" w:hAnsi="Arial" w:cs="Arial"/>
          <w:color w:val="000000" w:themeColor="text1"/>
        </w:rPr>
        <w:t>,</w:t>
      </w:r>
      <w:r w:rsidR="000C1776" w:rsidRPr="00D74025">
        <w:rPr>
          <w:rFonts w:ascii="Arial" w:hAnsi="Arial" w:cs="Arial"/>
          <w:color w:val="000000" w:themeColor="text1"/>
        </w:rPr>
        <w:t xml:space="preserve"> </w:t>
      </w:r>
      <w:r w:rsidR="00934B39">
        <w:rPr>
          <w:rFonts w:ascii="Arial" w:hAnsi="Arial" w:cs="Arial"/>
          <w:color w:val="000000" w:themeColor="text1"/>
        </w:rPr>
        <w:t xml:space="preserve">it </w:t>
      </w:r>
      <w:r w:rsidR="000C1776" w:rsidRPr="00D74025">
        <w:rPr>
          <w:rFonts w:ascii="Arial" w:hAnsi="Arial" w:cs="Arial"/>
          <w:color w:val="000000" w:themeColor="text1"/>
        </w:rPr>
        <w:t>did not increase survival</w:t>
      </w:r>
      <w:r w:rsidR="005A064D"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{"citationID":"akrrd45duo","properties":{"formattedCitation":"\\super 283\\nosupersub{}","plainCitation":"283","noteIndex":0},"citationItems":[{"id":375,"uris":["http://zotero.org/users/7661987/items/CYBISZI9"],"itemData":{"id":375,"type":"article-journal","abstract":"The greatest contributors to cancer mortality are metastasis and the consequences of its treatment. Here, we present a novel treatment of metastatic breast cancer that combines photothermal therapy with targeted single-walled carbon nanotubes (SWCNTs) and immunostimulation with a checkpoint inhibitor. We find that the selective near-infrared photothermal ablation of primary orthotopic EMT6 breast tumors in syngeneic BALB/cJ mice using an annexin A5 (ANXA5) functionalized SWCNT bioconjugate synergistically enhances an anti-cytotoxic T-lymphocyte-associated protein 4 (anti-CTLA-4)-dependent abscopal response, resulting in an increased survival (55%) at 100 days after tumor inoculation. In comparison, there was no survival at 100 days for either photothermal therapy by itself or immunostimulation by itself. Prior to photothermal therapy, the SWCNT-ANXA5 bioconjugate was administered systemically at a relatively low dose of 1.2 mg/kg, where it then accumulated in tumor vasculature via ANXA5-dependent binding. During photothermal therapy, the average maximum temperature in the tumor reached 54 °C (duration 175 s). The mechanism of prolonged survival resulting from combinatorial photothermal ablation and immune stimulation was evaluated by flow cytometric quantification of splenic antitumoral immune effector cells and serum cytokine quantification.","container-title":"Nanoscale Research Letters","DOI":"10.1186/s11671-020-03459-x","ISSN":"1556-276X","issue":"1","journalAbbreviation":"Nanoscale Research Letters","page":"9","title":"Targeted Single-Walled Carbon Nanotubes for Photothermal Therapy Combined with Immune Checkpoint Inhibition for the Treatment of Metastatic Breast Cancer","volume":"16","author":[{"family":"McKernan","given":"Patrick"},{"family":"Virani","given":"Needa A."},{"family":"Faria","given":"Gabriela N. F."},{"family":"Karch","given":"Clément G."},{"family":"Prada Silvy","given":"Ricardo"},{"family":"Resasco","given":"Daniel E."},{"family":"Thompson","given":"Linda F."},{"family":"Harrison","given":"Roger G."}],"issued":{"date-parts":[["2021",1,7]]}}}],"schema":"https://github.com/citation-style-language/schema/raw/master/csl-citation.json"} </w:instrText>
      </w:r>
      <w:r w:rsidR="005A064D" w:rsidRPr="00D74025">
        <w:rPr>
          <w:rFonts w:ascii="Arial" w:hAnsi="Arial" w:cs="Arial"/>
          <w:color w:val="000000" w:themeColor="text1"/>
        </w:rPr>
        <w:fldChar w:fldCharType="separate"/>
      </w:r>
      <w:r w:rsidR="000F4F53" w:rsidRPr="000F4F53">
        <w:rPr>
          <w:rFonts w:ascii="Arial" w:hAnsi="Arial" w:cs="Arial"/>
          <w:color w:val="000000"/>
          <w:vertAlign w:val="superscript"/>
        </w:rPr>
        <w:t>283</w:t>
      </w:r>
      <w:r w:rsidR="005A064D" w:rsidRPr="00D74025">
        <w:rPr>
          <w:rFonts w:ascii="Arial" w:hAnsi="Arial" w:cs="Arial"/>
          <w:color w:val="000000" w:themeColor="text1"/>
        </w:rPr>
        <w:fldChar w:fldCharType="end"/>
      </w:r>
      <w:r w:rsidR="00462C11" w:rsidRPr="00D74025">
        <w:rPr>
          <w:rFonts w:ascii="Arial" w:hAnsi="Arial" w:cs="Arial"/>
          <w:color w:val="000000" w:themeColor="text1"/>
        </w:rPr>
        <w:t xml:space="preserve">. Here, the ablation of EMT6 tumors </w:t>
      </w:r>
      <w:r w:rsidR="00934B39">
        <w:rPr>
          <w:rFonts w:ascii="Arial" w:hAnsi="Arial" w:cs="Arial"/>
          <w:color w:val="000000" w:themeColor="text1"/>
        </w:rPr>
        <w:t>at</w:t>
      </w:r>
      <w:r w:rsidR="00462C11" w:rsidRPr="00D74025">
        <w:rPr>
          <w:rFonts w:ascii="Arial" w:hAnsi="Arial" w:cs="Arial"/>
          <w:color w:val="000000" w:themeColor="text1"/>
        </w:rPr>
        <w:t xml:space="preserve"> a milder temperature of 45</w:t>
      </w:r>
      <w:r w:rsidR="00462C11" w:rsidRPr="00D74025">
        <w:rPr>
          <w:rFonts w:ascii="Arial" w:hAnsi="Arial" w:cs="Arial"/>
          <w:color w:val="000000" w:themeColor="text1"/>
        </w:rPr>
        <w:sym w:font="Symbol" w:char="F0B0"/>
      </w:r>
      <w:r w:rsidR="00462C11" w:rsidRPr="00D74025">
        <w:rPr>
          <w:rFonts w:ascii="Arial" w:hAnsi="Arial" w:cs="Arial"/>
          <w:color w:val="000000" w:themeColor="text1"/>
        </w:rPr>
        <w:t>C was not effective at generating a complete tumor recession</w:t>
      </w:r>
      <w:r w:rsidR="00D2113F" w:rsidRPr="00D74025">
        <w:rPr>
          <w:rFonts w:ascii="Arial" w:hAnsi="Arial" w:cs="Arial"/>
          <w:color w:val="000000" w:themeColor="text1"/>
        </w:rPr>
        <w:t xml:space="preserve">. </w:t>
      </w:r>
      <w:r w:rsidR="0052399F" w:rsidRPr="00D74025">
        <w:rPr>
          <w:rFonts w:ascii="Arial" w:hAnsi="Arial" w:cs="Arial"/>
          <w:color w:val="000000" w:themeColor="text1"/>
        </w:rPr>
        <w:t xml:space="preserve">Therefore, we hypothesize that even though the </w:t>
      </w:r>
      <w:r w:rsidR="00425B03" w:rsidRPr="00D74025">
        <w:rPr>
          <w:rFonts w:ascii="Arial" w:hAnsi="Arial" w:cs="Arial"/>
          <w:color w:val="000000" w:themeColor="text1"/>
        </w:rPr>
        <w:t>PTT at 45</w:t>
      </w:r>
      <w:r w:rsidR="00425B03" w:rsidRPr="00D74025">
        <w:rPr>
          <w:rFonts w:ascii="Arial" w:hAnsi="Arial" w:cs="Arial"/>
          <w:color w:val="000000" w:themeColor="text1"/>
        </w:rPr>
        <w:sym w:font="Symbol" w:char="F0B0"/>
      </w:r>
      <w:r w:rsidR="00425B03" w:rsidRPr="00D74025">
        <w:rPr>
          <w:rFonts w:ascii="Arial" w:hAnsi="Arial" w:cs="Arial"/>
          <w:color w:val="000000" w:themeColor="text1"/>
        </w:rPr>
        <w:t xml:space="preserve">C </w:t>
      </w:r>
      <w:r w:rsidR="00C528BE">
        <w:rPr>
          <w:rFonts w:ascii="Arial" w:hAnsi="Arial" w:cs="Arial"/>
          <w:color w:val="000000" w:themeColor="text1"/>
        </w:rPr>
        <w:t>is</w:t>
      </w:r>
      <w:r w:rsidR="00425B03" w:rsidRPr="00D74025">
        <w:rPr>
          <w:rFonts w:ascii="Arial" w:hAnsi="Arial" w:cs="Arial"/>
          <w:color w:val="000000" w:themeColor="text1"/>
        </w:rPr>
        <w:t xml:space="preserve"> more effective at generating a</w:t>
      </w:r>
      <w:r w:rsidR="00A93DC8" w:rsidRPr="00D74025">
        <w:rPr>
          <w:rFonts w:ascii="Arial" w:hAnsi="Arial" w:cs="Arial"/>
          <w:color w:val="000000" w:themeColor="text1"/>
        </w:rPr>
        <w:t>n</w:t>
      </w:r>
      <w:r w:rsidR="00425B03" w:rsidRPr="00D74025">
        <w:rPr>
          <w:rFonts w:ascii="Arial" w:hAnsi="Arial" w:cs="Arial"/>
          <w:color w:val="000000" w:themeColor="text1"/>
        </w:rPr>
        <w:t xml:space="preserve"> immune response, correlated to the higher levels of pro-inflammatory cytokine</w:t>
      </w:r>
      <w:r w:rsidR="00A93DC8" w:rsidRPr="00D74025">
        <w:rPr>
          <w:rFonts w:ascii="Arial" w:hAnsi="Arial" w:cs="Arial"/>
          <w:color w:val="000000" w:themeColor="text1"/>
        </w:rPr>
        <w:t>s</w:t>
      </w:r>
      <w:r w:rsidR="00C16985" w:rsidRPr="00D74025">
        <w:rPr>
          <w:rFonts w:ascii="Arial" w:hAnsi="Arial" w:cs="Arial"/>
          <w:color w:val="000000" w:themeColor="text1"/>
        </w:rPr>
        <w:t xml:space="preserve"> (</w:t>
      </w:r>
      <w:r w:rsidR="00C16985" w:rsidRPr="0011623D">
        <w:rPr>
          <w:rFonts w:ascii="Arial" w:hAnsi="Arial" w:cs="Arial"/>
          <w:b/>
          <w:bCs/>
          <w:color w:val="000000" w:themeColor="text1"/>
        </w:rPr>
        <w:t xml:space="preserve">Figure </w:t>
      </w:r>
      <w:r w:rsidR="0011623D" w:rsidRPr="0011623D">
        <w:rPr>
          <w:rFonts w:ascii="Arial" w:hAnsi="Arial" w:cs="Arial"/>
          <w:b/>
          <w:bCs/>
          <w:color w:val="000000" w:themeColor="text1"/>
        </w:rPr>
        <w:t>36</w:t>
      </w:r>
      <w:r w:rsidR="00C16985" w:rsidRPr="00D74025">
        <w:rPr>
          <w:rFonts w:ascii="Arial" w:hAnsi="Arial" w:cs="Arial"/>
          <w:color w:val="000000" w:themeColor="text1"/>
        </w:rPr>
        <w:t>)</w:t>
      </w:r>
      <w:r w:rsidR="00425B03" w:rsidRPr="00D74025">
        <w:rPr>
          <w:rFonts w:ascii="Arial" w:hAnsi="Arial" w:cs="Arial"/>
          <w:color w:val="000000" w:themeColor="text1"/>
        </w:rPr>
        <w:t>, this temperature is not sufficient to ablate the whole volume of the primary tumor</w:t>
      </w:r>
      <w:r w:rsidR="00C16985" w:rsidRPr="00D74025">
        <w:rPr>
          <w:rFonts w:ascii="Arial" w:hAnsi="Arial" w:cs="Arial"/>
          <w:color w:val="000000" w:themeColor="text1"/>
        </w:rPr>
        <w:t>.</w:t>
      </w:r>
    </w:p>
    <w:p w14:paraId="3F367D19" w14:textId="5E13F957" w:rsidR="006C020C" w:rsidRPr="00D74025" w:rsidRDefault="006C020C" w:rsidP="006C020C">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We hypothesize that the combination therapy was efficient </w:t>
      </w:r>
      <w:r>
        <w:rPr>
          <w:rFonts w:ascii="Arial" w:hAnsi="Arial" w:cs="Arial"/>
          <w:color w:val="000000" w:themeColor="text1"/>
        </w:rPr>
        <w:t>in generating</w:t>
      </w:r>
      <w:r w:rsidRPr="00D74025">
        <w:rPr>
          <w:rFonts w:ascii="Arial" w:hAnsi="Arial" w:cs="Arial"/>
          <w:color w:val="000000" w:themeColor="text1"/>
        </w:rPr>
        <w:t xml:space="preserve"> a systemic immune response that </w:t>
      </w:r>
      <w:r>
        <w:rPr>
          <w:rFonts w:ascii="Arial" w:hAnsi="Arial" w:cs="Arial"/>
          <w:color w:val="000000" w:themeColor="text1"/>
        </w:rPr>
        <w:t>effectively killed</w:t>
      </w:r>
      <w:r w:rsidRPr="00D74025">
        <w:rPr>
          <w:rFonts w:ascii="Arial" w:hAnsi="Arial" w:cs="Arial"/>
          <w:color w:val="000000" w:themeColor="text1"/>
        </w:rPr>
        <w:t xml:space="preserve"> the remaining tumor that </w:t>
      </w:r>
      <w:r>
        <w:rPr>
          <w:rFonts w:ascii="Arial" w:hAnsi="Arial" w:cs="Arial"/>
          <w:color w:val="000000" w:themeColor="text1"/>
        </w:rPr>
        <w:t>the PTT did not efficiently ablate</w:t>
      </w:r>
      <w:r w:rsidRPr="00D74025">
        <w:rPr>
          <w:rFonts w:ascii="Arial" w:hAnsi="Arial" w:cs="Arial"/>
          <w:color w:val="000000" w:themeColor="text1"/>
        </w:rPr>
        <w:t xml:space="preserve"> at 45</w:t>
      </w:r>
      <w:r w:rsidRPr="00D74025">
        <w:rPr>
          <w:rFonts w:ascii="Arial" w:hAnsi="Arial" w:cs="Arial"/>
          <w:color w:val="000000" w:themeColor="text1"/>
        </w:rPr>
        <w:sym w:font="Symbol" w:char="F0B0"/>
      </w:r>
      <w:r w:rsidRPr="00D74025">
        <w:rPr>
          <w:rFonts w:ascii="Arial" w:hAnsi="Arial" w:cs="Arial"/>
          <w:color w:val="000000" w:themeColor="text1"/>
        </w:rPr>
        <w:t>C. By day 21 (12 days after PTT), four mice in the anti-PD-1 + PTT group had complete tumor recession. Those mice did not undergo tumor regrowth and survived until the end of the study (100 days after tumor inoculation)</w:t>
      </w:r>
      <w:r>
        <w:rPr>
          <w:rFonts w:ascii="Arial" w:hAnsi="Arial" w:cs="Arial"/>
          <w:color w:val="000000" w:themeColor="text1"/>
        </w:rPr>
        <w:t>, yielding a 50% survival at 100 days</w:t>
      </w:r>
      <w:r w:rsidR="007C6AD1">
        <w:rPr>
          <w:rFonts w:ascii="Arial" w:hAnsi="Arial" w:cs="Arial"/>
          <w:color w:val="000000" w:themeColor="text1"/>
        </w:rPr>
        <w:t xml:space="preserve"> (</w:t>
      </w:r>
      <w:r w:rsidR="007C6AD1" w:rsidRPr="007C6AD1">
        <w:rPr>
          <w:rFonts w:ascii="Arial" w:hAnsi="Arial" w:cs="Arial"/>
          <w:b/>
          <w:bCs/>
          <w:color w:val="000000" w:themeColor="text1"/>
        </w:rPr>
        <w:t>Figure 37</w:t>
      </w:r>
      <w:r w:rsidR="007C6AD1">
        <w:rPr>
          <w:rFonts w:ascii="Arial" w:hAnsi="Arial" w:cs="Arial"/>
          <w:color w:val="000000" w:themeColor="text1"/>
        </w:rPr>
        <w:t>)</w:t>
      </w:r>
      <w:r>
        <w:rPr>
          <w:rFonts w:ascii="Arial" w:hAnsi="Arial" w:cs="Arial"/>
          <w:color w:val="000000" w:themeColor="text1"/>
        </w:rPr>
        <w:t>.</w:t>
      </w:r>
    </w:p>
    <w:p w14:paraId="74336D5B" w14:textId="79DF611E" w:rsidR="00D77495" w:rsidRDefault="00D77495" w:rsidP="00D77495">
      <w:pPr>
        <w:spacing w:line="360" w:lineRule="auto"/>
        <w:ind w:firstLine="1440"/>
        <w:jc w:val="both"/>
        <w:rPr>
          <w:rFonts w:ascii="Arial" w:hAnsi="Arial" w:cs="Arial"/>
          <w:color w:val="000000" w:themeColor="text1"/>
        </w:rPr>
      </w:pPr>
      <w:r>
        <w:rPr>
          <w:rFonts w:ascii="Arial" w:hAnsi="Arial" w:cs="Arial"/>
          <w:color w:val="000000" w:themeColor="text1"/>
        </w:rPr>
        <w:lastRenderedPageBreak/>
        <w:t xml:space="preserve">An </w:t>
      </w:r>
      <w:proofErr w:type="spellStart"/>
      <w:r>
        <w:rPr>
          <w:rFonts w:ascii="Arial" w:hAnsi="Arial" w:cs="Arial"/>
          <w:color w:val="000000" w:themeColor="text1"/>
        </w:rPr>
        <w:t>immunophenotypical</w:t>
      </w:r>
      <w:proofErr w:type="spellEnd"/>
      <w:r>
        <w:rPr>
          <w:rFonts w:ascii="Arial" w:hAnsi="Arial" w:cs="Arial"/>
          <w:color w:val="000000" w:themeColor="text1"/>
        </w:rPr>
        <w:t xml:space="preserve"> a</w:t>
      </w:r>
      <w:r w:rsidRPr="00D74025">
        <w:rPr>
          <w:rFonts w:ascii="Arial" w:hAnsi="Arial" w:cs="Arial"/>
          <w:color w:val="000000" w:themeColor="text1"/>
        </w:rPr>
        <w:t xml:space="preserve">nalysis of splenic cells was performed </w:t>
      </w:r>
      <w:r>
        <w:rPr>
          <w:rFonts w:ascii="Arial" w:hAnsi="Arial" w:cs="Arial"/>
          <w:color w:val="000000" w:themeColor="text1"/>
        </w:rPr>
        <w:t>t</w:t>
      </w:r>
      <w:r w:rsidRPr="00D74025">
        <w:rPr>
          <w:rFonts w:ascii="Arial" w:hAnsi="Arial" w:cs="Arial"/>
          <w:color w:val="000000" w:themeColor="text1"/>
        </w:rPr>
        <w:t xml:space="preserve">o confirm the hypothesis that the combination therapy induces a systemic immune response. EMT6 </w:t>
      </w:r>
      <w:r>
        <w:rPr>
          <w:rFonts w:ascii="Arial" w:hAnsi="Arial" w:cs="Arial"/>
          <w:color w:val="000000" w:themeColor="text1"/>
        </w:rPr>
        <w:t>tumor-bearing</w:t>
      </w:r>
      <w:r w:rsidRPr="00D74025">
        <w:rPr>
          <w:rFonts w:ascii="Arial" w:hAnsi="Arial" w:cs="Arial"/>
          <w:color w:val="000000" w:themeColor="text1"/>
        </w:rPr>
        <w:t xml:space="preserve"> mice were treated using the same protocol used for </w:t>
      </w:r>
      <w:r>
        <w:rPr>
          <w:rFonts w:ascii="Arial" w:hAnsi="Arial" w:cs="Arial"/>
          <w:color w:val="000000" w:themeColor="text1"/>
        </w:rPr>
        <w:t xml:space="preserve">the </w:t>
      </w:r>
      <w:r w:rsidRPr="00D74025">
        <w:rPr>
          <w:rFonts w:ascii="Arial" w:hAnsi="Arial" w:cs="Arial"/>
          <w:color w:val="000000" w:themeColor="text1"/>
        </w:rPr>
        <w:t>long-term survival</w:t>
      </w:r>
      <w:r>
        <w:rPr>
          <w:rFonts w:ascii="Arial" w:hAnsi="Arial" w:cs="Arial"/>
          <w:color w:val="000000" w:themeColor="text1"/>
        </w:rPr>
        <w:t xml:space="preserve"> </w:t>
      </w:r>
      <w:r w:rsidRPr="00D74025">
        <w:rPr>
          <w:rFonts w:ascii="Arial" w:hAnsi="Arial" w:cs="Arial"/>
          <w:color w:val="000000" w:themeColor="text1"/>
        </w:rPr>
        <w:t xml:space="preserve">experiment in </w:t>
      </w:r>
      <w:r w:rsidR="00CC70C8" w:rsidRPr="00CC70C8">
        <w:rPr>
          <w:rFonts w:ascii="Arial" w:hAnsi="Arial" w:cs="Arial"/>
          <w:b/>
          <w:bCs/>
          <w:color w:val="000000" w:themeColor="text1"/>
        </w:rPr>
        <w:t>F</w:t>
      </w:r>
      <w:r w:rsidRPr="00CC70C8">
        <w:rPr>
          <w:rFonts w:ascii="Arial" w:hAnsi="Arial" w:cs="Arial"/>
          <w:b/>
          <w:bCs/>
          <w:color w:val="000000" w:themeColor="text1"/>
        </w:rPr>
        <w:t xml:space="preserve">igure </w:t>
      </w:r>
      <w:r w:rsidR="00CC70C8" w:rsidRPr="00CC70C8">
        <w:rPr>
          <w:rFonts w:ascii="Arial" w:hAnsi="Arial" w:cs="Arial"/>
          <w:b/>
          <w:bCs/>
          <w:color w:val="000000" w:themeColor="text1"/>
        </w:rPr>
        <w:t>37</w:t>
      </w:r>
      <w:r w:rsidRPr="00CC70C8">
        <w:rPr>
          <w:rFonts w:ascii="Arial" w:hAnsi="Arial" w:cs="Arial"/>
          <w:color w:val="000000" w:themeColor="text1"/>
        </w:rPr>
        <w:t>.</w:t>
      </w:r>
      <w:r w:rsidRPr="00D74025">
        <w:rPr>
          <w:rFonts w:ascii="Arial" w:hAnsi="Arial" w:cs="Arial"/>
          <w:color w:val="000000" w:themeColor="text1"/>
        </w:rPr>
        <w:t xml:space="preserve"> </w:t>
      </w:r>
      <w:r w:rsidR="00415547">
        <w:rPr>
          <w:rFonts w:ascii="Arial" w:hAnsi="Arial" w:cs="Arial"/>
          <w:color w:val="000000" w:themeColor="text1"/>
        </w:rPr>
        <w:t>Fourteen</w:t>
      </w:r>
      <w:r w:rsidRPr="00D74025">
        <w:rPr>
          <w:rFonts w:ascii="Arial" w:hAnsi="Arial" w:cs="Arial"/>
          <w:color w:val="000000" w:themeColor="text1"/>
        </w:rPr>
        <w:t xml:space="preserve"> days after PTT, mice were euthanized, their spleens were collected</w:t>
      </w:r>
      <w:r>
        <w:rPr>
          <w:rFonts w:ascii="Arial" w:hAnsi="Arial" w:cs="Arial"/>
          <w:color w:val="000000" w:themeColor="text1"/>
        </w:rPr>
        <w:t>,</w:t>
      </w:r>
      <w:r w:rsidRPr="00D74025">
        <w:rPr>
          <w:rFonts w:ascii="Arial" w:hAnsi="Arial" w:cs="Arial"/>
          <w:color w:val="000000" w:themeColor="text1"/>
        </w:rPr>
        <w:t xml:space="preserve"> and splenic cells were stained for immunophenotyping through flow cytometry. The results </w:t>
      </w:r>
      <w:r>
        <w:rPr>
          <w:rFonts w:ascii="Arial" w:hAnsi="Arial" w:cs="Arial"/>
          <w:color w:val="000000" w:themeColor="text1"/>
        </w:rPr>
        <w:t>of</w:t>
      </w:r>
      <w:r w:rsidRPr="00D74025">
        <w:rPr>
          <w:rFonts w:ascii="Arial" w:hAnsi="Arial" w:cs="Arial"/>
          <w:color w:val="000000" w:themeColor="text1"/>
        </w:rPr>
        <w:t xml:space="preserve"> this experiment are shown in </w:t>
      </w:r>
      <w:r w:rsidRPr="00CC70C8">
        <w:rPr>
          <w:rFonts w:ascii="Arial" w:hAnsi="Arial" w:cs="Arial"/>
          <w:b/>
          <w:bCs/>
          <w:color w:val="000000" w:themeColor="text1"/>
        </w:rPr>
        <w:t xml:space="preserve">Figure </w:t>
      </w:r>
      <w:r w:rsidR="00CC70C8" w:rsidRPr="00CC70C8">
        <w:rPr>
          <w:rFonts w:ascii="Arial" w:hAnsi="Arial" w:cs="Arial"/>
          <w:b/>
          <w:bCs/>
          <w:color w:val="000000" w:themeColor="text1"/>
        </w:rPr>
        <w:t>39</w:t>
      </w:r>
      <w:r w:rsidRPr="00D74025">
        <w:rPr>
          <w:rFonts w:ascii="Arial" w:hAnsi="Arial" w:cs="Arial"/>
          <w:color w:val="000000" w:themeColor="text1"/>
        </w:rPr>
        <w:t>.</w:t>
      </w:r>
    </w:p>
    <w:p w14:paraId="78F13F68" w14:textId="77777777" w:rsidR="00C6239D" w:rsidRPr="00D74025" w:rsidRDefault="00C6239D" w:rsidP="00D77495">
      <w:pPr>
        <w:spacing w:line="360" w:lineRule="auto"/>
        <w:ind w:firstLine="1440"/>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48DC7A92" w14:textId="77777777" w:rsidTr="00230D7D">
        <w:tc>
          <w:tcPr>
            <w:tcW w:w="9350" w:type="dxa"/>
          </w:tcPr>
          <w:p w14:paraId="73957CAA" w14:textId="08DFC3E9" w:rsidR="00230D7D" w:rsidRPr="00D74025" w:rsidRDefault="00230D7D" w:rsidP="000D71A7">
            <w:pPr>
              <w:spacing w:beforeAutospacing="0" w:line="360" w:lineRule="auto"/>
              <w:ind w:firstLine="0"/>
              <w:rPr>
                <w:color w:val="000000" w:themeColor="text1"/>
                <w:sz w:val="16"/>
                <w:szCs w:val="16"/>
              </w:rPr>
            </w:pPr>
            <w:r w:rsidRPr="00D74025">
              <w:rPr>
                <w:noProof/>
                <w:color w:val="000000" w:themeColor="text1"/>
              </w:rPr>
              <w:drawing>
                <wp:inline distT="0" distB="0" distL="0" distR="0" wp14:anchorId="0B6B7726" wp14:editId="5783A5FC">
                  <wp:extent cx="5791200" cy="3159793"/>
                  <wp:effectExtent l="0" t="0" r="0" b="2540"/>
                  <wp:docPr id="58" name="Picture 58"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hart, diagram&#10;&#10;Description automatically generated"/>
                          <pic:cNvPicPr/>
                        </pic:nvPicPr>
                        <pic:blipFill>
                          <a:blip r:embed="rId59"/>
                          <a:stretch>
                            <a:fillRect/>
                          </a:stretch>
                        </pic:blipFill>
                        <pic:spPr>
                          <a:xfrm>
                            <a:off x="0" y="0"/>
                            <a:ext cx="5798440" cy="3163743"/>
                          </a:xfrm>
                          <a:prstGeom prst="rect">
                            <a:avLst/>
                          </a:prstGeom>
                        </pic:spPr>
                      </pic:pic>
                    </a:graphicData>
                  </a:graphic>
                </wp:inline>
              </w:drawing>
            </w:r>
          </w:p>
        </w:tc>
      </w:tr>
      <w:tr w:rsidR="00230D7D" w:rsidRPr="00D74025" w14:paraId="209E5984" w14:textId="77777777" w:rsidTr="00230D7D">
        <w:tc>
          <w:tcPr>
            <w:tcW w:w="9350" w:type="dxa"/>
          </w:tcPr>
          <w:p w14:paraId="4D5713C5" w14:textId="6D2C839D" w:rsidR="00230D7D" w:rsidRPr="009F2324" w:rsidRDefault="00C6239D" w:rsidP="009F2324">
            <w:pPr>
              <w:spacing w:line="360" w:lineRule="auto"/>
              <w:ind w:firstLine="0"/>
            </w:pPr>
            <w:bookmarkStart w:id="139" w:name="_Toc121217361"/>
            <w:r w:rsidRPr="00C6239D">
              <w:rPr>
                <w:rFonts w:ascii="Arial" w:hAnsi="Arial" w:cs="Arial"/>
                <w:b/>
                <w:bCs/>
                <w:color w:val="000000" w:themeColor="text1"/>
              </w:rPr>
              <w:t xml:space="preserve">Figure </w:t>
            </w:r>
            <w:r w:rsidRPr="00C6239D">
              <w:rPr>
                <w:rFonts w:ascii="Arial" w:hAnsi="Arial" w:cs="Arial"/>
                <w:b/>
                <w:bCs/>
                <w:color w:val="000000" w:themeColor="text1"/>
              </w:rPr>
              <w:fldChar w:fldCharType="begin"/>
            </w:r>
            <w:r w:rsidRPr="00C6239D">
              <w:rPr>
                <w:rFonts w:ascii="Arial" w:hAnsi="Arial" w:cs="Arial"/>
                <w:b/>
                <w:bCs/>
                <w:color w:val="000000" w:themeColor="text1"/>
              </w:rPr>
              <w:instrText xml:space="preserve"> SEQ Figure \* ARABIC </w:instrText>
            </w:r>
            <w:r w:rsidRPr="00C6239D">
              <w:rPr>
                <w:rFonts w:ascii="Arial" w:hAnsi="Arial" w:cs="Arial"/>
                <w:b/>
                <w:bCs/>
                <w:color w:val="000000" w:themeColor="text1"/>
              </w:rPr>
              <w:fldChar w:fldCharType="separate"/>
            </w:r>
            <w:r w:rsidR="002C4B25">
              <w:rPr>
                <w:rFonts w:ascii="Arial" w:hAnsi="Arial" w:cs="Arial"/>
                <w:b/>
                <w:bCs/>
                <w:noProof/>
                <w:color w:val="000000" w:themeColor="text1"/>
              </w:rPr>
              <w:t>39</w:t>
            </w:r>
            <w:r w:rsidRPr="00C6239D">
              <w:rPr>
                <w:rFonts w:ascii="Arial" w:hAnsi="Arial" w:cs="Arial"/>
                <w:b/>
                <w:bCs/>
                <w:color w:val="000000" w:themeColor="text1"/>
              </w:rPr>
              <w:fldChar w:fldCharType="end"/>
            </w:r>
            <w:r w:rsidR="009F2324" w:rsidRPr="00D74025">
              <w:rPr>
                <w:rFonts w:ascii="Arial" w:hAnsi="Arial" w:cs="Arial"/>
                <w:b/>
                <w:bCs/>
                <w:color w:val="000000" w:themeColor="text1"/>
              </w:rPr>
              <w:t>: Splenic cell analysis of combinatorial photothermal therapy (PTT) and checkpoint inhibition (anti-PD-1) in EMT6 tumors</w:t>
            </w:r>
            <w:r w:rsidR="009F2324">
              <w:rPr>
                <w:rFonts w:ascii="Arial" w:hAnsi="Arial" w:cs="Arial"/>
                <w:b/>
                <w:bCs/>
                <w:color w:val="000000" w:themeColor="text1"/>
              </w:rPr>
              <w:t xml:space="preserve">. </w:t>
            </w:r>
            <w:r w:rsidR="009F2324" w:rsidRPr="00D74025">
              <w:rPr>
                <w:rFonts w:ascii="Arial" w:hAnsi="Arial" w:cs="Arial"/>
                <w:color w:val="000000" w:themeColor="text1"/>
              </w:rPr>
              <w:t xml:space="preserve">Mice with </w:t>
            </w:r>
            <w:proofErr w:type="spellStart"/>
            <w:r w:rsidR="009F2324" w:rsidRPr="00D74025">
              <w:rPr>
                <w:rFonts w:ascii="Arial" w:hAnsi="Arial" w:cs="Arial"/>
                <w:color w:val="000000" w:themeColor="text1"/>
              </w:rPr>
              <w:t>well</w:t>
            </w:r>
            <w:r w:rsidR="006B6468">
              <w:rPr>
                <w:rFonts w:ascii="Arial" w:hAnsi="Arial" w:cs="Arial"/>
                <w:color w:val="000000" w:themeColor="text1"/>
              </w:rPr>
              <w:t xml:space="preserve"> </w:t>
            </w:r>
            <w:r w:rsidR="009F2324" w:rsidRPr="00D74025">
              <w:rPr>
                <w:rFonts w:ascii="Arial" w:hAnsi="Arial" w:cs="Arial"/>
                <w:color w:val="000000" w:themeColor="text1"/>
              </w:rPr>
              <w:t>developed</w:t>
            </w:r>
            <w:proofErr w:type="spellEnd"/>
            <w:r w:rsidR="009F2324" w:rsidRPr="00D74025">
              <w:rPr>
                <w:rFonts w:ascii="Arial" w:hAnsi="Arial" w:cs="Arial"/>
                <w:color w:val="000000" w:themeColor="text1"/>
              </w:rPr>
              <w:t xml:space="preserve"> orthotopic syngeneic tumors (d ≥ 5 mm) were administered an IT dose of 1.2 mg/kg SWCNT-ANXA5. Tumors were irradiated with a NIR laser at a power density of 1 W/cm</w:t>
            </w:r>
            <w:r w:rsidR="009F2324" w:rsidRPr="00D74025">
              <w:rPr>
                <w:rFonts w:ascii="Arial" w:hAnsi="Arial" w:cs="Arial"/>
                <w:color w:val="000000" w:themeColor="text1"/>
                <w:vertAlign w:val="superscript"/>
              </w:rPr>
              <w:t xml:space="preserve">2 </w:t>
            </w:r>
            <w:r w:rsidR="009F2324" w:rsidRPr="00D74025">
              <w:rPr>
                <w:rFonts w:ascii="Arial" w:hAnsi="Arial" w:cs="Arial"/>
                <w:color w:val="000000" w:themeColor="text1"/>
              </w:rPr>
              <w:t>until tumor surface temperature reached 45</w:t>
            </w:r>
            <w:r w:rsidR="009F2324" w:rsidRPr="00D74025">
              <w:rPr>
                <w:rFonts w:ascii="Arial" w:hAnsi="Arial" w:cs="Arial"/>
                <w:color w:val="000000" w:themeColor="text1"/>
              </w:rPr>
              <w:sym w:font="Symbol" w:char="F0B0"/>
            </w:r>
            <w:r w:rsidR="009F2324" w:rsidRPr="00D74025">
              <w:rPr>
                <w:rFonts w:ascii="Arial" w:hAnsi="Arial" w:cs="Arial"/>
                <w:color w:val="000000" w:themeColor="text1"/>
              </w:rPr>
              <w:t xml:space="preserve">C. Select groups received anti-PD-1 (10 mg/kg) on days 8, 11, and 16. Spleens were harvested 14 days after PTT after euthanasia. </w:t>
            </w:r>
            <w:r w:rsidR="006B6468">
              <w:rPr>
                <w:rFonts w:ascii="Arial" w:hAnsi="Arial" w:cs="Arial"/>
                <w:color w:val="000000" w:themeColor="text1"/>
              </w:rPr>
              <w:t xml:space="preserve">The combination of </w:t>
            </w:r>
            <w:r w:rsidR="009F2324" w:rsidRPr="00D74025">
              <w:rPr>
                <w:rFonts w:ascii="Arial" w:hAnsi="Arial" w:cs="Arial"/>
                <w:color w:val="000000" w:themeColor="text1"/>
              </w:rPr>
              <w:t xml:space="preserve">PTT </w:t>
            </w:r>
            <w:r w:rsidR="009F2324">
              <w:rPr>
                <w:rFonts w:ascii="Arial" w:hAnsi="Arial" w:cs="Arial"/>
                <w:color w:val="000000" w:themeColor="text1"/>
              </w:rPr>
              <w:t xml:space="preserve">and </w:t>
            </w:r>
            <w:r w:rsidR="009F2324" w:rsidRPr="00D74025">
              <w:rPr>
                <w:rFonts w:ascii="Arial" w:hAnsi="Arial" w:cs="Arial"/>
                <w:color w:val="000000" w:themeColor="text1"/>
              </w:rPr>
              <w:t>anti-PD-1 significantly increased the relative numbers of CD4+</w:t>
            </w:r>
            <w:r w:rsidR="009F2324">
              <w:rPr>
                <w:rFonts w:ascii="Arial" w:hAnsi="Arial" w:cs="Arial"/>
                <w:color w:val="000000" w:themeColor="text1"/>
              </w:rPr>
              <w:t>,</w:t>
            </w:r>
            <w:r w:rsidR="009F2324" w:rsidRPr="00D74025">
              <w:rPr>
                <w:rFonts w:ascii="Arial" w:hAnsi="Arial" w:cs="Arial"/>
                <w:color w:val="000000" w:themeColor="text1"/>
              </w:rPr>
              <w:t xml:space="preserve"> and CD8+ splenocytes observed 2 weeks after PTT</w:t>
            </w:r>
            <w:r w:rsidR="00161415">
              <w:rPr>
                <w:rFonts w:ascii="Arial" w:hAnsi="Arial" w:cs="Arial"/>
                <w:color w:val="000000" w:themeColor="text1"/>
              </w:rPr>
              <w:t xml:space="preserve"> compared to control</w:t>
            </w:r>
            <w:r w:rsidR="009F2324" w:rsidRPr="00D74025">
              <w:rPr>
                <w:rFonts w:ascii="Arial" w:hAnsi="Arial" w:cs="Arial"/>
                <w:color w:val="000000" w:themeColor="text1"/>
              </w:rPr>
              <w:t xml:space="preserve">. Splenocyte </w:t>
            </w:r>
            <w:r w:rsidR="009F2324">
              <w:rPr>
                <w:rFonts w:ascii="Arial" w:hAnsi="Arial" w:cs="Arial"/>
                <w:color w:val="000000" w:themeColor="text1"/>
              </w:rPr>
              <w:t>counts</w:t>
            </w:r>
            <w:r w:rsidR="009F2324" w:rsidRPr="00D74025">
              <w:rPr>
                <w:rFonts w:ascii="Arial" w:hAnsi="Arial" w:cs="Arial"/>
                <w:color w:val="000000" w:themeColor="text1"/>
              </w:rPr>
              <w:t xml:space="preserve"> are shown as mean ± SE (n = 4). Statistical significance was analyzed </w:t>
            </w:r>
            <w:r w:rsidR="009F2324">
              <w:rPr>
                <w:rFonts w:ascii="Arial" w:hAnsi="Arial" w:cs="Arial"/>
                <w:color w:val="000000" w:themeColor="text1"/>
              </w:rPr>
              <w:t xml:space="preserve">by </w:t>
            </w:r>
            <w:r w:rsidR="009F2324" w:rsidRPr="00D74025">
              <w:rPr>
                <w:rFonts w:ascii="Arial" w:hAnsi="Arial" w:cs="Arial"/>
                <w:color w:val="000000" w:themeColor="text1"/>
              </w:rPr>
              <w:t xml:space="preserve">comparing all the groups to one another by one-way ANOVA with </w:t>
            </w:r>
            <w:r w:rsidR="009F2324" w:rsidRPr="00D74025">
              <w:rPr>
                <w:rFonts w:ascii="Arial" w:hAnsi="Arial" w:cs="Arial"/>
                <w:color w:val="000000" w:themeColor="text1"/>
              </w:rPr>
              <w:lastRenderedPageBreak/>
              <w:t>Tukey’s multiple comparisons test</w:t>
            </w:r>
            <w:r w:rsidR="009F2324" w:rsidRPr="00D74025">
              <w:rPr>
                <w:rFonts w:ascii="Arial" w:hAnsi="Arial" w:cs="Arial"/>
                <w:color w:val="000000" w:themeColor="text1"/>
                <w:sz w:val="20"/>
                <w:szCs w:val="20"/>
              </w:rPr>
              <w:t xml:space="preserve">. </w:t>
            </w:r>
            <w:r w:rsidR="009F2324" w:rsidRPr="00D74025">
              <w:rPr>
                <w:rFonts w:ascii="Arial" w:hAnsi="Arial" w:cs="Arial"/>
                <w:color w:val="000000" w:themeColor="text1"/>
              </w:rPr>
              <w:t>Significance is indicated by *p &lt;0.05, **p &lt; 0.01, *** p&lt; 0.001, p &lt; 0.0001.</w:t>
            </w:r>
            <w:bookmarkEnd w:id="139"/>
          </w:p>
        </w:tc>
      </w:tr>
    </w:tbl>
    <w:p w14:paraId="6E6B4B67" w14:textId="77777777" w:rsidR="00C6239D" w:rsidRDefault="00C6239D" w:rsidP="003F740A">
      <w:pPr>
        <w:rPr>
          <w:color w:val="000000" w:themeColor="text1"/>
        </w:rPr>
      </w:pPr>
    </w:p>
    <w:p w14:paraId="34AC645A" w14:textId="4112198F" w:rsidR="00E60382" w:rsidRPr="00D74025" w:rsidRDefault="003F740A" w:rsidP="003F740A">
      <w:pPr>
        <w:rPr>
          <w:color w:val="000000" w:themeColor="text1"/>
        </w:rPr>
      </w:pPr>
      <w:r w:rsidRPr="00D74025">
        <w:rPr>
          <w:color w:val="000000" w:themeColor="text1"/>
        </w:rPr>
        <w:t>﻿</w:t>
      </w:r>
    </w:p>
    <w:p w14:paraId="03E597FF" w14:textId="011EE1D0" w:rsidR="0093590E" w:rsidRPr="00D74025" w:rsidRDefault="0093590E" w:rsidP="0093590E">
      <w:pPr>
        <w:spacing w:line="360" w:lineRule="auto"/>
        <w:ind w:firstLine="1440"/>
        <w:jc w:val="both"/>
        <w:rPr>
          <w:rFonts w:ascii="Arial" w:hAnsi="Arial" w:cs="Arial"/>
          <w:color w:val="000000" w:themeColor="text1"/>
        </w:rPr>
      </w:pPr>
      <w:r w:rsidRPr="00CC70C8">
        <w:rPr>
          <w:rFonts w:ascii="Arial" w:hAnsi="Arial" w:cs="Arial"/>
          <w:b/>
          <w:bCs/>
          <w:color w:val="000000" w:themeColor="text1"/>
        </w:rPr>
        <w:t xml:space="preserve">Figure </w:t>
      </w:r>
      <w:r w:rsidR="00CC70C8" w:rsidRPr="00CC70C8">
        <w:rPr>
          <w:rFonts w:ascii="Arial" w:hAnsi="Arial" w:cs="Arial"/>
          <w:b/>
          <w:bCs/>
          <w:color w:val="000000" w:themeColor="text1"/>
        </w:rPr>
        <w:t>39</w:t>
      </w:r>
      <w:r w:rsidRPr="00D74025">
        <w:rPr>
          <w:rFonts w:ascii="Arial" w:hAnsi="Arial" w:cs="Arial"/>
          <w:color w:val="000000" w:themeColor="text1"/>
        </w:rPr>
        <w:t xml:space="preserve"> shows that only the combination therapy was effective at</w:t>
      </w:r>
      <w:r>
        <w:rPr>
          <w:rFonts w:ascii="Arial" w:hAnsi="Arial" w:cs="Arial"/>
          <w:color w:val="000000" w:themeColor="text1"/>
        </w:rPr>
        <w:t xml:space="preserve"> </w:t>
      </w:r>
      <w:r w:rsidRPr="00D74025">
        <w:rPr>
          <w:rFonts w:ascii="Arial" w:hAnsi="Arial" w:cs="Arial"/>
          <w:color w:val="000000" w:themeColor="text1"/>
        </w:rPr>
        <w:t xml:space="preserve">increasing the total number of helper T cells (CD4 positive) and cytotoxic T cells (CD8 positive) in the spleen, which introduces an understanding </w:t>
      </w:r>
      <w:r>
        <w:rPr>
          <w:rFonts w:ascii="Arial" w:hAnsi="Arial" w:cs="Arial"/>
          <w:color w:val="000000" w:themeColor="text1"/>
        </w:rPr>
        <w:t>of</w:t>
      </w:r>
      <w:r w:rsidRPr="00D74025">
        <w:rPr>
          <w:rFonts w:ascii="Arial" w:hAnsi="Arial" w:cs="Arial"/>
          <w:color w:val="000000" w:themeColor="text1"/>
        </w:rPr>
        <w:t xml:space="preserve"> the mechanism of antitumor immunity. While helper CD4+ T cells assist other immune cells by cytokine stimulation and direct cell-cell contacts, mediating a humoral immune response, cytotoxic CD8+ T lymphocytes are directly responsible for killing tumor cells. Therefore, </w:t>
      </w:r>
      <w:r>
        <w:rPr>
          <w:rFonts w:ascii="Arial" w:hAnsi="Arial" w:cs="Arial"/>
          <w:color w:val="000000" w:themeColor="text1"/>
        </w:rPr>
        <w:t>increased</w:t>
      </w:r>
      <w:r w:rsidRPr="00D74025">
        <w:rPr>
          <w:rFonts w:ascii="Arial" w:hAnsi="Arial" w:cs="Arial"/>
          <w:color w:val="000000" w:themeColor="text1"/>
        </w:rPr>
        <w:t xml:space="preserve"> CD4+ and CD8+ cell numbers</w:t>
      </w:r>
      <w:r>
        <w:rPr>
          <w:rFonts w:ascii="Arial" w:hAnsi="Arial" w:cs="Arial"/>
          <w:color w:val="000000" w:themeColor="text1"/>
        </w:rPr>
        <w:t xml:space="preserve"> suggest systemic anti-cancer immune responses</w:t>
      </w:r>
      <w:r w:rsidRPr="00D74025">
        <w:rPr>
          <w:rFonts w:ascii="Arial" w:hAnsi="Arial" w:cs="Arial"/>
          <w:color w:val="000000" w:themeColor="text1"/>
        </w:rPr>
        <w:t>.</w:t>
      </w:r>
    </w:p>
    <w:p w14:paraId="5AC576A2" w14:textId="77777777" w:rsidR="00A213DE" w:rsidRDefault="00A213DE" w:rsidP="00A213DE">
      <w:pPr>
        <w:spacing w:line="360" w:lineRule="auto"/>
        <w:ind w:firstLine="1440"/>
        <w:jc w:val="both"/>
        <w:rPr>
          <w:rFonts w:ascii="Arial" w:hAnsi="Arial" w:cs="Arial"/>
          <w:color w:val="000000" w:themeColor="text1"/>
        </w:rPr>
      </w:pPr>
      <w:r w:rsidRPr="00D74025">
        <w:rPr>
          <w:rFonts w:ascii="Arial" w:hAnsi="Arial" w:cs="Arial"/>
          <w:color w:val="000000" w:themeColor="text1"/>
        </w:rPr>
        <w:t>The results from the combination therapy of anti-PD-1 and PTT at 45</w:t>
      </w:r>
      <w:r w:rsidRPr="00D74025">
        <w:rPr>
          <w:rFonts w:ascii="Arial" w:hAnsi="Arial" w:cs="Arial"/>
          <w:color w:val="000000" w:themeColor="text1"/>
        </w:rPr>
        <w:sym w:font="Symbol" w:char="F0B0"/>
      </w:r>
      <w:r w:rsidRPr="00D74025">
        <w:rPr>
          <w:rFonts w:ascii="Arial" w:hAnsi="Arial" w:cs="Arial"/>
          <w:color w:val="000000" w:themeColor="text1"/>
        </w:rPr>
        <w:t xml:space="preserve">C were encouraging due to the cure of 50% of mice from </w:t>
      </w:r>
      <w:r>
        <w:rPr>
          <w:rFonts w:ascii="Arial" w:hAnsi="Arial" w:cs="Arial"/>
          <w:color w:val="000000" w:themeColor="text1"/>
        </w:rPr>
        <w:t>an</w:t>
      </w:r>
      <w:r w:rsidRPr="00D74025">
        <w:rPr>
          <w:rFonts w:ascii="Arial" w:hAnsi="Arial" w:cs="Arial"/>
          <w:color w:val="000000" w:themeColor="text1"/>
        </w:rPr>
        <w:t xml:space="preserve"> EMT6 tumor and evidence of </w:t>
      </w:r>
      <w:r>
        <w:rPr>
          <w:rFonts w:ascii="Arial" w:hAnsi="Arial" w:cs="Arial"/>
          <w:color w:val="000000" w:themeColor="text1"/>
        </w:rPr>
        <w:t xml:space="preserve">an </w:t>
      </w:r>
      <w:r w:rsidRPr="00D74025">
        <w:rPr>
          <w:rFonts w:ascii="Arial" w:hAnsi="Arial" w:cs="Arial"/>
          <w:color w:val="000000" w:themeColor="text1"/>
        </w:rPr>
        <w:t xml:space="preserve">abscopal effect. </w:t>
      </w:r>
      <w:r w:rsidRPr="00F07038">
        <w:rPr>
          <w:rFonts w:ascii="Arial" w:hAnsi="Arial" w:cs="Arial"/>
          <w:color w:val="000000" w:themeColor="text1"/>
        </w:rPr>
        <w:t xml:space="preserve">Because EMT6 tumor models are known to </w:t>
      </w:r>
      <w:r>
        <w:rPr>
          <w:rFonts w:ascii="Arial" w:hAnsi="Arial" w:cs="Arial"/>
          <w:color w:val="000000" w:themeColor="text1"/>
        </w:rPr>
        <w:t>establish</w:t>
      </w:r>
      <w:r w:rsidRPr="00F07038">
        <w:rPr>
          <w:rFonts w:ascii="Arial" w:hAnsi="Arial" w:cs="Arial"/>
          <w:color w:val="000000" w:themeColor="text1"/>
        </w:rPr>
        <w:t xml:space="preserve"> metastatic tumors very early in tumor development, long-term survival is evidence that the combination therapy of PTT and anti-PD-1 elicits a systemic antitumoral response that efficiently suppresses metastatic tumors.</w:t>
      </w:r>
    </w:p>
    <w:p w14:paraId="64650EA6" w14:textId="5DDC40C3" w:rsidR="00A213DE" w:rsidRPr="00D74025" w:rsidRDefault="00A213DE" w:rsidP="00A213DE">
      <w:pPr>
        <w:spacing w:line="360" w:lineRule="auto"/>
        <w:ind w:firstLine="1440"/>
        <w:jc w:val="both"/>
        <w:rPr>
          <w:rFonts w:ascii="Arial" w:hAnsi="Arial" w:cs="Arial"/>
          <w:color w:val="000000" w:themeColor="text1"/>
        </w:rPr>
      </w:pPr>
      <w:r>
        <w:rPr>
          <w:rFonts w:ascii="Arial" w:hAnsi="Arial" w:cs="Arial"/>
          <w:color w:val="000000" w:themeColor="text1"/>
        </w:rPr>
        <w:t xml:space="preserve">Despite the encouraging results from the long-term survival test in </w:t>
      </w:r>
      <w:r w:rsidR="00DA010B" w:rsidRPr="00DA010B">
        <w:rPr>
          <w:rFonts w:ascii="Arial" w:hAnsi="Arial" w:cs="Arial"/>
          <w:b/>
          <w:bCs/>
          <w:color w:val="000000" w:themeColor="text1"/>
        </w:rPr>
        <w:t>F</w:t>
      </w:r>
      <w:r w:rsidRPr="00DA010B">
        <w:rPr>
          <w:rFonts w:ascii="Arial" w:hAnsi="Arial" w:cs="Arial"/>
          <w:b/>
          <w:bCs/>
          <w:color w:val="000000" w:themeColor="text1"/>
        </w:rPr>
        <w:t>igure</w:t>
      </w:r>
      <w:r w:rsidR="00DA010B" w:rsidRPr="00DA010B">
        <w:rPr>
          <w:rFonts w:ascii="Arial" w:hAnsi="Arial" w:cs="Arial"/>
          <w:b/>
          <w:bCs/>
          <w:color w:val="000000" w:themeColor="text1"/>
        </w:rPr>
        <w:t xml:space="preserve"> 37</w:t>
      </w:r>
      <w:r w:rsidRPr="00D74025">
        <w:rPr>
          <w:rFonts w:ascii="Arial" w:hAnsi="Arial" w:cs="Arial"/>
          <w:color w:val="000000" w:themeColor="text1"/>
        </w:rPr>
        <w:t xml:space="preserve">, we hypothesized that if </w:t>
      </w:r>
      <w:r>
        <w:rPr>
          <w:rFonts w:ascii="Arial" w:hAnsi="Arial" w:cs="Arial"/>
          <w:color w:val="000000" w:themeColor="text1"/>
        </w:rPr>
        <w:t>PTT efficiently ablates the tumor's whole volume, the combination therapy response</w:t>
      </w:r>
      <w:r w:rsidRPr="00D74025">
        <w:rPr>
          <w:rFonts w:ascii="Arial" w:hAnsi="Arial" w:cs="Arial"/>
          <w:color w:val="000000" w:themeColor="text1"/>
        </w:rPr>
        <w:t xml:space="preserve"> would be even more effective. </w:t>
      </w:r>
      <w:r>
        <w:rPr>
          <w:rFonts w:ascii="Arial" w:hAnsi="Arial" w:cs="Arial"/>
          <w:color w:val="000000" w:themeColor="text1"/>
        </w:rPr>
        <w:t>For that</w:t>
      </w:r>
      <w:r w:rsidRPr="00D74025">
        <w:rPr>
          <w:rFonts w:ascii="Arial" w:hAnsi="Arial" w:cs="Arial"/>
          <w:color w:val="000000" w:themeColor="text1"/>
        </w:rPr>
        <w:t xml:space="preserve">, longer irradiation times would allow heat transfer from the surface of the tumor, where most of the irradiation reaches, to deeper layers of </w:t>
      </w:r>
      <w:r>
        <w:rPr>
          <w:rFonts w:ascii="Arial" w:hAnsi="Arial" w:cs="Arial"/>
          <w:color w:val="000000" w:themeColor="text1"/>
        </w:rPr>
        <w:t>cancer</w:t>
      </w:r>
      <w:r w:rsidRPr="00D74025">
        <w:rPr>
          <w:rFonts w:ascii="Arial" w:hAnsi="Arial" w:cs="Arial"/>
          <w:color w:val="000000" w:themeColor="text1"/>
        </w:rPr>
        <w:t xml:space="preserve">, </w:t>
      </w:r>
      <w:r w:rsidR="004C6722">
        <w:rPr>
          <w:rFonts w:ascii="Arial" w:hAnsi="Arial" w:cs="Arial"/>
          <w:color w:val="000000" w:themeColor="text1"/>
        </w:rPr>
        <w:t>and thus</w:t>
      </w:r>
      <w:r w:rsidRPr="00D74025">
        <w:rPr>
          <w:rFonts w:ascii="Arial" w:hAnsi="Arial" w:cs="Arial"/>
          <w:color w:val="000000" w:themeColor="text1"/>
        </w:rPr>
        <w:t xml:space="preserve"> promoting heat stress in the totality of the tumor volume. </w:t>
      </w:r>
      <w:r>
        <w:rPr>
          <w:rFonts w:ascii="Arial" w:hAnsi="Arial" w:cs="Arial"/>
          <w:color w:val="000000" w:themeColor="text1"/>
        </w:rPr>
        <w:t>To test that hypothesis</w:t>
      </w:r>
      <w:r w:rsidRPr="00D74025">
        <w:rPr>
          <w:rFonts w:ascii="Arial" w:hAnsi="Arial" w:cs="Arial"/>
          <w:color w:val="000000" w:themeColor="text1"/>
        </w:rPr>
        <w:t>, we tested tumor control of a 45</w:t>
      </w:r>
      <w:r w:rsidRPr="00D74025">
        <w:rPr>
          <w:rFonts w:ascii="Arial" w:hAnsi="Arial" w:cs="Arial"/>
          <w:color w:val="000000" w:themeColor="text1"/>
        </w:rPr>
        <w:sym w:font="Symbol" w:char="F0B0"/>
      </w:r>
      <w:r w:rsidRPr="00D74025">
        <w:rPr>
          <w:rFonts w:ascii="Arial" w:hAnsi="Arial" w:cs="Arial"/>
          <w:color w:val="000000" w:themeColor="text1"/>
        </w:rPr>
        <w:t xml:space="preserve">C PTT keeping </w:t>
      </w:r>
      <w:r>
        <w:rPr>
          <w:rFonts w:ascii="Arial" w:hAnsi="Arial" w:cs="Arial"/>
          <w:color w:val="000000" w:themeColor="text1"/>
        </w:rPr>
        <w:t>tumors</w:t>
      </w:r>
      <w:r w:rsidRPr="00D74025">
        <w:rPr>
          <w:rFonts w:ascii="Arial" w:hAnsi="Arial" w:cs="Arial"/>
          <w:color w:val="000000" w:themeColor="text1"/>
        </w:rPr>
        <w:t xml:space="preserve"> at that temperature for </w:t>
      </w:r>
      <w:r>
        <w:rPr>
          <w:rFonts w:ascii="Arial" w:hAnsi="Arial" w:cs="Arial"/>
          <w:color w:val="000000" w:themeColor="text1"/>
        </w:rPr>
        <w:t>extended</w:t>
      </w:r>
      <w:r w:rsidRPr="00D74025">
        <w:rPr>
          <w:rFonts w:ascii="Arial" w:hAnsi="Arial" w:cs="Arial"/>
          <w:color w:val="000000" w:themeColor="text1"/>
        </w:rPr>
        <w:t xml:space="preserve"> </w:t>
      </w:r>
      <w:r>
        <w:rPr>
          <w:rFonts w:ascii="Arial" w:hAnsi="Arial" w:cs="Arial"/>
          <w:color w:val="000000" w:themeColor="text1"/>
        </w:rPr>
        <w:t>periods</w:t>
      </w:r>
      <w:r w:rsidRPr="00D74025">
        <w:rPr>
          <w:rFonts w:ascii="Arial" w:hAnsi="Arial" w:cs="Arial"/>
          <w:color w:val="000000" w:themeColor="text1"/>
        </w:rPr>
        <w:t xml:space="preserve"> (1, 2</w:t>
      </w:r>
      <w:r>
        <w:rPr>
          <w:rFonts w:ascii="Arial" w:hAnsi="Arial" w:cs="Arial"/>
          <w:color w:val="000000" w:themeColor="text1"/>
        </w:rPr>
        <w:t>,</w:t>
      </w:r>
      <w:r w:rsidRPr="00D74025">
        <w:rPr>
          <w:rFonts w:ascii="Arial" w:hAnsi="Arial" w:cs="Arial"/>
          <w:color w:val="000000" w:themeColor="text1"/>
        </w:rPr>
        <w:t xml:space="preserve"> and 5 min). EMT6 </w:t>
      </w:r>
      <w:r>
        <w:rPr>
          <w:rFonts w:ascii="Arial" w:hAnsi="Arial" w:cs="Arial"/>
          <w:color w:val="000000" w:themeColor="text1"/>
        </w:rPr>
        <w:t>tumor-bearing</w:t>
      </w:r>
      <w:r w:rsidRPr="00D74025">
        <w:rPr>
          <w:rFonts w:ascii="Arial" w:hAnsi="Arial" w:cs="Arial"/>
          <w:color w:val="000000" w:themeColor="text1"/>
        </w:rPr>
        <w:t xml:space="preserve"> mice (~100 mm</w:t>
      </w:r>
      <w:r w:rsidRPr="00D74025">
        <w:rPr>
          <w:rFonts w:ascii="Arial" w:hAnsi="Arial" w:cs="Arial"/>
          <w:color w:val="000000" w:themeColor="text1"/>
          <w:vertAlign w:val="superscript"/>
        </w:rPr>
        <w:t>3</w:t>
      </w:r>
      <w:r w:rsidRPr="00D74025">
        <w:rPr>
          <w:rFonts w:ascii="Arial" w:hAnsi="Arial" w:cs="Arial"/>
          <w:color w:val="000000" w:themeColor="text1"/>
        </w:rPr>
        <w:t xml:space="preserve"> of tumor volume or ~6 mm in size) were injected intratumorally with SWC</w:t>
      </w:r>
      <w:r w:rsidR="00187AE6">
        <w:rPr>
          <w:rFonts w:ascii="Arial" w:hAnsi="Arial" w:cs="Arial"/>
          <w:color w:val="000000" w:themeColor="text1"/>
        </w:rPr>
        <w:t>N</w:t>
      </w:r>
      <w:r w:rsidRPr="00D74025">
        <w:rPr>
          <w:rFonts w:ascii="Arial" w:hAnsi="Arial" w:cs="Arial"/>
          <w:color w:val="000000" w:themeColor="text1"/>
        </w:rPr>
        <w:t>T-ANXA5 and treated with 980 nm</w:t>
      </w:r>
      <w:r w:rsidR="004C6722">
        <w:rPr>
          <w:rFonts w:ascii="Arial" w:hAnsi="Arial" w:cs="Arial"/>
          <w:color w:val="000000" w:themeColor="text1"/>
        </w:rPr>
        <w:t xml:space="preserve"> </w:t>
      </w:r>
      <w:r w:rsidRPr="00D74025">
        <w:rPr>
          <w:rFonts w:ascii="Arial" w:hAnsi="Arial" w:cs="Arial"/>
          <w:color w:val="000000" w:themeColor="text1"/>
        </w:rPr>
        <w:t>laser at 1 W/cm</w:t>
      </w:r>
      <w:r w:rsidRPr="00D74025">
        <w:rPr>
          <w:rFonts w:ascii="Arial" w:hAnsi="Arial" w:cs="Arial"/>
          <w:color w:val="000000" w:themeColor="text1"/>
          <w:vertAlign w:val="superscript"/>
        </w:rPr>
        <w:t xml:space="preserve">2 </w:t>
      </w:r>
      <w:r w:rsidRPr="00D74025">
        <w:rPr>
          <w:rFonts w:ascii="Arial" w:hAnsi="Arial" w:cs="Arial"/>
          <w:color w:val="000000" w:themeColor="text1"/>
        </w:rPr>
        <w:t xml:space="preserve">while monitoring the tumor surface temperature by </w:t>
      </w:r>
      <w:r>
        <w:rPr>
          <w:rFonts w:ascii="Arial" w:hAnsi="Arial" w:cs="Arial"/>
          <w:color w:val="000000" w:themeColor="text1"/>
        </w:rPr>
        <w:t xml:space="preserve">a </w:t>
      </w:r>
      <w:r w:rsidRPr="00D74025">
        <w:rPr>
          <w:rFonts w:ascii="Arial" w:hAnsi="Arial" w:cs="Arial"/>
          <w:color w:val="000000" w:themeColor="text1"/>
        </w:rPr>
        <w:t>thermal camera. After reaching 45</w:t>
      </w:r>
      <w:r w:rsidRPr="00D74025">
        <w:rPr>
          <w:rFonts w:ascii="Arial" w:hAnsi="Arial" w:cs="Arial"/>
          <w:color w:val="000000" w:themeColor="text1"/>
        </w:rPr>
        <w:sym w:font="Symbol" w:char="F0B0"/>
      </w:r>
      <w:r w:rsidRPr="00D74025">
        <w:rPr>
          <w:rFonts w:ascii="Arial" w:hAnsi="Arial" w:cs="Arial"/>
          <w:color w:val="000000" w:themeColor="text1"/>
        </w:rPr>
        <w:t>C, the laser was cycled on/off to keep the tumor surface temperature at 45</w:t>
      </w:r>
      <w:r w:rsidRPr="00D74025">
        <w:rPr>
          <w:rFonts w:ascii="Arial" w:hAnsi="Arial" w:cs="Arial"/>
          <w:color w:val="000000" w:themeColor="text1"/>
        </w:rPr>
        <w:sym w:font="Symbol" w:char="F0B0"/>
      </w:r>
      <w:r w:rsidRPr="00D74025">
        <w:rPr>
          <w:rFonts w:ascii="Arial" w:hAnsi="Arial" w:cs="Arial"/>
          <w:color w:val="000000" w:themeColor="text1"/>
        </w:rPr>
        <w:t>C +/- 3</w:t>
      </w:r>
      <w:r w:rsidRPr="00D74025">
        <w:rPr>
          <w:rFonts w:ascii="Arial" w:hAnsi="Arial" w:cs="Arial"/>
          <w:color w:val="000000" w:themeColor="text1"/>
        </w:rPr>
        <w:sym w:font="Symbol" w:char="F0B0"/>
      </w:r>
      <w:r w:rsidRPr="00D74025">
        <w:rPr>
          <w:rFonts w:ascii="Arial" w:hAnsi="Arial" w:cs="Arial"/>
          <w:color w:val="000000" w:themeColor="text1"/>
        </w:rPr>
        <w:t xml:space="preserve">C. Tumor volumes were assessed for 15 days after irradiation, as shown in </w:t>
      </w:r>
      <w:r w:rsidR="007F0D4A" w:rsidRPr="007F0D4A">
        <w:rPr>
          <w:rFonts w:ascii="Arial" w:hAnsi="Arial" w:cs="Arial"/>
          <w:b/>
          <w:bCs/>
          <w:color w:val="000000" w:themeColor="text1"/>
        </w:rPr>
        <w:t>F</w:t>
      </w:r>
      <w:r w:rsidRPr="007F0D4A">
        <w:rPr>
          <w:rFonts w:ascii="Arial" w:hAnsi="Arial" w:cs="Arial"/>
          <w:b/>
          <w:bCs/>
          <w:color w:val="000000" w:themeColor="text1"/>
        </w:rPr>
        <w:t xml:space="preserve">igure </w:t>
      </w:r>
      <w:r w:rsidR="007F0D4A" w:rsidRPr="007F0D4A">
        <w:rPr>
          <w:rFonts w:ascii="Arial" w:hAnsi="Arial" w:cs="Arial"/>
          <w:b/>
          <w:bCs/>
          <w:color w:val="000000" w:themeColor="text1"/>
        </w:rPr>
        <w:t>40</w:t>
      </w:r>
      <w:r w:rsidRPr="00D74025">
        <w:rPr>
          <w:rFonts w:ascii="Arial" w:hAnsi="Arial" w:cs="Arial"/>
          <w:color w:val="000000" w:themeColor="text1"/>
        </w:rPr>
        <w:t>.</w:t>
      </w:r>
    </w:p>
    <w:p w14:paraId="71213228" w14:textId="77777777" w:rsidR="00FD750B" w:rsidRPr="00D74025" w:rsidRDefault="00FD750B" w:rsidP="00FD750B">
      <w:pPr>
        <w:spacing w:line="360" w:lineRule="auto"/>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7F13D7C0" w14:textId="77777777" w:rsidTr="00D658AD">
        <w:tc>
          <w:tcPr>
            <w:tcW w:w="9350" w:type="dxa"/>
          </w:tcPr>
          <w:p w14:paraId="29641203" w14:textId="60C3C84F" w:rsidR="00D658AD" w:rsidRPr="00D74025" w:rsidRDefault="006F1D04" w:rsidP="000D71A7">
            <w:pPr>
              <w:spacing w:beforeAutospacing="0"/>
              <w:ind w:firstLine="0"/>
              <w:jc w:val="center"/>
              <w:rPr>
                <w:color w:val="000000" w:themeColor="text1"/>
              </w:rPr>
            </w:pPr>
            <w:r w:rsidRPr="00D74025">
              <w:rPr>
                <w:noProof/>
                <w:color w:val="000000" w:themeColor="text1"/>
              </w:rPr>
              <w:lastRenderedPageBreak/>
              <w:drawing>
                <wp:inline distT="0" distB="0" distL="0" distR="0" wp14:anchorId="51E86CD8" wp14:editId="000419D2">
                  <wp:extent cx="5713062" cy="4080933"/>
                  <wp:effectExtent l="0" t="0" r="254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17752" cy="4084283"/>
                          </a:xfrm>
                          <a:prstGeom prst="rect">
                            <a:avLst/>
                          </a:prstGeom>
                        </pic:spPr>
                      </pic:pic>
                    </a:graphicData>
                  </a:graphic>
                </wp:inline>
              </w:drawing>
            </w:r>
          </w:p>
        </w:tc>
      </w:tr>
      <w:tr w:rsidR="00D658AD" w:rsidRPr="00D74025" w14:paraId="00AE909E" w14:textId="77777777" w:rsidTr="00D658AD">
        <w:tc>
          <w:tcPr>
            <w:tcW w:w="9350" w:type="dxa"/>
          </w:tcPr>
          <w:p w14:paraId="3748D8B6" w14:textId="694E27DE" w:rsidR="00D658AD" w:rsidRPr="00D74025" w:rsidRDefault="00C6239D" w:rsidP="00C6239D">
            <w:pPr>
              <w:spacing w:before="0" w:beforeAutospacing="0" w:after="0" w:afterAutospacing="0" w:line="360" w:lineRule="auto"/>
              <w:ind w:firstLine="0"/>
              <w:rPr>
                <w:rFonts w:ascii="Arial" w:hAnsi="Arial" w:cs="Arial"/>
                <w:b/>
                <w:bCs/>
                <w:color w:val="000000" w:themeColor="text1"/>
              </w:rPr>
            </w:pPr>
            <w:bookmarkStart w:id="140" w:name="_Toc121217362"/>
            <w:r w:rsidRPr="00C6239D">
              <w:rPr>
                <w:rFonts w:ascii="Arial" w:hAnsi="Arial" w:cs="Arial"/>
                <w:b/>
                <w:bCs/>
                <w:color w:val="000000" w:themeColor="text1"/>
              </w:rPr>
              <w:t xml:space="preserve">Figure </w:t>
            </w:r>
            <w:r w:rsidRPr="00C6239D">
              <w:rPr>
                <w:rFonts w:ascii="Arial" w:hAnsi="Arial" w:cs="Arial"/>
                <w:b/>
                <w:bCs/>
                <w:color w:val="000000" w:themeColor="text1"/>
              </w:rPr>
              <w:fldChar w:fldCharType="begin"/>
            </w:r>
            <w:r w:rsidRPr="00C6239D">
              <w:rPr>
                <w:rFonts w:ascii="Arial" w:hAnsi="Arial" w:cs="Arial"/>
                <w:b/>
                <w:bCs/>
                <w:color w:val="000000" w:themeColor="text1"/>
              </w:rPr>
              <w:instrText xml:space="preserve"> SEQ Figure \* ARABIC </w:instrText>
            </w:r>
            <w:r w:rsidRPr="00C6239D">
              <w:rPr>
                <w:rFonts w:ascii="Arial" w:hAnsi="Arial" w:cs="Arial"/>
                <w:b/>
                <w:bCs/>
                <w:color w:val="000000" w:themeColor="text1"/>
              </w:rPr>
              <w:fldChar w:fldCharType="separate"/>
            </w:r>
            <w:r w:rsidR="002C4B25">
              <w:rPr>
                <w:rFonts w:ascii="Arial" w:hAnsi="Arial" w:cs="Arial"/>
                <w:b/>
                <w:bCs/>
                <w:noProof/>
                <w:color w:val="000000" w:themeColor="text1"/>
              </w:rPr>
              <w:t>40</w:t>
            </w:r>
            <w:r w:rsidRPr="00C6239D">
              <w:rPr>
                <w:rFonts w:ascii="Arial" w:hAnsi="Arial" w:cs="Arial"/>
                <w:b/>
                <w:bCs/>
                <w:color w:val="000000" w:themeColor="text1"/>
              </w:rPr>
              <w:fldChar w:fldCharType="end"/>
            </w:r>
            <w:r w:rsidR="00E020F8" w:rsidRPr="00D74025">
              <w:rPr>
                <w:rFonts w:ascii="Arial" w:hAnsi="Arial" w:cs="Arial"/>
                <w:b/>
                <w:bCs/>
                <w:color w:val="000000" w:themeColor="text1"/>
              </w:rPr>
              <w:t>: Tumor control from SWCNT-ANXA5 mediated PTT at 45</w:t>
            </w:r>
            <w:r w:rsidR="00E020F8" w:rsidRPr="00D74025">
              <w:rPr>
                <w:rFonts w:ascii="Arial" w:hAnsi="Arial" w:cs="Arial"/>
                <w:b/>
                <w:bCs/>
                <w:color w:val="000000" w:themeColor="text1"/>
              </w:rPr>
              <w:sym w:font="Symbol" w:char="F0B0"/>
            </w:r>
            <w:r w:rsidR="00E020F8" w:rsidRPr="00D74025">
              <w:rPr>
                <w:rFonts w:ascii="Arial" w:hAnsi="Arial" w:cs="Arial"/>
                <w:b/>
                <w:bCs/>
                <w:color w:val="000000" w:themeColor="text1"/>
              </w:rPr>
              <w:t xml:space="preserve">C for longer irradiation times in EMT6 tumor model: </w:t>
            </w:r>
            <w:r w:rsidR="00E020F8" w:rsidRPr="00D74025">
              <w:rPr>
                <w:rFonts w:ascii="Arial" w:hAnsi="Arial" w:cs="Arial"/>
                <w:color w:val="000000" w:themeColor="text1"/>
              </w:rPr>
              <w:t>Mice with well-developed orthotopic syngeneic tumors (d ≥ 6 mm) were administered an IT dose of 1.2 mg/kg SWCNT-ANXA5. Tumors were irradiated with a NIR laser at a power density of 1 W/cm</w:t>
            </w:r>
            <w:r w:rsidR="00E020F8" w:rsidRPr="00D74025">
              <w:rPr>
                <w:rFonts w:ascii="Arial" w:hAnsi="Arial" w:cs="Arial"/>
                <w:color w:val="000000" w:themeColor="text1"/>
                <w:vertAlign w:val="superscript"/>
              </w:rPr>
              <w:t xml:space="preserve">2 </w:t>
            </w:r>
            <w:r w:rsidR="00E020F8" w:rsidRPr="00D74025">
              <w:rPr>
                <w:rFonts w:ascii="Arial" w:hAnsi="Arial" w:cs="Arial"/>
                <w:color w:val="000000" w:themeColor="text1"/>
              </w:rPr>
              <w:t>until tumor surface temperature reached 45</w:t>
            </w:r>
            <w:r w:rsidR="00E020F8" w:rsidRPr="00D74025">
              <w:rPr>
                <w:rFonts w:ascii="Arial" w:hAnsi="Arial" w:cs="Arial"/>
                <w:color w:val="000000" w:themeColor="text1"/>
              </w:rPr>
              <w:sym w:font="Symbol" w:char="F0B0"/>
            </w:r>
            <w:r w:rsidR="00E020F8" w:rsidRPr="00D74025">
              <w:rPr>
                <w:rFonts w:ascii="Arial" w:hAnsi="Arial" w:cs="Arial"/>
                <w:color w:val="000000" w:themeColor="text1"/>
              </w:rPr>
              <w:t>C</w:t>
            </w:r>
            <w:r w:rsidR="007371B6">
              <w:rPr>
                <w:rFonts w:ascii="Arial" w:hAnsi="Arial" w:cs="Arial"/>
                <w:color w:val="000000" w:themeColor="text1"/>
              </w:rPr>
              <w:t>;</w:t>
            </w:r>
            <w:r w:rsidR="00E020F8" w:rsidRPr="00D74025">
              <w:rPr>
                <w:rFonts w:ascii="Arial" w:hAnsi="Arial" w:cs="Arial"/>
                <w:color w:val="000000" w:themeColor="text1"/>
              </w:rPr>
              <w:t xml:space="preserve"> then the laser was cycled on/off to keep the surface temperature at 45</w:t>
            </w:r>
            <w:r w:rsidR="00E020F8" w:rsidRPr="00D74025">
              <w:rPr>
                <w:rFonts w:ascii="Arial" w:hAnsi="Arial" w:cs="Arial"/>
                <w:color w:val="000000" w:themeColor="text1"/>
              </w:rPr>
              <w:sym w:font="Symbol" w:char="F0B0"/>
            </w:r>
            <w:r w:rsidR="00E020F8" w:rsidRPr="00D74025">
              <w:rPr>
                <w:rFonts w:ascii="Arial" w:hAnsi="Arial" w:cs="Arial"/>
                <w:color w:val="000000" w:themeColor="text1"/>
              </w:rPr>
              <w:t>C +/- 3</w:t>
            </w:r>
            <w:r w:rsidR="00E020F8" w:rsidRPr="00D74025">
              <w:rPr>
                <w:rFonts w:ascii="Arial" w:hAnsi="Arial" w:cs="Arial"/>
                <w:color w:val="000000" w:themeColor="text1"/>
              </w:rPr>
              <w:sym w:font="Symbol" w:char="F0B0"/>
            </w:r>
            <w:r w:rsidR="00E020F8" w:rsidRPr="00D74025">
              <w:rPr>
                <w:rFonts w:ascii="Arial" w:hAnsi="Arial" w:cs="Arial"/>
                <w:color w:val="000000" w:themeColor="text1"/>
              </w:rPr>
              <w:t xml:space="preserve">C for periods of 1, 2 and 5 min. </w:t>
            </w:r>
            <w:r w:rsidR="00E020F8">
              <w:rPr>
                <w:rFonts w:ascii="Arial" w:hAnsi="Arial" w:cs="Arial"/>
                <w:color w:val="000000" w:themeColor="text1"/>
              </w:rPr>
              <w:t>The c</w:t>
            </w:r>
            <w:r w:rsidR="00E020F8" w:rsidRPr="00D74025">
              <w:rPr>
                <w:rFonts w:ascii="Arial" w:hAnsi="Arial" w:cs="Arial"/>
                <w:color w:val="000000" w:themeColor="text1"/>
              </w:rPr>
              <w:t>ontrol group was treated with PTT</w:t>
            </w:r>
            <w:r w:rsidR="00E020F8">
              <w:rPr>
                <w:rFonts w:ascii="Arial" w:hAnsi="Arial" w:cs="Arial"/>
                <w:color w:val="000000" w:themeColor="text1"/>
              </w:rPr>
              <w:t>,</w:t>
            </w:r>
            <w:r w:rsidR="00E020F8" w:rsidRPr="00D74025">
              <w:rPr>
                <w:rFonts w:ascii="Arial" w:hAnsi="Arial" w:cs="Arial"/>
                <w:color w:val="000000" w:themeColor="text1"/>
              </w:rPr>
              <w:t xml:space="preserve"> and irradiation immediately stopped when the tumor surface reached 45</w:t>
            </w:r>
            <w:r w:rsidR="00E020F8" w:rsidRPr="00D74025">
              <w:rPr>
                <w:rFonts w:ascii="Arial" w:hAnsi="Arial" w:cs="Arial"/>
                <w:color w:val="000000" w:themeColor="text1"/>
              </w:rPr>
              <w:sym w:font="Symbol" w:char="F0B0"/>
            </w:r>
            <w:r w:rsidR="00E020F8" w:rsidRPr="00D74025">
              <w:rPr>
                <w:rFonts w:ascii="Arial" w:hAnsi="Arial" w:cs="Arial"/>
                <w:color w:val="000000" w:themeColor="text1"/>
              </w:rPr>
              <w:t xml:space="preserve">C. Tumor volumes are shown as mean ± SE (n = 5). Statistical significance was analyzed for groups irradiated for longer </w:t>
            </w:r>
            <w:r w:rsidR="00E020F8">
              <w:rPr>
                <w:rFonts w:ascii="Arial" w:hAnsi="Arial" w:cs="Arial"/>
                <w:color w:val="000000" w:themeColor="text1"/>
              </w:rPr>
              <w:t>compared to</w:t>
            </w:r>
            <w:r w:rsidR="00E020F8" w:rsidRPr="00D74025">
              <w:rPr>
                <w:rFonts w:ascii="Arial" w:hAnsi="Arial" w:cs="Arial"/>
                <w:color w:val="000000" w:themeColor="text1"/>
              </w:rPr>
              <w:t xml:space="preserve"> </w:t>
            </w:r>
            <w:r w:rsidR="00E020F8">
              <w:rPr>
                <w:rFonts w:ascii="Arial" w:hAnsi="Arial" w:cs="Arial"/>
                <w:color w:val="000000" w:themeColor="text1"/>
              </w:rPr>
              <w:t xml:space="preserve">the </w:t>
            </w:r>
            <w:r w:rsidR="00E020F8" w:rsidRPr="00D74025">
              <w:rPr>
                <w:rFonts w:ascii="Arial" w:hAnsi="Arial" w:cs="Arial"/>
                <w:color w:val="000000" w:themeColor="text1"/>
              </w:rPr>
              <w:t>control group by one-way ANOVA with Dunnett’s multiple comparisons test. Statistical significance is indicated by *p &lt; 0.05 and **p &lt; 0.01.</w:t>
            </w:r>
            <w:bookmarkEnd w:id="140"/>
          </w:p>
        </w:tc>
      </w:tr>
    </w:tbl>
    <w:p w14:paraId="088792FF" w14:textId="4E9251F4" w:rsidR="00C6239D" w:rsidRDefault="00C6239D" w:rsidP="00017375">
      <w:pPr>
        <w:rPr>
          <w:color w:val="000000" w:themeColor="text1"/>
        </w:rPr>
      </w:pPr>
    </w:p>
    <w:p w14:paraId="5E5ED814" w14:textId="77777777" w:rsidR="00C6239D" w:rsidRPr="00D74025" w:rsidRDefault="00C6239D" w:rsidP="00017375">
      <w:pPr>
        <w:rPr>
          <w:color w:val="000000" w:themeColor="text1"/>
        </w:rPr>
      </w:pPr>
    </w:p>
    <w:p w14:paraId="1BD9DE7E" w14:textId="2E46DD6E" w:rsidR="006B430A" w:rsidRDefault="006B430A" w:rsidP="006B430A">
      <w:pPr>
        <w:spacing w:line="360" w:lineRule="auto"/>
        <w:ind w:firstLine="1440"/>
        <w:jc w:val="both"/>
        <w:rPr>
          <w:rFonts w:ascii="Arial" w:hAnsi="Arial" w:cs="Arial"/>
          <w:color w:val="000000" w:themeColor="text1"/>
        </w:rPr>
      </w:pPr>
      <w:r w:rsidRPr="007F0D4A">
        <w:rPr>
          <w:rFonts w:ascii="Arial" w:hAnsi="Arial" w:cs="Arial"/>
          <w:b/>
          <w:bCs/>
          <w:color w:val="000000" w:themeColor="text1"/>
        </w:rPr>
        <w:t xml:space="preserve">Figure </w:t>
      </w:r>
      <w:r w:rsidR="007F0D4A" w:rsidRPr="007F0D4A">
        <w:rPr>
          <w:rFonts w:ascii="Arial" w:hAnsi="Arial" w:cs="Arial"/>
          <w:b/>
          <w:bCs/>
          <w:color w:val="000000" w:themeColor="text1"/>
        </w:rPr>
        <w:t>40</w:t>
      </w:r>
      <w:r w:rsidRPr="00D74025">
        <w:rPr>
          <w:rFonts w:ascii="Arial" w:hAnsi="Arial" w:cs="Arial"/>
          <w:color w:val="000000" w:themeColor="text1"/>
        </w:rPr>
        <w:t xml:space="preserve"> shows the tumor control after irradiation of EMT6 tumors at 45</w:t>
      </w:r>
      <w:r w:rsidRPr="00D74025">
        <w:rPr>
          <w:rFonts w:ascii="Arial" w:hAnsi="Arial" w:cs="Arial"/>
          <w:color w:val="000000" w:themeColor="text1"/>
        </w:rPr>
        <w:sym w:font="Symbol" w:char="F0B0"/>
      </w:r>
      <w:r w:rsidRPr="00D74025">
        <w:rPr>
          <w:rFonts w:ascii="Arial" w:hAnsi="Arial" w:cs="Arial"/>
          <w:color w:val="000000" w:themeColor="text1"/>
        </w:rPr>
        <w:t xml:space="preserve">C for </w:t>
      </w:r>
      <w:r>
        <w:rPr>
          <w:rFonts w:ascii="Arial" w:hAnsi="Arial" w:cs="Arial"/>
          <w:color w:val="000000" w:themeColor="text1"/>
        </w:rPr>
        <w:t>more extended</w:t>
      </w:r>
      <w:r w:rsidRPr="00D74025">
        <w:rPr>
          <w:rFonts w:ascii="Arial" w:hAnsi="Arial" w:cs="Arial"/>
          <w:color w:val="000000" w:themeColor="text1"/>
        </w:rPr>
        <w:t xml:space="preserve"> </w:t>
      </w:r>
      <w:proofErr w:type="gramStart"/>
      <w:r>
        <w:rPr>
          <w:rFonts w:ascii="Arial" w:hAnsi="Arial" w:cs="Arial"/>
          <w:color w:val="000000" w:themeColor="text1"/>
        </w:rPr>
        <w:t>time period</w:t>
      </w:r>
      <w:proofErr w:type="gramEnd"/>
      <w:r w:rsidRPr="00D74025">
        <w:rPr>
          <w:rFonts w:ascii="Arial" w:hAnsi="Arial" w:cs="Arial"/>
          <w:color w:val="000000" w:themeColor="text1"/>
        </w:rPr>
        <w:t>. After PTT, the groups 1 min, 2 min</w:t>
      </w:r>
      <w:r>
        <w:rPr>
          <w:rFonts w:ascii="Arial" w:hAnsi="Arial" w:cs="Arial"/>
          <w:color w:val="000000" w:themeColor="text1"/>
        </w:rPr>
        <w:t>,</w:t>
      </w:r>
      <w:r w:rsidRPr="00D74025">
        <w:rPr>
          <w:rFonts w:ascii="Arial" w:hAnsi="Arial" w:cs="Arial"/>
          <w:color w:val="000000" w:themeColor="text1"/>
        </w:rPr>
        <w:t xml:space="preserve"> and 5 min were able </w:t>
      </w:r>
      <w:r w:rsidRPr="00D74025">
        <w:rPr>
          <w:rFonts w:ascii="Arial" w:hAnsi="Arial" w:cs="Arial"/>
          <w:color w:val="000000" w:themeColor="text1"/>
        </w:rPr>
        <w:lastRenderedPageBreak/>
        <w:t>to induce a decrease in tumor volume, which did not happen in the control group</w:t>
      </w:r>
      <w:r>
        <w:rPr>
          <w:rFonts w:ascii="Arial" w:hAnsi="Arial" w:cs="Arial"/>
          <w:color w:val="000000" w:themeColor="text1"/>
        </w:rPr>
        <w:t xml:space="preserve"> that was irradiated with PTT at </w:t>
      </w:r>
      <w:r w:rsidRPr="00D74025">
        <w:rPr>
          <w:rFonts w:ascii="Arial" w:hAnsi="Arial" w:cs="Arial"/>
          <w:color w:val="000000" w:themeColor="text1"/>
        </w:rPr>
        <w:t>45</w:t>
      </w:r>
      <w:r w:rsidRPr="00D74025">
        <w:rPr>
          <w:rFonts w:ascii="Arial" w:hAnsi="Arial" w:cs="Arial"/>
          <w:color w:val="000000" w:themeColor="text1"/>
        </w:rPr>
        <w:sym w:font="Symbol" w:char="F0B0"/>
      </w:r>
      <w:r w:rsidRPr="00D74025">
        <w:rPr>
          <w:rFonts w:ascii="Arial" w:hAnsi="Arial" w:cs="Arial"/>
          <w:color w:val="000000" w:themeColor="text1"/>
        </w:rPr>
        <w:t>C</w:t>
      </w:r>
      <w:r>
        <w:rPr>
          <w:rFonts w:ascii="Arial" w:hAnsi="Arial" w:cs="Arial"/>
          <w:color w:val="000000" w:themeColor="text1"/>
        </w:rPr>
        <w:t xml:space="preserve"> and immediately stopped</w:t>
      </w:r>
      <w:r w:rsidR="009F31ED">
        <w:rPr>
          <w:rFonts w:ascii="Arial" w:hAnsi="Arial" w:cs="Arial"/>
          <w:color w:val="000000" w:themeColor="text1"/>
        </w:rPr>
        <w:t xml:space="preserve">, which is an indication of </w:t>
      </w:r>
      <w:r w:rsidRPr="00D74025">
        <w:rPr>
          <w:rFonts w:ascii="Arial" w:hAnsi="Arial" w:cs="Arial"/>
          <w:color w:val="000000" w:themeColor="text1"/>
        </w:rPr>
        <w:t>for how</w:t>
      </w:r>
      <w:r>
        <w:rPr>
          <w:rFonts w:ascii="Arial" w:hAnsi="Arial" w:cs="Arial"/>
          <w:color w:val="000000" w:themeColor="text1"/>
        </w:rPr>
        <w:t xml:space="preserve"> the</w:t>
      </w:r>
      <w:r w:rsidRPr="00D74025">
        <w:rPr>
          <w:rFonts w:ascii="Arial" w:hAnsi="Arial" w:cs="Arial"/>
          <w:color w:val="000000" w:themeColor="text1"/>
        </w:rPr>
        <w:t xml:space="preserve"> mild PTT at 45</w:t>
      </w:r>
      <w:r w:rsidRPr="00D74025">
        <w:rPr>
          <w:rFonts w:ascii="Arial" w:hAnsi="Arial" w:cs="Arial"/>
          <w:color w:val="000000" w:themeColor="text1"/>
        </w:rPr>
        <w:sym w:font="Symbol" w:char="F0B0"/>
      </w:r>
      <w:r w:rsidRPr="00D74025">
        <w:rPr>
          <w:rFonts w:ascii="Arial" w:hAnsi="Arial" w:cs="Arial"/>
          <w:color w:val="000000" w:themeColor="text1"/>
        </w:rPr>
        <w:t xml:space="preserve">C </w:t>
      </w:r>
      <w:r>
        <w:rPr>
          <w:rFonts w:ascii="Arial" w:hAnsi="Arial" w:cs="Arial"/>
          <w:color w:val="000000" w:themeColor="text1"/>
        </w:rPr>
        <w:t>is. Additionally, t</w:t>
      </w:r>
      <w:r w:rsidR="00DA7BC8">
        <w:rPr>
          <w:rFonts w:ascii="Arial" w:hAnsi="Arial" w:cs="Arial"/>
          <w:color w:val="000000" w:themeColor="text1"/>
        </w:rPr>
        <w:t>his</w:t>
      </w:r>
      <w:r>
        <w:rPr>
          <w:rFonts w:ascii="Arial" w:hAnsi="Arial" w:cs="Arial"/>
          <w:color w:val="000000" w:themeColor="text1"/>
        </w:rPr>
        <w:t xml:space="preserve"> result strengthens</w:t>
      </w:r>
      <w:r w:rsidRPr="00D74025">
        <w:rPr>
          <w:rFonts w:ascii="Arial" w:hAnsi="Arial" w:cs="Arial"/>
          <w:color w:val="000000" w:themeColor="text1"/>
        </w:rPr>
        <w:t xml:space="preserve"> the hypothesis of a synergistic effect of combination therapy with anti-PD-</w:t>
      </w:r>
      <w:proofErr w:type="gramStart"/>
      <w:r w:rsidRPr="00D74025">
        <w:rPr>
          <w:rFonts w:ascii="Arial" w:hAnsi="Arial" w:cs="Arial"/>
          <w:color w:val="000000" w:themeColor="text1"/>
        </w:rPr>
        <w:t>1</w:t>
      </w:r>
      <w:r>
        <w:rPr>
          <w:rFonts w:ascii="Arial" w:hAnsi="Arial" w:cs="Arial"/>
          <w:color w:val="000000" w:themeColor="text1"/>
        </w:rPr>
        <w:t>, since</w:t>
      </w:r>
      <w:proofErr w:type="gramEnd"/>
      <w:r>
        <w:rPr>
          <w:rFonts w:ascii="Arial" w:hAnsi="Arial" w:cs="Arial"/>
          <w:color w:val="000000" w:themeColor="text1"/>
        </w:rPr>
        <w:t xml:space="preserve"> the PTT at </w:t>
      </w:r>
      <w:r w:rsidRPr="00D74025">
        <w:rPr>
          <w:rFonts w:ascii="Arial" w:hAnsi="Arial" w:cs="Arial"/>
          <w:color w:val="000000" w:themeColor="text1"/>
        </w:rPr>
        <w:t>45</w:t>
      </w:r>
      <w:r w:rsidRPr="00D74025">
        <w:rPr>
          <w:rFonts w:ascii="Arial" w:hAnsi="Arial" w:cs="Arial"/>
          <w:color w:val="000000" w:themeColor="text1"/>
        </w:rPr>
        <w:sym w:font="Symbol" w:char="F0B0"/>
      </w:r>
      <w:r w:rsidRPr="00D74025">
        <w:rPr>
          <w:rFonts w:ascii="Arial" w:hAnsi="Arial" w:cs="Arial"/>
          <w:color w:val="000000" w:themeColor="text1"/>
        </w:rPr>
        <w:t>C</w:t>
      </w:r>
      <w:r>
        <w:rPr>
          <w:rFonts w:ascii="Arial" w:hAnsi="Arial" w:cs="Arial"/>
          <w:color w:val="000000" w:themeColor="text1"/>
        </w:rPr>
        <w:t xml:space="preserve"> (0 min) did not induce tumor recession by itself.</w:t>
      </w:r>
    </w:p>
    <w:p w14:paraId="103953D4" w14:textId="3F230AB3" w:rsidR="006B430A" w:rsidRPr="00D74025" w:rsidRDefault="006B430A" w:rsidP="006B430A">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PTT for 1 min and 2 min were not efficient </w:t>
      </w:r>
      <w:r>
        <w:rPr>
          <w:rFonts w:ascii="Arial" w:hAnsi="Arial" w:cs="Arial"/>
          <w:color w:val="000000" w:themeColor="text1"/>
        </w:rPr>
        <w:t>maintaining</w:t>
      </w:r>
      <w:r w:rsidRPr="00D74025">
        <w:rPr>
          <w:rFonts w:ascii="Arial" w:hAnsi="Arial" w:cs="Arial"/>
          <w:color w:val="000000" w:themeColor="text1"/>
        </w:rPr>
        <w:t xml:space="preserve"> a statistically significant reduction of tumor volumes compared to control, whereas the 5 min irradiation of tumor at 45</w:t>
      </w:r>
      <w:r w:rsidRPr="00D74025">
        <w:rPr>
          <w:rFonts w:ascii="Arial" w:hAnsi="Arial" w:cs="Arial"/>
          <w:color w:val="000000" w:themeColor="text1"/>
        </w:rPr>
        <w:sym w:font="Symbol" w:char="F0B0"/>
      </w:r>
      <w:r w:rsidRPr="00D74025">
        <w:rPr>
          <w:rFonts w:ascii="Arial" w:hAnsi="Arial" w:cs="Arial"/>
          <w:color w:val="000000" w:themeColor="text1"/>
        </w:rPr>
        <w:t>C reduced the tumor volumes significantly and maintained that difference until the end of the study 15 days after irradiation. This is evidence that a better tumor control can be achieved with a milder PTT temperature of 45</w:t>
      </w:r>
      <w:r w:rsidRPr="00D74025">
        <w:rPr>
          <w:rFonts w:ascii="Arial" w:hAnsi="Arial" w:cs="Arial"/>
          <w:color w:val="000000" w:themeColor="text1"/>
        </w:rPr>
        <w:sym w:font="Symbol" w:char="F0B0"/>
      </w:r>
      <w:r w:rsidRPr="00D74025">
        <w:rPr>
          <w:rFonts w:ascii="Arial" w:hAnsi="Arial" w:cs="Arial"/>
          <w:color w:val="000000" w:themeColor="text1"/>
        </w:rPr>
        <w:t xml:space="preserve">C in EMT6 tumor, ultimately leading to a safer procedure. </w:t>
      </w:r>
    </w:p>
    <w:p w14:paraId="4E13DD75" w14:textId="26714ACF" w:rsidR="008E6B39" w:rsidRPr="00D74025" w:rsidRDefault="008E6B39" w:rsidP="008E6B39">
      <w:pPr>
        <w:spacing w:line="360" w:lineRule="auto"/>
        <w:ind w:firstLine="1440"/>
        <w:jc w:val="both"/>
        <w:rPr>
          <w:rFonts w:ascii="Arial" w:hAnsi="Arial" w:cs="Arial"/>
          <w:color w:val="000000" w:themeColor="text1"/>
        </w:rPr>
      </w:pPr>
      <w:r w:rsidRPr="00D74025">
        <w:rPr>
          <w:rFonts w:ascii="Arial" w:hAnsi="Arial" w:cs="Arial"/>
          <w:color w:val="000000" w:themeColor="text1"/>
        </w:rPr>
        <w:t>From the previous result, another long-term survival test was performed to analyze the hypothesis that a more efficient ablation of the tumor using 45</w:t>
      </w:r>
      <w:r w:rsidRPr="00D74025">
        <w:rPr>
          <w:rFonts w:ascii="Arial" w:hAnsi="Arial" w:cs="Arial"/>
          <w:color w:val="000000" w:themeColor="text1"/>
        </w:rPr>
        <w:sym w:font="Symbol" w:char="F0B0"/>
      </w:r>
      <w:r w:rsidRPr="00D74025">
        <w:rPr>
          <w:rFonts w:ascii="Arial" w:hAnsi="Arial" w:cs="Arial"/>
          <w:color w:val="000000" w:themeColor="text1"/>
        </w:rPr>
        <w:t xml:space="preserve">C can be achieved </w:t>
      </w:r>
      <w:r>
        <w:rPr>
          <w:rFonts w:ascii="Arial" w:hAnsi="Arial" w:cs="Arial"/>
          <w:color w:val="000000" w:themeColor="text1"/>
        </w:rPr>
        <w:t xml:space="preserve">by </w:t>
      </w:r>
      <w:r w:rsidRPr="00D74025">
        <w:rPr>
          <w:rFonts w:ascii="Arial" w:hAnsi="Arial" w:cs="Arial"/>
          <w:color w:val="000000" w:themeColor="text1"/>
        </w:rPr>
        <w:t xml:space="preserve">holding the tumor surface temperature for 5 min and </w:t>
      </w:r>
      <w:r>
        <w:rPr>
          <w:rFonts w:ascii="Arial" w:hAnsi="Arial" w:cs="Arial"/>
          <w:color w:val="000000" w:themeColor="text1"/>
        </w:rPr>
        <w:t>increasing</w:t>
      </w:r>
      <w:r w:rsidRPr="00D74025">
        <w:rPr>
          <w:rFonts w:ascii="Arial" w:hAnsi="Arial" w:cs="Arial"/>
          <w:color w:val="000000" w:themeColor="text1"/>
        </w:rPr>
        <w:t xml:space="preserve"> the efficiency of the combination therapy of anti-PD-1 and PTT. EMT6 </w:t>
      </w:r>
      <w:r>
        <w:rPr>
          <w:rFonts w:ascii="Arial" w:hAnsi="Arial" w:cs="Arial"/>
          <w:color w:val="000000" w:themeColor="text1"/>
        </w:rPr>
        <w:t>tumor-bearing</w:t>
      </w:r>
      <w:r w:rsidRPr="00D74025">
        <w:rPr>
          <w:rFonts w:ascii="Arial" w:hAnsi="Arial" w:cs="Arial"/>
          <w:color w:val="000000" w:themeColor="text1"/>
        </w:rPr>
        <w:t xml:space="preserve"> mice were injected intratumorally with SWCNT-ANXA5 on day 11 after tumor induction. The tumor size at the time was ~ 5 mm. PTT was performed with 1 W/cm</w:t>
      </w:r>
      <w:r w:rsidRPr="00D74025">
        <w:rPr>
          <w:rFonts w:ascii="Arial" w:hAnsi="Arial" w:cs="Arial"/>
          <w:color w:val="000000" w:themeColor="text1"/>
          <w:vertAlign w:val="superscript"/>
        </w:rPr>
        <w:t>2</w:t>
      </w:r>
      <w:r w:rsidRPr="00D74025">
        <w:rPr>
          <w:rFonts w:ascii="Arial" w:hAnsi="Arial" w:cs="Arial"/>
          <w:color w:val="000000" w:themeColor="text1"/>
        </w:rPr>
        <w:t xml:space="preserve"> while monitoring tumor surface temperature </w:t>
      </w:r>
      <w:r>
        <w:rPr>
          <w:rFonts w:ascii="Arial" w:hAnsi="Arial" w:cs="Arial"/>
          <w:color w:val="000000" w:themeColor="text1"/>
        </w:rPr>
        <w:t>with</w:t>
      </w:r>
      <w:r w:rsidRPr="00D74025">
        <w:rPr>
          <w:rFonts w:ascii="Arial" w:hAnsi="Arial" w:cs="Arial"/>
          <w:color w:val="000000" w:themeColor="text1"/>
        </w:rPr>
        <w:t xml:space="preserve"> </w:t>
      </w:r>
      <w:r>
        <w:rPr>
          <w:rFonts w:ascii="Arial" w:hAnsi="Arial" w:cs="Arial"/>
          <w:color w:val="000000" w:themeColor="text1"/>
        </w:rPr>
        <w:t xml:space="preserve">a </w:t>
      </w:r>
      <w:r w:rsidRPr="00D74025">
        <w:rPr>
          <w:rFonts w:ascii="Arial" w:hAnsi="Arial" w:cs="Arial"/>
          <w:color w:val="000000" w:themeColor="text1"/>
        </w:rPr>
        <w:t>thermal camera. For one treated group [anti-PD-1 + PTT (0 min)]</w:t>
      </w:r>
      <w:r>
        <w:rPr>
          <w:rFonts w:ascii="Arial" w:hAnsi="Arial" w:cs="Arial"/>
          <w:color w:val="000000" w:themeColor="text1"/>
        </w:rPr>
        <w:t>,</w:t>
      </w:r>
      <w:r w:rsidRPr="00D74025">
        <w:rPr>
          <w:rFonts w:ascii="Arial" w:hAnsi="Arial" w:cs="Arial"/>
          <w:color w:val="000000" w:themeColor="text1"/>
        </w:rPr>
        <w:t xml:space="preserve"> NIR irradiation was immediately stopped when the tumor surface temperature reached 45°C. For the other treated group [anti-PD-1 + PTT (</w:t>
      </w:r>
      <w:r>
        <w:rPr>
          <w:rFonts w:ascii="Arial" w:hAnsi="Arial" w:cs="Arial"/>
          <w:color w:val="000000" w:themeColor="text1"/>
        </w:rPr>
        <w:t>5</w:t>
      </w:r>
      <w:r w:rsidRPr="00D74025">
        <w:rPr>
          <w:rFonts w:ascii="Arial" w:hAnsi="Arial" w:cs="Arial"/>
          <w:color w:val="000000" w:themeColor="text1"/>
        </w:rPr>
        <w:t xml:space="preserve"> min)], NIR irradiation continued for 5 min after reaching 45°C, cycling the laser on/off to keep the tumor surface temperature at 45°C +/- 3°C. The treated groups received three doses of anti-PD-1 injected </w:t>
      </w:r>
      <w:r>
        <w:rPr>
          <w:rFonts w:ascii="Arial" w:hAnsi="Arial" w:cs="Arial"/>
          <w:color w:val="000000" w:themeColor="text1"/>
        </w:rPr>
        <w:t>intraperitoneally</w:t>
      </w:r>
      <w:r w:rsidRPr="00D74025">
        <w:rPr>
          <w:rFonts w:ascii="Arial" w:hAnsi="Arial" w:cs="Arial"/>
          <w:color w:val="000000" w:themeColor="text1"/>
        </w:rPr>
        <w:t xml:space="preserve"> on days 7, 10</w:t>
      </w:r>
      <w:r>
        <w:rPr>
          <w:rFonts w:ascii="Arial" w:hAnsi="Arial" w:cs="Arial"/>
          <w:color w:val="000000" w:themeColor="text1"/>
        </w:rPr>
        <w:t>,</w:t>
      </w:r>
      <w:r w:rsidRPr="00D74025">
        <w:rPr>
          <w:rFonts w:ascii="Arial" w:hAnsi="Arial" w:cs="Arial"/>
          <w:color w:val="000000" w:themeColor="text1"/>
        </w:rPr>
        <w:t xml:space="preserve"> and 15 after tumor inoculation. </w:t>
      </w:r>
      <w:r>
        <w:rPr>
          <w:rFonts w:ascii="Arial" w:hAnsi="Arial" w:cs="Arial"/>
          <w:color w:val="000000" w:themeColor="text1"/>
        </w:rPr>
        <w:t>The results</w:t>
      </w:r>
      <w:r w:rsidRPr="00D74025">
        <w:rPr>
          <w:rFonts w:ascii="Arial" w:hAnsi="Arial" w:cs="Arial"/>
          <w:color w:val="000000" w:themeColor="text1"/>
        </w:rPr>
        <w:t xml:space="preserve"> of treated groups are compared to untreated EMT6 </w:t>
      </w:r>
      <w:r>
        <w:rPr>
          <w:rFonts w:ascii="Arial" w:hAnsi="Arial" w:cs="Arial"/>
          <w:color w:val="000000" w:themeColor="text1"/>
        </w:rPr>
        <w:t>tumor-bearing</w:t>
      </w:r>
      <w:r w:rsidRPr="00D74025">
        <w:rPr>
          <w:rFonts w:ascii="Arial" w:hAnsi="Arial" w:cs="Arial"/>
          <w:color w:val="000000" w:themeColor="text1"/>
        </w:rPr>
        <w:t xml:space="preserve"> mice (</w:t>
      </w:r>
      <w:r>
        <w:rPr>
          <w:rFonts w:ascii="Arial" w:hAnsi="Arial" w:cs="Arial"/>
          <w:color w:val="000000" w:themeColor="text1"/>
        </w:rPr>
        <w:t>c</w:t>
      </w:r>
      <w:r w:rsidRPr="00D74025">
        <w:rPr>
          <w:rFonts w:ascii="Arial" w:hAnsi="Arial" w:cs="Arial"/>
          <w:color w:val="000000" w:themeColor="text1"/>
        </w:rPr>
        <w:t xml:space="preserve">ontrol). Tumor volumes were monitored every 3 days, and so </w:t>
      </w:r>
      <w:r>
        <w:rPr>
          <w:rFonts w:ascii="Arial" w:hAnsi="Arial" w:cs="Arial"/>
          <w:color w:val="000000" w:themeColor="text1"/>
        </w:rPr>
        <w:t>were</w:t>
      </w:r>
      <w:r w:rsidRPr="00D74025">
        <w:rPr>
          <w:rFonts w:ascii="Arial" w:hAnsi="Arial" w:cs="Arial"/>
          <w:color w:val="000000" w:themeColor="text1"/>
        </w:rPr>
        <w:t xml:space="preserve"> the health conditions of the mice. Mice that seemed sick according to </w:t>
      </w:r>
      <w:r>
        <w:rPr>
          <w:rFonts w:ascii="Arial" w:hAnsi="Arial" w:cs="Arial"/>
          <w:color w:val="000000" w:themeColor="text1"/>
        </w:rPr>
        <w:t xml:space="preserve">the </w:t>
      </w:r>
      <w:r w:rsidRPr="00D74025">
        <w:rPr>
          <w:rFonts w:ascii="Arial" w:hAnsi="Arial" w:cs="Arial"/>
          <w:color w:val="000000" w:themeColor="text1"/>
        </w:rPr>
        <w:t xml:space="preserve">mouse Grimace scale were euthanized or when the tumor size was greater than 15 mm. Results from this experiment are shown in </w:t>
      </w:r>
      <w:r w:rsidRPr="00F45D77">
        <w:rPr>
          <w:rFonts w:ascii="Arial" w:hAnsi="Arial" w:cs="Arial"/>
          <w:b/>
          <w:bCs/>
          <w:color w:val="000000" w:themeColor="text1"/>
        </w:rPr>
        <w:t xml:space="preserve">Figure </w:t>
      </w:r>
      <w:r w:rsidR="00F45D77" w:rsidRPr="00F45D77">
        <w:rPr>
          <w:rFonts w:ascii="Arial" w:hAnsi="Arial" w:cs="Arial"/>
          <w:b/>
          <w:bCs/>
          <w:color w:val="000000" w:themeColor="text1"/>
        </w:rPr>
        <w:t>41</w:t>
      </w:r>
      <w:r w:rsidRPr="00D74025">
        <w:rPr>
          <w:rFonts w:ascii="Arial" w:hAnsi="Arial" w:cs="Arial"/>
          <w:color w:val="000000" w:themeColor="text1"/>
        </w:rPr>
        <w:t>:</w:t>
      </w:r>
    </w:p>
    <w:tbl>
      <w:tblPr>
        <w:tblStyle w:val="TableGrid"/>
        <w:tblW w:w="0" w:type="auto"/>
        <w:tblLook w:val="04A0" w:firstRow="1" w:lastRow="0" w:firstColumn="1" w:lastColumn="0" w:noHBand="0" w:noVBand="1"/>
      </w:tblPr>
      <w:tblGrid>
        <w:gridCol w:w="9350"/>
      </w:tblGrid>
      <w:tr w:rsidR="00D74025" w:rsidRPr="00D74025" w14:paraId="57281BFB" w14:textId="77777777" w:rsidTr="0041035C">
        <w:tc>
          <w:tcPr>
            <w:tcW w:w="9350" w:type="dxa"/>
          </w:tcPr>
          <w:p w14:paraId="13C712C7" w14:textId="4E07F158" w:rsidR="00EA3899" w:rsidRPr="00D74025" w:rsidRDefault="00F52E42" w:rsidP="000D71A7">
            <w:pPr>
              <w:spacing w:beforeAutospacing="0" w:line="360" w:lineRule="auto"/>
              <w:ind w:firstLine="0"/>
              <w:rPr>
                <w:rFonts w:ascii="Arial" w:hAnsi="Arial" w:cs="Arial"/>
                <w:color w:val="000000" w:themeColor="text1"/>
              </w:rPr>
            </w:pPr>
            <w:r w:rsidRPr="00F52E42">
              <w:rPr>
                <w:rFonts w:ascii="Arial" w:hAnsi="Arial" w:cs="Arial"/>
                <w:noProof/>
                <w:color w:val="000000" w:themeColor="text1"/>
              </w:rPr>
              <w:lastRenderedPageBreak/>
              <w:drawing>
                <wp:inline distT="0" distB="0" distL="0" distR="0" wp14:anchorId="21C29636" wp14:editId="2FA45D07">
                  <wp:extent cx="5943073" cy="6407601"/>
                  <wp:effectExtent l="0" t="0" r="635"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t="793" b="799"/>
                          <a:stretch/>
                        </pic:blipFill>
                        <pic:spPr bwMode="auto">
                          <a:xfrm>
                            <a:off x="0" y="0"/>
                            <a:ext cx="5943600" cy="6408169"/>
                          </a:xfrm>
                          <a:prstGeom prst="rect">
                            <a:avLst/>
                          </a:prstGeom>
                          <a:ln>
                            <a:noFill/>
                          </a:ln>
                          <a:extLst>
                            <a:ext uri="{53640926-AAD7-44D8-BBD7-CCE9431645EC}">
                              <a14:shadowObscured xmlns:a14="http://schemas.microsoft.com/office/drawing/2010/main"/>
                            </a:ext>
                          </a:extLst>
                        </pic:spPr>
                      </pic:pic>
                    </a:graphicData>
                  </a:graphic>
                </wp:inline>
              </w:drawing>
            </w:r>
          </w:p>
        </w:tc>
      </w:tr>
      <w:tr w:rsidR="00EA3899" w:rsidRPr="00D74025" w14:paraId="2BBDCBBB" w14:textId="77777777" w:rsidTr="0041035C">
        <w:tc>
          <w:tcPr>
            <w:tcW w:w="9350" w:type="dxa"/>
          </w:tcPr>
          <w:p w14:paraId="38C65529" w14:textId="384CD47E" w:rsidR="00EA3899" w:rsidRPr="00D74025" w:rsidRDefault="00C6239D" w:rsidP="0041035C">
            <w:pPr>
              <w:spacing w:line="360" w:lineRule="auto"/>
              <w:ind w:firstLine="0"/>
              <w:rPr>
                <w:rFonts w:ascii="Arial" w:hAnsi="Arial" w:cs="Arial"/>
                <w:color w:val="000000" w:themeColor="text1"/>
              </w:rPr>
            </w:pPr>
            <w:bookmarkStart w:id="141" w:name="_Toc121217363"/>
            <w:r w:rsidRPr="00C6239D">
              <w:rPr>
                <w:rFonts w:ascii="Arial" w:hAnsi="Arial" w:cs="Arial"/>
                <w:b/>
                <w:bCs/>
                <w:color w:val="000000" w:themeColor="text1"/>
              </w:rPr>
              <w:t xml:space="preserve">Figure </w:t>
            </w:r>
            <w:r w:rsidRPr="00C6239D">
              <w:rPr>
                <w:rFonts w:ascii="Arial" w:hAnsi="Arial" w:cs="Arial"/>
                <w:b/>
                <w:bCs/>
                <w:color w:val="000000" w:themeColor="text1"/>
              </w:rPr>
              <w:fldChar w:fldCharType="begin"/>
            </w:r>
            <w:r w:rsidRPr="00C6239D">
              <w:rPr>
                <w:rFonts w:ascii="Arial" w:hAnsi="Arial" w:cs="Arial"/>
                <w:b/>
                <w:bCs/>
                <w:color w:val="000000" w:themeColor="text1"/>
              </w:rPr>
              <w:instrText xml:space="preserve"> SEQ Figure \* ARABIC </w:instrText>
            </w:r>
            <w:r w:rsidRPr="00C6239D">
              <w:rPr>
                <w:rFonts w:ascii="Arial" w:hAnsi="Arial" w:cs="Arial"/>
                <w:b/>
                <w:bCs/>
                <w:color w:val="000000" w:themeColor="text1"/>
              </w:rPr>
              <w:fldChar w:fldCharType="separate"/>
            </w:r>
            <w:r w:rsidR="002C4B25">
              <w:rPr>
                <w:rFonts w:ascii="Arial" w:hAnsi="Arial" w:cs="Arial"/>
                <w:b/>
                <w:bCs/>
                <w:noProof/>
                <w:color w:val="000000" w:themeColor="text1"/>
              </w:rPr>
              <w:t>41</w:t>
            </w:r>
            <w:r w:rsidRPr="00C6239D">
              <w:rPr>
                <w:rFonts w:ascii="Arial" w:hAnsi="Arial" w:cs="Arial"/>
                <w:b/>
                <w:bCs/>
                <w:color w:val="000000" w:themeColor="text1"/>
              </w:rPr>
              <w:fldChar w:fldCharType="end"/>
            </w:r>
            <w:r w:rsidR="00372ED6" w:rsidRPr="00D74025">
              <w:rPr>
                <w:rFonts w:ascii="Arial" w:hAnsi="Arial" w:cs="Arial"/>
                <w:b/>
                <w:bCs/>
                <w:color w:val="000000" w:themeColor="text1"/>
              </w:rPr>
              <w:t>: Results of combinatorial therapy of checkpoint inhibition (anti-PD-1) and photothermal therapy (PTT) at 45</w:t>
            </w:r>
            <w:r w:rsidR="00372ED6" w:rsidRPr="00D74025">
              <w:rPr>
                <w:rFonts w:ascii="Arial" w:hAnsi="Arial" w:cs="Arial"/>
                <w:b/>
                <w:bCs/>
                <w:color w:val="000000" w:themeColor="text1"/>
              </w:rPr>
              <w:sym w:font="Symbol" w:char="F0B0"/>
            </w:r>
            <w:r w:rsidR="00372ED6" w:rsidRPr="00D74025">
              <w:rPr>
                <w:rFonts w:ascii="Arial" w:hAnsi="Arial" w:cs="Arial"/>
                <w:b/>
                <w:bCs/>
                <w:color w:val="000000" w:themeColor="text1"/>
              </w:rPr>
              <w:t xml:space="preserve">C (immediately stopped or kept for 5 min) and in EMT6 tumors. </w:t>
            </w:r>
            <w:r w:rsidR="00372ED6" w:rsidRPr="00D74025">
              <w:rPr>
                <w:rFonts w:ascii="Arial" w:hAnsi="Arial" w:cs="Arial"/>
                <w:color w:val="000000" w:themeColor="text1"/>
              </w:rPr>
              <w:t>Mice with well-developed orthotopic syngeneic tumors (d ≥ 5 mm) were administered an IT dose of 1.2 mg/kg SWCNT-ANXA5. Select groups received anti-PD-1 (10 mg/kg) on days 7, 10, and 15. Tumors were irradiated with a NIR laser at a power density of 1 W/cm</w:t>
            </w:r>
            <w:r w:rsidR="00372ED6" w:rsidRPr="00D74025">
              <w:rPr>
                <w:rFonts w:ascii="Arial" w:hAnsi="Arial" w:cs="Arial"/>
                <w:color w:val="000000" w:themeColor="text1"/>
                <w:vertAlign w:val="superscript"/>
              </w:rPr>
              <w:t>2</w:t>
            </w:r>
            <w:r w:rsidR="00372ED6" w:rsidRPr="00D74025">
              <w:rPr>
                <w:rFonts w:ascii="Arial" w:hAnsi="Arial" w:cs="Arial"/>
                <w:color w:val="000000" w:themeColor="text1"/>
              </w:rPr>
              <w:t xml:space="preserve">. Group anti-PD-1 + PTT (0 min) received </w:t>
            </w:r>
            <w:r w:rsidR="00372ED6" w:rsidRPr="00D74025">
              <w:rPr>
                <w:rFonts w:ascii="Arial" w:hAnsi="Arial" w:cs="Arial"/>
                <w:color w:val="000000" w:themeColor="text1"/>
              </w:rPr>
              <w:lastRenderedPageBreak/>
              <w:t xml:space="preserve">irradiation until </w:t>
            </w:r>
            <w:r w:rsidR="00372ED6">
              <w:rPr>
                <w:rFonts w:ascii="Arial" w:hAnsi="Arial" w:cs="Arial"/>
                <w:color w:val="000000" w:themeColor="text1"/>
              </w:rPr>
              <w:t xml:space="preserve">the </w:t>
            </w:r>
            <w:r w:rsidR="00372ED6" w:rsidRPr="00D74025">
              <w:rPr>
                <w:rFonts w:ascii="Arial" w:hAnsi="Arial" w:cs="Arial"/>
                <w:color w:val="000000" w:themeColor="text1"/>
              </w:rPr>
              <w:t>tumor surface temperature reached 45</w:t>
            </w:r>
            <w:r w:rsidR="00372ED6" w:rsidRPr="00D74025">
              <w:rPr>
                <w:rFonts w:ascii="Arial" w:hAnsi="Arial" w:cs="Arial"/>
                <w:color w:val="000000" w:themeColor="text1"/>
              </w:rPr>
              <w:sym w:font="Symbol" w:char="F0B0"/>
            </w:r>
            <w:r w:rsidR="00372ED6" w:rsidRPr="00D74025">
              <w:rPr>
                <w:rFonts w:ascii="Arial" w:hAnsi="Arial" w:cs="Arial"/>
                <w:color w:val="000000" w:themeColor="text1"/>
              </w:rPr>
              <w:t>C, whereas group anti-PD-1 + PTT (5 min) received irradiation up to 45</w:t>
            </w:r>
            <w:r w:rsidR="00372ED6" w:rsidRPr="00D74025">
              <w:rPr>
                <w:rFonts w:ascii="Arial" w:hAnsi="Arial" w:cs="Arial"/>
                <w:color w:val="000000" w:themeColor="text1"/>
              </w:rPr>
              <w:sym w:font="Symbol" w:char="F0B0"/>
            </w:r>
            <w:r w:rsidR="00372ED6" w:rsidRPr="00D74025">
              <w:rPr>
                <w:rFonts w:ascii="Arial" w:hAnsi="Arial" w:cs="Arial"/>
                <w:color w:val="000000" w:themeColor="text1"/>
              </w:rPr>
              <w:t xml:space="preserve">C when </w:t>
            </w:r>
            <w:r w:rsidR="00372ED6">
              <w:rPr>
                <w:rFonts w:ascii="Arial" w:hAnsi="Arial" w:cs="Arial"/>
                <w:color w:val="000000" w:themeColor="text1"/>
              </w:rPr>
              <w:t xml:space="preserve">the </w:t>
            </w:r>
            <w:r w:rsidR="00372ED6" w:rsidRPr="00D74025">
              <w:rPr>
                <w:rFonts w:ascii="Arial" w:hAnsi="Arial" w:cs="Arial"/>
                <w:color w:val="000000" w:themeColor="text1"/>
              </w:rPr>
              <w:t>laser was cycled on/off to keep the tumor surface temperature at 45</w:t>
            </w:r>
            <w:r w:rsidR="00372ED6" w:rsidRPr="00D74025">
              <w:rPr>
                <w:rFonts w:ascii="Arial" w:hAnsi="Arial" w:cs="Arial"/>
                <w:color w:val="000000" w:themeColor="text1"/>
              </w:rPr>
              <w:sym w:font="Symbol" w:char="F0B0"/>
            </w:r>
            <w:r w:rsidR="00372ED6" w:rsidRPr="00D74025">
              <w:rPr>
                <w:rFonts w:ascii="Arial" w:hAnsi="Arial" w:cs="Arial"/>
                <w:color w:val="000000" w:themeColor="text1"/>
              </w:rPr>
              <w:t xml:space="preserve">C for 5 min. A) Tumor volume shown as mean ± SE (n = 10). </w:t>
            </w:r>
            <w:r w:rsidR="00AD26AC" w:rsidRPr="00D74025">
              <w:rPr>
                <w:rFonts w:ascii="Arial" w:hAnsi="Arial" w:cs="Arial"/>
                <w:color w:val="000000" w:themeColor="text1"/>
              </w:rPr>
              <w:t xml:space="preserve">Statistical analysis is omitted due to </w:t>
            </w:r>
            <w:r w:rsidR="00AD26AC">
              <w:rPr>
                <w:rFonts w:ascii="Arial" w:hAnsi="Arial" w:cs="Arial"/>
                <w:color w:val="000000" w:themeColor="text1"/>
              </w:rPr>
              <w:t>overcrowding of data on the graph</w:t>
            </w:r>
            <w:r w:rsidR="00AD26AC" w:rsidRPr="00D74025">
              <w:rPr>
                <w:rFonts w:ascii="Arial" w:hAnsi="Arial" w:cs="Arial"/>
                <w:color w:val="000000" w:themeColor="text1"/>
              </w:rPr>
              <w:t xml:space="preserve"> (available in </w:t>
            </w:r>
            <w:r w:rsidR="00CE31B8">
              <w:rPr>
                <w:rFonts w:ascii="Arial" w:hAnsi="Arial" w:cs="Arial"/>
                <w:color w:val="000000" w:themeColor="text1"/>
              </w:rPr>
              <w:t>A</w:t>
            </w:r>
            <w:r w:rsidR="00AD26AC" w:rsidRPr="00D74025">
              <w:rPr>
                <w:rFonts w:ascii="Arial" w:hAnsi="Arial" w:cs="Arial"/>
                <w:color w:val="000000" w:themeColor="text1"/>
              </w:rPr>
              <w:t>ppendix A</w:t>
            </w:r>
            <w:r w:rsidR="00C9507B">
              <w:rPr>
                <w:rFonts w:ascii="Arial" w:hAnsi="Arial" w:cs="Arial"/>
                <w:color w:val="000000" w:themeColor="text1"/>
              </w:rPr>
              <w:t xml:space="preserve"> </w:t>
            </w:r>
            <w:r w:rsidR="00AD26AC">
              <w:rPr>
                <w:rFonts w:ascii="Arial" w:hAnsi="Arial" w:cs="Arial"/>
                <w:color w:val="000000" w:themeColor="text1"/>
              </w:rPr>
              <w:t xml:space="preserve">- </w:t>
            </w:r>
            <w:r w:rsidR="00AD26AC" w:rsidRPr="005B5AA6">
              <w:rPr>
                <w:rFonts w:ascii="Arial" w:hAnsi="Arial" w:cs="Arial"/>
                <w:b/>
                <w:bCs/>
                <w:color w:val="000000" w:themeColor="text1"/>
              </w:rPr>
              <w:t>Figure 7</w:t>
            </w:r>
            <w:r w:rsidR="00C9507B" w:rsidRPr="005B5AA6">
              <w:rPr>
                <w:rFonts w:ascii="Arial" w:hAnsi="Arial" w:cs="Arial"/>
                <w:b/>
                <w:bCs/>
                <w:color w:val="000000" w:themeColor="text1"/>
              </w:rPr>
              <w:t>5</w:t>
            </w:r>
            <w:r w:rsidR="00AD26AC" w:rsidRPr="00D74025">
              <w:rPr>
                <w:rFonts w:ascii="Arial" w:hAnsi="Arial" w:cs="Arial"/>
                <w:color w:val="000000" w:themeColor="text1"/>
              </w:rPr>
              <w:t>)</w:t>
            </w:r>
            <w:r w:rsidR="008F6972">
              <w:rPr>
                <w:rFonts w:ascii="Arial" w:hAnsi="Arial" w:cs="Arial"/>
                <w:color w:val="000000" w:themeColor="text1"/>
              </w:rPr>
              <w:t xml:space="preserve">. </w:t>
            </w:r>
            <w:r w:rsidR="00372ED6" w:rsidRPr="00D74025">
              <w:rPr>
                <w:rFonts w:ascii="Arial" w:hAnsi="Arial" w:cs="Arial"/>
                <w:color w:val="000000" w:themeColor="text1"/>
              </w:rPr>
              <w:t xml:space="preserve">B) Survival curve of the combination of photothermal therapy and immune checkpoint inhibition. </w:t>
            </w:r>
            <w:r w:rsidR="00372ED6" w:rsidRPr="00D74025">
              <w:rPr>
                <w:rFonts w:ascii="Calibri" w:hAnsi="Calibri" w:cs="Calibri"/>
                <w:color w:val="000000" w:themeColor="text1"/>
              </w:rPr>
              <w:t>﻿</w:t>
            </w:r>
            <w:r w:rsidR="00372ED6">
              <w:rPr>
                <w:rFonts w:ascii="Arial" w:hAnsi="Arial" w:cs="Arial"/>
                <w:color w:val="000000" w:themeColor="text1"/>
              </w:rPr>
              <w:t>The statistical</w:t>
            </w:r>
            <w:r w:rsidR="00372ED6" w:rsidRPr="00D74025">
              <w:rPr>
                <w:rFonts w:ascii="Arial" w:hAnsi="Arial" w:cs="Arial"/>
                <w:color w:val="000000" w:themeColor="text1"/>
              </w:rPr>
              <w:t xml:space="preserve"> significance of survival curves was determined by the Mantel–Haenszel log-rank test in GraphPad Prim 8. </w:t>
            </w:r>
            <w:r w:rsidR="00372ED6">
              <w:rPr>
                <w:rFonts w:ascii="Arial" w:hAnsi="Arial" w:cs="Arial"/>
                <w:color w:val="000000" w:themeColor="text1"/>
              </w:rPr>
              <w:t>The increase</w:t>
            </w:r>
            <w:r w:rsidR="00372ED6" w:rsidRPr="00D74025">
              <w:rPr>
                <w:rFonts w:ascii="Arial" w:hAnsi="Arial" w:cs="Arial"/>
                <w:color w:val="000000" w:themeColor="text1"/>
              </w:rPr>
              <w:t xml:space="preserve"> </w:t>
            </w:r>
            <w:r w:rsidR="00372ED6">
              <w:rPr>
                <w:rFonts w:ascii="Arial" w:hAnsi="Arial" w:cs="Arial"/>
                <w:color w:val="000000" w:themeColor="text1"/>
              </w:rPr>
              <w:t>in</w:t>
            </w:r>
            <w:r w:rsidR="00372ED6" w:rsidRPr="00D74025">
              <w:rPr>
                <w:rFonts w:ascii="Arial" w:hAnsi="Arial" w:cs="Arial"/>
                <w:color w:val="000000" w:themeColor="text1"/>
              </w:rPr>
              <w:t xml:space="preserve"> survival from </w:t>
            </w:r>
            <w:r w:rsidR="00372ED6">
              <w:rPr>
                <w:rFonts w:ascii="Arial" w:hAnsi="Arial" w:cs="Arial"/>
                <w:color w:val="000000" w:themeColor="text1"/>
              </w:rPr>
              <w:t xml:space="preserve">the </w:t>
            </w:r>
            <w:r w:rsidR="00372ED6" w:rsidRPr="00D74025">
              <w:rPr>
                <w:rFonts w:ascii="Arial" w:hAnsi="Arial" w:cs="Arial"/>
                <w:color w:val="000000" w:themeColor="text1"/>
              </w:rPr>
              <w:t xml:space="preserve">anti-PD-1 + PTT (5 min) group is statistically significant from </w:t>
            </w:r>
            <w:r w:rsidR="00372ED6">
              <w:rPr>
                <w:rFonts w:ascii="Arial" w:hAnsi="Arial" w:cs="Arial"/>
                <w:color w:val="000000" w:themeColor="text1"/>
              </w:rPr>
              <w:t xml:space="preserve">the </w:t>
            </w:r>
            <w:r w:rsidR="00372ED6" w:rsidRPr="00D74025">
              <w:rPr>
                <w:rFonts w:ascii="Arial" w:hAnsi="Arial" w:cs="Arial"/>
                <w:color w:val="000000" w:themeColor="text1"/>
              </w:rPr>
              <w:t xml:space="preserve">control (****p &lt; 0.0001, n = 10). </w:t>
            </w:r>
            <w:r w:rsidR="00CF2A17">
              <w:rPr>
                <w:rFonts w:ascii="Arial" w:hAnsi="Arial" w:cs="Arial"/>
                <w:color w:val="000000" w:themeColor="text1"/>
              </w:rPr>
              <w:t xml:space="preserve">Anti-PD-1 + PTT (0 min) compared to control is significant (***p &lt; 0.001, n </w:t>
            </w:r>
            <w:r w:rsidR="00961F51">
              <w:rPr>
                <w:rFonts w:ascii="Arial" w:hAnsi="Arial" w:cs="Arial"/>
                <w:color w:val="000000" w:themeColor="text1"/>
              </w:rPr>
              <w:t xml:space="preserve">= 10). </w:t>
            </w:r>
            <w:r w:rsidR="00372ED6">
              <w:rPr>
                <w:rFonts w:ascii="Arial" w:hAnsi="Arial" w:cs="Arial"/>
                <w:color w:val="000000" w:themeColor="text1"/>
              </w:rPr>
              <w:t>The increase</w:t>
            </w:r>
            <w:r w:rsidR="00372ED6" w:rsidRPr="00D74025">
              <w:rPr>
                <w:rFonts w:ascii="Arial" w:hAnsi="Arial" w:cs="Arial"/>
                <w:color w:val="000000" w:themeColor="text1"/>
              </w:rPr>
              <w:t xml:space="preserve"> </w:t>
            </w:r>
            <w:r w:rsidR="00372ED6">
              <w:rPr>
                <w:rFonts w:ascii="Arial" w:hAnsi="Arial" w:cs="Arial"/>
                <w:color w:val="000000" w:themeColor="text1"/>
              </w:rPr>
              <w:t>in</w:t>
            </w:r>
            <w:r w:rsidR="00372ED6" w:rsidRPr="00D74025">
              <w:rPr>
                <w:rFonts w:ascii="Arial" w:hAnsi="Arial" w:cs="Arial"/>
                <w:color w:val="000000" w:themeColor="text1"/>
              </w:rPr>
              <w:t xml:space="preserve"> survival from anti-PD-1 + PTT (5 min) compared to anti-PD-1 + PTT (0 min) is also significant (# p &lt; 0.05, n = 10).</w:t>
            </w:r>
            <w:bookmarkEnd w:id="141"/>
          </w:p>
        </w:tc>
      </w:tr>
    </w:tbl>
    <w:p w14:paraId="437A4705" w14:textId="74094F68" w:rsidR="00C6239D" w:rsidRDefault="00C6239D" w:rsidP="00EA3899">
      <w:pPr>
        <w:spacing w:line="360" w:lineRule="auto"/>
        <w:jc w:val="both"/>
        <w:rPr>
          <w:rFonts w:ascii="Arial" w:hAnsi="Arial" w:cs="Arial"/>
          <w:color w:val="000000" w:themeColor="text1"/>
        </w:rPr>
      </w:pPr>
    </w:p>
    <w:p w14:paraId="24383D72" w14:textId="77777777" w:rsidR="00C6239D" w:rsidRPr="00D74025" w:rsidRDefault="00C6239D" w:rsidP="00EA3899">
      <w:pPr>
        <w:spacing w:line="360" w:lineRule="auto"/>
        <w:jc w:val="both"/>
        <w:rPr>
          <w:rFonts w:ascii="Arial" w:hAnsi="Arial" w:cs="Arial"/>
          <w:color w:val="000000" w:themeColor="text1"/>
        </w:rPr>
      </w:pPr>
    </w:p>
    <w:p w14:paraId="3C73CEA3" w14:textId="5AB45892" w:rsidR="00CE531E" w:rsidRDefault="00CE531E" w:rsidP="00CE531E">
      <w:pPr>
        <w:spacing w:line="360" w:lineRule="auto"/>
        <w:ind w:firstLine="1440"/>
        <w:jc w:val="both"/>
        <w:rPr>
          <w:rFonts w:ascii="Arial" w:hAnsi="Arial" w:cs="Arial"/>
        </w:rPr>
      </w:pPr>
      <w:r w:rsidRPr="00F45D77">
        <w:rPr>
          <w:rFonts w:ascii="Arial" w:hAnsi="Arial" w:cs="Arial"/>
          <w:b/>
          <w:bCs/>
        </w:rPr>
        <w:t xml:space="preserve">Figure </w:t>
      </w:r>
      <w:r w:rsidR="00F45D77" w:rsidRPr="00F45D77">
        <w:rPr>
          <w:rFonts w:ascii="Arial" w:hAnsi="Arial" w:cs="Arial"/>
          <w:b/>
          <w:bCs/>
        </w:rPr>
        <w:t>41</w:t>
      </w:r>
      <w:r w:rsidRPr="00CE531E">
        <w:rPr>
          <w:rFonts w:ascii="Arial" w:hAnsi="Arial" w:cs="Arial"/>
        </w:rPr>
        <w:t xml:space="preserve"> shows that combining checkpoint inhibition of anti-PD-1 to the PTT keeping the tumor at 45 C for 5 min is a more effective treatment for EMT6 tumor than stopping the irradiation immediately after the tumor reaches 45</w:t>
      </w:r>
      <w:r w:rsidR="00E96AC2">
        <w:rPr>
          <w:rFonts w:ascii="Arial" w:hAnsi="Arial" w:cs="Arial"/>
        </w:rPr>
        <w:sym w:font="Symbol" w:char="F0B0"/>
      </w:r>
      <w:r w:rsidRPr="00CE531E">
        <w:rPr>
          <w:rFonts w:ascii="Arial" w:hAnsi="Arial" w:cs="Arial"/>
        </w:rPr>
        <w:t xml:space="preserve">C. Eighty percent of the mice survived 100 days after PTT, which is evidence of complete cure. </w:t>
      </w:r>
    </w:p>
    <w:p w14:paraId="57C35668" w14:textId="113A1A1C" w:rsidR="00083EC9" w:rsidRPr="000B0005" w:rsidRDefault="00083EC9" w:rsidP="00083EC9">
      <w:pPr>
        <w:spacing w:line="360" w:lineRule="auto"/>
        <w:ind w:firstLine="1440"/>
        <w:jc w:val="both"/>
        <w:rPr>
          <w:rFonts w:ascii="Arial" w:hAnsi="Arial" w:cs="Arial"/>
        </w:rPr>
      </w:pPr>
      <w:r>
        <w:rPr>
          <w:rFonts w:ascii="Arial" w:hAnsi="Arial" w:cs="Arial"/>
        </w:rPr>
        <w:t xml:space="preserve">Another experiment was performed to analyze the biodistribution of SWCNT after </w:t>
      </w:r>
      <w:proofErr w:type="spellStart"/>
      <w:r>
        <w:rPr>
          <w:rFonts w:ascii="Arial" w:hAnsi="Arial" w:cs="Arial"/>
        </w:rPr>
        <w:t>intratumoral</w:t>
      </w:r>
      <w:proofErr w:type="spellEnd"/>
      <w:r>
        <w:rPr>
          <w:rFonts w:ascii="Arial" w:hAnsi="Arial" w:cs="Arial"/>
        </w:rPr>
        <w:t xml:space="preserve"> injection. EMT6-tumor-bearing mice were injected with 1.2 mg/kg of SWCNT-ANXA5 intratumorally, treated with PTT at 45</w:t>
      </w:r>
      <w:r>
        <w:rPr>
          <w:rFonts w:ascii="Arial" w:hAnsi="Arial" w:cs="Arial"/>
        </w:rPr>
        <w:sym w:font="Symbol" w:char="F0B0"/>
      </w:r>
      <w:r>
        <w:rPr>
          <w:rFonts w:ascii="Arial" w:hAnsi="Arial" w:cs="Arial"/>
        </w:rPr>
        <w:t xml:space="preserve">C, and euthanized seven days after. Organs were harvested, weighed, and digested in lysing buffer. The concentration of SWCNT in the tumor, liver, and </w:t>
      </w:r>
      <w:r w:rsidR="002F5E40">
        <w:rPr>
          <w:rFonts w:ascii="Arial" w:hAnsi="Arial" w:cs="Arial"/>
        </w:rPr>
        <w:t>kidney</w:t>
      </w:r>
      <w:r>
        <w:rPr>
          <w:rFonts w:ascii="Arial" w:hAnsi="Arial" w:cs="Arial"/>
        </w:rPr>
        <w:t xml:space="preserve"> was determined by relative NIR fluorescence spectroscopy. Tumors had a detectable amount of SWCNT in tissue lysate, while SWCNT could not be detected in the liver and kidneys. In previous studies with intravenous injection of the conjugate, SWCNT tended to accumulate in high percentages in the liver and kidneys and had a slow rate of clearance over </w:t>
      </w:r>
      <w:r w:rsidR="00A32ABF">
        <w:rPr>
          <w:rFonts w:ascii="Arial" w:hAnsi="Arial" w:cs="Arial"/>
        </w:rPr>
        <w:t xml:space="preserve">a </w:t>
      </w:r>
      <w:r>
        <w:rPr>
          <w:rFonts w:ascii="Arial" w:hAnsi="Arial" w:cs="Arial"/>
        </w:rPr>
        <w:t xml:space="preserve">period of months. Therefore, this is evidence that the </w:t>
      </w:r>
      <w:proofErr w:type="spellStart"/>
      <w:r>
        <w:rPr>
          <w:rFonts w:ascii="Arial" w:hAnsi="Arial" w:cs="Arial"/>
        </w:rPr>
        <w:t>intratumoral</w:t>
      </w:r>
      <w:proofErr w:type="spellEnd"/>
      <w:r>
        <w:rPr>
          <w:rFonts w:ascii="Arial" w:hAnsi="Arial" w:cs="Arial"/>
        </w:rPr>
        <w:t xml:space="preserve"> injection of SWCNT-ANXA5 prevents the systemic distribution of the nanotubes, which is beneficial for avoiding accumulation in clearance organs. Th</w:t>
      </w:r>
      <w:r w:rsidR="00A32ABF">
        <w:rPr>
          <w:rFonts w:ascii="Arial" w:hAnsi="Arial" w:cs="Arial"/>
        </w:rPr>
        <w:t>e</w:t>
      </w:r>
      <w:r>
        <w:rPr>
          <w:rFonts w:ascii="Arial" w:hAnsi="Arial" w:cs="Arial"/>
        </w:rPr>
        <w:t>se results confirm the hypothesis that the SWCNT is too long to diffuse out of the injection site and</w:t>
      </w:r>
      <w:r w:rsidR="00721106">
        <w:rPr>
          <w:rFonts w:ascii="Arial" w:hAnsi="Arial" w:cs="Arial"/>
        </w:rPr>
        <w:t>/or is prevented from leaving the tumor because of being bound to PS on the surface of tumor cells</w:t>
      </w:r>
      <w:r>
        <w:rPr>
          <w:rFonts w:ascii="Arial" w:hAnsi="Arial" w:cs="Arial"/>
        </w:rPr>
        <w:t xml:space="preserve">. Accordingly, one of the mice in this </w:t>
      </w:r>
      <w:r w:rsidR="00461412">
        <w:rPr>
          <w:rFonts w:ascii="Arial" w:hAnsi="Arial" w:cs="Arial"/>
        </w:rPr>
        <w:lastRenderedPageBreak/>
        <w:t xml:space="preserve">biodistribution </w:t>
      </w:r>
      <w:r>
        <w:rPr>
          <w:rFonts w:ascii="Arial" w:hAnsi="Arial" w:cs="Arial"/>
        </w:rPr>
        <w:t>study had complete tumor recession</w:t>
      </w:r>
      <w:r w:rsidR="00D06D04">
        <w:rPr>
          <w:rFonts w:ascii="Arial" w:hAnsi="Arial" w:cs="Arial"/>
        </w:rPr>
        <w:t xml:space="preserve"> </w:t>
      </w:r>
      <w:r w:rsidR="005B07A6">
        <w:rPr>
          <w:rFonts w:ascii="Arial" w:hAnsi="Arial" w:cs="Arial"/>
        </w:rPr>
        <w:t>due to</w:t>
      </w:r>
      <w:r w:rsidR="00D06D04">
        <w:rPr>
          <w:rFonts w:ascii="Arial" w:hAnsi="Arial" w:cs="Arial"/>
        </w:rPr>
        <w:t xml:space="preserve"> PTT</w:t>
      </w:r>
      <w:r>
        <w:rPr>
          <w:rFonts w:ascii="Arial" w:hAnsi="Arial" w:cs="Arial"/>
        </w:rPr>
        <w:t xml:space="preserve">, and the image of the skin injected with SWCNT-ANXA5 resembled a tattoo. </w:t>
      </w:r>
      <w:proofErr w:type="gramStart"/>
      <w:r>
        <w:rPr>
          <w:rFonts w:ascii="Arial" w:hAnsi="Arial" w:cs="Arial"/>
        </w:rPr>
        <w:t>Similar to</w:t>
      </w:r>
      <w:proofErr w:type="gramEnd"/>
      <w:r>
        <w:rPr>
          <w:rFonts w:ascii="Arial" w:hAnsi="Arial" w:cs="Arial"/>
        </w:rPr>
        <w:t xml:space="preserve"> the ink particles in a tattoo, SWCNT is confined in the tissue.</w:t>
      </w:r>
    </w:p>
    <w:p w14:paraId="30FDCDA5" w14:textId="73EE33A3" w:rsidR="003A05C4" w:rsidRDefault="003A05C4" w:rsidP="00EA3899">
      <w:pPr>
        <w:spacing w:line="360" w:lineRule="auto"/>
        <w:jc w:val="both"/>
        <w:rPr>
          <w:rFonts w:ascii="Arial" w:hAnsi="Arial" w:cs="Arial"/>
          <w:color w:val="000000" w:themeColor="text1"/>
        </w:rPr>
      </w:pPr>
      <w:r>
        <w:rPr>
          <w:rFonts w:ascii="Arial" w:hAnsi="Arial" w:cs="Arial"/>
          <w:color w:val="000000" w:themeColor="text1"/>
        </w:rPr>
        <w:br w:type="page"/>
      </w:r>
    </w:p>
    <w:p w14:paraId="42080A81" w14:textId="5D931371" w:rsidR="005F7100" w:rsidRPr="00D74025" w:rsidRDefault="005F7100" w:rsidP="005F7100">
      <w:pPr>
        <w:pStyle w:val="Heading3"/>
        <w:rPr>
          <w:rFonts w:ascii="Arial" w:hAnsi="Arial" w:cs="Arial"/>
          <w:b/>
          <w:bCs/>
          <w:color w:val="000000" w:themeColor="text1"/>
        </w:rPr>
      </w:pPr>
      <w:bookmarkStart w:id="142" w:name="_Toc121217285"/>
      <w:r w:rsidRPr="00D74025">
        <w:rPr>
          <w:rFonts w:ascii="Arial" w:hAnsi="Arial" w:cs="Arial"/>
          <w:b/>
          <w:bCs/>
          <w:color w:val="000000" w:themeColor="text1"/>
        </w:rPr>
        <w:lastRenderedPageBreak/>
        <w:t>3.2.</w:t>
      </w:r>
      <w:r w:rsidR="00476142" w:rsidRPr="00D74025">
        <w:rPr>
          <w:rFonts w:ascii="Arial" w:hAnsi="Arial" w:cs="Arial"/>
          <w:b/>
          <w:bCs/>
          <w:color w:val="000000" w:themeColor="text1"/>
        </w:rPr>
        <w:t>2</w:t>
      </w:r>
      <w:r w:rsidRPr="00D74025">
        <w:rPr>
          <w:rFonts w:ascii="Arial" w:hAnsi="Arial" w:cs="Arial"/>
          <w:b/>
          <w:bCs/>
          <w:color w:val="000000" w:themeColor="text1"/>
        </w:rPr>
        <w:t xml:space="preserve"> </w:t>
      </w:r>
      <w:r w:rsidR="006E70BF" w:rsidRPr="00D74025">
        <w:rPr>
          <w:rFonts w:ascii="Arial" w:hAnsi="Arial" w:cs="Arial"/>
          <w:b/>
          <w:bCs/>
          <w:color w:val="000000" w:themeColor="text1"/>
        </w:rPr>
        <w:t>4T1</w:t>
      </w:r>
      <w:r w:rsidRPr="00D74025">
        <w:rPr>
          <w:rFonts w:ascii="Arial" w:hAnsi="Arial" w:cs="Arial"/>
          <w:b/>
          <w:bCs/>
          <w:color w:val="000000" w:themeColor="text1"/>
        </w:rPr>
        <w:t xml:space="preserve"> tumor model treated with SWCNT-ANXA5</w:t>
      </w:r>
      <w:r w:rsidR="00C6239D">
        <w:rPr>
          <w:rFonts w:ascii="Arial" w:hAnsi="Arial" w:cs="Arial"/>
          <w:b/>
          <w:bCs/>
          <w:color w:val="000000" w:themeColor="text1"/>
        </w:rPr>
        <w:t>-</w:t>
      </w:r>
      <w:r w:rsidRPr="00D74025">
        <w:rPr>
          <w:rFonts w:ascii="Arial" w:hAnsi="Arial" w:cs="Arial"/>
          <w:b/>
          <w:bCs/>
          <w:color w:val="000000" w:themeColor="text1"/>
        </w:rPr>
        <w:t>mediated PTT</w:t>
      </w:r>
      <w:bookmarkEnd w:id="142"/>
    </w:p>
    <w:p w14:paraId="1E1E94B5" w14:textId="163BA1DF" w:rsidR="001E34D8" w:rsidRPr="00D74025" w:rsidRDefault="001E34D8" w:rsidP="00017375">
      <w:pPr>
        <w:rPr>
          <w:color w:val="000000" w:themeColor="text1"/>
        </w:rPr>
      </w:pPr>
    </w:p>
    <w:p w14:paraId="7577D867" w14:textId="77777777" w:rsidR="00781AEE" w:rsidRPr="00781AEE" w:rsidRDefault="00781AEE" w:rsidP="00781AEE">
      <w:pPr>
        <w:spacing w:line="360" w:lineRule="auto"/>
        <w:ind w:firstLine="1440"/>
        <w:jc w:val="both"/>
        <w:rPr>
          <w:rFonts w:ascii="Arial" w:hAnsi="Arial" w:cs="Arial"/>
          <w:color w:val="000000" w:themeColor="text1"/>
        </w:rPr>
      </w:pPr>
    </w:p>
    <w:p w14:paraId="11B5E9F2" w14:textId="589E08DF" w:rsidR="00781AEE" w:rsidRPr="00781AEE" w:rsidRDefault="00781AEE" w:rsidP="00781AEE">
      <w:pPr>
        <w:spacing w:line="360" w:lineRule="auto"/>
        <w:ind w:firstLine="1440"/>
        <w:jc w:val="both"/>
        <w:rPr>
          <w:rFonts w:ascii="Arial" w:hAnsi="Arial" w:cs="Arial"/>
          <w:color w:val="000000" w:themeColor="text1"/>
        </w:rPr>
      </w:pPr>
      <w:r w:rsidRPr="00781AEE">
        <w:rPr>
          <w:rFonts w:ascii="Arial" w:hAnsi="Arial" w:cs="Arial"/>
          <w:color w:val="000000" w:themeColor="text1"/>
        </w:rPr>
        <w:t>EMT6 cells and 4T1 cells are non-immunogenic models of triple-negative breast cancer in mouse cell lines. Nonetheless, the 4T1 tumor model is considered more aggressive and invasive</w:t>
      </w:r>
      <w:r w:rsidRPr="00781AEE">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{"citationID":"e6mrqVOZ","properties":{"formattedCitation":"\\super 313,314\\nosupersub{}","plainCitation":"313,314","noteIndex":0},"citationItems":[{"id":1204,"uris":["http://zotero.org/users/7661987/items/LL36G84C"],"itemData":{"id":1204,"type":"article-journal","container-title":"Nature Communications","DOI":"10.1038/ncomms14979","ISSN":"2041-1723","issue":"1","journalAbbreviation":"Nat Commun","language":"en","page":"14979","source":"DOI.org (Crossref)","title":"Monocytic and granulocytic myeloid derived suppressor cells differentially regulate spatiotemporal tumour plasticity during metastatic cascade","volume":"8","author":[{"family":"Ouzounova","given":"Maria"},{"family":"Lee","given":"Eunmi"},{"family":"Piranlioglu","given":"Raziye"},{"family":"El Andaloussi","given":"Abdeljabar"},{"family":"Kolhe","given":"Ravindra"},{"family":"Demirci","given":"Mehmet F."},{"family":"Marasco","given":"Daniela"},{"family":"Asm","given":"Iskander"},{"family":"Chadli","given":"Ahmed"},{"family":"Hassan","given":"Khaled A."},{"family":"Thangaraju","given":"Muthusamy"},{"family":"Zhou","given":"Gang"},{"family":"Arbab","given":"Ali S."},{"family":"Cowell","given":"John K."},{"family":"Korkaya","given":"Hasan"}],"issued":{"date-parts":[["2017",4]]}}},{"id":1205,"uris":["http://zotero.org/users/7661987/items/I98LQU63"],"itemData":{"id":1205,"type":"article-journal","container-title":"Oncogene","DOI":"10.1038/onc.2014.317","ISSN":"0950-9232, 1476-5594","issue":"29","journalAbbreviation":"Oncogene","language":"en","page":"3860-3870","source":"DOI.org (Crossref)","title":"Bidirectional effect of CD200 on breast cancer development and metastasis, with ultimate outcome determined by tumor aggressiveness and a cancer-induced inflammatory response","volume":"34","author":[{"family":"Erin","given":"N"},{"family":"Podnos","given":"A"},{"family":"Tanriover","given":"G"},{"family":"Duymuş","given":"Ö"},{"family":"Cote","given":"E"},{"family":"Khatri","given":"I"},{"family":"Gorczynski","given":"R M"}],"issued":{"date-parts":[["2015",7]]}}}],"schema":"https://github.com/citation-style-language/schema/raw/master/csl-citation.json"} </w:instrText>
      </w:r>
      <w:r w:rsidRPr="00781AEE">
        <w:rPr>
          <w:rFonts w:ascii="Arial" w:hAnsi="Arial" w:cs="Arial"/>
          <w:color w:val="000000" w:themeColor="text1"/>
        </w:rPr>
        <w:fldChar w:fldCharType="separate"/>
      </w:r>
      <w:r w:rsidR="000F4F53" w:rsidRPr="000F4F53">
        <w:rPr>
          <w:rFonts w:ascii="Arial" w:hAnsi="Arial" w:cs="Arial"/>
          <w:color w:val="000000"/>
          <w:vertAlign w:val="superscript"/>
        </w:rPr>
        <w:t>313,314</w:t>
      </w:r>
      <w:r w:rsidRPr="00781AEE">
        <w:rPr>
          <w:rFonts w:ascii="Arial" w:hAnsi="Arial" w:cs="Arial"/>
          <w:color w:val="000000" w:themeColor="text1"/>
        </w:rPr>
        <w:fldChar w:fldCharType="end"/>
      </w:r>
      <w:r w:rsidRPr="00781AEE">
        <w:rPr>
          <w:rFonts w:ascii="Arial" w:hAnsi="Arial" w:cs="Arial"/>
          <w:color w:val="000000" w:themeColor="text1"/>
        </w:rPr>
        <w:t xml:space="preserve">. To illustrate that, while we use 1 </w:t>
      </w:r>
      <w:r w:rsidRPr="00781AEE">
        <w:rPr>
          <w:rFonts w:ascii="Arial" w:hAnsi="Arial" w:cs="Arial"/>
          <w:color w:val="000000" w:themeColor="text1"/>
        </w:rPr>
        <w:sym w:font="Symbol" w:char="F0B4"/>
      </w:r>
      <w:r w:rsidRPr="00781AEE">
        <w:rPr>
          <w:rFonts w:ascii="Arial" w:hAnsi="Arial" w:cs="Arial"/>
          <w:color w:val="000000" w:themeColor="text1"/>
        </w:rPr>
        <w:t xml:space="preserve"> 10</w:t>
      </w:r>
      <w:r w:rsidRPr="00781AEE">
        <w:rPr>
          <w:rFonts w:ascii="Arial" w:hAnsi="Arial" w:cs="Arial"/>
          <w:color w:val="000000" w:themeColor="text1"/>
          <w:vertAlign w:val="superscript"/>
        </w:rPr>
        <w:t>6</w:t>
      </w:r>
      <w:r w:rsidRPr="00781AEE">
        <w:rPr>
          <w:rFonts w:ascii="Arial" w:hAnsi="Arial" w:cs="Arial"/>
          <w:color w:val="000000" w:themeColor="text1"/>
        </w:rPr>
        <w:t xml:space="preserve"> for the establishment of a</w:t>
      </w:r>
      <w:r w:rsidR="00881716">
        <w:rPr>
          <w:rFonts w:ascii="Arial" w:hAnsi="Arial" w:cs="Arial"/>
          <w:color w:val="000000" w:themeColor="text1"/>
        </w:rPr>
        <w:t>n</w:t>
      </w:r>
      <w:r w:rsidRPr="00781AEE">
        <w:rPr>
          <w:rFonts w:ascii="Arial" w:hAnsi="Arial" w:cs="Arial"/>
          <w:color w:val="000000" w:themeColor="text1"/>
        </w:rPr>
        <w:t xml:space="preserve"> EMT6 tumor in our studies, 4T1 requires a tenth of that number for the tumor establishment (1 </w:t>
      </w:r>
      <w:r w:rsidRPr="00781AEE">
        <w:rPr>
          <w:rFonts w:ascii="Arial" w:hAnsi="Arial" w:cs="Arial"/>
          <w:color w:val="000000" w:themeColor="text1"/>
        </w:rPr>
        <w:sym w:font="Symbol" w:char="F0B4"/>
      </w:r>
      <w:r w:rsidRPr="00781AEE">
        <w:rPr>
          <w:rFonts w:ascii="Arial" w:hAnsi="Arial" w:cs="Arial"/>
          <w:color w:val="000000" w:themeColor="text1"/>
        </w:rPr>
        <w:t xml:space="preserve"> 10</w:t>
      </w:r>
      <w:r w:rsidRPr="00781AEE">
        <w:rPr>
          <w:rFonts w:ascii="Arial" w:hAnsi="Arial" w:cs="Arial"/>
          <w:color w:val="000000" w:themeColor="text1"/>
          <w:vertAlign w:val="superscript"/>
        </w:rPr>
        <w:t>5</w:t>
      </w:r>
      <w:r w:rsidRPr="00781AEE">
        <w:rPr>
          <w:rFonts w:ascii="Arial" w:hAnsi="Arial" w:cs="Arial"/>
          <w:color w:val="000000" w:themeColor="text1"/>
        </w:rPr>
        <w:t xml:space="preserve">), which results </w:t>
      </w:r>
      <w:r w:rsidR="00881716">
        <w:rPr>
          <w:rFonts w:ascii="Arial" w:hAnsi="Arial" w:cs="Arial"/>
          <w:color w:val="000000" w:themeColor="text1"/>
        </w:rPr>
        <w:t xml:space="preserve">in </w:t>
      </w:r>
      <w:r w:rsidRPr="00781AEE">
        <w:rPr>
          <w:rFonts w:ascii="Arial" w:hAnsi="Arial" w:cs="Arial"/>
          <w:color w:val="000000" w:themeColor="text1"/>
        </w:rPr>
        <w:t>a similar growth rate that tumors are ~5 mm at around day 10-11. Additionally, even though EMT6 is considered a non-immunogenic tumor model compared to other tumor models, 4T1 is even less immunogenic than EMT6</w:t>
      </w:r>
      <w:r w:rsidRPr="00781AEE">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{"citationID":"PtMl1VFc","properties":{"formattedCitation":"\\super 315\\nosupersub{}","plainCitation":"315","noteIndex":0},"citationItems":[{"id":1207,"uris":["http://zotero.org/users/7661987/items/9D7ATWG5"],"itemData":{"id":1207,"type":"article-journal","abstract":"Background: Although metastasis is ultimately responsible for about 90% of breast cancer mortality, the vast majority of breast-cancer-related deaths are due to progressive recurrences from non-metastatic disease. Current adjuvant therapies are unable to prevent progressive recurrences for a significant fraction of patients with breast cancer. Autologous tumor cell vaccines (ATCVs) are a safe and potentially useful strategy to prevent breast cancer recurrence, in a personalized and patient-specific manner, following standard-of-care tumor resection. Given the high intra-patient and inter-patient heterogeneity in breast cancer, it is important to understand which factors influence the immunogenicity of breast tumor cells in order to maximize ATCV effectiveness.\nMethods: The relative immunogenicity of two murine breast carcinomas, 4T1 and EMT6, were compared in a prophylactic vaccination-tumor challenge model. Differences in cell surface expression of antigen-presentationrelated and costimulatory molecules were compared along with immunosuppressive cytokine production. CRISPR/ Cas9 technology was used to modulate tumor-derived cytokine secretion. The impacts of cytokine deletion on splenomegaly, myeloid-derived suppressor cell (MDSC) accumulation and ATCV immunogenicity were assessed.\nResults: Mice vaccinated with an EMT6 vaccine exhibited significantly greater protective immunity than mice vaccinated with a 4T1 vaccine. Hybrid vaccination studies revealed that the 4T1 vaccination induced both local and systemic immune impairments. Although there were significant differences between EMT6 and 4T1 in the expression of costimulatory molecules, major disparities in the secretion of immunosuppressive cytokines likely accounts for differences in immunogenicity between the cell lines. Ablation of one cytokine in particular, granulocyte-colony stimulating factor (G-CSF), reversed MDSC accumulation and splenomegaly in the 4T1 model. Furthermore, G-CSF inhibition enhanced the immunogenicity of a 4T1-based vaccine to the extent that all vaccinated mice developed complete protective immunity.\nConclusions: Breast cancer cells that express high levels of G-CSF have the potential to diminish or abrogate the efficacy of breast cancer ATCVs. Fortunately, this study demonstrates that genetic ablation of immunosuppressive cytokines, such as G-CSF, can enhance the immunogenicity of breast cancer cell-based vaccines. Strategies that combine inhibition of immunosuppressive factors with immune stimulatory co-formulations already under development may help ATCVs reach their full potential.","container-title":"Breast Cancer Research","DOI":"10.1186/s13058-018-1054-3","ISSN":"1465-542X","issue":"1","journalAbbreviation":"Breast Cancer Res","language":"en","page":"126","source":"DOI.org (Crossref)","title":"Tumor-derived granulocyte colony-stimulating factor diminishes efficacy of breast tumor cell vaccines","volume":"20","author":[{"family":"Ravindranathan","given":"Sruthi"},{"family":"Nguyen","given":"Khue G."},{"family":"Kurtz","given":"Samantha L."},{"family":"Frazier","given":"Haven N."},{"family":"Smith","given":"Sean G."},{"family":"Koppolu","given":"Bhanu","dropping-particle":"prasanth"},{"family":"Rajaram","given":"Narasimhan"},{"family":"Zaharoff","given":"David A."}],"issued":{"date-parts":[["2018",12]]}}}],"schema":"https://github.com/citation-style-language/schema/raw/master/csl-citation.json"} </w:instrText>
      </w:r>
      <w:r w:rsidRPr="00781AEE">
        <w:rPr>
          <w:rFonts w:ascii="Arial" w:hAnsi="Arial" w:cs="Arial"/>
          <w:color w:val="000000" w:themeColor="text1"/>
        </w:rPr>
        <w:fldChar w:fldCharType="separate"/>
      </w:r>
      <w:r w:rsidR="000F4F53" w:rsidRPr="000F4F53">
        <w:rPr>
          <w:rFonts w:ascii="Arial" w:hAnsi="Arial" w:cs="Arial"/>
          <w:color w:val="000000"/>
          <w:vertAlign w:val="superscript"/>
        </w:rPr>
        <w:t>315</w:t>
      </w:r>
      <w:r w:rsidRPr="00781AEE">
        <w:rPr>
          <w:rFonts w:ascii="Arial" w:hAnsi="Arial" w:cs="Arial"/>
          <w:color w:val="000000" w:themeColor="text1"/>
        </w:rPr>
        <w:fldChar w:fldCharType="end"/>
      </w:r>
      <w:r w:rsidRPr="00781AEE">
        <w:rPr>
          <w:rFonts w:ascii="Arial" w:hAnsi="Arial" w:cs="Arial"/>
          <w:color w:val="000000" w:themeColor="text1"/>
        </w:rPr>
        <w:t xml:space="preserve">. Thus, 4T1 is more challenging tumor model to be treated. </w:t>
      </w:r>
    </w:p>
    <w:p w14:paraId="597A5A1C" w14:textId="6E240E8A" w:rsidR="00FD750B" w:rsidRPr="00C82C5D" w:rsidRDefault="00812E22" w:rsidP="00C82C5D">
      <w:pPr>
        <w:spacing w:line="360" w:lineRule="auto"/>
        <w:ind w:firstLine="1440"/>
        <w:jc w:val="both"/>
        <w:rPr>
          <w:rFonts w:ascii="Arial" w:hAnsi="Arial" w:cs="Arial"/>
          <w:b/>
          <w:bCs/>
          <w:color w:val="000000" w:themeColor="text1"/>
        </w:rPr>
      </w:pPr>
      <w:r w:rsidRPr="00D74025">
        <w:rPr>
          <w:rFonts w:ascii="Arial" w:hAnsi="Arial" w:cs="Arial"/>
          <w:color w:val="000000" w:themeColor="text1"/>
        </w:rPr>
        <w:t xml:space="preserve">Therefore, to prove that the PTT is still efficient at treating a more challenging tumor model, we repeated the experiment from </w:t>
      </w:r>
      <w:r w:rsidRPr="00E65951">
        <w:rPr>
          <w:rFonts w:ascii="Arial" w:hAnsi="Arial" w:cs="Arial"/>
          <w:b/>
          <w:bCs/>
          <w:color w:val="000000" w:themeColor="text1"/>
        </w:rPr>
        <w:t xml:space="preserve">Figure </w:t>
      </w:r>
      <w:r w:rsidR="00E65951" w:rsidRPr="00E65951">
        <w:rPr>
          <w:rFonts w:ascii="Arial" w:hAnsi="Arial" w:cs="Arial"/>
          <w:b/>
          <w:bCs/>
          <w:color w:val="000000" w:themeColor="text1"/>
        </w:rPr>
        <w:t>41</w:t>
      </w:r>
      <w:r w:rsidRPr="00D74025">
        <w:rPr>
          <w:rFonts w:ascii="Arial" w:hAnsi="Arial" w:cs="Arial"/>
          <w:color w:val="000000" w:themeColor="text1"/>
        </w:rPr>
        <w:t xml:space="preserve"> </w:t>
      </w:r>
      <w:r w:rsidR="00E65951" w:rsidRPr="00D74025">
        <w:rPr>
          <w:rFonts w:ascii="Arial" w:hAnsi="Arial" w:cs="Arial"/>
          <w:color w:val="000000" w:themeColor="text1"/>
        </w:rPr>
        <w:t>in 4T1 tumor</w:t>
      </w:r>
      <w:r w:rsidR="00E65951">
        <w:rPr>
          <w:rFonts w:ascii="Arial" w:hAnsi="Arial" w:cs="Arial"/>
          <w:color w:val="000000" w:themeColor="text1"/>
        </w:rPr>
        <w:t>,</w:t>
      </w:r>
      <w:r w:rsidR="00E65951" w:rsidRPr="00D74025">
        <w:rPr>
          <w:rFonts w:ascii="Arial" w:hAnsi="Arial" w:cs="Arial"/>
          <w:color w:val="000000" w:themeColor="text1"/>
        </w:rPr>
        <w:t xml:space="preserve"> </w:t>
      </w:r>
      <w:r w:rsidRPr="00D74025">
        <w:rPr>
          <w:rFonts w:ascii="Arial" w:hAnsi="Arial" w:cs="Arial"/>
          <w:color w:val="000000" w:themeColor="text1"/>
        </w:rPr>
        <w:t xml:space="preserve">where anti-PD-1 was combined </w:t>
      </w:r>
      <w:r>
        <w:rPr>
          <w:rFonts w:ascii="Arial" w:hAnsi="Arial" w:cs="Arial"/>
          <w:color w:val="000000" w:themeColor="text1"/>
        </w:rPr>
        <w:t>with</w:t>
      </w:r>
      <w:r w:rsidRPr="00D74025">
        <w:rPr>
          <w:rFonts w:ascii="Arial" w:hAnsi="Arial" w:cs="Arial"/>
          <w:color w:val="000000" w:themeColor="text1"/>
        </w:rPr>
        <w:t xml:space="preserve"> PTT at 45</w:t>
      </w:r>
      <w:r w:rsidRPr="00D74025">
        <w:rPr>
          <w:rFonts w:ascii="Arial" w:hAnsi="Arial" w:cs="Arial"/>
          <w:color w:val="000000" w:themeColor="text1"/>
        </w:rPr>
        <w:sym w:font="Symbol" w:char="F0B0"/>
      </w:r>
      <w:r w:rsidRPr="00D74025">
        <w:rPr>
          <w:rFonts w:ascii="Arial" w:hAnsi="Arial" w:cs="Arial"/>
          <w:color w:val="000000" w:themeColor="text1"/>
        </w:rPr>
        <w:t xml:space="preserve">C for 5 min. 4T1 </w:t>
      </w:r>
      <w:r>
        <w:rPr>
          <w:rFonts w:ascii="Arial" w:hAnsi="Arial" w:cs="Arial"/>
          <w:color w:val="000000" w:themeColor="text1"/>
        </w:rPr>
        <w:t>tumor-bearing</w:t>
      </w:r>
      <w:r w:rsidRPr="00D74025">
        <w:rPr>
          <w:rFonts w:ascii="Arial" w:hAnsi="Arial" w:cs="Arial"/>
          <w:color w:val="000000" w:themeColor="text1"/>
        </w:rPr>
        <w:t xml:space="preserve"> mice were injected intratumorally with SWCNT-ANXA5 on day 11 after tumor induction. The tumor size at the time was ~ 5 mm. PTT was performed with 1 W/cm</w:t>
      </w:r>
      <w:r w:rsidRPr="00D74025">
        <w:rPr>
          <w:rFonts w:ascii="Arial" w:hAnsi="Arial" w:cs="Arial"/>
          <w:color w:val="000000" w:themeColor="text1"/>
          <w:vertAlign w:val="superscript"/>
        </w:rPr>
        <w:t>2</w:t>
      </w:r>
      <w:r w:rsidRPr="00D74025">
        <w:rPr>
          <w:rFonts w:ascii="Arial" w:hAnsi="Arial" w:cs="Arial"/>
          <w:color w:val="000000" w:themeColor="text1"/>
        </w:rPr>
        <w:t xml:space="preserve"> while monitoring tumor surface temperature </w:t>
      </w:r>
      <w:r>
        <w:rPr>
          <w:rFonts w:ascii="Arial" w:hAnsi="Arial" w:cs="Arial"/>
          <w:color w:val="000000" w:themeColor="text1"/>
        </w:rPr>
        <w:t>with</w:t>
      </w:r>
      <w:r w:rsidRPr="00D74025">
        <w:rPr>
          <w:rFonts w:ascii="Arial" w:hAnsi="Arial" w:cs="Arial"/>
          <w:color w:val="000000" w:themeColor="text1"/>
        </w:rPr>
        <w:t xml:space="preserve"> </w:t>
      </w:r>
      <w:r>
        <w:rPr>
          <w:rFonts w:ascii="Arial" w:hAnsi="Arial" w:cs="Arial"/>
          <w:color w:val="000000" w:themeColor="text1"/>
        </w:rPr>
        <w:t xml:space="preserve">a </w:t>
      </w:r>
      <w:r w:rsidRPr="00D74025">
        <w:rPr>
          <w:rFonts w:ascii="Arial" w:hAnsi="Arial" w:cs="Arial"/>
          <w:color w:val="000000" w:themeColor="text1"/>
        </w:rPr>
        <w:t>thermal camera. For one treated group [anti-PD-1 + PTT (0 min)]</w:t>
      </w:r>
      <w:r>
        <w:rPr>
          <w:rFonts w:ascii="Arial" w:hAnsi="Arial" w:cs="Arial"/>
          <w:color w:val="000000" w:themeColor="text1"/>
        </w:rPr>
        <w:t>,</w:t>
      </w:r>
      <w:r w:rsidRPr="00D74025">
        <w:rPr>
          <w:rFonts w:ascii="Arial" w:hAnsi="Arial" w:cs="Arial"/>
          <w:color w:val="000000" w:themeColor="text1"/>
        </w:rPr>
        <w:t xml:space="preserve"> NIR irradiation was immediately stopped when the tumor surface temperature reached 45°C. For the other treated group [anti-PD-1 + PTT (0 min)], NIR irradiation continued for 5 min after reaching 45°C, cycling the laser on/off to keep the tumor surface temperature at 45°C +/- 3°C. The treated groups received three doses of anti-PD-1 </w:t>
      </w:r>
      <w:r>
        <w:rPr>
          <w:rFonts w:ascii="Arial" w:hAnsi="Arial" w:cs="Arial"/>
          <w:color w:val="000000" w:themeColor="text1"/>
        </w:rPr>
        <w:t xml:space="preserve">and </w:t>
      </w:r>
      <w:r w:rsidRPr="00D74025">
        <w:rPr>
          <w:rFonts w:ascii="Arial" w:hAnsi="Arial" w:cs="Arial"/>
          <w:color w:val="000000" w:themeColor="text1"/>
        </w:rPr>
        <w:t xml:space="preserve">were injected </w:t>
      </w:r>
      <w:r>
        <w:rPr>
          <w:rFonts w:ascii="Arial" w:hAnsi="Arial" w:cs="Arial"/>
          <w:color w:val="000000" w:themeColor="text1"/>
        </w:rPr>
        <w:t>intraperitoneally</w:t>
      </w:r>
      <w:r w:rsidRPr="00D74025">
        <w:rPr>
          <w:rFonts w:ascii="Arial" w:hAnsi="Arial" w:cs="Arial"/>
          <w:color w:val="000000" w:themeColor="text1"/>
        </w:rPr>
        <w:t xml:space="preserve"> on days 7, 10</w:t>
      </w:r>
      <w:r>
        <w:rPr>
          <w:rFonts w:ascii="Arial" w:hAnsi="Arial" w:cs="Arial"/>
          <w:color w:val="000000" w:themeColor="text1"/>
        </w:rPr>
        <w:t>,</w:t>
      </w:r>
      <w:r w:rsidRPr="00D74025">
        <w:rPr>
          <w:rFonts w:ascii="Arial" w:hAnsi="Arial" w:cs="Arial"/>
          <w:color w:val="000000" w:themeColor="text1"/>
        </w:rPr>
        <w:t xml:space="preserve"> and 15 after tumor inoculation. </w:t>
      </w:r>
      <w:r>
        <w:rPr>
          <w:rFonts w:ascii="Arial" w:hAnsi="Arial" w:cs="Arial"/>
          <w:color w:val="000000" w:themeColor="text1"/>
        </w:rPr>
        <w:t>The results</w:t>
      </w:r>
      <w:r w:rsidRPr="00D74025">
        <w:rPr>
          <w:rFonts w:ascii="Arial" w:hAnsi="Arial" w:cs="Arial"/>
          <w:color w:val="000000" w:themeColor="text1"/>
        </w:rPr>
        <w:t xml:space="preserve"> of treated groups are compared to untreated 4T1</w:t>
      </w:r>
      <w:r>
        <w:rPr>
          <w:rFonts w:ascii="Arial" w:hAnsi="Arial" w:cs="Arial"/>
          <w:color w:val="000000" w:themeColor="text1"/>
        </w:rPr>
        <w:t>-</w:t>
      </w:r>
      <w:r w:rsidRPr="00D74025">
        <w:rPr>
          <w:rFonts w:ascii="Arial" w:hAnsi="Arial" w:cs="Arial"/>
          <w:color w:val="000000" w:themeColor="text1"/>
        </w:rPr>
        <w:t>tumor</w:t>
      </w:r>
      <w:r>
        <w:rPr>
          <w:rFonts w:ascii="Arial" w:hAnsi="Arial" w:cs="Arial"/>
          <w:color w:val="000000" w:themeColor="text1"/>
        </w:rPr>
        <w:t>-</w:t>
      </w:r>
      <w:r w:rsidRPr="00D74025">
        <w:rPr>
          <w:rFonts w:ascii="Arial" w:hAnsi="Arial" w:cs="Arial"/>
          <w:color w:val="000000" w:themeColor="text1"/>
        </w:rPr>
        <w:t>bearing mice (</w:t>
      </w:r>
      <w:r w:rsidR="00025CDB">
        <w:rPr>
          <w:rFonts w:ascii="Arial" w:hAnsi="Arial" w:cs="Arial"/>
          <w:color w:val="000000" w:themeColor="text1"/>
        </w:rPr>
        <w:t>c</w:t>
      </w:r>
      <w:r w:rsidRPr="00D74025">
        <w:rPr>
          <w:rFonts w:ascii="Arial" w:hAnsi="Arial" w:cs="Arial"/>
          <w:color w:val="000000" w:themeColor="text1"/>
        </w:rPr>
        <w:t xml:space="preserve">ontrol). Tumor volumes were monitored every 3 days, and so </w:t>
      </w:r>
      <w:r>
        <w:rPr>
          <w:rFonts w:ascii="Arial" w:hAnsi="Arial" w:cs="Arial"/>
          <w:color w:val="000000" w:themeColor="text1"/>
        </w:rPr>
        <w:t>were</w:t>
      </w:r>
      <w:r w:rsidRPr="00D74025">
        <w:rPr>
          <w:rFonts w:ascii="Arial" w:hAnsi="Arial" w:cs="Arial"/>
          <w:color w:val="000000" w:themeColor="text1"/>
        </w:rPr>
        <w:t xml:space="preserve"> the health conditions of the mice. Mice that seemed sick according to </w:t>
      </w:r>
      <w:r>
        <w:rPr>
          <w:rFonts w:ascii="Arial" w:hAnsi="Arial" w:cs="Arial"/>
          <w:color w:val="000000" w:themeColor="text1"/>
        </w:rPr>
        <w:t xml:space="preserve">the </w:t>
      </w:r>
      <w:r w:rsidRPr="00D74025">
        <w:rPr>
          <w:rFonts w:ascii="Arial" w:hAnsi="Arial" w:cs="Arial"/>
          <w:color w:val="000000" w:themeColor="text1"/>
        </w:rPr>
        <w:t>mouse Grimace scale were euthanized</w:t>
      </w:r>
      <w:r>
        <w:rPr>
          <w:rFonts w:ascii="Arial" w:hAnsi="Arial" w:cs="Arial"/>
          <w:color w:val="000000" w:themeColor="text1"/>
        </w:rPr>
        <w:t>,</w:t>
      </w:r>
      <w:r w:rsidRPr="00D74025">
        <w:rPr>
          <w:rFonts w:ascii="Arial" w:hAnsi="Arial" w:cs="Arial"/>
          <w:color w:val="000000" w:themeColor="text1"/>
        </w:rPr>
        <w:t xml:space="preserve"> or when the tumor size was greater than 15 mm. Results from this experiment are shown in </w:t>
      </w:r>
      <w:r w:rsidRPr="00573409">
        <w:rPr>
          <w:rFonts w:ascii="Arial" w:hAnsi="Arial" w:cs="Arial"/>
          <w:b/>
          <w:bCs/>
          <w:color w:val="000000" w:themeColor="text1"/>
        </w:rPr>
        <w:t xml:space="preserve">Figure </w:t>
      </w:r>
      <w:r w:rsidR="00573409" w:rsidRPr="00573409">
        <w:rPr>
          <w:rFonts w:ascii="Arial" w:hAnsi="Arial" w:cs="Arial"/>
          <w:b/>
          <w:bCs/>
          <w:color w:val="000000" w:themeColor="text1"/>
        </w:rPr>
        <w:t>42</w:t>
      </w:r>
      <w:r w:rsidRPr="00D74025">
        <w:rPr>
          <w:rFonts w:ascii="Arial" w:hAnsi="Arial" w:cs="Arial"/>
          <w:color w:val="000000" w:themeColor="text1"/>
        </w:rPr>
        <w:t>:</w:t>
      </w:r>
    </w:p>
    <w:p w14:paraId="722A4FEA" w14:textId="77777777" w:rsidR="001A6B18" w:rsidRPr="00D74025" w:rsidRDefault="001A6B18" w:rsidP="001A6B18">
      <w:pPr>
        <w:spacing w:line="360" w:lineRule="auto"/>
        <w:ind w:firstLine="1440"/>
        <w:jc w:val="both"/>
        <w:rPr>
          <w:rFonts w:ascii="Arial" w:hAnsi="Arial" w:cs="Arial"/>
          <w:b/>
          <w:bCs/>
          <w:color w:val="000000" w:themeColor="text1"/>
        </w:rPr>
      </w:pPr>
    </w:p>
    <w:tbl>
      <w:tblPr>
        <w:tblStyle w:val="TableGrid"/>
        <w:tblW w:w="0" w:type="auto"/>
        <w:tblLook w:val="04A0" w:firstRow="1" w:lastRow="0" w:firstColumn="1" w:lastColumn="0" w:noHBand="0" w:noVBand="1"/>
      </w:tblPr>
      <w:tblGrid>
        <w:gridCol w:w="9350"/>
      </w:tblGrid>
      <w:tr w:rsidR="00D74025" w:rsidRPr="00D74025" w14:paraId="6AEA67FC" w14:textId="77777777" w:rsidTr="0041035C">
        <w:tc>
          <w:tcPr>
            <w:tcW w:w="9350" w:type="dxa"/>
          </w:tcPr>
          <w:p w14:paraId="5C48AB8F" w14:textId="0F2E91EF" w:rsidR="001A6B18" w:rsidRPr="00D74025" w:rsidRDefault="00D434F3" w:rsidP="006F781B">
            <w:pPr>
              <w:snapToGrid w:val="0"/>
              <w:spacing w:beforeAutospacing="0" w:line="360" w:lineRule="auto"/>
              <w:ind w:firstLine="0"/>
              <w:rPr>
                <w:rFonts w:ascii="Arial" w:hAnsi="Arial" w:cs="Arial"/>
                <w:color w:val="000000" w:themeColor="text1"/>
              </w:rPr>
            </w:pPr>
            <w:r w:rsidRPr="00D434F3">
              <w:rPr>
                <w:rFonts w:ascii="Arial" w:hAnsi="Arial" w:cs="Arial"/>
                <w:noProof/>
                <w:color w:val="000000" w:themeColor="text1"/>
              </w:rPr>
              <w:lastRenderedPageBreak/>
              <w:drawing>
                <wp:inline distT="0" distB="0" distL="0" distR="0" wp14:anchorId="08A136D9" wp14:editId="36310564">
                  <wp:extent cx="5838398" cy="7256206"/>
                  <wp:effectExtent l="0" t="0" r="381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841809" cy="7260445"/>
                          </a:xfrm>
                          <a:prstGeom prst="rect">
                            <a:avLst/>
                          </a:prstGeom>
                        </pic:spPr>
                      </pic:pic>
                    </a:graphicData>
                  </a:graphic>
                </wp:inline>
              </w:drawing>
            </w:r>
          </w:p>
        </w:tc>
      </w:tr>
      <w:tr w:rsidR="001A6B18" w:rsidRPr="00D74025" w14:paraId="5CDF01E0" w14:textId="77777777" w:rsidTr="0041035C">
        <w:tc>
          <w:tcPr>
            <w:tcW w:w="9350" w:type="dxa"/>
          </w:tcPr>
          <w:p w14:paraId="3DA422FC" w14:textId="7B8F22FC" w:rsidR="001A6B18" w:rsidRPr="00D74025" w:rsidRDefault="00C6239D" w:rsidP="00C6239D">
            <w:pPr>
              <w:spacing w:before="0" w:beforeAutospacing="0" w:after="0" w:afterAutospacing="0" w:line="360" w:lineRule="auto"/>
              <w:ind w:firstLine="0"/>
              <w:rPr>
                <w:rFonts w:ascii="Arial" w:hAnsi="Arial" w:cs="Arial"/>
                <w:color w:val="000000" w:themeColor="text1"/>
              </w:rPr>
            </w:pPr>
            <w:bookmarkStart w:id="143" w:name="_Toc121217364"/>
            <w:r w:rsidRPr="00C6239D">
              <w:rPr>
                <w:rFonts w:ascii="Arial" w:hAnsi="Arial" w:cs="Arial"/>
                <w:b/>
                <w:bCs/>
                <w:color w:val="000000" w:themeColor="text1"/>
              </w:rPr>
              <w:t xml:space="preserve">Figure </w:t>
            </w:r>
            <w:r w:rsidRPr="00C6239D">
              <w:rPr>
                <w:rFonts w:ascii="Arial" w:hAnsi="Arial" w:cs="Arial"/>
                <w:b/>
                <w:bCs/>
                <w:color w:val="000000" w:themeColor="text1"/>
              </w:rPr>
              <w:fldChar w:fldCharType="begin"/>
            </w:r>
            <w:r w:rsidRPr="00C6239D">
              <w:rPr>
                <w:rFonts w:ascii="Arial" w:hAnsi="Arial" w:cs="Arial"/>
                <w:b/>
                <w:bCs/>
                <w:color w:val="000000" w:themeColor="text1"/>
              </w:rPr>
              <w:instrText xml:space="preserve"> SEQ Figure \* ARABIC </w:instrText>
            </w:r>
            <w:r w:rsidRPr="00C6239D">
              <w:rPr>
                <w:rFonts w:ascii="Arial" w:hAnsi="Arial" w:cs="Arial"/>
                <w:b/>
                <w:bCs/>
                <w:color w:val="000000" w:themeColor="text1"/>
              </w:rPr>
              <w:fldChar w:fldCharType="separate"/>
            </w:r>
            <w:r w:rsidR="002C4B25">
              <w:rPr>
                <w:rFonts w:ascii="Arial" w:hAnsi="Arial" w:cs="Arial"/>
                <w:b/>
                <w:bCs/>
                <w:noProof/>
                <w:color w:val="000000" w:themeColor="text1"/>
              </w:rPr>
              <w:t>42</w:t>
            </w:r>
            <w:r w:rsidRPr="00C6239D">
              <w:rPr>
                <w:rFonts w:ascii="Arial" w:hAnsi="Arial" w:cs="Arial"/>
                <w:b/>
                <w:bCs/>
                <w:color w:val="000000" w:themeColor="text1"/>
              </w:rPr>
              <w:fldChar w:fldCharType="end"/>
            </w:r>
            <w:r w:rsidR="003944CE" w:rsidRPr="00D74025">
              <w:rPr>
                <w:rFonts w:ascii="Arial" w:hAnsi="Arial" w:cs="Arial"/>
                <w:b/>
                <w:bCs/>
                <w:color w:val="000000" w:themeColor="text1"/>
              </w:rPr>
              <w:t>: Results of combinatorial therapy of checkpoint inhibition (anti-PD-1) and photothermal therapy (PTT) at 45</w:t>
            </w:r>
            <w:r w:rsidR="003944CE" w:rsidRPr="00D74025">
              <w:rPr>
                <w:rFonts w:ascii="Arial" w:hAnsi="Arial" w:cs="Arial"/>
                <w:b/>
                <w:bCs/>
                <w:color w:val="000000" w:themeColor="text1"/>
              </w:rPr>
              <w:sym w:font="Symbol" w:char="F0B0"/>
            </w:r>
            <w:r w:rsidR="003944CE" w:rsidRPr="00D74025">
              <w:rPr>
                <w:rFonts w:ascii="Arial" w:hAnsi="Arial" w:cs="Arial"/>
                <w:b/>
                <w:bCs/>
                <w:color w:val="000000" w:themeColor="text1"/>
              </w:rPr>
              <w:t xml:space="preserve">C (immediately stopped or kept for 5 min) </w:t>
            </w:r>
            <w:r w:rsidR="003944CE" w:rsidRPr="00D74025">
              <w:rPr>
                <w:rFonts w:ascii="Arial" w:hAnsi="Arial" w:cs="Arial"/>
                <w:b/>
                <w:bCs/>
                <w:color w:val="000000" w:themeColor="text1"/>
              </w:rPr>
              <w:lastRenderedPageBreak/>
              <w:t xml:space="preserve">in 4T1 tumors. </w:t>
            </w:r>
            <w:r w:rsidR="003944CE" w:rsidRPr="00D74025">
              <w:rPr>
                <w:rFonts w:ascii="Arial" w:hAnsi="Arial" w:cs="Arial"/>
                <w:color w:val="000000" w:themeColor="text1"/>
              </w:rPr>
              <w:t>Mice with well-developed orthotopic syngeneic tumors (d ≥ 5 mm) were administered an IT dose of 1.2 mg/kg SWCNT-ANXA5. Select groups received anti-PD-1 (10 mg/kg) on days 7, 10, and 15. Tumors were irradiated with a NIR laser at a power density of 1 W/cm</w:t>
            </w:r>
            <w:r w:rsidR="003944CE" w:rsidRPr="00D74025">
              <w:rPr>
                <w:rFonts w:ascii="Arial" w:hAnsi="Arial" w:cs="Arial"/>
                <w:color w:val="000000" w:themeColor="text1"/>
                <w:vertAlign w:val="superscript"/>
              </w:rPr>
              <w:t>2</w:t>
            </w:r>
            <w:r w:rsidR="003944CE" w:rsidRPr="00D74025">
              <w:rPr>
                <w:rFonts w:ascii="Arial" w:hAnsi="Arial" w:cs="Arial"/>
                <w:color w:val="000000" w:themeColor="text1"/>
              </w:rPr>
              <w:t xml:space="preserve">. Group anti-PD-1 + PTT (0 min) received irradiation until </w:t>
            </w:r>
            <w:r w:rsidR="003944CE">
              <w:rPr>
                <w:rFonts w:ascii="Arial" w:hAnsi="Arial" w:cs="Arial"/>
                <w:color w:val="000000" w:themeColor="text1"/>
              </w:rPr>
              <w:t xml:space="preserve">the </w:t>
            </w:r>
            <w:r w:rsidR="003944CE" w:rsidRPr="00D74025">
              <w:rPr>
                <w:rFonts w:ascii="Arial" w:hAnsi="Arial" w:cs="Arial"/>
                <w:color w:val="000000" w:themeColor="text1"/>
              </w:rPr>
              <w:t>tumor surface temperature reached 45</w:t>
            </w:r>
            <w:r w:rsidR="003944CE" w:rsidRPr="00D74025">
              <w:rPr>
                <w:rFonts w:ascii="Arial" w:hAnsi="Arial" w:cs="Arial"/>
                <w:color w:val="000000" w:themeColor="text1"/>
              </w:rPr>
              <w:sym w:font="Symbol" w:char="F0B0"/>
            </w:r>
            <w:r w:rsidR="003944CE" w:rsidRPr="00D74025">
              <w:rPr>
                <w:rFonts w:ascii="Arial" w:hAnsi="Arial" w:cs="Arial"/>
                <w:color w:val="000000" w:themeColor="text1"/>
              </w:rPr>
              <w:t>C, whereas group anti-PD-1 + PTT (5 min) received irradiation up to 45</w:t>
            </w:r>
            <w:r w:rsidR="003944CE" w:rsidRPr="00D74025">
              <w:rPr>
                <w:rFonts w:ascii="Arial" w:hAnsi="Arial" w:cs="Arial"/>
                <w:color w:val="000000" w:themeColor="text1"/>
              </w:rPr>
              <w:sym w:font="Symbol" w:char="F0B0"/>
            </w:r>
            <w:r w:rsidR="003944CE" w:rsidRPr="00D74025">
              <w:rPr>
                <w:rFonts w:ascii="Arial" w:hAnsi="Arial" w:cs="Arial"/>
                <w:color w:val="000000" w:themeColor="text1"/>
              </w:rPr>
              <w:t xml:space="preserve">C when </w:t>
            </w:r>
            <w:r w:rsidR="003944CE">
              <w:rPr>
                <w:rFonts w:ascii="Arial" w:hAnsi="Arial" w:cs="Arial"/>
                <w:color w:val="000000" w:themeColor="text1"/>
              </w:rPr>
              <w:t xml:space="preserve">the </w:t>
            </w:r>
            <w:r w:rsidR="003944CE" w:rsidRPr="00D74025">
              <w:rPr>
                <w:rFonts w:ascii="Arial" w:hAnsi="Arial" w:cs="Arial"/>
                <w:color w:val="000000" w:themeColor="text1"/>
              </w:rPr>
              <w:t>laser was cycled on/off to keep the tumor surface temperature at 45</w:t>
            </w:r>
            <w:r w:rsidR="003944CE" w:rsidRPr="00D74025">
              <w:rPr>
                <w:rFonts w:ascii="Arial" w:hAnsi="Arial" w:cs="Arial"/>
                <w:color w:val="000000" w:themeColor="text1"/>
              </w:rPr>
              <w:sym w:font="Symbol" w:char="F0B0"/>
            </w:r>
            <w:r w:rsidR="003944CE" w:rsidRPr="00D74025">
              <w:rPr>
                <w:rFonts w:ascii="Arial" w:hAnsi="Arial" w:cs="Arial"/>
                <w:color w:val="000000" w:themeColor="text1"/>
              </w:rPr>
              <w:t>C for 5 min. A) Tumor volume</w:t>
            </w:r>
            <w:r w:rsidR="003944CE">
              <w:rPr>
                <w:rFonts w:ascii="Arial" w:hAnsi="Arial" w:cs="Arial"/>
                <w:color w:val="000000" w:themeColor="text1"/>
              </w:rPr>
              <w:t>s</w:t>
            </w:r>
            <w:r w:rsidR="003944CE" w:rsidRPr="00D74025">
              <w:rPr>
                <w:rFonts w:ascii="Arial" w:hAnsi="Arial" w:cs="Arial"/>
                <w:color w:val="000000" w:themeColor="text1"/>
              </w:rPr>
              <w:t xml:space="preserve"> </w:t>
            </w:r>
            <w:r w:rsidR="003944CE">
              <w:rPr>
                <w:rFonts w:ascii="Arial" w:hAnsi="Arial" w:cs="Arial"/>
                <w:color w:val="000000" w:themeColor="text1"/>
              </w:rPr>
              <w:t>are shown</w:t>
            </w:r>
            <w:r w:rsidR="003944CE" w:rsidRPr="00D74025">
              <w:rPr>
                <w:rFonts w:ascii="Arial" w:hAnsi="Arial" w:cs="Arial"/>
                <w:color w:val="000000" w:themeColor="text1"/>
              </w:rPr>
              <w:t xml:space="preserve"> as mean ± SE (n</w:t>
            </w:r>
            <w:r w:rsidR="00EA6B44">
              <w:rPr>
                <w:rFonts w:ascii="Arial" w:hAnsi="Arial" w:cs="Arial"/>
                <w:color w:val="000000" w:themeColor="text1"/>
              </w:rPr>
              <w:t> </w:t>
            </w:r>
            <w:r w:rsidR="003944CE" w:rsidRPr="00D74025">
              <w:rPr>
                <w:rFonts w:ascii="Arial" w:hAnsi="Arial" w:cs="Arial"/>
                <w:color w:val="000000" w:themeColor="text1"/>
              </w:rPr>
              <w:t xml:space="preserve">= 10). Statistical significance was analyzed for </w:t>
            </w:r>
            <w:r w:rsidR="00BE21D7">
              <w:rPr>
                <w:rFonts w:ascii="Arial" w:hAnsi="Arial" w:cs="Arial"/>
                <w:color w:val="000000" w:themeColor="text1"/>
              </w:rPr>
              <w:t xml:space="preserve">treated </w:t>
            </w:r>
            <w:r w:rsidR="003944CE" w:rsidRPr="00D74025">
              <w:rPr>
                <w:rFonts w:ascii="Arial" w:hAnsi="Arial" w:cs="Arial"/>
                <w:color w:val="000000" w:themeColor="text1"/>
              </w:rPr>
              <w:t xml:space="preserve">groups compared to </w:t>
            </w:r>
            <w:r w:rsidR="003944CE">
              <w:rPr>
                <w:rFonts w:ascii="Arial" w:hAnsi="Arial" w:cs="Arial"/>
                <w:color w:val="000000" w:themeColor="text1"/>
              </w:rPr>
              <w:t xml:space="preserve">the </w:t>
            </w:r>
            <w:r w:rsidR="003944CE" w:rsidRPr="00D74025">
              <w:rPr>
                <w:rFonts w:ascii="Arial" w:hAnsi="Arial" w:cs="Arial"/>
                <w:color w:val="000000" w:themeColor="text1"/>
              </w:rPr>
              <w:t>control group by one-way ANOVA with Dunnett’s multiple comparisons test. Statistical significance is indicated by *p &lt; 0.05</w:t>
            </w:r>
            <w:r w:rsidR="00BE21D7">
              <w:rPr>
                <w:rFonts w:ascii="Arial" w:hAnsi="Arial" w:cs="Arial"/>
                <w:color w:val="000000" w:themeColor="text1"/>
              </w:rPr>
              <w:t>,</w:t>
            </w:r>
            <w:r w:rsidR="003944CE" w:rsidRPr="00D74025">
              <w:rPr>
                <w:rFonts w:ascii="Arial" w:hAnsi="Arial" w:cs="Arial"/>
                <w:color w:val="000000" w:themeColor="text1"/>
              </w:rPr>
              <w:t xml:space="preserve"> **p &lt; 0.01</w:t>
            </w:r>
            <w:r w:rsidR="00BE21D7">
              <w:rPr>
                <w:rFonts w:ascii="Arial" w:hAnsi="Arial" w:cs="Arial"/>
                <w:color w:val="000000" w:themeColor="text1"/>
              </w:rPr>
              <w:t xml:space="preserve">, ***p &lt;0.001, </w:t>
            </w:r>
            <w:r w:rsidR="00B67FDB">
              <w:rPr>
                <w:rFonts w:ascii="Arial" w:hAnsi="Arial" w:cs="Arial"/>
                <w:color w:val="000000" w:themeColor="text1"/>
              </w:rPr>
              <w:t>****p &lt; 0.0001.</w:t>
            </w:r>
            <w:r w:rsidR="003944CE" w:rsidRPr="00D74025">
              <w:rPr>
                <w:rFonts w:ascii="Arial" w:hAnsi="Arial" w:cs="Arial"/>
                <w:color w:val="000000" w:themeColor="text1"/>
              </w:rPr>
              <w:t xml:space="preserve"> B) Survival curve</w:t>
            </w:r>
            <w:r w:rsidR="00A11862">
              <w:rPr>
                <w:rFonts w:ascii="Arial" w:hAnsi="Arial" w:cs="Arial"/>
                <w:color w:val="000000" w:themeColor="text1"/>
              </w:rPr>
              <w:t>s</w:t>
            </w:r>
            <w:r w:rsidR="003944CE" w:rsidRPr="00D74025">
              <w:rPr>
                <w:rFonts w:ascii="Arial" w:hAnsi="Arial" w:cs="Arial"/>
                <w:color w:val="000000" w:themeColor="text1"/>
              </w:rPr>
              <w:t xml:space="preserve">. </w:t>
            </w:r>
            <w:r w:rsidR="003944CE" w:rsidRPr="00D74025">
              <w:rPr>
                <w:rFonts w:ascii="Calibri" w:hAnsi="Calibri" w:cs="Calibri"/>
                <w:color w:val="000000" w:themeColor="text1"/>
              </w:rPr>
              <w:t>﻿</w:t>
            </w:r>
            <w:r w:rsidR="003944CE">
              <w:rPr>
                <w:rFonts w:ascii="Arial" w:hAnsi="Arial" w:cs="Arial"/>
                <w:color w:val="000000" w:themeColor="text1"/>
              </w:rPr>
              <w:t>The statistical</w:t>
            </w:r>
            <w:r w:rsidR="003944CE" w:rsidRPr="00D74025">
              <w:rPr>
                <w:rFonts w:ascii="Arial" w:hAnsi="Arial" w:cs="Arial"/>
                <w:color w:val="000000" w:themeColor="text1"/>
              </w:rPr>
              <w:t xml:space="preserve"> significance of survival curves was determined by the Mantel–Haenszel log-rank test in GraphPad Pri</w:t>
            </w:r>
            <w:r w:rsidR="00004D7D">
              <w:rPr>
                <w:rFonts w:ascii="Arial" w:hAnsi="Arial" w:cs="Arial"/>
                <w:color w:val="000000" w:themeColor="text1"/>
              </w:rPr>
              <w:t>s</w:t>
            </w:r>
            <w:r w:rsidR="003944CE" w:rsidRPr="00D74025">
              <w:rPr>
                <w:rFonts w:ascii="Arial" w:hAnsi="Arial" w:cs="Arial"/>
                <w:color w:val="000000" w:themeColor="text1"/>
              </w:rPr>
              <w:t xml:space="preserve">m </w:t>
            </w:r>
            <w:r w:rsidR="00004D7D">
              <w:rPr>
                <w:rFonts w:ascii="Arial" w:hAnsi="Arial" w:cs="Arial"/>
                <w:color w:val="000000" w:themeColor="text1"/>
              </w:rPr>
              <w:t>8</w:t>
            </w:r>
            <w:r w:rsidR="003944CE" w:rsidRPr="00D74025">
              <w:rPr>
                <w:rFonts w:ascii="Arial" w:hAnsi="Arial" w:cs="Arial"/>
                <w:color w:val="000000" w:themeColor="text1"/>
              </w:rPr>
              <w:t xml:space="preserve">, compared to untreated control. </w:t>
            </w:r>
            <w:r w:rsidR="003944CE">
              <w:rPr>
                <w:rFonts w:ascii="Arial" w:hAnsi="Arial" w:cs="Arial"/>
                <w:color w:val="000000" w:themeColor="text1"/>
              </w:rPr>
              <w:t>The increase</w:t>
            </w:r>
            <w:r w:rsidR="003944CE" w:rsidRPr="00D74025">
              <w:rPr>
                <w:rFonts w:ascii="Arial" w:hAnsi="Arial" w:cs="Arial"/>
                <w:color w:val="000000" w:themeColor="text1"/>
              </w:rPr>
              <w:t xml:space="preserve"> </w:t>
            </w:r>
            <w:r w:rsidR="003944CE">
              <w:rPr>
                <w:rFonts w:ascii="Arial" w:hAnsi="Arial" w:cs="Arial"/>
                <w:color w:val="000000" w:themeColor="text1"/>
              </w:rPr>
              <w:t>in</w:t>
            </w:r>
            <w:r w:rsidR="003944CE" w:rsidRPr="00D74025">
              <w:rPr>
                <w:rFonts w:ascii="Arial" w:hAnsi="Arial" w:cs="Arial"/>
                <w:color w:val="000000" w:themeColor="text1"/>
              </w:rPr>
              <w:t xml:space="preserve"> survival from </w:t>
            </w:r>
            <w:r w:rsidR="003944CE">
              <w:rPr>
                <w:rFonts w:ascii="Arial" w:hAnsi="Arial" w:cs="Arial"/>
                <w:color w:val="000000" w:themeColor="text1"/>
              </w:rPr>
              <w:t xml:space="preserve">the </w:t>
            </w:r>
            <w:r w:rsidR="003944CE" w:rsidRPr="00D74025">
              <w:rPr>
                <w:rFonts w:ascii="Arial" w:hAnsi="Arial" w:cs="Arial"/>
                <w:color w:val="000000" w:themeColor="text1"/>
              </w:rPr>
              <w:t xml:space="preserve">anti-PD-1 + PTT (5 min) group is statistically significant from </w:t>
            </w:r>
            <w:r w:rsidR="003944CE">
              <w:rPr>
                <w:rFonts w:ascii="Arial" w:hAnsi="Arial" w:cs="Arial"/>
                <w:color w:val="000000" w:themeColor="text1"/>
              </w:rPr>
              <w:t xml:space="preserve">the </w:t>
            </w:r>
            <w:r w:rsidR="003944CE" w:rsidRPr="00D74025">
              <w:rPr>
                <w:rFonts w:ascii="Arial" w:hAnsi="Arial" w:cs="Arial"/>
                <w:color w:val="000000" w:themeColor="text1"/>
              </w:rPr>
              <w:t>control (**p &lt; 0.01, n = 10).</w:t>
            </w:r>
            <w:bookmarkEnd w:id="143"/>
            <w:r w:rsidR="003944CE" w:rsidRPr="00D74025">
              <w:rPr>
                <w:rFonts w:ascii="Arial" w:hAnsi="Arial" w:cs="Arial"/>
                <w:color w:val="000000" w:themeColor="text1"/>
              </w:rPr>
              <w:t xml:space="preserve"> </w:t>
            </w:r>
          </w:p>
        </w:tc>
      </w:tr>
    </w:tbl>
    <w:p w14:paraId="27CD09C3" w14:textId="0ABA62A3" w:rsidR="00A06BDB" w:rsidRPr="00D74025" w:rsidRDefault="00A06BDB" w:rsidP="00017375">
      <w:pPr>
        <w:rPr>
          <w:color w:val="000000" w:themeColor="text1"/>
        </w:rPr>
      </w:pPr>
    </w:p>
    <w:p w14:paraId="78F81395" w14:textId="6014364F" w:rsidR="00F2798D" w:rsidRPr="00D74025" w:rsidRDefault="00F2798D" w:rsidP="00017375">
      <w:pPr>
        <w:rPr>
          <w:color w:val="000000" w:themeColor="text1"/>
        </w:rPr>
      </w:pPr>
    </w:p>
    <w:p w14:paraId="2F9A1BFD" w14:textId="0C5515C3" w:rsidR="003C54B7" w:rsidRPr="00D74025" w:rsidRDefault="003C54B7" w:rsidP="003C54B7">
      <w:pPr>
        <w:spacing w:line="360" w:lineRule="auto"/>
        <w:ind w:firstLine="1440"/>
        <w:jc w:val="both"/>
        <w:rPr>
          <w:rFonts w:ascii="Arial" w:hAnsi="Arial" w:cs="Arial"/>
          <w:color w:val="000000" w:themeColor="text1"/>
        </w:rPr>
      </w:pPr>
      <w:r w:rsidRPr="00D74025">
        <w:rPr>
          <w:rFonts w:ascii="Arial" w:hAnsi="Arial" w:cs="Arial"/>
          <w:color w:val="000000" w:themeColor="text1"/>
        </w:rPr>
        <w:t>We have obtained encouraging results with the survival study in which EMT6</w:t>
      </w:r>
      <w:r>
        <w:rPr>
          <w:rFonts w:ascii="Arial" w:hAnsi="Arial" w:cs="Arial"/>
          <w:color w:val="000000" w:themeColor="text1"/>
        </w:rPr>
        <w:t>-tumor-bearing</w:t>
      </w:r>
      <w:r w:rsidRPr="00D74025">
        <w:rPr>
          <w:rFonts w:ascii="Arial" w:hAnsi="Arial" w:cs="Arial"/>
          <w:color w:val="000000" w:themeColor="text1"/>
        </w:rPr>
        <w:t xml:space="preserve"> mice were treated with SWCNT-mediated PTT </w:t>
      </w:r>
      <w:r w:rsidR="001C7335">
        <w:rPr>
          <w:rFonts w:ascii="Arial" w:hAnsi="Arial" w:cs="Arial"/>
          <w:color w:val="000000" w:themeColor="text1"/>
        </w:rPr>
        <w:t>at 45</w:t>
      </w:r>
      <w:r w:rsidR="001C7335">
        <w:rPr>
          <w:rFonts w:ascii="Arial" w:hAnsi="Arial" w:cs="Arial"/>
          <w:color w:val="000000" w:themeColor="text1"/>
        </w:rPr>
        <w:sym w:font="Symbol" w:char="F0B0"/>
      </w:r>
      <w:r w:rsidR="001C7335">
        <w:rPr>
          <w:rFonts w:ascii="Arial" w:hAnsi="Arial" w:cs="Arial"/>
          <w:color w:val="000000" w:themeColor="text1"/>
        </w:rPr>
        <w:t xml:space="preserve">C </w:t>
      </w:r>
      <w:r w:rsidR="00EC71F3">
        <w:rPr>
          <w:rFonts w:ascii="Arial" w:hAnsi="Arial" w:cs="Arial"/>
          <w:color w:val="000000" w:themeColor="text1"/>
        </w:rPr>
        <w:t xml:space="preserve">for 5 min in </w:t>
      </w:r>
      <w:r w:rsidRPr="00D74025">
        <w:rPr>
          <w:rFonts w:ascii="Arial" w:hAnsi="Arial" w:cs="Arial"/>
          <w:color w:val="000000" w:themeColor="text1"/>
        </w:rPr>
        <w:t>combination with checkpoint inhibition using anti-PD-1</w:t>
      </w:r>
      <w:r>
        <w:rPr>
          <w:rFonts w:ascii="Arial" w:hAnsi="Arial" w:cs="Arial"/>
          <w:color w:val="000000" w:themeColor="text1"/>
        </w:rPr>
        <w:t xml:space="preserve"> (</w:t>
      </w:r>
      <w:r w:rsidRPr="00CC150A">
        <w:rPr>
          <w:rFonts w:ascii="Arial" w:hAnsi="Arial" w:cs="Arial"/>
          <w:b/>
          <w:bCs/>
          <w:color w:val="000000" w:themeColor="text1"/>
        </w:rPr>
        <w:t>Figure</w:t>
      </w:r>
      <w:r w:rsidR="00EC71F3" w:rsidRPr="00CC150A">
        <w:rPr>
          <w:rFonts w:ascii="Arial" w:hAnsi="Arial" w:cs="Arial"/>
          <w:b/>
          <w:bCs/>
          <w:color w:val="000000" w:themeColor="text1"/>
        </w:rPr>
        <w:t xml:space="preserve"> 41</w:t>
      </w:r>
      <w:r>
        <w:rPr>
          <w:rFonts w:ascii="Arial" w:hAnsi="Arial" w:cs="Arial"/>
          <w:color w:val="000000" w:themeColor="text1"/>
        </w:rPr>
        <w:t>)</w:t>
      </w:r>
      <w:r w:rsidRPr="00D74025">
        <w:rPr>
          <w:rFonts w:ascii="Arial" w:hAnsi="Arial" w:cs="Arial"/>
          <w:color w:val="000000" w:themeColor="text1"/>
        </w:rPr>
        <w:t xml:space="preserve">. The same treatment in a 4T1 tumor model resulted in </w:t>
      </w:r>
      <w:r>
        <w:rPr>
          <w:rFonts w:ascii="Arial" w:hAnsi="Arial" w:cs="Arial"/>
          <w:color w:val="000000" w:themeColor="text1"/>
        </w:rPr>
        <w:t xml:space="preserve">a </w:t>
      </w:r>
      <w:r w:rsidRPr="00D74025">
        <w:rPr>
          <w:rFonts w:ascii="Arial" w:hAnsi="Arial" w:cs="Arial"/>
          <w:color w:val="000000" w:themeColor="text1"/>
        </w:rPr>
        <w:t xml:space="preserve">statistically significant decrease in tumor volumes in the anti-PD-1 + PTT (5 min) group compared to </w:t>
      </w:r>
      <w:r>
        <w:rPr>
          <w:rFonts w:ascii="Arial" w:hAnsi="Arial" w:cs="Arial"/>
          <w:color w:val="000000" w:themeColor="text1"/>
        </w:rPr>
        <w:t xml:space="preserve">the </w:t>
      </w:r>
      <w:r w:rsidRPr="00D74025">
        <w:rPr>
          <w:rFonts w:ascii="Arial" w:hAnsi="Arial" w:cs="Arial"/>
          <w:color w:val="000000" w:themeColor="text1"/>
        </w:rPr>
        <w:t xml:space="preserve">control (untreated) for the entire </w:t>
      </w:r>
      <w:r>
        <w:rPr>
          <w:rFonts w:ascii="Arial" w:hAnsi="Arial" w:cs="Arial"/>
          <w:color w:val="000000" w:themeColor="text1"/>
        </w:rPr>
        <w:t>study duration</w:t>
      </w:r>
      <w:r w:rsidR="003C5F34">
        <w:rPr>
          <w:rFonts w:ascii="Arial" w:hAnsi="Arial" w:cs="Arial"/>
          <w:color w:val="000000" w:themeColor="text1"/>
        </w:rPr>
        <w:t xml:space="preserve"> (</w:t>
      </w:r>
      <w:r w:rsidR="003C5F34" w:rsidRPr="003C5F34">
        <w:rPr>
          <w:rFonts w:ascii="Arial" w:hAnsi="Arial" w:cs="Arial"/>
          <w:b/>
          <w:bCs/>
          <w:color w:val="000000" w:themeColor="text1"/>
        </w:rPr>
        <w:t>Figure 42</w:t>
      </w:r>
      <w:r w:rsidR="003C5F34">
        <w:rPr>
          <w:rFonts w:ascii="Arial" w:hAnsi="Arial" w:cs="Arial"/>
          <w:color w:val="000000" w:themeColor="text1"/>
        </w:rPr>
        <w:t>)</w:t>
      </w:r>
      <w:r w:rsidRPr="00D74025">
        <w:rPr>
          <w:rFonts w:ascii="Arial" w:hAnsi="Arial" w:cs="Arial"/>
          <w:color w:val="000000" w:themeColor="text1"/>
        </w:rPr>
        <w:t xml:space="preserve">. Meanwhile, for the anti-PD-1 + PTT (0 min) group, the statistical significance of tumor volumes compared to control started after PTT day and ended on day 25 (17 days after PTT). Additionally, the combination of anti-PD-1 and PTT for 5 min induced a </w:t>
      </w:r>
      <w:r>
        <w:rPr>
          <w:rFonts w:ascii="Arial" w:hAnsi="Arial" w:cs="Arial"/>
          <w:color w:val="000000" w:themeColor="text1"/>
        </w:rPr>
        <w:t>statistically</w:t>
      </w:r>
      <w:r w:rsidRPr="00D74025">
        <w:rPr>
          <w:rFonts w:ascii="Arial" w:hAnsi="Arial" w:cs="Arial"/>
          <w:color w:val="000000" w:themeColor="text1"/>
        </w:rPr>
        <w:t xml:space="preserve"> significant increase in survival (p </w:t>
      </w:r>
      <w:r>
        <w:rPr>
          <w:rFonts w:ascii="Arial" w:hAnsi="Arial" w:cs="Arial"/>
          <w:color w:val="000000" w:themeColor="text1"/>
        </w:rPr>
        <w:t>&lt;</w:t>
      </w:r>
      <w:r w:rsidRPr="00D74025">
        <w:rPr>
          <w:rFonts w:ascii="Arial" w:hAnsi="Arial" w:cs="Arial"/>
          <w:color w:val="000000" w:themeColor="text1"/>
        </w:rPr>
        <w:t xml:space="preserve"> 0.05) compared to untreated control. </w:t>
      </w:r>
      <w:r>
        <w:rPr>
          <w:rFonts w:ascii="Arial" w:hAnsi="Arial" w:cs="Arial"/>
          <w:color w:val="000000" w:themeColor="text1"/>
        </w:rPr>
        <w:t>On</w:t>
      </w:r>
      <w:r w:rsidRPr="00D74025">
        <w:rPr>
          <w:rFonts w:ascii="Arial" w:hAnsi="Arial" w:cs="Arial"/>
          <w:color w:val="000000" w:themeColor="text1"/>
        </w:rPr>
        <w:t xml:space="preserve"> the other hand, the same combination therapy but</w:t>
      </w:r>
      <w:r>
        <w:rPr>
          <w:rFonts w:ascii="Arial" w:hAnsi="Arial" w:cs="Arial"/>
          <w:color w:val="000000" w:themeColor="text1"/>
        </w:rPr>
        <w:t xml:space="preserve"> </w:t>
      </w:r>
      <w:r w:rsidRPr="00D74025">
        <w:rPr>
          <w:rFonts w:ascii="Arial" w:hAnsi="Arial" w:cs="Arial"/>
          <w:color w:val="000000" w:themeColor="text1"/>
        </w:rPr>
        <w:t>stopping the PTT immediately after reaching 45</w:t>
      </w:r>
      <w:r w:rsidRPr="00D74025">
        <w:rPr>
          <w:rFonts w:ascii="Arial" w:hAnsi="Arial" w:cs="Arial"/>
          <w:color w:val="000000" w:themeColor="text1"/>
        </w:rPr>
        <w:sym w:font="Symbol" w:char="F0B0"/>
      </w:r>
      <w:r w:rsidRPr="00D74025">
        <w:rPr>
          <w:rFonts w:ascii="Arial" w:hAnsi="Arial" w:cs="Arial"/>
          <w:color w:val="000000" w:themeColor="text1"/>
        </w:rPr>
        <w:t xml:space="preserve">C did not </w:t>
      </w:r>
      <w:r>
        <w:rPr>
          <w:rFonts w:ascii="Arial" w:hAnsi="Arial" w:cs="Arial"/>
          <w:color w:val="000000" w:themeColor="text1"/>
        </w:rPr>
        <w:t>increase</w:t>
      </w:r>
      <w:r w:rsidRPr="00D74025">
        <w:rPr>
          <w:rFonts w:ascii="Arial" w:hAnsi="Arial" w:cs="Arial"/>
          <w:color w:val="000000" w:themeColor="text1"/>
        </w:rPr>
        <w:t xml:space="preserve"> survival in 4T1 tumors. Th</w:t>
      </w:r>
      <w:r w:rsidR="00DE4000">
        <w:rPr>
          <w:rFonts w:ascii="Arial" w:hAnsi="Arial" w:cs="Arial"/>
          <w:color w:val="000000" w:themeColor="text1"/>
        </w:rPr>
        <w:t>e</w:t>
      </w:r>
      <w:r w:rsidRPr="00D74025">
        <w:rPr>
          <w:rFonts w:ascii="Arial" w:hAnsi="Arial" w:cs="Arial"/>
          <w:color w:val="000000" w:themeColor="text1"/>
        </w:rPr>
        <w:t xml:space="preserve">se results strengthen the hypothesis that the irradiation of </w:t>
      </w:r>
      <w:r>
        <w:rPr>
          <w:rFonts w:ascii="Arial" w:hAnsi="Arial" w:cs="Arial"/>
          <w:color w:val="000000" w:themeColor="text1"/>
        </w:rPr>
        <w:t>cancer</w:t>
      </w:r>
      <w:r w:rsidRPr="00D74025">
        <w:rPr>
          <w:rFonts w:ascii="Arial" w:hAnsi="Arial" w:cs="Arial"/>
          <w:color w:val="000000" w:themeColor="text1"/>
        </w:rPr>
        <w:t xml:space="preserve"> for longer times turning the laser on/off induce a more efficient ablation of the entirety of the tumor volume. More experiments should be done to assess the heat transfer to deeper layers of the tumor during </w:t>
      </w:r>
      <w:r>
        <w:rPr>
          <w:rFonts w:ascii="Arial" w:hAnsi="Arial" w:cs="Arial"/>
          <w:color w:val="000000" w:themeColor="text1"/>
        </w:rPr>
        <w:t>their superficial irradiation</w:t>
      </w:r>
      <w:r w:rsidRPr="00D74025">
        <w:rPr>
          <w:rFonts w:ascii="Arial" w:hAnsi="Arial" w:cs="Arial"/>
          <w:color w:val="000000" w:themeColor="text1"/>
        </w:rPr>
        <w:t xml:space="preserve">. </w:t>
      </w:r>
    </w:p>
    <w:p w14:paraId="79A1962C" w14:textId="77777777" w:rsidR="00B00DFA" w:rsidRPr="00D74025" w:rsidRDefault="00B00DFA" w:rsidP="00B00DFA">
      <w:pPr>
        <w:spacing w:line="360" w:lineRule="auto"/>
        <w:ind w:firstLine="1440"/>
        <w:jc w:val="both"/>
        <w:rPr>
          <w:rFonts w:ascii="Arial" w:hAnsi="Arial" w:cs="Arial"/>
          <w:color w:val="000000" w:themeColor="text1"/>
        </w:rPr>
      </w:pPr>
      <w:r w:rsidRPr="00D74025">
        <w:rPr>
          <w:rFonts w:ascii="Arial" w:hAnsi="Arial" w:cs="Arial"/>
          <w:color w:val="000000" w:themeColor="text1"/>
        </w:rPr>
        <w:lastRenderedPageBreak/>
        <w:t>Even though the combination therapy of anti-PD-1 and PTT at 45</w:t>
      </w:r>
      <w:r w:rsidRPr="00D74025">
        <w:rPr>
          <w:rFonts w:ascii="Arial" w:hAnsi="Arial" w:cs="Arial"/>
          <w:color w:val="000000" w:themeColor="text1"/>
        </w:rPr>
        <w:sym w:font="Symbol" w:char="F0B0"/>
      </w:r>
      <w:r w:rsidRPr="00D74025">
        <w:rPr>
          <w:rFonts w:ascii="Arial" w:hAnsi="Arial" w:cs="Arial"/>
          <w:color w:val="000000" w:themeColor="text1"/>
        </w:rPr>
        <w:t>C for 5</w:t>
      </w:r>
      <w:r>
        <w:rPr>
          <w:rFonts w:ascii="Arial" w:hAnsi="Arial" w:cs="Arial"/>
          <w:color w:val="000000" w:themeColor="text1"/>
        </w:rPr>
        <w:t> </w:t>
      </w:r>
      <w:r w:rsidRPr="00D74025">
        <w:rPr>
          <w:rFonts w:ascii="Arial" w:hAnsi="Arial" w:cs="Arial"/>
          <w:color w:val="000000" w:themeColor="text1"/>
        </w:rPr>
        <w:t xml:space="preserve">min </w:t>
      </w:r>
      <w:r>
        <w:rPr>
          <w:rFonts w:ascii="Arial" w:hAnsi="Arial" w:cs="Arial"/>
          <w:color w:val="000000" w:themeColor="text1"/>
        </w:rPr>
        <w:t>induced</w:t>
      </w:r>
      <w:r w:rsidRPr="00D74025">
        <w:rPr>
          <w:rFonts w:ascii="Arial" w:hAnsi="Arial" w:cs="Arial"/>
          <w:color w:val="000000" w:themeColor="text1"/>
        </w:rPr>
        <w:t xml:space="preserve"> an increase in survival compared to </w:t>
      </w:r>
      <w:r>
        <w:rPr>
          <w:rFonts w:ascii="Arial" w:hAnsi="Arial" w:cs="Arial"/>
          <w:color w:val="000000" w:themeColor="text1"/>
        </w:rPr>
        <w:t xml:space="preserve">the </w:t>
      </w:r>
      <w:r w:rsidRPr="00D74025">
        <w:rPr>
          <w:rFonts w:ascii="Arial" w:hAnsi="Arial" w:cs="Arial"/>
          <w:color w:val="000000" w:themeColor="text1"/>
        </w:rPr>
        <w:t xml:space="preserve">untreated group in 4T1, those results are not as satisfactory as the results from the same therapy in EMT6 tumor models. For the group anti-PD-1 + PTT (5 min), the treatment resulted in </w:t>
      </w:r>
      <w:proofErr w:type="gramStart"/>
      <w:r w:rsidRPr="00D74025">
        <w:rPr>
          <w:rFonts w:ascii="Arial" w:hAnsi="Arial" w:cs="Arial"/>
          <w:color w:val="000000" w:themeColor="text1"/>
        </w:rPr>
        <w:t>an 80% survival 100 days</w:t>
      </w:r>
      <w:proofErr w:type="gramEnd"/>
      <w:r w:rsidRPr="00D74025">
        <w:rPr>
          <w:rFonts w:ascii="Arial" w:hAnsi="Arial" w:cs="Arial"/>
          <w:color w:val="000000" w:themeColor="text1"/>
        </w:rPr>
        <w:t xml:space="preserve"> after tumor inoculation for EMT6 tumors</w:t>
      </w:r>
      <w:r>
        <w:rPr>
          <w:rFonts w:ascii="Arial" w:hAnsi="Arial" w:cs="Arial"/>
          <w:color w:val="000000" w:themeColor="text1"/>
        </w:rPr>
        <w:t>. The</w:t>
      </w:r>
      <w:r w:rsidRPr="00D74025">
        <w:rPr>
          <w:rFonts w:ascii="Arial" w:hAnsi="Arial" w:cs="Arial"/>
          <w:color w:val="000000" w:themeColor="text1"/>
        </w:rPr>
        <w:t xml:space="preserve"> median survival was 40 days for 4T1 tumors</w:t>
      </w:r>
      <w:r>
        <w:rPr>
          <w:rFonts w:ascii="Arial" w:hAnsi="Arial" w:cs="Arial"/>
          <w:color w:val="000000" w:themeColor="text1"/>
        </w:rPr>
        <w:t xml:space="preserve"> treated with the same therapy</w:t>
      </w:r>
      <w:r w:rsidRPr="00D74025">
        <w:rPr>
          <w:rFonts w:ascii="Arial" w:hAnsi="Arial" w:cs="Arial"/>
          <w:color w:val="000000" w:themeColor="text1"/>
        </w:rPr>
        <w:t>. Th</w:t>
      </w:r>
      <w:r>
        <w:rPr>
          <w:rFonts w:ascii="Arial" w:hAnsi="Arial" w:cs="Arial"/>
          <w:color w:val="000000" w:themeColor="text1"/>
        </w:rPr>
        <w:t>ose comparable results</w:t>
      </w:r>
      <w:r w:rsidRPr="00D74025">
        <w:rPr>
          <w:rFonts w:ascii="Arial" w:hAnsi="Arial" w:cs="Arial"/>
          <w:color w:val="000000" w:themeColor="text1"/>
        </w:rPr>
        <w:t xml:space="preserve"> speak for the aggressiveness of 4T1 tumors compared to EMT6 tumors. </w:t>
      </w:r>
      <w:r>
        <w:rPr>
          <w:rFonts w:ascii="Arial" w:hAnsi="Arial" w:cs="Arial"/>
          <w:color w:val="000000" w:themeColor="text1"/>
        </w:rPr>
        <w:t xml:space="preserve">Additionally, </w:t>
      </w:r>
      <w:r w:rsidRPr="00D74025">
        <w:rPr>
          <w:rFonts w:ascii="Arial" w:hAnsi="Arial" w:cs="Arial"/>
          <w:color w:val="000000" w:themeColor="text1"/>
        </w:rPr>
        <w:t xml:space="preserve">4T1 </w:t>
      </w:r>
      <w:r>
        <w:rPr>
          <w:rFonts w:ascii="Arial" w:hAnsi="Arial" w:cs="Arial"/>
          <w:color w:val="000000" w:themeColor="text1"/>
        </w:rPr>
        <w:t>tumors</w:t>
      </w:r>
      <w:r w:rsidRPr="00D74025">
        <w:rPr>
          <w:rFonts w:ascii="Arial" w:hAnsi="Arial" w:cs="Arial"/>
          <w:color w:val="000000" w:themeColor="text1"/>
        </w:rPr>
        <w:t xml:space="preserve"> are less immunogenic than EMT6 tumors</w:t>
      </w:r>
      <w:r>
        <w:rPr>
          <w:rFonts w:ascii="Arial" w:hAnsi="Arial" w:cs="Arial"/>
          <w:color w:val="000000" w:themeColor="text1"/>
        </w:rPr>
        <w:t>, t</w:t>
      </w:r>
      <w:r w:rsidRPr="00D74025">
        <w:rPr>
          <w:rFonts w:ascii="Arial" w:hAnsi="Arial" w:cs="Arial"/>
          <w:color w:val="000000" w:themeColor="text1"/>
        </w:rPr>
        <w:t>hus, less responsive to immunotherapy.</w:t>
      </w:r>
      <w:r>
        <w:rPr>
          <w:rFonts w:ascii="Arial" w:hAnsi="Arial" w:cs="Arial"/>
          <w:color w:val="000000" w:themeColor="text1"/>
        </w:rPr>
        <w:t xml:space="preserve"> T</w:t>
      </w:r>
      <w:r w:rsidRPr="00D74025">
        <w:rPr>
          <w:rFonts w:ascii="Arial" w:hAnsi="Arial" w:cs="Arial"/>
          <w:color w:val="000000" w:themeColor="text1"/>
        </w:rPr>
        <w:t>here is evidence in the literature that the lack of tumor-infiltrating lymphocytes (</w:t>
      </w:r>
      <w:proofErr w:type="spellStart"/>
      <w:r w:rsidRPr="00D74025">
        <w:rPr>
          <w:rFonts w:ascii="Arial" w:hAnsi="Arial" w:cs="Arial"/>
          <w:color w:val="000000" w:themeColor="text1"/>
        </w:rPr>
        <w:t>a.k.a</w:t>
      </w:r>
      <w:proofErr w:type="spellEnd"/>
      <w:r w:rsidRPr="00D74025">
        <w:rPr>
          <w:rFonts w:ascii="Arial" w:hAnsi="Arial" w:cs="Arial"/>
          <w:color w:val="000000" w:themeColor="text1"/>
        </w:rPr>
        <w:t xml:space="preserve"> non-immunogenic tumors) </w:t>
      </w:r>
      <w:r>
        <w:rPr>
          <w:rFonts w:ascii="Arial" w:hAnsi="Arial" w:cs="Arial"/>
          <w:color w:val="000000" w:themeColor="text1"/>
        </w:rPr>
        <w:t>correlates to tumors' insufficient response</w:t>
      </w:r>
      <w:r w:rsidRPr="00D74025">
        <w:rPr>
          <w:rFonts w:ascii="Arial" w:hAnsi="Arial" w:cs="Arial"/>
          <w:color w:val="000000" w:themeColor="text1"/>
        </w:rPr>
        <w:t xml:space="preserve"> to immunotherapy</w:t>
      </w:r>
      <w:r>
        <w:rPr>
          <w:rFonts w:ascii="Arial" w:hAnsi="Arial" w:cs="Arial"/>
          <w:color w:val="000000" w:themeColor="text1"/>
        </w:rPr>
        <w:t>.</w:t>
      </w:r>
      <w:r w:rsidRPr="00260D21">
        <w:rPr>
          <w:rFonts w:ascii="Arial" w:hAnsi="Arial" w:cs="Arial"/>
          <w:color w:val="000000" w:themeColor="text1"/>
        </w:rPr>
        <w:t xml:space="preserve"> </w:t>
      </w:r>
      <w:r w:rsidRPr="00D74025">
        <w:rPr>
          <w:rFonts w:ascii="Arial" w:hAnsi="Arial" w:cs="Arial"/>
          <w:color w:val="000000" w:themeColor="text1"/>
        </w:rPr>
        <w:t xml:space="preserve">Indeed, the effectiveness of checkpoint inhibition in humans has been correlated to </w:t>
      </w:r>
      <w:r>
        <w:rPr>
          <w:rFonts w:ascii="Arial" w:hAnsi="Arial" w:cs="Arial"/>
          <w:color w:val="000000" w:themeColor="text1"/>
        </w:rPr>
        <w:t>tumor-infiltrating</w:t>
      </w:r>
      <w:r w:rsidRPr="00D74025">
        <w:rPr>
          <w:rFonts w:ascii="Arial" w:hAnsi="Arial" w:cs="Arial"/>
          <w:color w:val="000000" w:themeColor="text1"/>
        </w:rPr>
        <w:t xml:space="preserve"> lymphocytes. Immunoadjuvants </w:t>
      </w:r>
      <w:r>
        <w:rPr>
          <w:rFonts w:ascii="Arial" w:hAnsi="Arial" w:cs="Arial"/>
          <w:color w:val="000000" w:themeColor="text1"/>
        </w:rPr>
        <w:t>have</w:t>
      </w:r>
      <w:r w:rsidRPr="00D74025">
        <w:rPr>
          <w:rFonts w:ascii="Arial" w:hAnsi="Arial" w:cs="Arial"/>
          <w:color w:val="000000" w:themeColor="text1"/>
        </w:rPr>
        <w:t xml:space="preserve"> been shown to increase the presence of </w:t>
      </w:r>
      <w:r>
        <w:rPr>
          <w:rFonts w:ascii="Arial" w:hAnsi="Arial" w:cs="Arial"/>
          <w:color w:val="000000" w:themeColor="text1"/>
        </w:rPr>
        <w:t>tumor-infiltrating</w:t>
      </w:r>
      <w:r w:rsidRPr="00D74025">
        <w:rPr>
          <w:rFonts w:ascii="Arial" w:hAnsi="Arial" w:cs="Arial"/>
          <w:color w:val="000000" w:themeColor="text1"/>
        </w:rPr>
        <w:t xml:space="preserve"> lymphocytes. </w:t>
      </w:r>
    </w:p>
    <w:p w14:paraId="10754EDD" w14:textId="2EAA5485" w:rsidR="006A3F14" w:rsidRPr="00D74025" w:rsidRDefault="006A3F14" w:rsidP="006A3F14">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In </w:t>
      </w:r>
      <w:r>
        <w:rPr>
          <w:rFonts w:ascii="Arial" w:hAnsi="Arial" w:cs="Arial"/>
          <w:color w:val="000000" w:themeColor="text1"/>
        </w:rPr>
        <w:t>immune-oncology</w:t>
      </w:r>
      <w:r w:rsidRPr="00D74025">
        <w:rPr>
          <w:rFonts w:ascii="Arial" w:hAnsi="Arial" w:cs="Arial"/>
          <w:color w:val="000000" w:themeColor="text1"/>
        </w:rPr>
        <w:t>,</w:t>
      </w:r>
      <w:r>
        <w:rPr>
          <w:rFonts w:ascii="Arial" w:hAnsi="Arial" w:cs="Arial"/>
          <w:color w:val="000000" w:themeColor="text1"/>
        </w:rPr>
        <w:t xml:space="preserve"> checkpoint inhibition aims to produce</w:t>
      </w:r>
      <w:r w:rsidRPr="00D74025">
        <w:rPr>
          <w:rFonts w:ascii="Arial" w:hAnsi="Arial" w:cs="Arial"/>
          <w:color w:val="000000" w:themeColor="text1"/>
        </w:rPr>
        <w:t xml:space="preserve"> effector T cells that </w:t>
      </w:r>
      <w:r>
        <w:rPr>
          <w:rFonts w:ascii="Arial" w:hAnsi="Arial" w:cs="Arial"/>
          <w:color w:val="000000" w:themeColor="text1"/>
        </w:rPr>
        <w:t>have</w:t>
      </w:r>
      <w:r w:rsidRPr="00D74025">
        <w:rPr>
          <w:rFonts w:ascii="Arial" w:hAnsi="Arial" w:cs="Arial"/>
          <w:color w:val="000000" w:themeColor="text1"/>
        </w:rPr>
        <w:t xml:space="preserve"> </w:t>
      </w:r>
      <w:r>
        <w:rPr>
          <w:rFonts w:ascii="Arial" w:hAnsi="Arial" w:cs="Arial"/>
          <w:color w:val="000000" w:themeColor="text1"/>
        </w:rPr>
        <w:t xml:space="preserve">an </w:t>
      </w:r>
      <w:r w:rsidRPr="00D74025">
        <w:rPr>
          <w:rFonts w:ascii="Arial" w:hAnsi="Arial" w:cs="Arial"/>
          <w:color w:val="000000" w:themeColor="text1"/>
        </w:rPr>
        <w:t xml:space="preserve">anti-tumoral response. Even though T cells are considered part of the adaptive immune system, the production of extended protective memory T cells </w:t>
      </w:r>
      <w:r>
        <w:rPr>
          <w:rFonts w:ascii="Arial" w:hAnsi="Arial" w:cs="Arial"/>
          <w:color w:val="000000" w:themeColor="text1"/>
        </w:rPr>
        <w:t>depends</w:t>
      </w:r>
      <w:r w:rsidRPr="00D74025">
        <w:rPr>
          <w:rFonts w:ascii="Arial" w:hAnsi="Arial" w:cs="Arial"/>
          <w:color w:val="000000" w:themeColor="text1"/>
        </w:rPr>
        <w:t xml:space="preserve"> upon the interconnection with the innate immune system (see </w:t>
      </w:r>
      <w:r w:rsidR="006F3D62" w:rsidRPr="006F3D62">
        <w:rPr>
          <w:rFonts w:ascii="Arial" w:hAnsi="Arial" w:cs="Arial"/>
          <w:b/>
          <w:bCs/>
          <w:color w:val="000000" w:themeColor="text1"/>
        </w:rPr>
        <w:t>F</w:t>
      </w:r>
      <w:r w:rsidRPr="006F3D62">
        <w:rPr>
          <w:rFonts w:ascii="Arial" w:hAnsi="Arial" w:cs="Arial"/>
          <w:b/>
          <w:bCs/>
          <w:color w:val="000000" w:themeColor="text1"/>
        </w:rPr>
        <w:t xml:space="preserve">igure </w:t>
      </w:r>
      <w:r w:rsidR="006F3D62">
        <w:rPr>
          <w:rFonts w:ascii="Arial" w:hAnsi="Arial" w:cs="Arial"/>
          <w:b/>
          <w:bCs/>
          <w:color w:val="000000" w:themeColor="text1"/>
        </w:rPr>
        <w:t>43</w:t>
      </w:r>
      <w:r w:rsidRPr="00D74025">
        <w:rPr>
          <w:rFonts w:ascii="Arial" w:hAnsi="Arial" w:cs="Arial"/>
          <w:color w:val="000000" w:themeColor="text1"/>
        </w:rPr>
        <w:t xml:space="preserve">). The </w:t>
      </w:r>
      <w:r>
        <w:rPr>
          <w:rFonts w:ascii="Arial" w:hAnsi="Arial" w:cs="Arial"/>
          <w:color w:val="000000" w:themeColor="text1"/>
        </w:rPr>
        <w:t>established</w:t>
      </w:r>
      <w:r w:rsidRPr="00D74025">
        <w:rPr>
          <w:rFonts w:ascii="Arial" w:hAnsi="Arial" w:cs="Arial"/>
          <w:color w:val="000000" w:themeColor="text1"/>
        </w:rPr>
        <w:t xml:space="preserve"> mechanisms for </w:t>
      </w:r>
      <w:r>
        <w:rPr>
          <w:rFonts w:ascii="Arial" w:hAnsi="Arial" w:cs="Arial"/>
          <w:color w:val="000000" w:themeColor="text1"/>
        </w:rPr>
        <w:t>detecting</w:t>
      </w:r>
      <w:r w:rsidRPr="00D74025">
        <w:rPr>
          <w:rFonts w:ascii="Arial" w:hAnsi="Arial" w:cs="Arial"/>
          <w:color w:val="000000" w:themeColor="text1"/>
        </w:rPr>
        <w:t xml:space="preserve"> tumor cells are not </w:t>
      </w:r>
      <w:r>
        <w:rPr>
          <w:rFonts w:ascii="Arial" w:hAnsi="Arial" w:cs="Arial"/>
          <w:color w:val="000000" w:themeColor="text1"/>
        </w:rPr>
        <w:t>specific</w:t>
      </w:r>
      <w:r w:rsidRPr="00D74025">
        <w:rPr>
          <w:rFonts w:ascii="Arial" w:hAnsi="Arial" w:cs="Arial"/>
          <w:color w:val="000000" w:themeColor="text1"/>
        </w:rPr>
        <w:t xml:space="preserve"> to that type of cells, but they are thought to be part of the pathogen and damage receptors recognition tools. One example of this connection between the two types of immunity is that antigen-presenting cells (APCs) </w:t>
      </w:r>
      <w:r>
        <w:rPr>
          <w:rFonts w:ascii="Arial" w:hAnsi="Arial" w:cs="Arial"/>
          <w:color w:val="000000" w:themeColor="text1"/>
        </w:rPr>
        <w:t>can</w:t>
      </w:r>
      <w:r w:rsidRPr="00D74025">
        <w:rPr>
          <w:rFonts w:ascii="Arial" w:hAnsi="Arial" w:cs="Arial"/>
          <w:color w:val="000000" w:themeColor="text1"/>
        </w:rPr>
        <w:t xml:space="preserve"> induce the action of </w:t>
      </w:r>
      <w:r>
        <w:rPr>
          <w:rFonts w:ascii="Arial" w:hAnsi="Arial" w:cs="Arial"/>
          <w:color w:val="000000" w:themeColor="text1"/>
        </w:rPr>
        <w:t>tumor-specific</w:t>
      </w:r>
      <w:r w:rsidRPr="00D74025">
        <w:rPr>
          <w:rFonts w:ascii="Arial" w:hAnsi="Arial" w:cs="Arial"/>
          <w:color w:val="000000" w:themeColor="text1"/>
        </w:rPr>
        <w:t xml:space="preserve"> CD8 T cells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{"citationID":"nKNOyiW2","properties":{"formattedCitation":"\\super 316\\nosupersub{}","plainCitation":"316","noteIndex":0},"citationItems":[{"id":377,"uris":["http://zotero.org/users/7661987/items/42DAWZVE"],"itemData":{"id":377,"type":"article-journal","abstract":"It is well understood that antigen-presenting cells (APCs) within tumors typically do not maintain cytotoxic T cell (CTL) function, despite engaging them. Across multiple mouse tumor models and human tumor biopsies, we have delineated the intratumoral dendritic cell (DC) populations as distinct from macrophage populations. Within these, CD103+ DCs are extremely sparse and yet remarkably capable CTL stimulators. These are uniquely dependent on IRF8, Zbtb46, and Batf3 transcription factors and are generated by GM-CSF and FLT3L cytokines. Regressing tumors have higher proportions of these cells, T-cell-dependent immune clearance relies on them, and abundance of their transcripts in human tumors correlates with clinical outcome. This cell type presents opportunities for prognostic and therapeutic approaches across multiple cancer types.","container-title":"Cancer Cell","DOI":"10.1016/j.ccell.2014.09.007","ISSN":"15356108","issue":"5","journalAbbreviation":"Cancer Cell","language":"en","page":"638-652","source":"DOI.org (Crossref)","title":"Dissecting the Tumor Myeloid Compartment Reveals Rare Activating Antigen-Presenting Cells Critical for T Cell Immunity","volume":"26","author":[{"family":"Broz","given":"Miranda L."},{"family":"Binnewies","given":"Mikhail"},{"family":"Boldajipour","given":"Bijan"},{"family":"Nelson","given":"Amanda E."},{"family":"Pollack","given":"Joshua L."},{"family":"Erle","given":"David J."},{"family":"Barczak","given":"Andrea"},{"family":"Rosenblum","given":"Michael D."},{"family":"Daud","given":"Adil"},{"family":"Barber","given":"Diane L."},{"family":"Amigorena","given":"Sebastian"},{"family":"t Veer","given":"Laura J.","non-dropping-particle":"van’"},{"family":"Sperling","given":"Anne I."},{"family":"Wolf","given":"Denise M."},{"family":"Krummel","given":"Matthew F."}],"issued":{"date-parts":[["2014",11]]}}}],"schema":"https://github.com/citation-style-language/schema/raw/master/csl-citation.json"}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316</w:t>
      </w:r>
      <w:r w:rsidRPr="00D74025">
        <w:rPr>
          <w:rFonts w:ascii="Arial" w:hAnsi="Arial" w:cs="Arial"/>
          <w:color w:val="000000" w:themeColor="text1"/>
        </w:rPr>
        <w:fldChar w:fldCharType="end"/>
      </w:r>
      <w:r w:rsidRPr="00D74025">
        <w:rPr>
          <w:rFonts w:ascii="Arial" w:hAnsi="Arial" w:cs="Arial"/>
          <w:color w:val="000000" w:themeColor="text1"/>
        </w:rPr>
        <w:t>.</w:t>
      </w:r>
    </w:p>
    <w:tbl>
      <w:tblPr>
        <w:tblStyle w:val="TableGrid"/>
        <w:tblW w:w="0" w:type="auto"/>
        <w:tblLook w:val="04A0" w:firstRow="1" w:lastRow="0" w:firstColumn="1" w:lastColumn="0" w:noHBand="0" w:noVBand="1"/>
      </w:tblPr>
      <w:tblGrid>
        <w:gridCol w:w="9350"/>
      </w:tblGrid>
      <w:tr w:rsidR="00D74025" w:rsidRPr="00D74025" w14:paraId="088B9F2A" w14:textId="77777777" w:rsidTr="000D7B57">
        <w:tc>
          <w:tcPr>
            <w:tcW w:w="9350" w:type="dxa"/>
          </w:tcPr>
          <w:p w14:paraId="0DBC36B6" w14:textId="6EB99632" w:rsidR="000D7B57" w:rsidRPr="00D74025" w:rsidRDefault="000D7B57" w:rsidP="00B72D37">
            <w:pPr>
              <w:spacing w:beforeAutospacing="0" w:line="360" w:lineRule="auto"/>
              <w:ind w:firstLine="0"/>
              <w:jc w:val="center"/>
              <w:rPr>
                <w:rFonts w:ascii="Arial" w:hAnsi="Arial" w:cs="Arial"/>
                <w:color w:val="000000" w:themeColor="text1"/>
              </w:rPr>
            </w:pPr>
            <w:r w:rsidRPr="00D74025">
              <w:rPr>
                <w:noProof/>
                <w:color w:val="000000" w:themeColor="text1"/>
                <w:sz w:val="20"/>
                <w:szCs w:val="20"/>
              </w:rPr>
              <w:lastRenderedPageBreak/>
              <w:drawing>
                <wp:inline distT="0" distB="0" distL="0" distR="0" wp14:anchorId="60C3F1CD" wp14:editId="58202634">
                  <wp:extent cx="5152677" cy="5500043"/>
                  <wp:effectExtent l="0" t="0" r="3810" b="0"/>
                  <wp:docPr id="198" name="Picture 19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63"/>
                          <a:stretch>
                            <a:fillRect/>
                          </a:stretch>
                        </pic:blipFill>
                        <pic:spPr>
                          <a:xfrm>
                            <a:off x="0" y="0"/>
                            <a:ext cx="5168884" cy="5517343"/>
                          </a:xfrm>
                          <a:prstGeom prst="rect">
                            <a:avLst/>
                          </a:prstGeom>
                        </pic:spPr>
                      </pic:pic>
                    </a:graphicData>
                  </a:graphic>
                </wp:inline>
              </w:drawing>
            </w:r>
          </w:p>
        </w:tc>
      </w:tr>
      <w:tr w:rsidR="000D7B57" w:rsidRPr="00D74025" w14:paraId="2E89922D" w14:textId="77777777" w:rsidTr="000D7B57">
        <w:tc>
          <w:tcPr>
            <w:tcW w:w="9350" w:type="dxa"/>
          </w:tcPr>
          <w:p w14:paraId="6F65C6D3" w14:textId="5ECD5D0B" w:rsidR="000D7B57" w:rsidRPr="00B54D18" w:rsidRDefault="00C6239D" w:rsidP="00B54D18">
            <w:pPr>
              <w:spacing w:line="360" w:lineRule="auto"/>
              <w:ind w:firstLine="0"/>
            </w:pPr>
            <w:bookmarkStart w:id="144" w:name="_Toc121217365"/>
            <w:r w:rsidRPr="00C6239D">
              <w:rPr>
                <w:rFonts w:ascii="Arial" w:hAnsi="Arial" w:cs="Arial"/>
                <w:b/>
                <w:bCs/>
                <w:color w:val="000000" w:themeColor="text1"/>
              </w:rPr>
              <w:t xml:space="preserve">Figure </w:t>
            </w:r>
            <w:r w:rsidRPr="00C6239D">
              <w:rPr>
                <w:rFonts w:ascii="Arial" w:hAnsi="Arial" w:cs="Arial"/>
                <w:b/>
                <w:bCs/>
                <w:color w:val="000000" w:themeColor="text1"/>
              </w:rPr>
              <w:fldChar w:fldCharType="begin"/>
            </w:r>
            <w:r w:rsidRPr="00C6239D">
              <w:rPr>
                <w:rFonts w:ascii="Arial" w:hAnsi="Arial" w:cs="Arial"/>
                <w:b/>
                <w:bCs/>
                <w:color w:val="000000" w:themeColor="text1"/>
              </w:rPr>
              <w:instrText xml:space="preserve"> SEQ Figure \* ARABIC </w:instrText>
            </w:r>
            <w:r w:rsidRPr="00C6239D">
              <w:rPr>
                <w:rFonts w:ascii="Arial" w:hAnsi="Arial" w:cs="Arial"/>
                <w:b/>
                <w:bCs/>
                <w:color w:val="000000" w:themeColor="text1"/>
              </w:rPr>
              <w:fldChar w:fldCharType="separate"/>
            </w:r>
            <w:r w:rsidR="002C4B25">
              <w:rPr>
                <w:rFonts w:ascii="Arial" w:hAnsi="Arial" w:cs="Arial"/>
                <w:b/>
                <w:bCs/>
                <w:noProof/>
                <w:color w:val="000000" w:themeColor="text1"/>
              </w:rPr>
              <w:t>43</w:t>
            </w:r>
            <w:r w:rsidRPr="00C6239D">
              <w:rPr>
                <w:rFonts w:ascii="Arial" w:hAnsi="Arial" w:cs="Arial"/>
                <w:b/>
                <w:bCs/>
                <w:color w:val="000000" w:themeColor="text1"/>
              </w:rPr>
              <w:fldChar w:fldCharType="end"/>
            </w:r>
            <w:r w:rsidR="00B54D18" w:rsidRPr="00D74025">
              <w:rPr>
                <w:rFonts w:ascii="Arial" w:hAnsi="Arial" w:cs="Arial"/>
                <w:b/>
                <w:bCs/>
                <w:color w:val="000000" w:themeColor="text1"/>
              </w:rPr>
              <w:t>: The anti-cancer innate immunity cycle</w:t>
            </w:r>
            <w:r w:rsidR="00B54D18" w:rsidRPr="00D74025">
              <w:rPr>
                <w:rFonts w:ascii="Arial" w:hAnsi="Arial" w:cs="Arial"/>
                <w:color w:val="000000" w:themeColor="text1"/>
              </w:rPr>
              <w:t xml:space="preserve">. The cancer-immunity cycle is fully integrated by innate immunity, which is necessary for </w:t>
            </w:r>
            <w:r w:rsidR="00B54D18">
              <w:rPr>
                <w:rFonts w:ascii="Arial" w:hAnsi="Arial" w:cs="Arial"/>
                <w:color w:val="000000" w:themeColor="text1"/>
              </w:rPr>
              <w:t>developing and maintaining</w:t>
            </w:r>
            <w:r w:rsidR="00B54D18" w:rsidRPr="00D74025">
              <w:rPr>
                <w:rFonts w:ascii="Arial" w:hAnsi="Arial" w:cs="Arial"/>
                <w:color w:val="000000" w:themeColor="text1"/>
              </w:rPr>
              <w:t xml:space="preserve"> adaptive immunity. Innate immune cells become activated in response to tumor detection, </w:t>
            </w:r>
            <w:r w:rsidR="00B54D18">
              <w:rPr>
                <w:rFonts w:ascii="Arial" w:hAnsi="Arial" w:cs="Arial"/>
                <w:color w:val="000000" w:themeColor="text1"/>
              </w:rPr>
              <w:t>encouraging</w:t>
            </w:r>
            <w:r w:rsidR="00B54D18" w:rsidRPr="00D74025">
              <w:rPr>
                <w:rFonts w:ascii="Arial" w:hAnsi="Arial" w:cs="Arial"/>
                <w:color w:val="000000" w:themeColor="text1"/>
              </w:rPr>
              <w:t xml:space="preserve"> effector activities and tumor cell eradication. Eventually, tumor eradication produces more detection signals, </w:t>
            </w:r>
            <w:r w:rsidR="00B54D18">
              <w:rPr>
                <w:rFonts w:ascii="Arial" w:hAnsi="Arial" w:cs="Arial"/>
                <w:color w:val="000000" w:themeColor="text1"/>
              </w:rPr>
              <w:t>propagating</w:t>
            </w:r>
            <w:r w:rsidR="00B54D18" w:rsidRPr="00D74025">
              <w:rPr>
                <w:rFonts w:ascii="Arial" w:hAnsi="Arial" w:cs="Arial"/>
                <w:color w:val="000000" w:themeColor="text1"/>
              </w:rPr>
              <w:t xml:space="preserve"> immune responses. Tumor-activated innate immune cells </w:t>
            </w:r>
            <w:r w:rsidR="00B54D18">
              <w:rPr>
                <w:rFonts w:ascii="Arial" w:hAnsi="Arial" w:cs="Arial"/>
                <w:color w:val="000000" w:themeColor="text1"/>
              </w:rPr>
              <w:t>participate</w:t>
            </w:r>
            <w:r w:rsidR="00B54D18" w:rsidRPr="00D74025">
              <w:rPr>
                <w:rFonts w:ascii="Arial" w:hAnsi="Arial" w:cs="Arial"/>
                <w:color w:val="000000" w:themeColor="text1"/>
              </w:rPr>
              <w:t xml:space="preserve"> in the activation, proliferation, and infiltration of tumor-specific T-cells at the tumor site, </w:t>
            </w:r>
            <w:r w:rsidR="00B54D18">
              <w:rPr>
                <w:rFonts w:ascii="Arial" w:hAnsi="Arial" w:cs="Arial"/>
                <w:color w:val="000000" w:themeColor="text1"/>
              </w:rPr>
              <w:t>contributing to all</w:t>
            </w:r>
            <w:r w:rsidR="00B54D18" w:rsidRPr="00D74025">
              <w:rPr>
                <w:rFonts w:ascii="Arial" w:hAnsi="Arial" w:cs="Arial"/>
                <w:color w:val="000000" w:themeColor="text1"/>
              </w:rPr>
              <w:t xml:space="preserve"> T-cell production and activity against cancer cells. They also </w:t>
            </w:r>
            <w:r w:rsidR="00B54D18">
              <w:rPr>
                <w:rFonts w:ascii="Arial" w:hAnsi="Arial" w:cs="Arial"/>
                <w:color w:val="000000" w:themeColor="text1"/>
              </w:rPr>
              <w:t>play an essential role in</w:t>
            </w:r>
            <w:r w:rsidR="00B54D18" w:rsidRPr="00D74025">
              <w:rPr>
                <w:rFonts w:ascii="Arial" w:hAnsi="Arial" w:cs="Arial"/>
                <w:color w:val="000000" w:themeColor="text1"/>
              </w:rPr>
              <w:t xml:space="preserve"> </w:t>
            </w:r>
            <w:r w:rsidR="00B54D18">
              <w:rPr>
                <w:rFonts w:ascii="Arial" w:hAnsi="Arial" w:cs="Arial"/>
                <w:color w:val="000000" w:themeColor="text1"/>
              </w:rPr>
              <w:t xml:space="preserve">the </w:t>
            </w:r>
            <w:r w:rsidR="00B54D18" w:rsidRPr="00D74025">
              <w:rPr>
                <w:rFonts w:ascii="Arial" w:hAnsi="Arial" w:cs="Arial"/>
                <w:color w:val="000000" w:themeColor="text1"/>
              </w:rPr>
              <w:t xml:space="preserve">direct tumoricidal effect. Image from de Maria </w:t>
            </w:r>
            <w:r w:rsidR="00B54D18" w:rsidRPr="002136C4">
              <w:rPr>
                <w:rFonts w:ascii="Arial" w:hAnsi="Arial" w:cs="Arial"/>
                <w:i/>
                <w:iCs/>
                <w:color w:val="000000" w:themeColor="text1"/>
              </w:rPr>
              <w:t>et al</w:t>
            </w:r>
            <w:r w:rsidR="00B54D18" w:rsidRPr="00D74025">
              <w:rPr>
                <w:rFonts w:ascii="Arial" w:hAnsi="Arial" w:cs="Arial"/>
                <w:color w:val="000000" w:themeColor="text1"/>
              </w:rPr>
              <w:t>., 2019</w:t>
            </w:r>
            <w:r w:rsidR="00B54D18"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{"citationID":"i5x7WSq8","properties":{"formattedCitation":"\\super 317\\nosupersub{}","plainCitation":"317","noteIndex":0},"citationItems":[{"id":388,"uris":["http://zotero.org/users/7661987/items/55FS43D5"],"itemData":{"id":388,"type":"article-journal","container-title":"Nature","DOI":"10.1038/s41586-019-1593-5","ISSN":"0028-0836, 1476-4687","issue":"7776","journalAbbreviation":"Nature","language":"en","page":"45-56","source":"DOI.org (Crossref)","title":"Harnessing innate immunity in cancer therapy","volume":"574","author":[{"family":"Demaria","given":"Olivier"},{"family":"Cornen","given":"Stéphanie"},{"family":"Daëron","given":"Marc"},{"family":"Morel","given":"Yannis"},{"family":"Medzhitov","given":"Ruslan"},{"family":"Vivier","given":"Eric"}],"issued":{"date-parts":[["2019",10,3]]}}}],"schema":"https://github.com/citation-style-language/schema/raw/master/csl-citation.json"} </w:instrText>
            </w:r>
            <w:r w:rsidR="00B54D18" w:rsidRPr="00D74025">
              <w:rPr>
                <w:rFonts w:ascii="Arial" w:hAnsi="Arial" w:cs="Arial"/>
                <w:color w:val="000000" w:themeColor="text1"/>
              </w:rPr>
              <w:fldChar w:fldCharType="separate"/>
            </w:r>
            <w:r w:rsidR="000F4F53" w:rsidRPr="000F4F53">
              <w:rPr>
                <w:rFonts w:ascii="Arial" w:hAnsi="Arial" w:cs="Arial"/>
                <w:color w:val="000000"/>
                <w:vertAlign w:val="superscript"/>
              </w:rPr>
              <w:t>317</w:t>
            </w:r>
            <w:bookmarkEnd w:id="144"/>
            <w:r w:rsidR="00B54D18" w:rsidRPr="00D74025">
              <w:rPr>
                <w:rFonts w:ascii="Arial" w:hAnsi="Arial" w:cs="Arial"/>
                <w:color w:val="000000" w:themeColor="text1"/>
              </w:rPr>
              <w:fldChar w:fldCharType="end"/>
            </w:r>
          </w:p>
        </w:tc>
      </w:tr>
    </w:tbl>
    <w:p w14:paraId="7EAF67DE" w14:textId="265CD906" w:rsidR="00031DF0" w:rsidRPr="00D74025" w:rsidRDefault="00031DF0" w:rsidP="00031DF0">
      <w:pPr>
        <w:spacing w:line="360" w:lineRule="auto"/>
        <w:ind w:firstLine="1440"/>
        <w:jc w:val="both"/>
        <w:rPr>
          <w:rFonts w:ascii="Arial" w:hAnsi="Arial" w:cs="Arial"/>
          <w:color w:val="000000" w:themeColor="text1"/>
        </w:rPr>
      </w:pPr>
      <w:r w:rsidRPr="00D74025">
        <w:rPr>
          <w:rFonts w:ascii="Arial" w:hAnsi="Arial" w:cs="Arial"/>
          <w:color w:val="000000" w:themeColor="text1"/>
        </w:rPr>
        <w:lastRenderedPageBreak/>
        <w:t xml:space="preserve">Immunoadjuvants are synthetic molecules </w:t>
      </w:r>
      <w:r>
        <w:rPr>
          <w:rFonts w:ascii="Arial" w:hAnsi="Arial" w:cs="Arial"/>
          <w:color w:val="000000" w:themeColor="text1"/>
        </w:rPr>
        <w:t>that</w:t>
      </w:r>
      <w:r w:rsidRPr="00D74025">
        <w:rPr>
          <w:rFonts w:ascii="Arial" w:hAnsi="Arial" w:cs="Arial"/>
          <w:color w:val="000000" w:themeColor="text1"/>
        </w:rPr>
        <w:t xml:space="preserve"> activate the innate immune system by mimicking the chemical moieties usually recognized as </w:t>
      </w:r>
      <w:r w:rsidR="003D6396">
        <w:rPr>
          <w:rFonts w:ascii="Arial" w:hAnsi="Arial" w:cs="Arial"/>
          <w:color w:val="000000" w:themeColor="text1"/>
        </w:rPr>
        <w:t>pathogen derived</w:t>
      </w:r>
      <w:r w:rsidRPr="00D74025">
        <w:rPr>
          <w:rFonts w:ascii="Arial" w:hAnsi="Arial" w:cs="Arial"/>
          <w:color w:val="000000" w:themeColor="text1"/>
        </w:rPr>
        <w:t xml:space="preserve">. </w:t>
      </w:r>
      <w:r>
        <w:rPr>
          <w:rFonts w:ascii="Arial" w:hAnsi="Arial" w:cs="Arial"/>
          <w:color w:val="000000" w:themeColor="text1"/>
        </w:rPr>
        <w:t>A toll-like receptor</w:t>
      </w:r>
      <w:r w:rsidRPr="00D74025">
        <w:rPr>
          <w:rFonts w:ascii="Arial" w:hAnsi="Arial" w:cs="Arial"/>
          <w:color w:val="000000" w:themeColor="text1"/>
        </w:rPr>
        <w:t xml:space="preserve"> (TLR) agonist</w:t>
      </w:r>
      <w:r>
        <w:rPr>
          <w:rFonts w:ascii="Arial" w:hAnsi="Arial" w:cs="Arial"/>
          <w:color w:val="000000" w:themeColor="text1"/>
        </w:rPr>
        <w:t xml:space="preserve"> is a type of immunoadjuvant mainly studied</w:t>
      </w:r>
      <w:r w:rsidRPr="00D74025">
        <w:rPr>
          <w:rFonts w:ascii="Arial" w:hAnsi="Arial" w:cs="Arial"/>
          <w:color w:val="000000" w:themeColor="text1"/>
        </w:rPr>
        <w:t xml:space="preserve">. Although the systemic administration of those chemicals </w:t>
      </w:r>
      <w:r>
        <w:rPr>
          <w:rFonts w:ascii="Arial" w:hAnsi="Arial" w:cs="Arial"/>
          <w:color w:val="000000" w:themeColor="text1"/>
        </w:rPr>
        <w:t>has</w:t>
      </w:r>
      <w:r w:rsidRPr="00D74025">
        <w:rPr>
          <w:rFonts w:ascii="Arial" w:hAnsi="Arial" w:cs="Arial"/>
          <w:color w:val="000000" w:themeColor="text1"/>
        </w:rPr>
        <w:t xml:space="preserve"> usually induced inflammatory syndromes, the </w:t>
      </w:r>
      <w:proofErr w:type="spellStart"/>
      <w:r w:rsidRPr="00D74025">
        <w:rPr>
          <w:rFonts w:ascii="Arial" w:hAnsi="Arial" w:cs="Arial"/>
          <w:color w:val="000000" w:themeColor="text1"/>
        </w:rPr>
        <w:t>intratumoral</w:t>
      </w:r>
      <w:proofErr w:type="spellEnd"/>
      <w:r w:rsidRPr="00D74025">
        <w:rPr>
          <w:rFonts w:ascii="Arial" w:hAnsi="Arial" w:cs="Arial"/>
          <w:color w:val="000000" w:themeColor="text1"/>
        </w:rPr>
        <w:t xml:space="preserve"> injection of TLR agonists </w:t>
      </w:r>
      <w:r>
        <w:rPr>
          <w:rFonts w:ascii="Arial" w:hAnsi="Arial" w:cs="Arial"/>
          <w:color w:val="000000" w:themeColor="text1"/>
        </w:rPr>
        <w:t>has</w:t>
      </w:r>
      <w:r w:rsidRPr="00D74025">
        <w:rPr>
          <w:rFonts w:ascii="Arial" w:hAnsi="Arial" w:cs="Arial"/>
          <w:color w:val="000000" w:themeColor="text1"/>
        </w:rPr>
        <w:t xml:space="preserve"> shown promising results by itself, with </w:t>
      </w:r>
      <w:r>
        <w:rPr>
          <w:rFonts w:ascii="Arial" w:hAnsi="Arial" w:cs="Arial"/>
          <w:color w:val="000000" w:themeColor="text1"/>
        </w:rPr>
        <w:t xml:space="preserve">a </w:t>
      </w:r>
      <w:r w:rsidRPr="00D74025">
        <w:rPr>
          <w:rFonts w:ascii="Arial" w:hAnsi="Arial" w:cs="Arial"/>
          <w:color w:val="000000" w:themeColor="text1"/>
        </w:rPr>
        <w:t>reduction of tumor size and effect on metastatic tumors (abscopal effect)</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{"citationID":"vNO5eLjG","properties":{"formattedCitation":"\\super 318\\uc0\\u8211{}320\\nosupersub{}","plainCitation":"318–320","noteIndex":0},"citationItems":[{"id":385,"uris":["http://zotero.org/users/7661987/items/YSNCTG4Y"],"itemData":{"id":385,"type":"article-journal","container-title":"Journal of Clinical Investigation","DOI":"10.1172/JCI64859","ISSN":"0021-9738","issue":"6","journalAbbreviation":"J. Clin. Invest.","language":"en","page":"2447-2463","source":"DOI.org (Crossref)","title":"Depleting tumor-specific Tregs at a single site eradicates disseminated tumors","volume":"123","author":[{"family":"Marabelle","given":"Aurélien"},{"family":"Kohrt","given":"Holbrook"},{"family":"Sagiv-Barfi","given":"Idit"},{"family":"Ajami","given":"Bahareh"},{"family":"Axtell","given":"Robert C."},{"family":"Zhou","given":"Gang"},{"family":"Rajapaksa","given":"Ranjani"},{"family":"Green","given":"Michael R."},{"family":"Torchia","given":"James"},{"family":"Brody","given":"Joshua"},{"family":"Luong","given":"Richard"},{"family":"Rosenblum","given":"Michael D."},{"family":"Steinman","given":"Lawrence"},{"family":"Levitsky","given":"Hyam I."},{"family":"Tse","given":"Victor"},{"family":"Levy","given":"Ronald"}],"issued":{"date-parts":[["2013",6,3]]}}},{"id":386,"uris":["http://zotero.org/users/7661987/items/UASW4MA4"],"itemData":{"id":386,"type":"article-journal","abstract":"Abstract\n            We have previously shown that intratumoral injection of CpG oligodeoxynucleotide plus systemic chemotherapy can induce a T-cell immune response against lymphoma and serve as a therapeutic vaccine to cure tumors in a murine model. Here, we demonstrate that antibody-mediated modulation of T cells increases the efficacy of CpG vaccination, thereby eliminating the need for chemotherapy. T-cell modulation was accomplished by targeting both effector and regulatory T-cell populations using systemic administration of monoclonal antibodies against OX40, CTLA4, GITR, and folate receptor 4 (FR4). Each of these antibodies enhanced the effect of intratumoral CpG. Some pairwise combinations of these antibodies potentiated T-cell modulation and further enhanced the efficacy of CpG vaccination. Specifically, the combination of anti-OX40 and anti-CTLA4 which enhance activation and block cell-intrinsic negative regulatory circuits in T cells, respectively, was especially potent. When combined with intratumoral CpG, it induced antitumor CD4 and CD8 T-cell immunity, cured large and systemic lymphoma tumors without chemotherapy, and provided long-lasting immunity against tumor rechallenge. Our results show that the combination of intratumoral CpG and immunomodulatory T-cell antibodies has promise for therapeutic vaccination against lymphoma. These reagents are becoming available for human clinical trials.","container-title":"Blood","DOI":"10.1182/blood-2008-07-170274","ISSN":"0006-4971, 1528-0020","issue":"15","language":"en","page":"3546-3552","source":"DOI.org (Crossref)","title":"T-cell modulation combined with intratumoral CpG cures lymphoma in a mouse model without the need for chemotherapy","volume":"113","author":[{"family":"Houot","given":"Roch"},{"family":"Levy","given":"Ronald"}],"issued":{"date-parts":[["2009",4,9]]}}},{"id":384,"uris":["http://zotero.org/users/7661987/items/QZSYMP3L"],"itemData":{"id":384,"type":"article-journal","container-title":"Science Translational Medicine","DOI":"10.1126/scitranslmed.aan4488","ISSN":"1946-6234, 1946-6242","issue":"426","journalAbbreviation":"Sci. Transl. Med.","language":"en","page":"eaan4488","source":"DOI.org (Crossref)","title":"Eradication of spontaneous malignancy by local immunotherapy","volume":"10","author":[{"family":"Sagiv-Barfi","given":"Idit"},{"family":"Czerwinski","given":"Debra K."},{"family":"Levy","given":"Shoshana"},{"family":"Alam","given":"Israt S."},{"family":"Mayer","given":"Aaron T."},{"family":"Gambhir","given":"Sanjiv S."},{"family":"Levy","given":"Ronald"}],"issued":{"date-parts":[["2018",1,31]]}}}],"schema":"https://github.com/citation-style-language/schema/raw/master/csl-citation.json"}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318–320</w:t>
      </w:r>
      <w:r w:rsidRPr="00D74025">
        <w:rPr>
          <w:rFonts w:ascii="Arial" w:hAnsi="Arial" w:cs="Arial"/>
          <w:color w:val="000000" w:themeColor="text1"/>
        </w:rPr>
        <w:fldChar w:fldCharType="end"/>
      </w:r>
      <w:r w:rsidRPr="00D74025">
        <w:rPr>
          <w:rFonts w:ascii="Arial" w:hAnsi="Arial" w:cs="Arial"/>
          <w:color w:val="000000" w:themeColor="text1"/>
        </w:rPr>
        <w:t xml:space="preserve">. Additionally, this combination of the checkpoint inhibition </w:t>
      </w:r>
      <w:r w:rsidR="00B25F89">
        <w:rPr>
          <w:rFonts w:ascii="Arial" w:hAnsi="Arial" w:cs="Arial"/>
          <w:color w:val="000000" w:themeColor="text1"/>
        </w:rPr>
        <w:t>by</w:t>
      </w:r>
      <w:r w:rsidRPr="00D74025">
        <w:rPr>
          <w:rFonts w:ascii="Arial" w:hAnsi="Arial" w:cs="Arial"/>
          <w:color w:val="000000" w:themeColor="text1"/>
        </w:rPr>
        <w:t xml:space="preserve"> anti-PD-1 antibody to the immunoadjuvant treatment was tested in </w:t>
      </w:r>
      <w:r>
        <w:rPr>
          <w:rFonts w:ascii="Arial" w:hAnsi="Arial" w:cs="Arial"/>
          <w:color w:val="000000" w:themeColor="text1"/>
        </w:rPr>
        <w:t xml:space="preserve">a </w:t>
      </w:r>
      <w:r w:rsidRPr="00D74025">
        <w:rPr>
          <w:rFonts w:ascii="Arial" w:hAnsi="Arial" w:cs="Arial"/>
          <w:color w:val="000000" w:themeColor="text1"/>
        </w:rPr>
        <w:t xml:space="preserve">clinical trial and improved </w:t>
      </w:r>
      <w:r>
        <w:rPr>
          <w:rFonts w:ascii="Arial" w:hAnsi="Arial" w:cs="Arial"/>
          <w:color w:val="000000" w:themeColor="text1"/>
        </w:rPr>
        <w:t xml:space="preserve">the </w:t>
      </w:r>
      <w:r w:rsidRPr="00D74025">
        <w:rPr>
          <w:rFonts w:ascii="Arial" w:hAnsi="Arial" w:cs="Arial"/>
          <w:color w:val="000000" w:themeColor="text1"/>
        </w:rPr>
        <w:t>efficacy of the treatment, increasing the tumoral infiltration of CD8+ T cells and release of proinflammatory cytokines. For this trial, the overall response rate was 71% for metastatic melanomas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{"citationID":"0O1s0WAY","properties":{"formattedCitation":"\\super 321\\nosupersub{}","plainCitation":"321","noteIndex":0},"citationItems":[{"id":383,"uris":["http://zotero.org/users/7661987/items/L9B4JP22"],"itemData":{"id":383,"type":"article-journal","abstract":"PD-1 inhibitors are approved for treating advanced melanoma, but resistance has been observed. This phase Ib trial evaluated intratumoral SD-101, a synthetic CpG oligonucleotide that stimulates Toll-like receptor 9 (TLR9), in combination with pembrolizumab in patients with unresectable or metastatic malignant melanoma. The most common adverse events related to SD-101 were injection-site reactions and transient, mild-to-moderate “ﬂu-like” symptoms. Among the 9 patients naïve to anti–PD-1 therapy, the overall response rate (ORR) was 78%. The estimated 12-month progression-free survival rate was 88%, and the overall survival rate was 89%. Among 13 patients having prior anti–PD-1 therapy, the ORR was 15%. RNA profiling of tumor biopsies demonstrated increased CD8+ T cells, natural killer cells, cytotoxic cells, dendritic cells, and B cells. The combination of intratumoral SD-101 and pembrolizumab was well tolerated and induced broad immune activation in the tumor microenvironment with durable tumor responses in both peripheral and visceral lesions.","container-title":"Cancer Discovery","DOI":"10.1158/2159-8290.CD-18-0280","ISSN":"2159-8274, 2159-8290","issue":"10","journalAbbreviation":"Cancer Discov","language":"en","page":"1250-1257","source":"DOI.org (Crossref)","title":"SD-101 in Combination with Pembrolizumab in Advanced Melanoma: Results of a Phase Ib, Multicenter Study","title-short":"SD-101 in Combination with Pembrolizumab in Advanced Melanoma","volume":"8","author":[{"family":"Ribas","given":"Antoni"},{"family":"Medina","given":"Theresa"},{"family":"Kummar","given":"Shivaani"},{"family":"Amin","given":"Asim"},{"family":"Kalbasi","given":"Anusha"},{"family":"Drabick","given":"Joseph J."},{"family":"Barve","given":"Minal"},{"family":"Daniels","given":"Gregory A."},{"family":"Wong","given":"Deborah J."},{"family":"Schmidt","given":"Emmett V."},{"family":"Candia","given":"Albert F."},{"family":"Coffman","given":"Robert L."},{"family":"Leung","given":"Abraham C.F."},{"family":"Janssen","given":"Robert S."}],"issued":{"date-parts":[["2018",10]]}}}],"schema":"https://github.com/citation-style-language/schema/raw/master/csl-citation.json"}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321</w:t>
      </w:r>
      <w:r w:rsidRPr="00D74025">
        <w:rPr>
          <w:rFonts w:ascii="Arial" w:hAnsi="Arial" w:cs="Arial"/>
          <w:color w:val="000000" w:themeColor="text1"/>
        </w:rPr>
        <w:fldChar w:fldCharType="end"/>
      </w:r>
      <w:r w:rsidRPr="00D74025">
        <w:rPr>
          <w:rFonts w:ascii="Arial" w:hAnsi="Arial" w:cs="Arial"/>
          <w:color w:val="000000" w:themeColor="text1"/>
        </w:rPr>
        <w:t>. Other immunoadjuvant types, such as agonists for stimulator of interferon gene (STING) and RIG-I-like receptors (RLRs), have also been studied pre-clinically and clinically in combination with checkpoint inhibition and showed effective results in controlling tumor growth and promotion of CD8+ responses</w:t>
      </w:r>
      <w:r w:rsidRPr="00D74025">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{"citationID":"M1RQ4skQ","properties":{"formattedCitation":"\\super 322\\uc0\\u8211{}324\\nosupersub{}","plainCitation":"322–324","noteIndex":0},"citationItems":[{"id":382,"uris":["http://zotero.org/users/7661987/items/D65FEYNC"],"itemData":{"id":382,"type":"article-journal","abstract":"Intratumoral (IT) STING activation results in tumor regression in preclinical models, yet factors dictating the balance between innate and adaptive anti-tumor immunity are unclear. Here, clinical candidate STING agonist ADU-S100 (S100) is used in an IT dosing regimen optimized for adaptive immunity to uncover requirements for a T cell-driven response compatible with checkpoint inhibitors (CPIs). In contrast to highdose tumor ablative regimens that result in systemic S100 distribution, low-dose immunogenic regimens induce local activation of tumor-speciﬁc CD8+ effector T cells that are responsible for durable anti-tumor immunity and can be enhanced with CPIs. Both hematopoietic cell STING expression and signaling through IFNAR are required for tumor-speciﬁc T cell activation, and in the context of optimized T cell responses, TNFa is dispensable for tumor control. In a poorly immunogenic model, S100 combined with CPIs generates a survival beneﬁt and durable protection. These results provide fundamental mechanistic insights into STING-induced anti-tumor immunity.","container-title":"Cell Reports","DOI":"10.1016/j.celrep.2018.11.047","ISSN":"22111247","issue":"11","journalAbbreviation":"Cell Reports","language":"en","page":"3074-3085.e5","source":"DOI.org (Crossref)","title":"Magnitude of Therapeutic STING Activation Determines CD8+ T Cell-Mediated Anti-tumor Immunity","volume":"25","author":[{"family":"Sivick","given":"Kelsey E."},{"family":"Desbien","given":"Anthony L."},{"family":"Glickman","given":"Laura Hix"},{"family":"Reiner","given":"Gabrielle L."},{"family":"Corrales","given":"Leticia"},{"family":"Surh","given":"Natalie H."},{"family":"Hudson","given":"Thomas E."},{"family":"Vu","given":"Uyen T."},{"family":"Francica","given":"Brian J."},{"family":"Banda","given":"Tamara"},{"family":"Katibah","given":"George E."},{"family":"Kanne","given":"David B."},{"family":"Leong","given":"Justin J."},{"family":"Metchette","given":"Ken"},{"family":"Bruml","given":"Jacob R."},{"family":"Ndubaku","given":"Chudi O."},{"family":"McKenna","given":"Jeffrey M."},{"family":"Feng","given":"Yan"},{"family":"Zheng","given":"Lianxing"},{"family":"Bender","given":"Steven L."},{"family":"Cho","given":"Charles Y."},{"family":"Leong","given":"Meredith L."},{"family":"Elsas","given":"Andrea","non-dropping-particle":"van"},{"family":"Dubensky","given":"Thomas W."},{"family":"McWhirter","given":"Sarah M."}],"issued":{"date-parts":[["2018",12]]}}},{"id":381,"uris":["http://zotero.org/users/7661987/items/HFC8QWYR"],"itemData":{"id":381,"type":"article-journal","abstract":"Spontaneous tumor-initiated T cell priming is dependent on IFN-b production by tumor-resident dendritic cells. On the basis of recent observations indicating that IFN-b expression was dependent upon activation of the host STING pathway, we hypothesized that direct engagement of STING through intratumoral (IT) administration of speciﬁc agonists would result in effective anti-tumor therapy. After proof-ofprinciple studies using the mouse STING agonist DMXAA showed a potent therapeutic effect, we generated synthetic cyclic dinucleotide (CDN) derivatives that activated all human STING alleles as well as murine STING. IT injection of STING agonists induced profound regression of established tumors in mice and generated substantial systemic immune responses capable of rejecting distant metastases and providing long-lived immunologic memory. Synthetic CDNs have high translational potential as a cancer therapeutic.","container-title":"Cell Reports","DOI":"10.1016/j.celrep.2015.04.031","ISSN":"22111247","issue":"7","journalAbbreviation":"Cell Reports","language":"en","page":"1018-1030","source":"DOI.org (Crossref)","title":"Direct Activation of STING in the Tumor Microenvironment Leads to Potent and Systemic Tumor Regression and Immunity","volume":"11","author":[{"family":"Corrales","given":"Leticia"},{"family":"Glickman","given":"Laura Hix"},{"family":"McWhirter","given":"Sarah M."},{"family":"Kanne","given":"David B."},{"family":"Sivick","given":"Kelsey E."},{"family":"Katibah","given":"George E."},{"family":"Woo","given":"Seng-Ryong"},{"family":"Lemmens","given":"Edward"},{"family":"Banda","given":"Tamara"},{"family":"Leong","given":"Justin J."},{"family":"Metchette","given":"Ken"},{"family":"Dubensky","given":"Thomas W."},{"family":"Gajewski","given":"Thomas F."}],"issued":{"date-parts":[["2015",5]]}}},{"id":380,"uris":["http://zotero.org/users/7661987/items/HBPXG8RQ"],"itemData":{"id":380,"type":"article-journal","abstract":"Spontaneous CD8 T-cell responses occur in growing tumors but are usually poorly effective. Understanding the molecular and cellular mechanisms that drive these responses is of major interest as they could be exploited to generate a more efficacious antitumor immunity. As such, stimulator of IFN genes (STING), an adaptor molecule involved in cytosolic DNA sensing, is required for the induction of antitumor CD8 T responses in mouse models of cancer. Here, we find that enforced activation of STING by intratumoral injection of cyclic dinucleotide GMP-AMP (cGAMP), potently enhanced antitumor CD8 T responses leading to growth control of injected and contralateral tumors in mouse models of melanoma and colon cancer. The ability of cGAMP to trigger antitumor immunity was further enhanced by the blockade of both PD1 and CTLA4. The STING-dependent antitumor immunity, either induced spontaneously in growing tumors or induced by intratumoral cGAMP injection was dependent on type I IFNs produced in the tumor microenvironment. In response to cGAMP injection, both in the mouse melanoma model and an ex vivo model of cultured human melanoma explants, the principal source of type I IFN was not dendritic cells, but instead endothelial cells. Similarly, endothelial cells but not dendritic cells were found to be the principal source of spontaneously induced type I IFNs in growing tumors. These data identify an unexpected role of the tumor vasculature in the initiation of CD8 T-cell antitumor immunity and demonstrate that tumor endothelial cells can be targeted for immunotherapy of melanoma.","container-title":"Proceedings of the National Academy of Sciences","DOI":"10.1073/pnas.1512832112","ISSN":"0027-8424, 1091-6490","issue":"50","journalAbbreviation":"Proc Natl Acad Sci USA","language":"en","page":"15408-15413","source":"DOI.org (Crossref)","title":"STING activation of tumor endothelial cells initiates spontaneous and therapeutic antitumor immunity","volume":"112","author":[{"family":"Demaria","given":"Olivier"},{"family":"De Gassart","given":"Aude"},{"family":"Coso","given":"Sanja"},{"family":"Gestermann","given":"Nicolas"},{"family":"Di Domizio","given":"Jeremy"},{"family":"Flatz","given":"Lukas"},{"family":"Gaide","given":"Olivier"},{"family":"Michielin","given":"Olivier"},{"family":"Hwu","given":"Patrick"},{"family":"Petrova","given":"Tatiana V."},{"family":"Martinon","given":"Fabio"},{"family":"Modlin","given":"Robert L."},{"family":"Speiser","given":"Daniel E."},{"family":"Gilliet","given":"Michel"}],"issued":{"date-parts":[["2015",12,15]]}}}],"schema":"https://github.com/citation-style-language/schema/raw/master/csl-citation.json"} </w:instrText>
      </w:r>
      <w:r w:rsidRPr="00D74025">
        <w:rPr>
          <w:rFonts w:ascii="Arial" w:hAnsi="Arial" w:cs="Arial"/>
          <w:color w:val="000000" w:themeColor="text1"/>
        </w:rPr>
        <w:fldChar w:fldCharType="separate"/>
      </w:r>
      <w:r w:rsidR="000F4F53" w:rsidRPr="000F4F53">
        <w:rPr>
          <w:rFonts w:ascii="Arial" w:hAnsi="Arial" w:cs="Arial"/>
          <w:color w:val="000000"/>
          <w:vertAlign w:val="superscript"/>
        </w:rPr>
        <w:t>322–324</w:t>
      </w:r>
      <w:r w:rsidRPr="00D74025">
        <w:rPr>
          <w:rFonts w:ascii="Arial" w:hAnsi="Arial" w:cs="Arial"/>
          <w:color w:val="000000" w:themeColor="text1"/>
        </w:rPr>
        <w:fldChar w:fldCharType="end"/>
      </w:r>
      <w:r w:rsidRPr="00D74025">
        <w:rPr>
          <w:rFonts w:ascii="Arial" w:hAnsi="Arial" w:cs="Arial"/>
          <w:color w:val="000000" w:themeColor="text1"/>
        </w:rPr>
        <w:t xml:space="preserve">. </w:t>
      </w:r>
    </w:p>
    <w:p w14:paraId="0263A4AC" w14:textId="0226BD4C" w:rsidR="0074503C" w:rsidRPr="00D74025" w:rsidRDefault="0074503C" w:rsidP="0074503C">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Another piece of the puzzle is that the effectiveness of checkpoint inhibition in humans has been correlated to the presence of </w:t>
      </w:r>
      <w:r>
        <w:rPr>
          <w:rFonts w:ascii="Arial" w:hAnsi="Arial" w:cs="Arial"/>
          <w:color w:val="000000" w:themeColor="text1"/>
        </w:rPr>
        <w:t>tumor-infiltrating</w:t>
      </w:r>
      <w:r w:rsidRPr="00D74025">
        <w:rPr>
          <w:rFonts w:ascii="Arial" w:hAnsi="Arial" w:cs="Arial"/>
          <w:color w:val="000000" w:themeColor="text1"/>
        </w:rPr>
        <w:t xml:space="preserve"> lymphocytes. Immunoadjuvants </w:t>
      </w:r>
      <w:r>
        <w:rPr>
          <w:rFonts w:ascii="Arial" w:hAnsi="Arial" w:cs="Arial"/>
          <w:color w:val="000000" w:themeColor="text1"/>
        </w:rPr>
        <w:t>have</w:t>
      </w:r>
      <w:r w:rsidRPr="00D74025">
        <w:rPr>
          <w:rFonts w:ascii="Arial" w:hAnsi="Arial" w:cs="Arial"/>
          <w:color w:val="000000" w:themeColor="text1"/>
        </w:rPr>
        <w:t xml:space="preserve"> been shown to increase the presence of </w:t>
      </w:r>
      <w:r>
        <w:rPr>
          <w:rFonts w:ascii="Arial" w:hAnsi="Arial" w:cs="Arial"/>
          <w:color w:val="000000" w:themeColor="text1"/>
        </w:rPr>
        <w:t>infiltrating</w:t>
      </w:r>
      <w:r w:rsidRPr="00D74025">
        <w:rPr>
          <w:rFonts w:ascii="Arial" w:hAnsi="Arial" w:cs="Arial"/>
          <w:color w:val="000000" w:themeColor="text1"/>
        </w:rPr>
        <w:t xml:space="preserve"> lymphocytes</w:t>
      </w:r>
      <w:r w:rsidR="00AF7BAA">
        <w:rPr>
          <w:rFonts w:ascii="Arial" w:hAnsi="Arial" w:cs="Arial"/>
          <w:color w:val="000000" w:themeColor="text1"/>
        </w:rPr>
        <w:t xml:space="preserve"> in the tumor </w:t>
      </w:r>
      <w:r w:rsidR="00EC04A8">
        <w:rPr>
          <w:rFonts w:ascii="Arial" w:hAnsi="Arial" w:cs="Arial"/>
          <w:color w:val="000000" w:themeColor="text1"/>
        </w:rPr>
        <w:t>invironment</w:t>
      </w:r>
      <w:r>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{"citationID":"a2dut5q58gd","properties":{"formattedCitation":"\\super 325\\nosupersub{}","plainCitation":"325","noteIndex":0},"citationItems":[{"id":1209,"uris":["http://zotero.org/users/7661987/items/X9IIN7IC"],"itemData":{"id":1209,"type":"article-journal","abstract":"Toll-like receptors (TLRs) are pattern-recognition receptors related to the Drosophila Toll protein. TLR activation alerts the immune system to microbial products and initiates innate and adaptive immune responses. The naturally powerful immunostimulatory property of TLR agonists can be exploited for active immunotherapy against cancer. Antitumor activity has been demonstrated in several cancers, and TLR agonists are now undergoing extensive clinical investigation. This review discusses recent advances in the field and highlights potential opportunities for the clinical development of TLR agonists as single agent immunomodulators, vaccine adjuvants and in combination with conventional cancer therapies.","container-title":"Immunotherapy","DOI":"10.2217/imt.09.70","ISSN":"1750-743X, 1750-7448","issue":"6","journalAbbreviation":"Immunotherapy","language":"en","page":"949-964","source":"DOI.org (Crossref)","title":"Toll-like receptor agonists in cancer therapy","volume":"1","author":[{"family":"Adams","given":"Sylvia"}],"issued":{"date-parts":[["2009",11]]}}}],"schema":"https://github.com/citation-style-language/schema/raw/master/csl-citation.json"} </w:instrText>
      </w:r>
      <w:r>
        <w:rPr>
          <w:rFonts w:ascii="Arial" w:hAnsi="Arial" w:cs="Arial"/>
          <w:color w:val="000000" w:themeColor="text1"/>
        </w:rPr>
        <w:fldChar w:fldCharType="separate"/>
      </w:r>
      <w:r w:rsidR="000F4F53" w:rsidRPr="000F4F53">
        <w:rPr>
          <w:rFonts w:ascii="Arial" w:hAnsi="Arial" w:cs="Arial"/>
          <w:color w:val="000000"/>
          <w:vertAlign w:val="superscript"/>
        </w:rPr>
        <w:t>325</w:t>
      </w:r>
      <w:r>
        <w:rPr>
          <w:rFonts w:ascii="Arial" w:hAnsi="Arial" w:cs="Arial"/>
          <w:color w:val="000000" w:themeColor="text1"/>
        </w:rPr>
        <w:fldChar w:fldCharType="end"/>
      </w:r>
      <w:r w:rsidRPr="00D74025">
        <w:rPr>
          <w:rFonts w:ascii="Arial" w:hAnsi="Arial" w:cs="Arial"/>
          <w:color w:val="000000" w:themeColor="text1"/>
        </w:rPr>
        <w:t xml:space="preserve">. </w:t>
      </w:r>
    </w:p>
    <w:p w14:paraId="52082F5F" w14:textId="4F336623" w:rsidR="00187EE8" w:rsidRPr="00D74025" w:rsidRDefault="00187EE8" w:rsidP="00187EE8">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Therefore, here we present the strategy of combining the strategy currently being studied in our research group, the targeted SWCNT- mediated PTT and checkpoint inhibition, with the addition of an immunoadjuvant to the cancer treatment strategy. The use of PTT in combination </w:t>
      </w:r>
      <w:r>
        <w:rPr>
          <w:rFonts w:ascii="Arial" w:hAnsi="Arial" w:cs="Arial"/>
          <w:color w:val="000000" w:themeColor="text1"/>
        </w:rPr>
        <w:t xml:space="preserve">with </w:t>
      </w:r>
      <w:r w:rsidRPr="00D74025">
        <w:rPr>
          <w:rFonts w:ascii="Arial" w:hAnsi="Arial" w:cs="Arial"/>
          <w:color w:val="000000" w:themeColor="text1"/>
        </w:rPr>
        <w:t xml:space="preserve">anti-CTLA-4 and anti-PD-1 has already shown </w:t>
      </w:r>
      <w:r>
        <w:rPr>
          <w:rFonts w:ascii="Arial" w:hAnsi="Arial" w:cs="Arial"/>
          <w:color w:val="000000" w:themeColor="text1"/>
        </w:rPr>
        <w:t>promising</w:t>
      </w:r>
      <w:r w:rsidRPr="00D74025">
        <w:rPr>
          <w:rFonts w:ascii="Arial" w:hAnsi="Arial" w:cs="Arial"/>
          <w:color w:val="000000" w:themeColor="text1"/>
        </w:rPr>
        <w:t xml:space="preserve"> results, which </w:t>
      </w:r>
      <w:r>
        <w:rPr>
          <w:rFonts w:ascii="Arial" w:hAnsi="Arial" w:cs="Arial"/>
          <w:color w:val="000000" w:themeColor="text1"/>
        </w:rPr>
        <w:t>have</w:t>
      </w:r>
      <w:r w:rsidRPr="00D74025">
        <w:rPr>
          <w:rFonts w:ascii="Arial" w:hAnsi="Arial" w:cs="Arial"/>
          <w:color w:val="000000" w:themeColor="text1"/>
        </w:rPr>
        <w:t xml:space="preserve"> been attributed to the release of tumor antigens and danger signals that </w:t>
      </w:r>
      <w:r>
        <w:rPr>
          <w:rFonts w:ascii="Arial" w:hAnsi="Arial" w:cs="Arial"/>
          <w:color w:val="000000" w:themeColor="text1"/>
        </w:rPr>
        <w:t>the immune system can recognize</w:t>
      </w:r>
      <w:r w:rsidRPr="00D74025">
        <w:rPr>
          <w:rFonts w:ascii="Arial" w:hAnsi="Arial" w:cs="Arial"/>
          <w:color w:val="000000" w:themeColor="text1"/>
        </w:rPr>
        <w:t xml:space="preserve">. The addition of an immunoadjuvant </w:t>
      </w:r>
      <w:r w:rsidR="00B25F89">
        <w:rPr>
          <w:rFonts w:ascii="Arial" w:hAnsi="Arial" w:cs="Arial"/>
          <w:color w:val="000000" w:themeColor="text1"/>
        </w:rPr>
        <w:t>c</w:t>
      </w:r>
      <w:r w:rsidRPr="00D74025">
        <w:rPr>
          <w:rFonts w:ascii="Arial" w:hAnsi="Arial" w:cs="Arial"/>
          <w:color w:val="000000" w:themeColor="text1"/>
        </w:rPr>
        <w:t xml:space="preserve">ould improve the immunogenicity of the tumor by attracting the innate immune response to the tumor site, consequently transforming an immunogenic cold tumor into a hot tumor by the increase of </w:t>
      </w:r>
      <w:r>
        <w:rPr>
          <w:rFonts w:ascii="Arial" w:hAnsi="Arial" w:cs="Arial"/>
          <w:color w:val="000000" w:themeColor="text1"/>
        </w:rPr>
        <w:t>tumor-infiltrating</w:t>
      </w:r>
      <w:r w:rsidRPr="00D74025">
        <w:rPr>
          <w:rFonts w:ascii="Arial" w:hAnsi="Arial" w:cs="Arial"/>
          <w:color w:val="000000" w:themeColor="text1"/>
        </w:rPr>
        <w:t xml:space="preserve"> lymphocytes. </w:t>
      </w:r>
      <w:r>
        <w:rPr>
          <w:rFonts w:ascii="Arial" w:hAnsi="Arial" w:cs="Arial"/>
          <w:color w:val="000000" w:themeColor="text1"/>
        </w:rPr>
        <w:t>This strategy</w:t>
      </w:r>
      <w:r w:rsidRPr="00D74025">
        <w:rPr>
          <w:rFonts w:ascii="Arial" w:hAnsi="Arial" w:cs="Arial"/>
          <w:color w:val="000000" w:themeColor="text1"/>
        </w:rPr>
        <w:t xml:space="preserve"> was tested in 4T1 </w:t>
      </w:r>
      <w:r>
        <w:rPr>
          <w:rFonts w:ascii="Arial" w:hAnsi="Arial" w:cs="Arial"/>
          <w:color w:val="000000" w:themeColor="text1"/>
        </w:rPr>
        <w:t>tumors</w:t>
      </w:r>
      <w:r w:rsidRPr="00D74025">
        <w:rPr>
          <w:rFonts w:ascii="Arial" w:hAnsi="Arial" w:cs="Arial"/>
          <w:color w:val="000000" w:themeColor="text1"/>
        </w:rPr>
        <w:t xml:space="preserve">, which are less immunogenic than EMT6. </w:t>
      </w:r>
    </w:p>
    <w:p w14:paraId="150C1441" w14:textId="5C206DCE" w:rsidR="00503469" w:rsidRDefault="00503469" w:rsidP="00503469">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One of the </w:t>
      </w:r>
      <w:r>
        <w:rPr>
          <w:rFonts w:ascii="Arial" w:hAnsi="Arial" w:cs="Arial"/>
          <w:color w:val="000000" w:themeColor="text1"/>
        </w:rPr>
        <w:t>FDA-approved</w:t>
      </w:r>
      <w:r w:rsidRPr="00D74025">
        <w:rPr>
          <w:rFonts w:ascii="Arial" w:hAnsi="Arial" w:cs="Arial"/>
          <w:color w:val="000000" w:themeColor="text1"/>
        </w:rPr>
        <w:t xml:space="preserve"> immunoadjuvants is imiquimod</w:t>
      </w:r>
      <w:r>
        <w:rPr>
          <w:rFonts w:ascii="Arial" w:hAnsi="Arial" w:cs="Arial"/>
          <w:color w:val="000000" w:themeColor="text1"/>
        </w:rPr>
        <w:t xml:space="preserve"> (IMQ)</w:t>
      </w:r>
      <w:r w:rsidRPr="00D74025">
        <w:rPr>
          <w:rFonts w:ascii="Arial" w:hAnsi="Arial" w:cs="Arial"/>
          <w:color w:val="000000" w:themeColor="text1"/>
        </w:rPr>
        <w:t xml:space="preserve">, a </w:t>
      </w:r>
      <w:r>
        <w:rPr>
          <w:rFonts w:ascii="Arial" w:hAnsi="Arial" w:cs="Arial"/>
          <w:color w:val="000000" w:themeColor="text1"/>
        </w:rPr>
        <w:t>toll-like receptor</w:t>
      </w:r>
      <w:r w:rsidRPr="00D74025">
        <w:rPr>
          <w:rFonts w:ascii="Arial" w:hAnsi="Arial" w:cs="Arial"/>
          <w:color w:val="000000" w:themeColor="text1"/>
        </w:rPr>
        <w:t xml:space="preserve"> 7 agonist</w:t>
      </w:r>
      <w:r>
        <w:rPr>
          <w:rFonts w:ascii="Arial" w:hAnsi="Arial" w:cs="Arial"/>
          <w:color w:val="000000" w:themeColor="text1"/>
        </w:rPr>
        <w:t xml:space="preserve"> used for the treatment of </w:t>
      </w:r>
      <w:r w:rsidRPr="004806E1">
        <w:rPr>
          <w:rFonts w:ascii="Arial" w:hAnsi="Arial" w:cs="Arial"/>
          <w:color w:val="000000" w:themeColor="text1"/>
        </w:rPr>
        <w:t>viral warts, basal</w:t>
      </w:r>
      <w:r w:rsidR="00001B6D">
        <w:rPr>
          <w:rFonts w:ascii="Arial" w:hAnsi="Arial" w:cs="Arial"/>
          <w:color w:val="000000" w:themeColor="text1"/>
        </w:rPr>
        <w:t xml:space="preserve"> </w:t>
      </w:r>
      <w:r>
        <w:rPr>
          <w:rFonts w:ascii="Arial" w:hAnsi="Arial" w:cs="Arial"/>
          <w:color w:val="000000" w:themeColor="text1"/>
        </w:rPr>
        <w:t>cell</w:t>
      </w:r>
      <w:r w:rsidRPr="004806E1">
        <w:rPr>
          <w:rFonts w:ascii="Arial" w:hAnsi="Arial" w:cs="Arial"/>
          <w:color w:val="000000" w:themeColor="text1"/>
        </w:rPr>
        <w:t xml:space="preserve"> carcinoma</w:t>
      </w:r>
      <w:r w:rsidR="00EF7F15">
        <w:rPr>
          <w:rFonts w:ascii="Arial" w:hAnsi="Arial" w:cs="Arial"/>
          <w:color w:val="000000" w:themeColor="text1"/>
        </w:rPr>
        <w:t>,</w:t>
      </w:r>
      <w:r w:rsidRPr="004806E1">
        <w:rPr>
          <w:rFonts w:ascii="Arial" w:hAnsi="Arial" w:cs="Arial"/>
          <w:color w:val="000000" w:themeColor="text1"/>
        </w:rPr>
        <w:t xml:space="preserve"> and actinic k</w:t>
      </w:r>
      <w:r>
        <w:rPr>
          <w:rFonts w:ascii="Arial" w:hAnsi="Arial" w:cs="Arial"/>
          <w:color w:val="000000" w:themeColor="text1"/>
        </w:rPr>
        <w:t>e</w:t>
      </w:r>
      <w:r w:rsidRPr="004806E1">
        <w:rPr>
          <w:rFonts w:ascii="Arial" w:hAnsi="Arial" w:cs="Arial"/>
          <w:color w:val="000000" w:themeColor="text1"/>
        </w:rPr>
        <w:t>ratoses</w:t>
      </w:r>
      <w:r w:rsidRPr="00D74025">
        <w:rPr>
          <w:rFonts w:ascii="Arial" w:hAnsi="Arial" w:cs="Arial"/>
          <w:color w:val="000000" w:themeColor="text1"/>
        </w:rPr>
        <w:t xml:space="preserve">. </w:t>
      </w:r>
      <w:r>
        <w:rPr>
          <w:rFonts w:ascii="Arial" w:hAnsi="Arial" w:cs="Arial"/>
          <w:color w:val="000000" w:themeColor="text1"/>
        </w:rPr>
        <w:t xml:space="preserve">Most of the applications of IMQ require daily applications for extended time </w:t>
      </w:r>
      <w:r>
        <w:rPr>
          <w:rFonts w:ascii="Arial" w:hAnsi="Arial" w:cs="Arial"/>
          <w:color w:val="000000" w:themeColor="text1"/>
        </w:rPr>
        <w:lastRenderedPageBreak/>
        <w:t>periods of up to months to promote good results</w:t>
      </w:r>
      <w:r>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{"citationID":"SAnGeakS","properties":{"formattedCitation":"\\super 326\\uc0\\u8211{}331\\nosupersub{}","plainCitation":"326–331","noteIndex":0},"citationItems":[{"id":1219,"uris":["http://zotero.org/users/7661987/items/ZQGHHZNB"],"itemData":{"id":1219,"type":"article-journal","container-title":"The Journal of Immunology","DOI":"10.4049/jimmunol.181.1.776","ISSN":"0022-1767, 1550-6606","issue":"1","journalAbbreviation":"J Immunol","language":"en","page":"776-784","source":"DOI.org (Crossref)","title":"Immunization of Malignant Melanoma Patients with Full-Length NY-ESO-1 Protein Using TLR7 Agonist Imiquimod as Vaccine Adjuvant","volume":"181","author":[{"family":"Adams","given":"Sylvia"},{"family":"O'Neill","given":"David W."},{"family":"Nonaka","given":"Daisuke"},{"family":"Hardin","given":"Elizabeth"},{"family":"Chiriboga","given":"Luis"},{"family":"Siu","given":"Kimberly"},{"family":"Cruz","given":"Crystal M."},{"family":"Angiulli","given":"Angelica"},{"family":"Angiulli","given":"Francesca"},{"family":"Ritter","given":"Erika"},{"family":"Holman","given":"Rose Marie"},{"family":"Shapiro","given":"Richard L."},{"family":"Berman","given":"Russell S."},{"family":"Berner","given":"Natalie"},{"family":"Shao","given":"Yongzhao"},{"family":"Manches","given":"Olivier"},{"family":"Pan","given":"Linda"},{"family":"Venhaus","given":"Ralph R."},{"family":"Hoffman","given":"Eric W."},{"family":"Jungbluth","given":"Achim"},{"family":"Gnjatic","given":"Sacha"},{"family":"Old","given":"Lloyd"},{"family":"Pavlick","given":"Anna C."},{"family":"Bhardwaj","given":"Nina"}],"issued":{"date-parts":[["2008",7,1]]}}},{"id":1220,"uris":["http://zotero.org/users/7661987/items/2HZ4CTI4"],"itemData":{"id":1220,"type":"article-journal","abstract":"Purpose: Skin metastases of breast cancer remain a therapeutic challenge. Toll-like receptor 7 agonist imiquimod is an immune response modiﬁer and can induce immune-mediated rejection of primary skin malignancies when topically applied. Here we tested the hypothesis that topical imiquimod stimulates local antitumor immunity and induces the regression of breast cancer skin metastases. Experimental Design: A prospective clinical trial was designed to evaluate the local tumor response rate of breast cancer skin metastases treated with topical imiquimod, applied 5 d/wk for 8 weeks. Safety and immunologic correlates were secondary objectives.\nResults: Ten patients were enrolled and completed the study. Imiquimod treatment was well tolerated, with only grade 1 to 2 transient local and systemic side effects consistent with imiquimod’s immunomodulatory effects. Two patients achieved a partial response [20%; 95% conﬁdence interval (CI), 3%–56%]. Responders showed histologic tumor regression with evidence of an immune-mediated response, showed by changes in the tumor lymphocytic inﬁltrate and locally produced cytokines.\nConclusion: Topical imiquimod is a beneﬁcial treatment modality for breast cancer metastatic to skin/chest wall and is well tolerated. Importantly, imiquimod can promote a proimmunogenic tumor microenvironment in breast cancer. Preclinical data generated by our group suggest superior results with a combination of imiquimod and ionizing radiation and we are currently testing in patients whether the combination can further improve antitumor immune and clinical responses. Clin Cancer Res; 18(24); 6748–57. Ó2012 AACR.","container-title":"Clinical Cancer Research","DOI":"10.1158/1078-0432.CCR-12-1149","ISSN":"1078-0432, 1557-3265","issue":"24","language":"en","page":"6748-6757","source":"DOI.org (Crossref)","title":"Topical TLR7 Agonist Imiquimod Can Induce Immune-Mediated Rejection of Skin Metastases in Patients with Breast Cancer","volume":"18","author":[{"family":"Adams","given":"Sylvia"},{"family":"Kozhaya","given":"Lina"},{"family":"Martiniuk","given":"Frank"},{"family":"Meng","given":"Tze-Chiang"},{"family":"Chiriboga","given":"Luis"},{"family":"Liebes","given":"Leonard"},{"family":"Hochman","given":"Tsivia"},{"family":"Shuman","given":"Nicholas"},{"family":"Axelrod","given":"Deborah"},{"family":"Speyer","given":"James"},{"family":"Novik","given":"Yelena"},{"family":"Tiersten","given":"Amy"},{"family":"Goldberg","given":"Judith D."},{"family":"Formenti","given":"Silvia C."},{"family":"Bhardwaj","given":"Nina"},{"family":"Unutmaz","given":"Derya"},{"family":"Demaria","given":"Sandra"}],"issued":{"date-parts":[["2012",12,15]]}}},{"id":1221,"uris":["http://zotero.org/users/7661987/items/XBNT98UR"],"itemData":{"id":1221,"type":"article-journal","abstract":"Purpose: This study tested the hypothesis that topical Toll-like receptor (TLR) 7 agonist imiquimod promotes antitumor immunity and synergizes with other treatments in a model of skin-involving breast cancer. Experimental Design: TSA mouse breast carcinoma cells were injected s.c. into syngeneic mice. Imiquimod 5% or placebo cream was applied topically on the shaved skin overlying tumors three times/wk. In some experiments, local ionizing radiation therapy (RT) was delivered to the tumor in three fractions of 8 Gy, given on consecutive days. Cyclophosphamide was given intraperitoneally (i.p.) in one dose of 2 mg/mouse. Mice were followed for tumor growth and survival.\nResults: Treatment with imiquimod signiﬁcantly inhibited tumor growth, an effect that was associated with increased tumor inﬁltration by CD11cþ, CD4þ, and CD8þ cells, and abolished by depletion of CD8þ cells. Administration of imiquimod in combination with RT enhanced signiﬁcantly tumor response compared with either treatment alone (P &lt; 0.005), and 11% to 66% of irradiated tumors completely regressed. Importantly, the addition of topical imiquimod also resulted in growth inhibition of a secondary tumor outside of the radiation ﬁeld. Low-dose cyclophosphamide given before start of treatment with imiquimod and RT further improved tumor inhibition and reduced tumor recurrence. Mice that remained tumor-free rejected a tumorigenic inoculum of TSA cells, showing long-term immunologic memory.\nConclusions: Topical imiquimod inhibits tumor growth and synergizes with RT. Addition of cyclophosphamide further increases the therapeutic effect and induces protective immunologic memory, suggesting that this combination is a promising strategy for cutaneous breast cancer metastases. Clin Cancer Res; 18(24); 6668–78. Ó2012 AACR.","container-title":"Clinical Cancer Research","DOI":"10.1158/1078-0432.CCR-12-0984","ISSN":"1078-0432, 1557-3265","issue":"24","language":"en","page":"6668-6678","source":"DOI.org (Crossref)","title":"Synergy of Topical Toll-like Receptor 7 Agonist with Radiation and Low-Dose Cyclophosphamide in a Mouse Model of Cutaneous Breast Cancer","volume":"18","author":[{"family":"Dewan","given":"M. Zahidunnabi"},{"family":"Vanpouille-Box","given":"Claire"},{"family":"Kawashima","given":"Noriko"},{"family":"DiNapoli","given":"Sara"},{"family":"Babb","given":"James S."},{"family":"Formenti","given":"Silvia C."},{"family":"Adams","given":"Sylvia"},{"family":"Demaria","given":"Sandra"}],"issued":{"date-parts":[["2012",12,15]]}}},{"id":1222,"uris":["http://zotero.org/users/7661987/items/EVHCI25I"],"itemData":{"id":1222,"type":"article-journal","container-title":"The Journal of Immunology","DOI":"10.4049/jimmunol.0902997","ISSN":"0022-1767, 1550-6606","issue":"9","journalAbbreviation":"J.I.","language":"en","page":"5360-5367","source":"DOI.org (Crossref)","title":"Treatment Failure of a TLR-7 Agonist Occurs Due to Self-Regulation of Acute Inflammation and Can Be Overcome by IL-10 Blockade","volume":"184","author":[{"family":"Lu","given":"Hailing"},{"family":"Wagner","given":"Wolfgang M."},{"family":"Gad","given":"Ekram"},{"family":"Yang","given":"Yi"},{"family":"Duan","given":"Hangjun"},{"family":"Amon","given":"Lynn M."},{"family":"Van Denend","given":"Nathaniel"},{"family":"Larson","given":"Emily R."},{"family":"Chang","given":"Amy"},{"family":"Tufvesson","given":"Helena"},{"family":"Disis","given":"Mary L."}],"issued":{"date-parts":[["2010",5,1]]}}},{"id":1223,"uris":["http://zotero.org/users/7661987/items/BG3L537N"],"itemData":{"id":1223,"type":"article-journal","container-title":"Scientific Reports","DOI":"10.1038/s41598-017-16707-5","ISSN":"2045-2322","issue":"1","journalAbbreviation":"Sci Rep","language":"en","page":"16570","source":"DOI.org (Crossref)","title":"The Systemic Response to Topical Aldara Treatment is Mediated Through Direct TLR7 Stimulation as Imiquimod Enters the Circulation","volume":"7","author":[{"family":"Nerurkar","given":"Louis"},{"family":"McColl","given":"Alison"},{"family":"Graham","given":"Gerard"},{"family":"Cavanagh","given":"Jonathan"}],"issued":{"date-parts":[["2017",12]]}}},{"id":1224,"uris":["http://zotero.org/users/7661987/items/BPT2VA45"],"itemData":{"id":1224,"type":"article-journal","container-title":"Journal of Investigative Dermatology","DOI":"10.1038/sj.jid.5700777","ISSN":"0022202X","issue":"7","journalAbbreviation":"Journal of Investigative Dermatology","language":"en","page":"1673-1680","source":"DOI.org (Crossref)","title":"Imiquimod Enhances the Systemic Immunity Attained by Local Cryosurgery Destruction of Melanoma Lesions","volume":"127","author":[{"family":"Redondo","given":"Pedro"},{"family":"Olmo","given":"Julio","non-dropping-particle":"del"},{"family":"López-Diaz de Cerio","given":"Ascensión"},{"family":"Inoges","given":"Susana"},{"family":"Marquina","given":"Miren"},{"family":"Melero","given":"Ignacio"},{"family":"Bendandi","given":"Maurizio"}],"issued":{"date-parts":[["2007",7]]}}}],"schema":"https://github.com/citation-style-language/schema/raw/master/csl-citation.json"} </w:instrText>
      </w:r>
      <w:r>
        <w:rPr>
          <w:rFonts w:ascii="Arial" w:hAnsi="Arial" w:cs="Arial"/>
          <w:color w:val="000000" w:themeColor="text1"/>
        </w:rPr>
        <w:fldChar w:fldCharType="separate"/>
      </w:r>
      <w:r w:rsidR="000F4F53" w:rsidRPr="000F4F53">
        <w:rPr>
          <w:rFonts w:ascii="Arial" w:hAnsi="Arial" w:cs="Arial"/>
          <w:color w:val="000000"/>
          <w:vertAlign w:val="superscript"/>
        </w:rPr>
        <w:t>326–331</w:t>
      </w:r>
      <w:r>
        <w:rPr>
          <w:rFonts w:ascii="Arial" w:hAnsi="Arial" w:cs="Arial"/>
          <w:color w:val="000000" w:themeColor="text1"/>
        </w:rPr>
        <w:fldChar w:fldCharType="end"/>
      </w:r>
      <w:r>
        <w:rPr>
          <w:rFonts w:ascii="Arial" w:hAnsi="Arial" w:cs="Arial"/>
          <w:color w:val="000000" w:themeColor="text1"/>
        </w:rPr>
        <w:t xml:space="preserve">, which is attributed to the inherently small molecule size that tends to diffuse out of the application site (see </w:t>
      </w:r>
      <w:r w:rsidR="009F16AE" w:rsidRPr="009F16AE">
        <w:rPr>
          <w:rFonts w:ascii="Arial" w:hAnsi="Arial" w:cs="Arial"/>
          <w:b/>
          <w:bCs/>
          <w:color w:val="000000" w:themeColor="text1"/>
        </w:rPr>
        <w:t>F</w:t>
      </w:r>
      <w:r w:rsidRPr="009F16AE">
        <w:rPr>
          <w:rFonts w:ascii="Arial" w:hAnsi="Arial" w:cs="Arial"/>
          <w:b/>
          <w:bCs/>
          <w:color w:val="000000" w:themeColor="text1"/>
        </w:rPr>
        <w:t xml:space="preserve">igure </w:t>
      </w:r>
      <w:r w:rsidR="009F16AE" w:rsidRPr="009F16AE">
        <w:rPr>
          <w:rFonts w:ascii="Arial" w:hAnsi="Arial" w:cs="Arial"/>
          <w:b/>
          <w:bCs/>
          <w:color w:val="000000" w:themeColor="text1"/>
        </w:rPr>
        <w:t>44</w:t>
      </w:r>
      <w:r>
        <w:rPr>
          <w:rFonts w:ascii="Arial" w:hAnsi="Arial" w:cs="Arial"/>
          <w:color w:val="000000" w:themeColor="text1"/>
        </w:rPr>
        <w:t xml:space="preserve">). Therefore, to improve the effectiveness of the addition of IMQ to the combination, </w:t>
      </w:r>
      <w:r w:rsidRPr="00D74025">
        <w:rPr>
          <w:rFonts w:ascii="Arial" w:hAnsi="Arial" w:cs="Arial"/>
          <w:color w:val="000000" w:themeColor="text1"/>
        </w:rPr>
        <w:t>we encapsulated IMQ in hydrogel for the slow release of the small molecule into the tumor.</w:t>
      </w:r>
    </w:p>
    <w:p w14:paraId="531BEDE1" w14:textId="77777777" w:rsidR="00EF7F15" w:rsidRDefault="00EF7F15" w:rsidP="00503469">
      <w:pPr>
        <w:spacing w:line="360" w:lineRule="auto"/>
        <w:ind w:firstLine="1440"/>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503469" w14:paraId="4DC50A04" w14:textId="77777777" w:rsidTr="00503469">
        <w:tc>
          <w:tcPr>
            <w:tcW w:w="9350" w:type="dxa"/>
          </w:tcPr>
          <w:p w14:paraId="11E9B4AD" w14:textId="435A3D17" w:rsidR="00503469" w:rsidRDefault="00727DAB" w:rsidP="000D71A7">
            <w:pPr>
              <w:spacing w:beforeAutospacing="0" w:line="360" w:lineRule="auto"/>
              <w:ind w:firstLine="0"/>
              <w:jc w:val="center"/>
              <w:rPr>
                <w:rFonts w:ascii="Arial" w:hAnsi="Arial" w:cs="Arial"/>
                <w:color w:val="000000" w:themeColor="text1"/>
              </w:rPr>
            </w:pPr>
            <w:r>
              <w:fldChar w:fldCharType="begin"/>
            </w:r>
            <w:r>
              <w:instrText xml:space="preserve"> INCLUDEPICTURE "https://encrypted-tbn0.gstatic.com/images?q=tbn:ANd9GcQTcBdm6ioIZYmCJUiJFI_pPjuTd1A2iVMWP6WNFK_8iLLtIHDiFVXX7uK5LwvJNQnxZDk&amp;usqp=CAU" \* MERGEFORMATINET </w:instrText>
            </w:r>
            <w:r>
              <w:fldChar w:fldCharType="separate"/>
            </w:r>
            <w:r>
              <w:rPr>
                <w:noProof/>
              </w:rPr>
              <w:drawing>
                <wp:inline distT="0" distB="0" distL="0" distR="0" wp14:anchorId="6B9ACFDB" wp14:editId="70F6B3BD">
                  <wp:extent cx="2934970" cy="2770505"/>
                  <wp:effectExtent l="0" t="0" r="0" b="0"/>
                  <wp:docPr id="201" name="Picture 201" descr="Imiquimod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iquimod - Wikipedia"/>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934970" cy="2770505"/>
                          </a:xfrm>
                          <a:prstGeom prst="rect">
                            <a:avLst/>
                          </a:prstGeom>
                          <a:noFill/>
                          <a:ln>
                            <a:noFill/>
                          </a:ln>
                        </pic:spPr>
                      </pic:pic>
                    </a:graphicData>
                  </a:graphic>
                </wp:inline>
              </w:drawing>
            </w:r>
            <w:r>
              <w:fldChar w:fldCharType="end"/>
            </w:r>
          </w:p>
        </w:tc>
      </w:tr>
      <w:tr w:rsidR="00503469" w14:paraId="6F8AA8BB" w14:textId="77777777" w:rsidTr="00503469">
        <w:tc>
          <w:tcPr>
            <w:tcW w:w="9350" w:type="dxa"/>
          </w:tcPr>
          <w:p w14:paraId="1B1E2BFF" w14:textId="495BE0AF" w:rsidR="00503469" w:rsidRPr="00C719B9" w:rsidRDefault="00C6239D" w:rsidP="00727DAB">
            <w:pPr>
              <w:spacing w:line="360" w:lineRule="auto"/>
              <w:ind w:firstLine="0"/>
              <w:rPr>
                <w:rFonts w:ascii="Arial" w:hAnsi="Arial" w:cs="Arial"/>
                <w:b/>
                <w:bCs/>
                <w:color w:val="000000" w:themeColor="text1"/>
              </w:rPr>
            </w:pPr>
            <w:bookmarkStart w:id="145" w:name="_Toc121217366"/>
            <w:r w:rsidRPr="00C6239D">
              <w:rPr>
                <w:rFonts w:ascii="Arial" w:hAnsi="Arial" w:cs="Arial"/>
                <w:b/>
                <w:bCs/>
                <w:color w:val="000000" w:themeColor="text1"/>
              </w:rPr>
              <w:t xml:space="preserve">Figure </w:t>
            </w:r>
            <w:r w:rsidRPr="00C6239D">
              <w:rPr>
                <w:rFonts w:ascii="Arial" w:hAnsi="Arial" w:cs="Arial"/>
                <w:b/>
                <w:bCs/>
                <w:color w:val="000000" w:themeColor="text1"/>
              </w:rPr>
              <w:fldChar w:fldCharType="begin"/>
            </w:r>
            <w:r w:rsidRPr="00C6239D">
              <w:rPr>
                <w:rFonts w:ascii="Arial" w:hAnsi="Arial" w:cs="Arial"/>
                <w:b/>
                <w:bCs/>
                <w:color w:val="000000" w:themeColor="text1"/>
              </w:rPr>
              <w:instrText xml:space="preserve"> SEQ Figure \* ARABIC </w:instrText>
            </w:r>
            <w:r w:rsidRPr="00C6239D">
              <w:rPr>
                <w:rFonts w:ascii="Arial" w:hAnsi="Arial" w:cs="Arial"/>
                <w:b/>
                <w:bCs/>
                <w:color w:val="000000" w:themeColor="text1"/>
              </w:rPr>
              <w:fldChar w:fldCharType="separate"/>
            </w:r>
            <w:r w:rsidR="002C4B25">
              <w:rPr>
                <w:rFonts w:ascii="Arial" w:hAnsi="Arial" w:cs="Arial"/>
                <w:b/>
                <w:bCs/>
                <w:noProof/>
                <w:color w:val="000000" w:themeColor="text1"/>
              </w:rPr>
              <w:t>44</w:t>
            </w:r>
            <w:r w:rsidRPr="00C6239D">
              <w:rPr>
                <w:rFonts w:ascii="Arial" w:hAnsi="Arial" w:cs="Arial"/>
                <w:b/>
                <w:bCs/>
                <w:color w:val="000000" w:themeColor="text1"/>
              </w:rPr>
              <w:fldChar w:fldCharType="end"/>
            </w:r>
            <w:r w:rsidR="00727DAB" w:rsidRPr="00C719B9">
              <w:rPr>
                <w:rFonts w:ascii="Arial" w:hAnsi="Arial" w:cs="Arial"/>
                <w:b/>
                <w:bCs/>
                <w:color w:val="000000" w:themeColor="text1"/>
              </w:rPr>
              <w:t>: chemical str</w:t>
            </w:r>
            <w:r w:rsidR="00C719B9" w:rsidRPr="00C719B9">
              <w:rPr>
                <w:rFonts w:ascii="Arial" w:hAnsi="Arial" w:cs="Arial"/>
                <w:b/>
                <w:bCs/>
                <w:color w:val="000000" w:themeColor="text1"/>
              </w:rPr>
              <w:t>ucture of imiquimod (IMQ)</w:t>
            </w:r>
            <w:r w:rsidR="00C719B9">
              <w:rPr>
                <w:rFonts w:ascii="Arial" w:hAnsi="Arial" w:cs="Arial"/>
                <w:b/>
                <w:bCs/>
                <w:color w:val="000000" w:themeColor="text1"/>
              </w:rPr>
              <w:t>.</w:t>
            </w:r>
            <w:bookmarkEnd w:id="145"/>
          </w:p>
        </w:tc>
      </w:tr>
    </w:tbl>
    <w:p w14:paraId="30BD4DA9" w14:textId="77777777" w:rsidR="00C6239D" w:rsidRPr="00D74025" w:rsidRDefault="00C6239D" w:rsidP="00503469">
      <w:pPr>
        <w:spacing w:line="360" w:lineRule="auto"/>
        <w:jc w:val="both"/>
        <w:rPr>
          <w:rFonts w:ascii="Arial" w:hAnsi="Arial" w:cs="Arial"/>
          <w:color w:val="000000" w:themeColor="text1"/>
        </w:rPr>
      </w:pPr>
    </w:p>
    <w:p w14:paraId="2D7F6B99" w14:textId="196BFFCD" w:rsidR="00E52087" w:rsidRPr="00D74025" w:rsidRDefault="00E52087" w:rsidP="00AD75E5">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We hypothesize that an </w:t>
      </w:r>
      <w:proofErr w:type="spellStart"/>
      <w:r w:rsidRPr="00D74025">
        <w:rPr>
          <w:rFonts w:ascii="Arial" w:hAnsi="Arial" w:cs="Arial"/>
          <w:color w:val="000000" w:themeColor="text1"/>
        </w:rPr>
        <w:t>intratumoral</w:t>
      </w:r>
      <w:proofErr w:type="spellEnd"/>
      <w:r w:rsidRPr="00D74025">
        <w:rPr>
          <w:rFonts w:ascii="Arial" w:hAnsi="Arial" w:cs="Arial"/>
          <w:color w:val="000000" w:themeColor="text1"/>
        </w:rPr>
        <w:t xml:space="preserve"> administration of</w:t>
      </w:r>
      <w:r w:rsidR="005F1C64">
        <w:rPr>
          <w:rFonts w:ascii="Arial" w:hAnsi="Arial" w:cs="Arial"/>
          <w:color w:val="000000" w:themeColor="text1"/>
        </w:rPr>
        <w:t xml:space="preserve"> </w:t>
      </w:r>
      <w:r w:rsidRPr="00D74025">
        <w:rPr>
          <w:rFonts w:ascii="Arial" w:hAnsi="Arial" w:cs="Arial"/>
          <w:color w:val="000000" w:themeColor="text1"/>
        </w:rPr>
        <w:t>IMQ</w:t>
      </w:r>
      <w:r w:rsidR="005F1C64">
        <w:rPr>
          <w:rFonts w:ascii="Arial" w:hAnsi="Arial" w:cs="Arial"/>
          <w:color w:val="000000" w:themeColor="text1"/>
        </w:rPr>
        <w:t xml:space="preserve"> </w:t>
      </w:r>
      <w:r w:rsidRPr="00D74025">
        <w:rPr>
          <w:rFonts w:ascii="Arial" w:hAnsi="Arial" w:cs="Arial"/>
          <w:color w:val="000000" w:themeColor="text1"/>
        </w:rPr>
        <w:t>would first induce an attraction of lymphocytes to the tumor region, turning the tumor into</w:t>
      </w:r>
      <w:r>
        <w:rPr>
          <w:rFonts w:ascii="Arial" w:hAnsi="Arial" w:cs="Arial"/>
          <w:color w:val="000000" w:themeColor="text1"/>
        </w:rPr>
        <w:t xml:space="preserve"> an</w:t>
      </w:r>
      <w:r w:rsidRPr="00D74025">
        <w:rPr>
          <w:rFonts w:ascii="Arial" w:hAnsi="Arial" w:cs="Arial"/>
          <w:color w:val="000000" w:themeColor="text1"/>
        </w:rPr>
        <w:t xml:space="preserve"> immunogenic environment. </w:t>
      </w:r>
      <w:r>
        <w:rPr>
          <w:rFonts w:ascii="Arial" w:hAnsi="Arial" w:cs="Arial"/>
          <w:color w:val="000000" w:themeColor="text1"/>
        </w:rPr>
        <w:t xml:space="preserve">This attraction occurs due to </w:t>
      </w:r>
      <w:r w:rsidRPr="00D74025">
        <w:rPr>
          <w:rFonts w:ascii="Arial" w:hAnsi="Arial" w:cs="Arial"/>
          <w:color w:val="000000" w:themeColor="text1"/>
        </w:rPr>
        <w:t>mimi</w:t>
      </w:r>
      <w:r>
        <w:rPr>
          <w:rFonts w:ascii="Arial" w:hAnsi="Arial" w:cs="Arial"/>
          <w:color w:val="000000" w:themeColor="text1"/>
        </w:rPr>
        <w:t>cry of</w:t>
      </w:r>
      <w:r w:rsidRPr="00D74025">
        <w:rPr>
          <w:rFonts w:ascii="Arial" w:hAnsi="Arial" w:cs="Arial"/>
          <w:color w:val="000000" w:themeColor="text1"/>
        </w:rPr>
        <w:t xml:space="preserve"> bacterial infection</w:t>
      </w:r>
      <w:r>
        <w:rPr>
          <w:rFonts w:ascii="Arial" w:hAnsi="Arial" w:cs="Arial"/>
          <w:color w:val="000000" w:themeColor="text1"/>
        </w:rPr>
        <w:t xml:space="preserve"> by binding to the toll-like receptor on the surface of immune cells</w:t>
      </w:r>
      <w:r>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{"citationID":"kEsGW5Pn","properties":{"formattedCitation":"\\super 332\\nosupersub{}","plainCitation":"332","noteIndex":0},"citationItems":[{"id":1229,"uris":["http://zotero.org/users/7661987/items/WJDRTULX"],"itemData":{"id":1229,"type":"article-journal","abstract":"Despite of the emerging new systemic and local oncologic treatments (immunotherapy and checkpoint inhibitors, oncolytic viral treatments and injected immunostimulants) the management of skin melanoma metastasis can be still challenging. The main aim of this review was to assess the efficacy and the role of imiquimod in local metastatic melanoma disease. An extensive literature review was performed from September 2000 to March 2020 using PubMed, MEDLINE, Embase, and Cochrane Library databases. Selected articles regarded topical imiquimod, its mode of action as an antitumoral agent and its applications in melanoma metastases treatment. We analyzed a total of 18 published article of clinical cases and small case series and five studies: two retrospective large case series, two Phase I and II clinical trials and one cohort non randomized study. Generally, the treatment is safe and well tolerated. Imiquimod lead to an unstable locoregional control. The use of topical imiquimod for the treatment of MM cutaneous metastases should be considered in selected cases and in palliative settings.","container-title":"Dermatologic Therapy","DOI":"10.1111/dth.14165","ISSN":"1396-0296, 1529-8019","issue":"6","journalAbbreviation":"Dermatologic Therapy","language":"en","source":"DOI.org (Crossref)","title":"The role of topical imiquimod in melanoma cutaneous metastases: A critical review of the literature","title-short":"The role of topical imiquimod in melanoma cutaneous metastases","URL":"https://onlinelibrary.wiley.com/doi/10.1111/dth.14165","volume":"33","author":[{"family":"Scarfì","given":"Federica"},{"family":"Patrizi","given":"Annalisa"},{"family":"Veronesi","given":"Giulia"},{"family":"Lambertini","given":"Martina"},{"family":"Tartari","given":"Federico"},{"family":"Mussi","given":"Martina"},{"family":"Melotti","given":"Barbara"},{"family":"Dika","given":"Emi"}],"accessed":{"date-parts":[["2022",11,1]]},"issued":{"date-parts":[["2020",11]]}}}],"schema":"https://github.com/citation-style-language/schema/raw/master/csl-citation.json"} </w:instrText>
      </w:r>
      <w:r>
        <w:rPr>
          <w:rFonts w:ascii="Arial" w:hAnsi="Arial" w:cs="Arial"/>
          <w:color w:val="000000" w:themeColor="text1"/>
        </w:rPr>
        <w:fldChar w:fldCharType="separate"/>
      </w:r>
      <w:r w:rsidR="000F4F53" w:rsidRPr="000F4F53">
        <w:rPr>
          <w:rFonts w:ascii="Arial" w:hAnsi="Arial" w:cs="Arial"/>
          <w:color w:val="000000"/>
          <w:vertAlign w:val="superscript"/>
        </w:rPr>
        <w:t>332</w:t>
      </w:r>
      <w:r>
        <w:rPr>
          <w:rFonts w:ascii="Arial" w:hAnsi="Arial" w:cs="Arial"/>
          <w:color w:val="000000" w:themeColor="text1"/>
        </w:rPr>
        <w:fldChar w:fldCharType="end"/>
      </w:r>
      <w:r>
        <w:rPr>
          <w:rFonts w:ascii="Arial" w:hAnsi="Arial" w:cs="Arial"/>
          <w:color w:val="000000" w:themeColor="text1"/>
        </w:rPr>
        <w:t xml:space="preserve">. </w:t>
      </w:r>
      <w:r w:rsidRPr="00D74025">
        <w:rPr>
          <w:rFonts w:ascii="Arial" w:hAnsi="Arial" w:cs="Arial"/>
          <w:color w:val="000000" w:themeColor="text1"/>
        </w:rPr>
        <w:t xml:space="preserve">Then, the current combination therapy of PTT and anti-PD-1 (Ab) would </w:t>
      </w:r>
      <w:r>
        <w:rPr>
          <w:rFonts w:ascii="Arial" w:hAnsi="Arial" w:cs="Arial"/>
          <w:color w:val="000000" w:themeColor="text1"/>
        </w:rPr>
        <w:t>efficiently treat</w:t>
      </w:r>
      <w:r w:rsidRPr="00D74025">
        <w:rPr>
          <w:rFonts w:ascii="Arial" w:hAnsi="Arial" w:cs="Arial"/>
          <w:color w:val="000000" w:themeColor="text1"/>
        </w:rPr>
        <w:t xml:space="preserve"> the tumor and metastasis.</w:t>
      </w:r>
    </w:p>
    <w:p w14:paraId="46451EFC" w14:textId="5F156C1F" w:rsidR="000F03AF" w:rsidRDefault="00010A95" w:rsidP="003C1D43">
      <w:pPr>
        <w:spacing w:line="360" w:lineRule="auto"/>
        <w:ind w:firstLine="1440"/>
        <w:jc w:val="both"/>
        <w:rPr>
          <w:rFonts w:ascii="Arial" w:hAnsi="Arial" w:cs="Arial"/>
          <w:color w:val="000000" w:themeColor="text1"/>
        </w:rPr>
      </w:pPr>
      <w:r w:rsidRPr="00D74025">
        <w:rPr>
          <w:rFonts w:ascii="Arial" w:hAnsi="Arial" w:cs="Arial"/>
          <w:color w:val="000000" w:themeColor="text1"/>
        </w:rPr>
        <w:t xml:space="preserve">For that, 4T1 </w:t>
      </w:r>
      <w:r>
        <w:rPr>
          <w:rFonts w:ascii="Arial" w:hAnsi="Arial" w:cs="Arial"/>
          <w:color w:val="000000" w:themeColor="text1"/>
        </w:rPr>
        <w:t>tumor-bearing</w:t>
      </w:r>
      <w:r w:rsidRPr="00D74025">
        <w:rPr>
          <w:rFonts w:ascii="Arial" w:hAnsi="Arial" w:cs="Arial"/>
          <w:color w:val="000000" w:themeColor="text1"/>
        </w:rPr>
        <w:t xml:space="preserve"> mice were treated </w:t>
      </w:r>
      <w:r>
        <w:rPr>
          <w:rFonts w:ascii="Arial" w:hAnsi="Arial" w:cs="Arial"/>
          <w:color w:val="000000" w:themeColor="text1"/>
        </w:rPr>
        <w:t>on</w:t>
      </w:r>
      <w:r w:rsidRPr="00D74025">
        <w:rPr>
          <w:rFonts w:ascii="Arial" w:hAnsi="Arial" w:cs="Arial"/>
          <w:color w:val="000000" w:themeColor="text1"/>
        </w:rPr>
        <w:t xml:space="preserve"> day 7 after tumor inoculation when the tumor size at the time was ~3 mm. On that day, mice were intratumorally injected with </w:t>
      </w:r>
      <w:r>
        <w:rPr>
          <w:rFonts w:ascii="Arial" w:hAnsi="Arial" w:cs="Arial"/>
          <w:color w:val="000000" w:themeColor="text1"/>
        </w:rPr>
        <w:t>hydrogel-loaded</w:t>
      </w:r>
      <w:r w:rsidRPr="00D74025">
        <w:rPr>
          <w:rFonts w:ascii="Arial" w:hAnsi="Arial" w:cs="Arial"/>
          <w:color w:val="000000" w:themeColor="text1"/>
        </w:rPr>
        <w:t xml:space="preserve"> IMQ (50 mg) and intraperitoneally injected with anti-PD-1 (10 mg/kg). On day 10, another injection of checkpoint inhibitor antibody was performed. On day 11, SWCNT-ANXA5 was injected intratumorally</w:t>
      </w:r>
      <w:r>
        <w:rPr>
          <w:rFonts w:ascii="Arial" w:hAnsi="Arial" w:cs="Arial"/>
          <w:color w:val="000000" w:themeColor="text1"/>
        </w:rPr>
        <w:t>,</w:t>
      </w:r>
      <w:r w:rsidRPr="00D74025">
        <w:rPr>
          <w:rFonts w:ascii="Arial" w:hAnsi="Arial" w:cs="Arial"/>
          <w:color w:val="000000" w:themeColor="text1"/>
        </w:rPr>
        <w:t xml:space="preserve"> followed by 980</w:t>
      </w:r>
      <w:r w:rsidR="002D2CF6">
        <w:rPr>
          <w:rFonts w:ascii="Arial" w:hAnsi="Arial" w:cs="Arial"/>
          <w:color w:val="000000" w:themeColor="text1"/>
        </w:rPr>
        <w:t> </w:t>
      </w:r>
      <w:r w:rsidRPr="00D74025">
        <w:rPr>
          <w:rFonts w:ascii="Arial" w:hAnsi="Arial" w:cs="Arial"/>
          <w:color w:val="000000" w:themeColor="text1"/>
        </w:rPr>
        <w:t>nm laser irradiation at 1 W/cm</w:t>
      </w:r>
      <w:r w:rsidRPr="00D74025">
        <w:rPr>
          <w:rFonts w:ascii="Arial" w:hAnsi="Arial" w:cs="Arial"/>
          <w:color w:val="000000" w:themeColor="text1"/>
          <w:vertAlign w:val="superscript"/>
        </w:rPr>
        <w:t>2</w:t>
      </w:r>
      <w:r w:rsidRPr="00D74025">
        <w:rPr>
          <w:rFonts w:ascii="Arial" w:hAnsi="Arial" w:cs="Arial"/>
          <w:color w:val="000000" w:themeColor="text1"/>
        </w:rPr>
        <w:t xml:space="preserve"> while monitoring tumor surface temperature by </w:t>
      </w:r>
      <w:r>
        <w:rPr>
          <w:rFonts w:ascii="Arial" w:hAnsi="Arial" w:cs="Arial"/>
          <w:color w:val="000000" w:themeColor="text1"/>
        </w:rPr>
        <w:t xml:space="preserve">a </w:t>
      </w:r>
      <w:r w:rsidRPr="00D74025">
        <w:rPr>
          <w:rFonts w:ascii="Arial" w:hAnsi="Arial" w:cs="Arial"/>
          <w:color w:val="000000" w:themeColor="text1"/>
        </w:rPr>
        <w:t xml:space="preserve">thermal camera. </w:t>
      </w:r>
      <w:r>
        <w:rPr>
          <w:rFonts w:ascii="Arial" w:hAnsi="Arial" w:cs="Arial"/>
          <w:color w:val="000000" w:themeColor="text1"/>
        </w:rPr>
        <w:t>The irradiation</w:t>
      </w:r>
      <w:r w:rsidRPr="00D74025">
        <w:rPr>
          <w:rFonts w:ascii="Arial" w:hAnsi="Arial" w:cs="Arial"/>
          <w:color w:val="000000" w:themeColor="text1"/>
        </w:rPr>
        <w:t xml:space="preserve"> session ceased when </w:t>
      </w:r>
      <w:r>
        <w:rPr>
          <w:rFonts w:ascii="Arial" w:hAnsi="Arial" w:cs="Arial"/>
          <w:color w:val="000000" w:themeColor="text1"/>
        </w:rPr>
        <w:t xml:space="preserve">the </w:t>
      </w:r>
      <w:r w:rsidRPr="00D74025">
        <w:rPr>
          <w:rFonts w:ascii="Arial" w:hAnsi="Arial" w:cs="Arial"/>
          <w:color w:val="000000" w:themeColor="text1"/>
        </w:rPr>
        <w:t xml:space="preserve">tumor surface temperature </w:t>
      </w:r>
      <w:r w:rsidRPr="00D74025">
        <w:rPr>
          <w:rFonts w:ascii="Arial" w:hAnsi="Arial" w:cs="Arial"/>
          <w:color w:val="000000" w:themeColor="text1"/>
        </w:rPr>
        <w:lastRenderedPageBreak/>
        <w:t xml:space="preserve">reached 55ºC. Another injection of anti-PD-1 was performed on day 15 after tumor inoculation. </w:t>
      </w:r>
      <w:r>
        <w:rPr>
          <w:rFonts w:ascii="Arial" w:hAnsi="Arial" w:cs="Arial"/>
          <w:color w:val="000000" w:themeColor="text1"/>
        </w:rPr>
        <w:t>The results</w:t>
      </w:r>
      <w:r w:rsidRPr="00D74025">
        <w:rPr>
          <w:rFonts w:ascii="Arial" w:hAnsi="Arial" w:cs="Arial"/>
          <w:color w:val="000000" w:themeColor="text1"/>
        </w:rPr>
        <w:t xml:space="preserve"> of treated groups are compared to untreated 4T1 </w:t>
      </w:r>
      <w:r>
        <w:rPr>
          <w:rFonts w:ascii="Arial" w:hAnsi="Arial" w:cs="Arial"/>
          <w:color w:val="000000" w:themeColor="text1"/>
        </w:rPr>
        <w:t>tumor-bearing</w:t>
      </w:r>
      <w:r w:rsidRPr="00D74025">
        <w:rPr>
          <w:rFonts w:ascii="Arial" w:hAnsi="Arial" w:cs="Arial"/>
          <w:color w:val="000000" w:themeColor="text1"/>
        </w:rPr>
        <w:t xml:space="preserve"> mice </w:t>
      </w:r>
      <w:r w:rsidR="00F74D36">
        <w:rPr>
          <w:rFonts w:ascii="Arial" w:hAnsi="Arial" w:cs="Arial"/>
          <w:color w:val="000000" w:themeColor="text1"/>
        </w:rPr>
        <w:t xml:space="preserve">(control), as shown in </w:t>
      </w:r>
      <w:r w:rsidR="00F74D36" w:rsidRPr="00F74D36">
        <w:rPr>
          <w:rFonts w:ascii="Arial" w:hAnsi="Arial" w:cs="Arial"/>
          <w:b/>
          <w:bCs/>
          <w:color w:val="000000" w:themeColor="text1"/>
        </w:rPr>
        <w:t>Figure 45</w:t>
      </w:r>
      <w:r w:rsidRPr="00D74025">
        <w:rPr>
          <w:rFonts w:ascii="Arial" w:hAnsi="Arial" w:cs="Arial"/>
          <w:color w:val="000000" w:themeColor="text1"/>
        </w:rPr>
        <w:t xml:space="preserve">. Tumor volumes were monitored every 3 days, and so </w:t>
      </w:r>
      <w:r>
        <w:rPr>
          <w:rFonts w:ascii="Arial" w:hAnsi="Arial" w:cs="Arial"/>
          <w:color w:val="000000" w:themeColor="text1"/>
        </w:rPr>
        <w:t>were</w:t>
      </w:r>
      <w:r w:rsidRPr="00D74025">
        <w:rPr>
          <w:rFonts w:ascii="Arial" w:hAnsi="Arial" w:cs="Arial"/>
          <w:color w:val="000000" w:themeColor="text1"/>
        </w:rPr>
        <w:t xml:space="preserve"> the health conditions of the mice. Mice that seemed sick according to </w:t>
      </w:r>
      <w:r>
        <w:rPr>
          <w:rFonts w:ascii="Arial" w:hAnsi="Arial" w:cs="Arial"/>
          <w:color w:val="000000" w:themeColor="text1"/>
        </w:rPr>
        <w:t xml:space="preserve">the </w:t>
      </w:r>
      <w:r w:rsidRPr="00D74025">
        <w:rPr>
          <w:rFonts w:ascii="Arial" w:hAnsi="Arial" w:cs="Arial"/>
          <w:color w:val="000000" w:themeColor="text1"/>
        </w:rPr>
        <w:t>mouse Grimace scale were euthanized or when the tumor size was greater than 15 mm.</w:t>
      </w:r>
    </w:p>
    <w:p w14:paraId="6501E1EF" w14:textId="77777777" w:rsidR="003C1D43" w:rsidRPr="00D74025" w:rsidRDefault="003C1D43" w:rsidP="003C1D43">
      <w:pPr>
        <w:spacing w:line="360" w:lineRule="auto"/>
        <w:ind w:firstLine="1440"/>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0EA43801" w14:textId="77777777" w:rsidTr="00FD291C">
        <w:tc>
          <w:tcPr>
            <w:tcW w:w="9350" w:type="dxa"/>
          </w:tcPr>
          <w:p w14:paraId="16BDE91A" w14:textId="46A17F8F" w:rsidR="00DF1937" w:rsidRPr="00D74025" w:rsidRDefault="00BB1E7C" w:rsidP="000D71A7">
            <w:pPr>
              <w:spacing w:beforeAutospacing="0" w:line="360" w:lineRule="auto"/>
              <w:ind w:firstLine="0"/>
              <w:rPr>
                <w:rFonts w:ascii="Arial" w:hAnsi="Arial" w:cs="Arial"/>
                <w:color w:val="000000" w:themeColor="text1"/>
              </w:rPr>
            </w:pPr>
            <w:r w:rsidRPr="00BB1E7C">
              <w:rPr>
                <w:rFonts w:ascii="Arial" w:hAnsi="Arial" w:cs="Arial"/>
                <w:noProof/>
                <w:color w:val="000000" w:themeColor="text1"/>
              </w:rPr>
              <w:lastRenderedPageBreak/>
              <w:drawing>
                <wp:inline distT="0" distB="0" distL="0" distR="0" wp14:anchorId="3CA77DE5" wp14:editId="51B53916">
                  <wp:extent cx="5851372" cy="6540909"/>
                  <wp:effectExtent l="0" t="0" r="381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856385" cy="6546513"/>
                          </a:xfrm>
                          <a:prstGeom prst="rect">
                            <a:avLst/>
                          </a:prstGeom>
                        </pic:spPr>
                      </pic:pic>
                    </a:graphicData>
                  </a:graphic>
                </wp:inline>
              </w:drawing>
            </w:r>
          </w:p>
        </w:tc>
      </w:tr>
      <w:tr w:rsidR="00FD291C" w:rsidRPr="00D74025" w14:paraId="5DD9B9CF" w14:textId="77777777" w:rsidTr="00FD291C">
        <w:tc>
          <w:tcPr>
            <w:tcW w:w="9350" w:type="dxa"/>
          </w:tcPr>
          <w:p w14:paraId="4D05429F" w14:textId="4343D7D0" w:rsidR="00FD291C" w:rsidRPr="00D74025" w:rsidRDefault="00C6239D" w:rsidP="00E75E71">
            <w:pPr>
              <w:spacing w:line="360" w:lineRule="auto"/>
              <w:ind w:firstLine="0"/>
              <w:rPr>
                <w:rFonts w:ascii="Arial" w:hAnsi="Arial" w:cs="Arial"/>
                <w:color w:val="000000" w:themeColor="text1"/>
              </w:rPr>
            </w:pPr>
            <w:bookmarkStart w:id="146" w:name="_Toc121217367"/>
            <w:r w:rsidRPr="00C6239D">
              <w:rPr>
                <w:rFonts w:ascii="Arial" w:hAnsi="Arial" w:cs="Arial"/>
                <w:b/>
                <w:bCs/>
                <w:color w:val="000000" w:themeColor="text1"/>
              </w:rPr>
              <w:t xml:space="preserve">Figure </w:t>
            </w:r>
            <w:r w:rsidRPr="00C6239D">
              <w:rPr>
                <w:rFonts w:ascii="Arial" w:hAnsi="Arial" w:cs="Arial"/>
                <w:b/>
                <w:bCs/>
                <w:color w:val="000000" w:themeColor="text1"/>
              </w:rPr>
              <w:fldChar w:fldCharType="begin"/>
            </w:r>
            <w:r w:rsidRPr="00C6239D">
              <w:rPr>
                <w:rFonts w:ascii="Arial" w:hAnsi="Arial" w:cs="Arial"/>
                <w:b/>
                <w:bCs/>
                <w:color w:val="000000" w:themeColor="text1"/>
              </w:rPr>
              <w:instrText xml:space="preserve"> SEQ Figure \* ARABIC </w:instrText>
            </w:r>
            <w:r w:rsidRPr="00C6239D">
              <w:rPr>
                <w:rFonts w:ascii="Arial" w:hAnsi="Arial" w:cs="Arial"/>
                <w:b/>
                <w:bCs/>
                <w:color w:val="000000" w:themeColor="text1"/>
              </w:rPr>
              <w:fldChar w:fldCharType="separate"/>
            </w:r>
            <w:r w:rsidR="002C4B25">
              <w:rPr>
                <w:rFonts w:ascii="Arial" w:hAnsi="Arial" w:cs="Arial"/>
                <w:b/>
                <w:bCs/>
                <w:noProof/>
                <w:color w:val="000000" w:themeColor="text1"/>
              </w:rPr>
              <w:t>45</w:t>
            </w:r>
            <w:r w:rsidRPr="00C6239D">
              <w:rPr>
                <w:rFonts w:ascii="Arial" w:hAnsi="Arial" w:cs="Arial"/>
                <w:b/>
                <w:bCs/>
                <w:color w:val="000000" w:themeColor="text1"/>
              </w:rPr>
              <w:fldChar w:fldCharType="end"/>
            </w:r>
            <w:r w:rsidR="00E75E71" w:rsidRPr="00D74025">
              <w:rPr>
                <w:rFonts w:ascii="Arial" w:hAnsi="Arial" w:cs="Arial"/>
                <w:b/>
                <w:bCs/>
                <w:color w:val="000000" w:themeColor="text1"/>
              </w:rPr>
              <w:t xml:space="preserve">: </w:t>
            </w:r>
            <w:r w:rsidR="00D23C0A">
              <w:rPr>
                <w:rFonts w:ascii="Arial" w:hAnsi="Arial" w:cs="Arial"/>
                <w:b/>
                <w:bCs/>
                <w:color w:val="000000" w:themeColor="text1"/>
              </w:rPr>
              <w:t xml:space="preserve">Long term survival study of </w:t>
            </w:r>
            <w:r w:rsidR="00E75E71" w:rsidRPr="00D74025">
              <w:rPr>
                <w:rFonts w:ascii="Arial" w:hAnsi="Arial" w:cs="Arial"/>
                <w:b/>
                <w:bCs/>
                <w:color w:val="000000" w:themeColor="text1"/>
              </w:rPr>
              <w:t>combinatorial therapy of anti-PD-1</w:t>
            </w:r>
            <w:r w:rsidR="006F08C9" w:rsidRPr="00D74025">
              <w:rPr>
                <w:rFonts w:ascii="Arial" w:hAnsi="Arial" w:cs="Arial"/>
                <w:b/>
                <w:bCs/>
                <w:color w:val="000000" w:themeColor="text1"/>
              </w:rPr>
              <w:t xml:space="preserve">, imiquimod-loaded hydrogel </w:t>
            </w:r>
            <w:r w:rsidR="00E75E71" w:rsidRPr="00D74025">
              <w:rPr>
                <w:rFonts w:ascii="Arial" w:hAnsi="Arial" w:cs="Arial"/>
                <w:b/>
                <w:bCs/>
                <w:color w:val="000000" w:themeColor="text1"/>
              </w:rPr>
              <w:t xml:space="preserve">and photothermal therapy (PTT) at </w:t>
            </w:r>
            <w:r w:rsidR="006F08C9" w:rsidRPr="00D74025">
              <w:rPr>
                <w:rFonts w:ascii="Arial" w:hAnsi="Arial" w:cs="Arial"/>
                <w:b/>
                <w:bCs/>
                <w:color w:val="000000" w:themeColor="text1"/>
              </w:rPr>
              <w:t>5</w:t>
            </w:r>
            <w:r w:rsidR="00E75E71" w:rsidRPr="00D74025">
              <w:rPr>
                <w:rFonts w:ascii="Arial" w:hAnsi="Arial" w:cs="Arial"/>
                <w:b/>
                <w:bCs/>
                <w:color w:val="000000" w:themeColor="text1"/>
              </w:rPr>
              <w:t>5</w:t>
            </w:r>
            <w:r w:rsidR="00E75E71" w:rsidRPr="00D74025">
              <w:rPr>
                <w:rFonts w:ascii="Arial" w:hAnsi="Arial" w:cs="Arial"/>
                <w:b/>
                <w:bCs/>
                <w:color w:val="000000" w:themeColor="text1"/>
              </w:rPr>
              <w:sym w:font="Symbol" w:char="F0B0"/>
            </w:r>
            <w:r w:rsidR="00E75E71" w:rsidRPr="00D74025">
              <w:rPr>
                <w:rFonts w:ascii="Arial" w:hAnsi="Arial" w:cs="Arial"/>
                <w:b/>
                <w:bCs/>
                <w:color w:val="000000" w:themeColor="text1"/>
              </w:rPr>
              <w:t xml:space="preserve">C </w:t>
            </w:r>
            <w:r w:rsidR="006F08C9" w:rsidRPr="00D74025">
              <w:rPr>
                <w:rFonts w:ascii="Arial" w:hAnsi="Arial" w:cs="Arial"/>
                <w:b/>
                <w:bCs/>
                <w:color w:val="000000" w:themeColor="text1"/>
              </w:rPr>
              <w:t xml:space="preserve">in </w:t>
            </w:r>
            <w:r w:rsidR="00E75E71" w:rsidRPr="00D74025">
              <w:rPr>
                <w:rFonts w:ascii="Arial" w:hAnsi="Arial" w:cs="Arial"/>
                <w:b/>
                <w:bCs/>
                <w:color w:val="000000" w:themeColor="text1"/>
              </w:rPr>
              <w:t>4T1 tumors</w:t>
            </w:r>
            <w:r w:rsidR="00E75E71" w:rsidRPr="00D74025">
              <w:rPr>
                <w:rFonts w:ascii="Arial" w:hAnsi="Arial" w:cs="Arial"/>
                <w:color w:val="000000" w:themeColor="text1"/>
              </w:rPr>
              <w:t>.</w:t>
            </w:r>
            <w:r w:rsidR="002D2EB6" w:rsidRPr="00D74025">
              <w:rPr>
                <w:rFonts w:ascii="Arial" w:hAnsi="Arial" w:cs="Arial"/>
                <w:color w:val="000000" w:themeColor="text1"/>
              </w:rPr>
              <w:t xml:space="preserve"> Female </w:t>
            </w:r>
            <w:proofErr w:type="spellStart"/>
            <w:r w:rsidR="002D2EB6" w:rsidRPr="00D74025">
              <w:rPr>
                <w:rFonts w:ascii="Arial" w:hAnsi="Arial" w:cs="Arial"/>
                <w:color w:val="000000" w:themeColor="text1"/>
              </w:rPr>
              <w:t>Balb</w:t>
            </w:r>
            <w:proofErr w:type="spellEnd"/>
            <w:r w:rsidR="002D2EB6" w:rsidRPr="00D74025">
              <w:rPr>
                <w:rFonts w:ascii="Arial" w:hAnsi="Arial" w:cs="Arial"/>
                <w:color w:val="000000" w:themeColor="text1"/>
              </w:rPr>
              <w:t xml:space="preserve"> c/J mice </w:t>
            </w:r>
            <w:r w:rsidR="008A0277" w:rsidRPr="00D74025">
              <w:rPr>
                <w:rFonts w:ascii="Arial" w:hAnsi="Arial" w:cs="Arial"/>
                <w:color w:val="000000" w:themeColor="text1"/>
              </w:rPr>
              <w:t>bearing 4T1</w:t>
            </w:r>
            <w:r w:rsidR="00AC51D1" w:rsidRPr="00D74025">
              <w:rPr>
                <w:rFonts w:ascii="Arial" w:hAnsi="Arial" w:cs="Arial"/>
                <w:color w:val="000000" w:themeColor="text1"/>
              </w:rPr>
              <w:t xml:space="preserve"> orthotopic syngeneic tumors (d </w:t>
            </w:r>
            <w:r w:rsidR="008A0277" w:rsidRPr="00D74025">
              <w:rPr>
                <w:rFonts w:ascii="Arial" w:hAnsi="Arial" w:cs="Arial"/>
                <w:color w:val="000000" w:themeColor="text1"/>
              </w:rPr>
              <w:t>~</w:t>
            </w:r>
            <w:r w:rsidR="00AC51D1" w:rsidRPr="00D74025">
              <w:rPr>
                <w:rFonts w:ascii="Arial" w:hAnsi="Arial" w:cs="Arial"/>
                <w:color w:val="000000" w:themeColor="text1"/>
              </w:rPr>
              <w:t xml:space="preserve"> 3 mm)</w:t>
            </w:r>
            <w:r w:rsidR="008A0277" w:rsidRPr="00D74025">
              <w:rPr>
                <w:rFonts w:ascii="Arial" w:hAnsi="Arial" w:cs="Arial"/>
                <w:color w:val="000000" w:themeColor="text1"/>
              </w:rPr>
              <w:t xml:space="preserve"> were treated with combinatorial therapy. Selected groups</w:t>
            </w:r>
            <w:r w:rsidR="00E75E71" w:rsidRPr="00D74025">
              <w:rPr>
                <w:rFonts w:ascii="Arial" w:hAnsi="Arial" w:cs="Arial"/>
                <w:color w:val="000000" w:themeColor="text1"/>
              </w:rPr>
              <w:t xml:space="preserve"> </w:t>
            </w:r>
            <w:r w:rsidR="00AC51D1" w:rsidRPr="00D74025">
              <w:rPr>
                <w:rFonts w:ascii="Arial" w:hAnsi="Arial" w:cs="Arial"/>
                <w:color w:val="000000" w:themeColor="text1"/>
              </w:rPr>
              <w:t xml:space="preserve">were administered with </w:t>
            </w:r>
            <w:r w:rsidR="002D2EB6" w:rsidRPr="00D74025">
              <w:rPr>
                <w:rFonts w:ascii="Arial" w:hAnsi="Arial" w:cs="Arial"/>
                <w:color w:val="000000" w:themeColor="text1"/>
              </w:rPr>
              <w:t>imiquimod (IMQ)-loaded hydrogel intratumorally (50 mg of IMQ) on day</w:t>
            </w:r>
            <w:r w:rsidR="008A0277" w:rsidRPr="00D74025">
              <w:rPr>
                <w:rFonts w:ascii="Arial" w:hAnsi="Arial" w:cs="Arial"/>
                <w:color w:val="000000" w:themeColor="text1"/>
              </w:rPr>
              <w:t xml:space="preserve"> 7 after tumor </w:t>
            </w:r>
            <w:r w:rsidR="008A0277" w:rsidRPr="00D74025">
              <w:rPr>
                <w:rFonts w:ascii="Arial" w:hAnsi="Arial" w:cs="Arial"/>
                <w:color w:val="000000" w:themeColor="text1"/>
              </w:rPr>
              <w:lastRenderedPageBreak/>
              <w:t>inoculation.</w:t>
            </w:r>
            <w:r w:rsidR="002D2EB6" w:rsidRPr="00D74025">
              <w:rPr>
                <w:rFonts w:ascii="Arial" w:hAnsi="Arial" w:cs="Arial"/>
                <w:color w:val="000000" w:themeColor="text1"/>
              </w:rPr>
              <w:t xml:space="preserve"> </w:t>
            </w:r>
            <w:r w:rsidR="00E75E71" w:rsidRPr="00D74025">
              <w:rPr>
                <w:rFonts w:ascii="Arial" w:hAnsi="Arial" w:cs="Arial"/>
                <w:color w:val="000000" w:themeColor="text1"/>
              </w:rPr>
              <w:t>Select groups</w:t>
            </w:r>
            <w:r w:rsidR="008A0277" w:rsidRPr="00D74025">
              <w:rPr>
                <w:rFonts w:ascii="Arial" w:hAnsi="Arial" w:cs="Arial"/>
                <w:color w:val="000000" w:themeColor="text1"/>
              </w:rPr>
              <w:t xml:space="preserve"> also</w:t>
            </w:r>
            <w:r w:rsidR="00E75E71" w:rsidRPr="00D74025">
              <w:rPr>
                <w:rFonts w:ascii="Arial" w:hAnsi="Arial" w:cs="Arial"/>
                <w:color w:val="000000" w:themeColor="text1"/>
              </w:rPr>
              <w:t xml:space="preserve"> received </w:t>
            </w:r>
            <w:r w:rsidR="008A0277" w:rsidRPr="00D74025">
              <w:rPr>
                <w:rFonts w:ascii="Arial" w:hAnsi="Arial" w:cs="Arial"/>
                <w:color w:val="000000" w:themeColor="text1"/>
              </w:rPr>
              <w:t xml:space="preserve">intraperitoneal injection of </w:t>
            </w:r>
            <w:r w:rsidR="00E75E71" w:rsidRPr="00D74025">
              <w:rPr>
                <w:rFonts w:ascii="Arial" w:hAnsi="Arial" w:cs="Arial"/>
                <w:color w:val="000000" w:themeColor="text1"/>
              </w:rPr>
              <w:t>anti-PD-1 (10 mg/kg) on days 7, 10, and 15.</w:t>
            </w:r>
            <w:r w:rsidR="00AC51D1" w:rsidRPr="00D74025">
              <w:rPr>
                <w:rFonts w:ascii="Arial" w:hAnsi="Arial" w:cs="Arial"/>
                <w:color w:val="000000" w:themeColor="text1"/>
              </w:rPr>
              <w:t xml:space="preserve"> </w:t>
            </w:r>
            <w:r w:rsidR="008A0277" w:rsidRPr="00D74025">
              <w:rPr>
                <w:rFonts w:ascii="Arial" w:hAnsi="Arial" w:cs="Arial"/>
                <w:color w:val="000000" w:themeColor="text1"/>
              </w:rPr>
              <w:t xml:space="preserve">On day </w:t>
            </w:r>
            <w:r w:rsidR="007D68D9" w:rsidRPr="00D74025">
              <w:rPr>
                <w:rFonts w:ascii="Arial" w:hAnsi="Arial" w:cs="Arial"/>
                <w:color w:val="000000" w:themeColor="text1"/>
              </w:rPr>
              <w:t xml:space="preserve">11, groups </w:t>
            </w:r>
            <w:r w:rsidR="00AC51D1" w:rsidRPr="00D74025">
              <w:rPr>
                <w:rFonts w:ascii="Arial" w:hAnsi="Arial" w:cs="Arial"/>
                <w:color w:val="000000" w:themeColor="text1"/>
              </w:rPr>
              <w:t xml:space="preserve">were administered </w:t>
            </w:r>
            <w:r w:rsidR="007D68D9" w:rsidRPr="00D74025">
              <w:rPr>
                <w:rFonts w:ascii="Arial" w:hAnsi="Arial" w:cs="Arial"/>
                <w:color w:val="000000" w:themeColor="text1"/>
              </w:rPr>
              <w:t>with an</w:t>
            </w:r>
            <w:r w:rsidR="00AC51D1" w:rsidRPr="00D74025">
              <w:rPr>
                <w:rFonts w:ascii="Arial" w:hAnsi="Arial" w:cs="Arial"/>
                <w:color w:val="000000" w:themeColor="text1"/>
              </w:rPr>
              <w:t xml:space="preserve"> IT dose of 1.2 mg/kg SWCNT-ANXA5.</w:t>
            </w:r>
            <w:r w:rsidR="00E75E71" w:rsidRPr="00D74025">
              <w:rPr>
                <w:rFonts w:ascii="Arial" w:hAnsi="Arial" w:cs="Arial"/>
                <w:color w:val="000000" w:themeColor="text1"/>
              </w:rPr>
              <w:t xml:space="preserve"> Tumors were irradiated with a NIR laser at a power density of 1 W/cm</w:t>
            </w:r>
            <w:r w:rsidR="00E75E71" w:rsidRPr="00D74025">
              <w:rPr>
                <w:rFonts w:ascii="Arial" w:hAnsi="Arial" w:cs="Arial"/>
                <w:color w:val="000000" w:themeColor="text1"/>
                <w:vertAlign w:val="superscript"/>
              </w:rPr>
              <w:t>2</w:t>
            </w:r>
            <w:r w:rsidR="00E75E71" w:rsidRPr="00D74025">
              <w:rPr>
                <w:rFonts w:ascii="Arial" w:hAnsi="Arial" w:cs="Arial"/>
                <w:color w:val="000000" w:themeColor="text1"/>
              </w:rPr>
              <w:t xml:space="preserve"> </w:t>
            </w:r>
            <w:r w:rsidR="001F1948" w:rsidRPr="00D74025">
              <w:rPr>
                <w:rFonts w:ascii="Arial" w:hAnsi="Arial" w:cs="Arial"/>
                <w:color w:val="000000" w:themeColor="text1"/>
              </w:rPr>
              <w:t xml:space="preserve">until tumor surface temperature reached 55ºC. </w:t>
            </w:r>
            <w:r w:rsidR="00E75E71" w:rsidRPr="00D74025">
              <w:rPr>
                <w:rFonts w:ascii="Arial" w:hAnsi="Arial" w:cs="Arial"/>
                <w:color w:val="000000" w:themeColor="text1"/>
              </w:rPr>
              <w:t xml:space="preserve">A) Tumor volume shown as mean ± SE (n = 10). </w:t>
            </w:r>
            <w:r w:rsidR="001B64F6" w:rsidRPr="00D74025">
              <w:rPr>
                <w:rFonts w:ascii="Arial" w:hAnsi="Arial" w:cs="Arial"/>
                <w:color w:val="000000" w:themeColor="text1"/>
              </w:rPr>
              <w:t xml:space="preserve">Statistical analysis is omitted due to </w:t>
            </w:r>
            <w:r w:rsidR="001B64F6">
              <w:rPr>
                <w:rFonts w:ascii="Arial" w:hAnsi="Arial" w:cs="Arial"/>
                <w:color w:val="000000" w:themeColor="text1"/>
              </w:rPr>
              <w:t>overcrowding of data on the graph</w:t>
            </w:r>
            <w:r w:rsidR="001B64F6" w:rsidRPr="00D74025">
              <w:rPr>
                <w:rFonts w:ascii="Arial" w:hAnsi="Arial" w:cs="Arial"/>
                <w:color w:val="000000" w:themeColor="text1"/>
              </w:rPr>
              <w:t xml:space="preserve"> (available in</w:t>
            </w:r>
            <w:r w:rsidR="00780691">
              <w:rPr>
                <w:rFonts w:ascii="Arial" w:hAnsi="Arial" w:cs="Arial"/>
                <w:color w:val="000000" w:themeColor="text1"/>
              </w:rPr>
              <w:t xml:space="preserve"> A</w:t>
            </w:r>
            <w:r w:rsidR="001B64F6" w:rsidRPr="00D74025">
              <w:rPr>
                <w:rFonts w:ascii="Arial" w:hAnsi="Arial" w:cs="Arial"/>
                <w:color w:val="000000" w:themeColor="text1"/>
              </w:rPr>
              <w:t>ppendix A</w:t>
            </w:r>
            <w:r w:rsidR="001B64F6">
              <w:rPr>
                <w:rFonts w:ascii="Arial" w:hAnsi="Arial" w:cs="Arial"/>
                <w:color w:val="000000" w:themeColor="text1"/>
              </w:rPr>
              <w:t xml:space="preserve"> - </w:t>
            </w:r>
            <w:r w:rsidR="001B64F6" w:rsidRPr="002320B4">
              <w:rPr>
                <w:rFonts w:ascii="Arial" w:hAnsi="Arial" w:cs="Arial"/>
                <w:b/>
                <w:bCs/>
                <w:color w:val="000000" w:themeColor="text1"/>
              </w:rPr>
              <w:t>Figure 76</w:t>
            </w:r>
            <w:r w:rsidR="001B64F6" w:rsidRPr="00D74025">
              <w:rPr>
                <w:rFonts w:ascii="Arial" w:hAnsi="Arial" w:cs="Arial"/>
                <w:color w:val="000000" w:themeColor="text1"/>
              </w:rPr>
              <w:t>)</w:t>
            </w:r>
            <w:r w:rsidR="001F27FA" w:rsidRPr="00D74025">
              <w:rPr>
                <w:rFonts w:ascii="Arial" w:hAnsi="Arial" w:cs="Arial"/>
                <w:color w:val="000000" w:themeColor="text1"/>
              </w:rPr>
              <w:t xml:space="preserve">. </w:t>
            </w:r>
            <w:r w:rsidR="00E75E71" w:rsidRPr="00D74025">
              <w:rPr>
                <w:rFonts w:ascii="Arial" w:hAnsi="Arial" w:cs="Arial"/>
                <w:color w:val="000000" w:themeColor="text1"/>
              </w:rPr>
              <w:t>B) Survival curve</w:t>
            </w:r>
            <w:r w:rsidR="00861D95">
              <w:rPr>
                <w:rFonts w:ascii="Arial" w:hAnsi="Arial" w:cs="Arial"/>
                <w:color w:val="000000" w:themeColor="text1"/>
              </w:rPr>
              <w:t>s</w:t>
            </w:r>
            <w:r w:rsidR="001F27FA" w:rsidRPr="00D74025">
              <w:rPr>
                <w:rFonts w:ascii="Arial" w:hAnsi="Arial" w:cs="Arial"/>
                <w:color w:val="000000" w:themeColor="text1"/>
              </w:rPr>
              <w:t xml:space="preserve">. </w:t>
            </w:r>
            <w:r w:rsidR="00E75E71" w:rsidRPr="00D74025">
              <w:rPr>
                <w:rFonts w:ascii="Calibri" w:hAnsi="Calibri" w:cs="Calibri"/>
                <w:color w:val="000000" w:themeColor="text1"/>
              </w:rPr>
              <w:t>﻿</w:t>
            </w:r>
            <w:r w:rsidR="00E75E71" w:rsidRPr="00D74025">
              <w:rPr>
                <w:rFonts w:ascii="Arial" w:hAnsi="Arial" w:cs="Arial"/>
                <w:color w:val="000000" w:themeColor="text1"/>
              </w:rPr>
              <w:t xml:space="preserve">Statistical significance of survival curves was determined by the Mantel–Haenszel log-rank test in GraphPad Prim 8, compared to untreated control. </w:t>
            </w:r>
            <w:r w:rsidR="00E75E71" w:rsidRPr="00C80797">
              <w:rPr>
                <w:rFonts w:ascii="Arial" w:hAnsi="Arial" w:cs="Arial"/>
                <w:color w:val="000000" w:themeColor="text1"/>
              </w:rPr>
              <w:t xml:space="preserve">Increase of survival from </w:t>
            </w:r>
            <w:r w:rsidR="003E3FBA" w:rsidRPr="00C80797">
              <w:rPr>
                <w:rFonts w:ascii="Arial" w:hAnsi="Arial" w:cs="Arial"/>
                <w:color w:val="000000" w:themeColor="text1"/>
              </w:rPr>
              <w:t>complete treatment (</w:t>
            </w:r>
            <w:r w:rsidR="00E75E71" w:rsidRPr="00C80797">
              <w:rPr>
                <w:rFonts w:ascii="Arial" w:hAnsi="Arial" w:cs="Arial"/>
                <w:color w:val="000000" w:themeColor="text1"/>
              </w:rPr>
              <w:t xml:space="preserve">anti-PD-1 </w:t>
            </w:r>
            <w:r w:rsidR="003E3FBA" w:rsidRPr="00C80797">
              <w:rPr>
                <w:rFonts w:ascii="Arial" w:hAnsi="Arial" w:cs="Arial"/>
                <w:color w:val="000000" w:themeColor="text1"/>
              </w:rPr>
              <w:t xml:space="preserve">+ IMQ </w:t>
            </w:r>
            <w:r w:rsidR="00E75E71" w:rsidRPr="00C80797">
              <w:rPr>
                <w:rFonts w:ascii="Arial" w:hAnsi="Arial" w:cs="Arial"/>
                <w:color w:val="000000" w:themeColor="text1"/>
              </w:rPr>
              <w:t>+ PTT</w:t>
            </w:r>
            <w:r w:rsidR="003E3FBA" w:rsidRPr="00C80797">
              <w:rPr>
                <w:rFonts w:ascii="Arial" w:hAnsi="Arial" w:cs="Arial"/>
                <w:color w:val="000000" w:themeColor="text1"/>
              </w:rPr>
              <w:t xml:space="preserve">) </w:t>
            </w:r>
            <w:r w:rsidR="00E75E71" w:rsidRPr="00C80797">
              <w:rPr>
                <w:rFonts w:ascii="Arial" w:hAnsi="Arial" w:cs="Arial"/>
                <w:color w:val="000000" w:themeColor="text1"/>
              </w:rPr>
              <w:t>is statistically significant from control (****p</w:t>
            </w:r>
            <w:r w:rsidR="00E810D4">
              <w:rPr>
                <w:rFonts w:ascii="Arial" w:hAnsi="Arial" w:cs="Arial"/>
                <w:color w:val="000000" w:themeColor="text1"/>
              </w:rPr>
              <w:t> </w:t>
            </w:r>
            <w:r w:rsidR="00E75E71" w:rsidRPr="00C80797">
              <w:rPr>
                <w:rFonts w:ascii="Arial" w:hAnsi="Arial" w:cs="Arial"/>
                <w:color w:val="000000" w:themeColor="text1"/>
              </w:rPr>
              <w:t>&lt;</w:t>
            </w:r>
            <w:r w:rsidR="00E810D4">
              <w:rPr>
                <w:rFonts w:ascii="Arial" w:hAnsi="Arial" w:cs="Arial"/>
                <w:color w:val="000000" w:themeColor="text1"/>
              </w:rPr>
              <w:t> </w:t>
            </w:r>
            <w:r w:rsidR="00E75E71" w:rsidRPr="00C80797">
              <w:rPr>
                <w:rFonts w:ascii="Arial" w:hAnsi="Arial" w:cs="Arial"/>
                <w:color w:val="000000" w:themeColor="text1"/>
              </w:rPr>
              <w:t xml:space="preserve">0.0001, n = 10). </w:t>
            </w:r>
            <w:r w:rsidR="004272CE">
              <w:rPr>
                <w:rFonts w:ascii="Arial" w:hAnsi="Arial" w:cs="Arial"/>
                <w:color w:val="000000" w:themeColor="text1"/>
              </w:rPr>
              <w:t>Three</w:t>
            </w:r>
            <w:r w:rsidR="00FB6E68">
              <w:rPr>
                <w:rFonts w:ascii="Arial" w:hAnsi="Arial" w:cs="Arial"/>
                <w:color w:val="000000" w:themeColor="text1"/>
              </w:rPr>
              <w:t xml:space="preserve"> mice in the complete treatment group are alive, healthy, and without tumors on day </w:t>
            </w:r>
            <w:r w:rsidR="004272CE">
              <w:rPr>
                <w:rFonts w:ascii="Arial" w:hAnsi="Arial" w:cs="Arial"/>
                <w:color w:val="000000" w:themeColor="text1"/>
              </w:rPr>
              <w:t>94.</w:t>
            </w:r>
            <w:r w:rsidR="00E92039">
              <w:rPr>
                <w:rFonts w:ascii="Arial" w:hAnsi="Arial" w:cs="Arial"/>
                <w:color w:val="000000" w:themeColor="text1"/>
              </w:rPr>
              <w:t xml:space="preserve"> </w:t>
            </w:r>
            <w:r w:rsidR="00FB6E68">
              <w:rPr>
                <w:rFonts w:ascii="Arial" w:hAnsi="Arial" w:cs="Arial"/>
                <w:color w:val="000000" w:themeColor="text1"/>
              </w:rPr>
              <w:t>Study will be terminated at day 100</w:t>
            </w:r>
            <w:r w:rsidR="003C1D43">
              <w:rPr>
                <w:rFonts w:ascii="Arial" w:hAnsi="Arial" w:cs="Arial"/>
                <w:color w:val="000000" w:themeColor="text1"/>
              </w:rPr>
              <w:t>.</w:t>
            </w:r>
            <w:r w:rsidR="00861D95">
              <w:rPr>
                <w:rFonts w:ascii="Arial" w:hAnsi="Arial" w:cs="Arial"/>
                <w:color w:val="000000" w:themeColor="text1"/>
              </w:rPr>
              <w:t xml:space="preserve"> Statistical significance</w:t>
            </w:r>
            <w:r w:rsidR="004C2261">
              <w:rPr>
                <w:rFonts w:ascii="Arial" w:hAnsi="Arial" w:cs="Arial"/>
                <w:color w:val="000000" w:themeColor="text1"/>
              </w:rPr>
              <w:t xml:space="preserve"> of other groups compared to control is omitted </w:t>
            </w:r>
            <w:r w:rsidR="008D26BC">
              <w:rPr>
                <w:rFonts w:ascii="Arial" w:hAnsi="Arial" w:cs="Arial"/>
                <w:color w:val="000000" w:themeColor="text1"/>
              </w:rPr>
              <w:t xml:space="preserve">due to overcrowding of data on the graph (available in </w:t>
            </w:r>
            <w:r w:rsidR="00780691">
              <w:rPr>
                <w:rFonts w:ascii="Arial" w:hAnsi="Arial" w:cs="Arial"/>
                <w:color w:val="000000" w:themeColor="text1"/>
              </w:rPr>
              <w:t>A</w:t>
            </w:r>
            <w:r w:rsidR="008D26BC">
              <w:rPr>
                <w:rFonts w:ascii="Arial" w:hAnsi="Arial" w:cs="Arial"/>
                <w:color w:val="000000" w:themeColor="text1"/>
              </w:rPr>
              <w:t xml:space="preserve">ppendix A – </w:t>
            </w:r>
            <w:r w:rsidR="008D26BC" w:rsidRPr="002320B4">
              <w:rPr>
                <w:rFonts w:ascii="Arial" w:hAnsi="Arial" w:cs="Arial"/>
                <w:b/>
                <w:bCs/>
                <w:color w:val="000000" w:themeColor="text1"/>
              </w:rPr>
              <w:t>Figure 7</w:t>
            </w:r>
            <w:r w:rsidR="00D46FCD">
              <w:rPr>
                <w:rFonts w:ascii="Arial" w:hAnsi="Arial" w:cs="Arial"/>
                <w:b/>
                <w:bCs/>
                <w:color w:val="000000" w:themeColor="text1"/>
              </w:rPr>
              <w:t>8</w:t>
            </w:r>
            <w:r w:rsidR="008D26BC">
              <w:rPr>
                <w:rFonts w:ascii="Arial" w:hAnsi="Arial" w:cs="Arial"/>
                <w:color w:val="000000" w:themeColor="text1"/>
              </w:rPr>
              <w:t>)</w:t>
            </w:r>
            <w:bookmarkEnd w:id="146"/>
          </w:p>
        </w:tc>
      </w:tr>
    </w:tbl>
    <w:p w14:paraId="39A9220B" w14:textId="38F6617C" w:rsidR="00FD291C" w:rsidRPr="00D74025" w:rsidRDefault="00FD291C" w:rsidP="00C6239D">
      <w:pPr>
        <w:pStyle w:val="Caption"/>
        <w:rPr>
          <w:rFonts w:ascii="Arial" w:hAnsi="Arial" w:cs="Arial"/>
          <w:color w:val="000000" w:themeColor="text1"/>
        </w:rPr>
      </w:pPr>
    </w:p>
    <w:p w14:paraId="28695C4D" w14:textId="60DD1341" w:rsidR="003D7EB1" w:rsidRPr="000B0005" w:rsidRDefault="003D7EB1" w:rsidP="003D7EB1">
      <w:pPr>
        <w:spacing w:line="360" w:lineRule="auto"/>
        <w:ind w:firstLine="1440"/>
        <w:jc w:val="both"/>
        <w:rPr>
          <w:rFonts w:ascii="Arial" w:hAnsi="Arial" w:cs="Arial"/>
        </w:rPr>
      </w:pPr>
      <w:r w:rsidRPr="000B0005">
        <w:rPr>
          <w:rFonts w:ascii="Arial" w:hAnsi="Arial" w:cs="Arial"/>
        </w:rPr>
        <w:t xml:space="preserve">In </w:t>
      </w:r>
      <w:r w:rsidR="00780691" w:rsidRPr="00780691">
        <w:rPr>
          <w:rFonts w:ascii="Arial" w:hAnsi="Arial" w:cs="Arial"/>
          <w:b/>
          <w:bCs/>
        </w:rPr>
        <w:t>F</w:t>
      </w:r>
      <w:r w:rsidRPr="00780691">
        <w:rPr>
          <w:rFonts w:ascii="Arial" w:hAnsi="Arial" w:cs="Arial"/>
          <w:b/>
          <w:bCs/>
        </w:rPr>
        <w:t>igure 45A</w:t>
      </w:r>
      <w:r w:rsidRPr="000B0005">
        <w:rPr>
          <w:rFonts w:ascii="Arial" w:hAnsi="Arial" w:cs="Arial"/>
        </w:rPr>
        <w:t>,</w:t>
      </w:r>
      <w:r w:rsidR="00780691">
        <w:rPr>
          <w:rFonts w:ascii="Arial" w:hAnsi="Arial" w:cs="Arial"/>
        </w:rPr>
        <w:t xml:space="preserve"> </w:t>
      </w:r>
      <w:r w:rsidRPr="000B0005">
        <w:rPr>
          <w:rFonts w:ascii="Arial" w:hAnsi="Arial" w:cs="Arial"/>
        </w:rPr>
        <w:t xml:space="preserve">groups in which the PTT was performed </w:t>
      </w:r>
      <w:r w:rsidR="00780691">
        <w:rPr>
          <w:rFonts w:ascii="Arial" w:hAnsi="Arial" w:cs="Arial"/>
        </w:rPr>
        <w:t xml:space="preserve">showed </w:t>
      </w:r>
      <w:r w:rsidRPr="000B0005">
        <w:rPr>
          <w:rFonts w:ascii="Arial" w:hAnsi="Arial" w:cs="Arial"/>
        </w:rPr>
        <w:t xml:space="preserve">significantly decreased tumor volumes compared to those that </w:t>
      </w:r>
      <w:r w:rsidR="00D42F53">
        <w:rPr>
          <w:rFonts w:ascii="Arial" w:hAnsi="Arial" w:cs="Arial"/>
        </w:rPr>
        <w:t>was</w:t>
      </w:r>
      <w:r w:rsidRPr="000B0005">
        <w:rPr>
          <w:rFonts w:ascii="Arial" w:hAnsi="Arial" w:cs="Arial"/>
        </w:rPr>
        <w:t xml:space="preserve"> not. Therefore, a temperature of 55</w:t>
      </w:r>
      <w:r w:rsidRPr="000B0005">
        <w:rPr>
          <w:rFonts w:ascii="Arial" w:hAnsi="Arial" w:cs="Arial"/>
        </w:rPr>
        <w:sym w:font="Symbol" w:char="F0B0"/>
      </w:r>
      <w:r w:rsidRPr="000B0005">
        <w:rPr>
          <w:rFonts w:ascii="Arial" w:hAnsi="Arial" w:cs="Arial"/>
        </w:rPr>
        <w:t xml:space="preserve">C is efficient at promoting tumor control. Those results can be confirmed in the graphs of tumor volumes on individual days available in </w:t>
      </w:r>
      <w:r w:rsidR="00CE31B8">
        <w:rPr>
          <w:rFonts w:ascii="Arial" w:hAnsi="Arial" w:cs="Arial"/>
        </w:rPr>
        <w:t>A</w:t>
      </w:r>
      <w:r w:rsidRPr="000B0005">
        <w:rPr>
          <w:rFonts w:ascii="Arial" w:hAnsi="Arial" w:cs="Arial"/>
        </w:rPr>
        <w:t>ppendix A. Nonetheless, it was observed that some mice in those groups had no protruding tumors but a tough abdominal area surrounding the primary tumor site. After the death or euthanasia of those mice, it was observed the growth of internal tumors in the abdominal wall. Thus, the PTT at 55</w:t>
      </w:r>
      <w:r w:rsidRPr="000B0005">
        <w:rPr>
          <w:rFonts w:ascii="Arial" w:hAnsi="Arial" w:cs="Arial"/>
        </w:rPr>
        <w:sym w:font="Symbol" w:char="F0B0"/>
      </w:r>
      <w:r w:rsidRPr="000B0005">
        <w:rPr>
          <w:rFonts w:ascii="Arial" w:hAnsi="Arial" w:cs="Arial"/>
        </w:rPr>
        <w:t>C might still be inefficient at ablating the totality of the tumor volumes due to heat transfer limitations to deeper layers of the tumor.</w:t>
      </w:r>
    </w:p>
    <w:p w14:paraId="24D7DE54" w14:textId="404459D7" w:rsidR="009177BF" w:rsidRDefault="009177BF" w:rsidP="009177BF">
      <w:pPr>
        <w:spacing w:line="360" w:lineRule="auto"/>
        <w:ind w:firstLine="1440"/>
        <w:jc w:val="both"/>
        <w:rPr>
          <w:rFonts w:ascii="Arial" w:hAnsi="Arial" w:cs="Arial"/>
        </w:rPr>
      </w:pPr>
      <w:r>
        <w:rPr>
          <w:rFonts w:ascii="Arial" w:hAnsi="Arial" w:cs="Arial"/>
        </w:rPr>
        <w:t xml:space="preserve">Despite those limitations in the PTT, the combination therapy of anti-PD-1 + IMQ + PTT efficiently increased the survival of mice bearing 4T1 tumors. It is known that this tumor model is challenging due to aggressiveness and low immunogenicity. Thus, the fact that, at day </w:t>
      </w:r>
      <w:r w:rsidR="004272CE">
        <w:rPr>
          <w:rFonts w:ascii="Arial" w:hAnsi="Arial" w:cs="Arial"/>
        </w:rPr>
        <w:t>94</w:t>
      </w:r>
      <w:r>
        <w:rPr>
          <w:rFonts w:ascii="Arial" w:hAnsi="Arial" w:cs="Arial"/>
        </w:rPr>
        <w:t xml:space="preserve">, </w:t>
      </w:r>
      <w:r w:rsidR="004272CE">
        <w:rPr>
          <w:rFonts w:ascii="Arial" w:hAnsi="Arial" w:cs="Arial"/>
        </w:rPr>
        <w:t>three</w:t>
      </w:r>
      <w:r>
        <w:rPr>
          <w:rFonts w:ascii="Arial" w:hAnsi="Arial" w:cs="Arial"/>
        </w:rPr>
        <w:t xml:space="preserve"> mice from the complete treatment group were alive and healthy might while the mice in every other group had died is evidence that they </w:t>
      </w:r>
      <w:r w:rsidR="00222428">
        <w:rPr>
          <w:rFonts w:ascii="Arial" w:hAnsi="Arial" w:cs="Arial"/>
        </w:rPr>
        <w:t xml:space="preserve">may be </w:t>
      </w:r>
      <w:r>
        <w:rPr>
          <w:rFonts w:ascii="Arial" w:hAnsi="Arial" w:cs="Arial"/>
        </w:rPr>
        <w:t xml:space="preserve">cured of cancer. This study will be finalized on day 100. </w:t>
      </w:r>
    </w:p>
    <w:p w14:paraId="087910F4" w14:textId="5B8E529C" w:rsidR="009177BF" w:rsidRPr="000B0005" w:rsidRDefault="009177BF" w:rsidP="009177BF">
      <w:pPr>
        <w:spacing w:line="360" w:lineRule="auto"/>
        <w:ind w:firstLine="1440"/>
        <w:jc w:val="both"/>
        <w:rPr>
          <w:rFonts w:ascii="Arial" w:hAnsi="Arial" w:cs="Arial"/>
        </w:rPr>
      </w:pPr>
      <w:r>
        <w:rPr>
          <w:rFonts w:ascii="Arial" w:hAnsi="Arial" w:cs="Arial"/>
        </w:rPr>
        <w:t>While th</w:t>
      </w:r>
      <w:r w:rsidR="002F66D4">
        <w:rPr>
          <w:rFonts w:ascii="Arial" w:hAnsi="Arial" w:cs="Arial"/>
        </w:rPr>
        <w:t>e</w:t>
      </w:r>
      <w:r>
        <w:rPr>
          <w:rFonts w:ascii="Arial" w:hAnsi="Arial" w:cs="Arial"/>
        </w:rPr>
        <w:t xml:space="preserve">se results are promising, the mechanisms of anti-tumoral response need to be assessed to confirm the hypothesis of a systemic immune system </w:t>
      </w:r>
      <w:r>
        <w:rPr>
          <w:rFonts w:ascii="Arial" w:hAnsi="Arial" w:cs="Arial"/>
        </w:rPr>
        <w:lastRenderedPageBreak/>
        <w:t xml:space="preserve">activation against cancer. A set of two experiments were designed to evaluate the immune activation after the treatment. First, pro-inflammatory cytokine levels in serum were quantified by ELISA seven days after PTT. The results of that experiment are in </w:t>
      </w:r>
      <w:r w:rsidRPr="002F66D4">
        <w:rPr>
          <w:rFonts w:ascii="Arial" w:hAnsi="Arial" w:cs="Arial"/>
          <w:b/>
          <w:bCs/>
        </w:rPr>
        <w:t>Figure 46</w:t>
      </w:r>
      <w:r>
        <w:rPr>
          <w:rFonts w:ascii="Arial" w:hAnsi="Arial" w:cs="Arial"/>
        </w:rPr>
        <w:t>.</w:t>
      </w:r>
    </w:p>
    <w:p w14:paraId="21259DB9" w14:textId="350C9E65" w:rsidR="00A82125" w:rsidRPr="00D74025" w:rsidRDefault="00A82125" w:rsidP="00D80040">
      <w:pPr>
        <w:spacing w:line="360" w:lineRule="auto"/>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2F76A5D1" w14:textId="77777777" w:rsidTr="00F509E9">
        <w:tc>
          <w:tcPr>
            <w:tcW w:w="9350" w:type="dxa"/>
          </w:tcPr>
          <w:p w14:paraId="3328634F" w14:textId="287A2157" w:rsidR="00F509E9" w:rsidRPr="00D74025" w:rsidRDefault="009C2A20" w:rsidP="000D71A7">
            <w:pPr>
              <w:spacing w:beforeAutospacing="0" w:line="360" w:lineRule="auto"/>
              <w:ind w:firstLine="0"/>
              <w:jc w:val="center"/>
              <w:rPr>
                <w:rFonts w:ascii="Arial" w:hAnsi="Arial" w:cs="Arial"/>
                <w:color w:val="000000" w:themeColor="text1"/>
              </w:rPr>
            </w:pPr>
            <w:r w:rsidRPr="009C2A20">
              <w:rPr>
                <w:rFonts w:ascii="Arial" w:hAnsi="Arial" w:cs="Arial"/>
                <w:noProof/>
                <w:color w:val="000000" w:themeColor="text1"/>
              </w:rPr>
              <w:drawing>
                <wp:inline distT="0" distB="0" distL="0" distR="0" wp14:anchorId="705DC0E6" wp14:editId="0A3E36E1">
                  <wp:extent cx="5878286" cy="6372225"/>
                  <wp:effectExtent l="0" t="0" r="1905" b="3175"/>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1099"/>
                          <a:stretch/>
                        </pic:blipFill>
                        <pic:spPr bwMode="auto">
                          <a:xfrm>
                            <a:off x="0" y="0"/>
                            <a:ext cx="5878286" cy="6372225"/>
                          </a:xfrm>
                          <a:prstGeom prst="rect">
                            <a:avLst/>
                          </a:prstGeom>
                          <a:ln>
                            <a:noFill/>
                          </a:ln>
                          <a:extLst>
                            <a:ext uri="{53640926-AAD7-44D8-BBD7-CCE9431645EC}">
                              <a14:shadowObscured xmlns:a14="http://schemas.microsoft.com/office/drawing/2010/main"/>
                            </a:ext>
                          </a:extLst>
                        </pic:spPr>
                      </pic:pic>
                    </a:graphicData>
                  </a:graphic>
                </wp:inline>
              </w:drawing>
            </w:r>
          </w:p>
        </w:tc>
      </w:tr>
      <w:tr w:rsidR="00D74025" w:rsidRPr="00D74025" w14:paraId="7D5176BD" w14:textId="77777777" w:rsidTr="00F509E9">
        <w:tc>
          <w:tcPr>
            <w:tcW w:w="9350" w:type="dxa"/>
          </w:tcPr>
          <w:p w14:paraId="75C40DC7" w14:textId="1BE02E85" w:rsidR="00F509E9" w:rsidRPr="00D74025" w:rsidRDefault="009177BF" w:rsidP="009C7FA1">
            <w:pPr>
              <w:spacing w:line="360" w:lineRule="auto"/>
              <w:ind w:firstLine="0"/>
              <w:rPr>
                <w:rFonts w:ascii="Arial" w:hAnsi="Arial" w:cs="Arial"/>
                <w:color w:val="000000" w:themeColor="text1"/>
              </w:rPr>
            </w:pPr>
            <w:bookmarkStart w:id="147" w:name="_Toc121217368"/>
            <w:r w:rsidRPr="009177BF">
              <w:rPr>
                <w:rFonts w:ascii="Arial" w:hAnsi="Arial" w:cs="Arial"/>
                <w:b/>
                <w:bCs/>
                <w:color w:val="000000" w:themeColor="text1"/>
              </w:rPr>
              <w:lastRenderedPageBreak/>
              <w:t xml:space="preserve">Figure </w:t>
            </w:r>
            <w:r w:rsidRPr="009177BF">
              <w:rPr>
                <w:rFonts w:ascii="Arial" w:hAnsi="Arial" w:cs="Arial"/>
                <w:b/>
                <w:bCs/>
                <w:color w:val="000000" w:themeColor="text1"/>
              </w:rPr>
              <w:fldChar w:fldCharType="begin"/>
            </w:r>
            <w:r w:rsidRPr="009177BF">
              <w:rPr>
                <w:rFonts w:ascii="Arial" w:hAnsi="Arial" w:cs="Arial"/>
                <w:b/>
                <w:bCs/>
                <w:color w:val="000000" w:themeColor="text1"/>
              </w:rPr>
              <w:instrText xml:space="preserve"> SEQ Figure \* ARABIC </w:instrText>
            </w:r>
            <w:r w:rsidRPr="009177BF">
              <w:rPr>
                <w:rFonts w:ascii="Arial" w:hAnsi="Arial" w:cs="Arial"/>
                <w:b/>
                <w:bCs/>
                <w:color w:val="000000" w:themeColor="text1"/>
              </w:rPr>
              <w:fldChar w:fldCharType="separate"/>
            </w:r>
            <w:r w:rsidR="002C4B25">
              <w:rPr>
                <w:rFonts w:ascii="Arial" w:hAnsi="Arial" w:cs="Arial"/>
                <w:b/>
                <w:bCs/>
                <w:noProof/>
                <w:color w:val="000000" w:themeColor="text1"/>
              </w:rPr>
              <w:t>46</w:t>
            </w:r>
            <w:r w:rsidRPr="009177BF">
              <w:rPr>
                <w:rFonts w:ascii="Arial" w:hAnsi="Arial" w:cs="Arial"/>
                <w:b/>
                <w:bCs/>
                <w:color w:val="000000" w:themeColor="text1"/>
              </w:rPr>
              <w:fldChar w:fldCharType="end"/>
            </w:r>
            <w:r w:rsidR="009C7FA1" w:rsidRPr="00D23C0A">
              <w:rPr>
                <w:rFonts w:ascii="Arial" w:hAnsi="Arial" w:cs="Arial"/>
                <w:b/>
                <w:bCs/>
                <w:color w:val="000000" w:themeColor="text1"/>
              </w:rPr>
              <w:t>: Serum cytokine concentration</w:t>
            </w:r>
            <w:r w:rsidR="00D23C0A">
              <w:rPr>
                <w:rFonts w:ascii="Arial" w:hAnsi="Arial" w:cs="Arial"/>
                <w:color w:val="000000" w:themeColor="text1"/>
              </w:rPr>
              <w:t xml:space="preserve"> </w:t>
            </w:r>
            <w:r w:rsidR="00D23C0A">
              <w:rPr>
                <w:rFonts w:ascii="Arial" w:hAnsi="Arial" w:cs="Arial"/>
                <w:b/>
                <w:bCs/>
                <w:color w:val="000000" w:themeColor="text1"/>
              </w:rPr>
              <w:t xml:space="preserve">of </w:t>
            </w:r>
            <w:r w:rsidR="00D23C0A" w:rsidRPr="00D74025">
              <w:rPr>
                <w:rFonts w:ascii="Arial" w:hAnsi="Arial" w:cs="Arial"/>
                <w:b/>
                <w:bCs/>
                <w:color w:val="000000" w:themeColor="text1"/>
              </w:rPr>
              <w:t>combinatorial therapy of anti-PD-1, imiquimod-loaded hydrogel and photothermal therapy (PTT) at 55</w:t>
            </w:r>
            <w:r w:rsidR="00D23C0A" w:rsidRPr="00D74025">
              <w:rPr>
                <w:rFonts w:ascii="Arial" w:hAnsi="Arial" w:cs="Arial"/>
                <w:b/>
                <w:bCs/>
                <w:color w:val="000000" w:themeColor="text1"/>
              </w:rPr>
              <w:sym w:font="Symbol" w:char="F0B0"/>
            </w:r>
            <w:r w:rsidR="00D23C0A" w:rsidRPr="00D74025">
              <w:rPr>
                <w:rFonts w:ascii="Arial" w:hAnsi="Arial" w:cs="Arial"/>
                <w:b/>
                <w:bCs/>
                <w:color w:val="000000" w:themeColor="text1"/>
              </w:rPr>
              <w:t>C in 4T1 tumors</w:t>
            </w:r>
            <w:r w:rsidR="00D23C0A" w:rsidRPr="00D74025">
              <w:rPr>
                <w:rFonts w:ascii="Arial" w:hAnsi="Arial" w:cs="Arial"/>
                <w:color w:val="000000" w:themeColor="text1"/>
              </w:rPr>
              <w:t>.</w:t>
            </w:r>
            <w:r w:rsidR="009C7FA1" w:rsidRPr="009C7FA1">
              <w:rPr>
                <w:rFonts w:ascii="Arial" w:hAnsi="Arial" w:cs="Arial"/>
                <w:color w:val="000000" w:themeColor="text1"/>
              </w:rPr>
              <w:t xml:space="preserve"> </w:t>
            </w:r>
            <w:r w:rsidR="0070405F" w:rsidRPr="00D74025">
              <w:rPr>
                <w:rFonts w:ascii="Arial" w:hAnsi="Arial" w:cs="Arial"/>
                <w:color w:val="000000" w:themeColor="text1"/>
              </w:rPr>
              <w:t xml:space="preserve">Female </w:t>
            </w:r>
            <w:proofErr w:type="spellStart"/>
            <w:r w:rsidR="0070405F" w:rsidRPr="00D74025">
              <w:rPr>
                <w:rFonts w:ascii="Arial" w:hAnsi="Arial" w:cs="Arial"/>
                <w:color w:val="000000" w:themeColor="text1"/>
              </w:rPr>
              <w:t>Balb</w:t>
            </w:r>
            <w:proofErr w:type="spellEnd"/>
            <w:r w:rsidR="0070405F" w:rsidRPr="00D74025">
              <w:rPr>
                <w:rFonts w:ascii="Arial" w:hAnsi="Arial" w:cs="Arial"/>
                <w:color w:val="000000" w:themeColor="text1"/>
              </w:rPr>
              <w:t xml:space="preserve"> c/J mice bearing 4T1 orthotopic syngeneic tumors (d ~ 3 mm) were treated with combinatorial therapy. Selected groups were administered with imiquimod (IMQ)-loaded hydrogel intratumorally (50 mg) on day 7 after tumor inoculation. Select groups also received intraperitoneal injection of anti-PD-1 (10 mg/kg) on days 7, 10, and 15. On day 11, groups were administered with an IT dose of 1.2 mg/kg SWCNT-ANXA5. Tumors were irradiated with a NIR laser at a power density of 1 W/cm</w:t>
            </w:r>
            <w:r w:rsidR="0070405F" w:rsidRPr="00D74025">
              <w:rPr>
                <w:rFonts w:ascii="Arial" w:hAnsi="Arial" w:cs="Arial"/>
                <w:color w:val="000000" w:themeColor="text1"/>
                <w:vertAlign w:val="superscript"/>
              </w:rPr>
              <w:t>2</w:t>
            </w:r>
            <w:r w:rsidR="0070405F" w:rsidRPr="00D74025">
              <w:rPr>
                <w:rFonts w:ascii="Arial" w:hAnsi="Arial" w:cs="Arial"/>
                <w:color w:val="000000" w:themeColor="text1"/>
              </w:rPr>
              <w:t xml:space="preserve"> until tumor surface temperature reached 55ºC</w:t>
            </w:r>
            <w:r w:rsidR="002045DF">
              <w:rPr>
                <w:rFonts w:ascii="Arial" w:hAnsi="Arial" w:cs="Arial"/>
                <w:color w:val="000000" w:themeColor="text1"/>
              </w:rPr>
              <w:t xml:space="preserve">. </w:t>
            </w:r>
            <w:r w:rsidR="009C7FA1" w:rsidRPr="009C7FA1">
              <w:rPr>
                <w:rFonts w:ascii="Arial" w:hAnsi="Arial" w:cs="Arial"/>
                <w:color w:val="000000" w:themeColor="text1"/>
              </w:rPr>
              <w:t>Quantification of serum cytokine levels in mouse serum 7 days after PTT showed a significant increase of</w:t>
            </w:r>
            <w:r w:rsidR="009C7FA1">
              <w:rPr>
                <w:rFonts w:ascii="Arial" w:hAnsi="Arial" w:cs="Arial"/>
                <w:color w:val="000000" w:themeColor="text1"/>
              </w:rPr>
              <w:t xml:space="preserve"> </w:t>
            </w:r>
            <w:r w:rsidR="00AC4103">
              <w:rPr>
                <w:rFonts w:ascii="Arial" w:hAnsi="Arial" w:cs="Arial"/>
                <w:color w:val="000000" w:themeColor="text1"/>
              </w:rPr>
              <w:t>IFN-</w:t>
            </w:r>
            <w:r w:rsidR="00AC4103">
              <w:rPr>
                <w:rFonts w:ascii="Arial" w:hAnsi="Arial" w:cs="Arial"/>
                <w:color w:val="000000" w:themeColor="text1"/>
              </w:rPr>
              <w:sym w:font="Symbol" w:char="F067"/>
            </w:r>
            <w:r w:rsidR="00AC4103">
              <w:rPr>
                <w:rFonts w:ascii="Arial" w:hAnsi="Arial" w:cs="Arial"/>
                <w:color w:val="000000" w:themeColor="text1"/>
              </w:rPr>
              <w:t>, TNF-</w:t>
            </w:r>
            <w:r w:rsidR="00AC4103">
              <w:rPr>
                <w:rFonts w:ascii="Arial" w:hAnsi="Arial" w:cs="Arial"/>
                <w:color w:val="000000" w:themeColor="text1"/>
              </w:rPr>
              <w:sym w:font="Symbol" w:char="F061"/>
            </w:r>
            <w:r w:rsidR="00AC4103">
              <w:rPr>
                <w:rFonts w:ascii="Arial" w:hAnsi="Arial" w:cs="Arial"/>
                <w:color w:val="000000" w:themeColor="text1"/>
              </w:rPr>
              <w:t xml:space="preserve">, </w:t>
            </w:r>
            <w:r w:rsidR="009C7FA1" w:rsidRPr="009C7FA1">
              <w:rPr>
                <w:rFonts w:ascii="Arial" w:hAnsi="Arial" w:cs="Arial"/>
                <w:color w:val="000000" w:themeColor="text1"/>
              </w:rPr>
              <w:t>IL-6</w:t>
            </w:r>
            <w:r w:rsidR="00AC4103">
              <w:rPr>
                <w:rFonts w:ascii="Arial" w:hAnsi="Arial" w:cs="Arial"/>
                <w:color w:val="000000" w:themeColor="text1"/>
              </w:rPr>
              <w:t xml:space="preserve"> and IL-12 (p70)</w:t>
            </w:r>
            <w:r w:rsidR="009C7FA1" w:rsidRPr="009C7FA1">
              <w:rPr>
                <w:rFonts w:ascii="Arial" w:hAnsi="Arial" w:cs="Arial"/>
                <w:color w:val="000000" w:themeColor="text1"/>
              </w:rPr>
              <w:t xml:space="preserve"> levels in mice following PTT. Data are presented as mean</w:t>
            </w:r>
            <w:r w:rsidR="009C7FA1">
              <w:rPr>
                <w:rFonts w:ascii="Arial" w:hAnsi="Arial" w:cs="Arial"/>
                <w:color w:val="000000" w:themeColor="text1"/>
              </w:rPr>
              <w:t> </w:t>
            </w:r>
            <w:r w:rsidR="009C7FA1" w:rsidRPr="009C7FA1">
              <w:rPr>
                <w:rFonts w:ascii="Arial" w:hAnsi="Arial" w:cs="Arial"/>
                <w:color w:val="000000" w:themeColor="text1"/>
              </w:rPr>
              <w:t>±</w:t>
            </w:r>
            <w:r w:rsidR="009C7FA1">
              <w:rPr>
                <w:rFonts w:ascii="Arial" w:hAnsi="Arial" w:cs="Arial"/>
                <w:color w:val="000000" w:themeColor="text1"/>
              </w:rPr>
              <w:t> </w:t>
            </w:r>
            <w:r w:rsidR="009C7FA1" w:rsidRPr="009C7FA1">
              <w:rPr>
                <w:rFonts w:ascii="Arial" w:hAnsi="Arial" w:cs="Arial"/>
                <w:color w:val="000000" w:themeColor="text1"/>
              </w:rPr>
              <w:t>SE</w:t>
            </w:r>
            <w:r w:rsidR="009C7FA1">
              <w:rPr>
                <w:rFonts w:ascii="Arial" w:hAnsi="Arial" w:cs="Arial"/>
                <w:color w:val="000000" w:themeColor="text1"/>
              </w:rPr>
              <w:t xml:space="preserve"> </w:t>
            </w:r>
            <w:r w:rsidR="009C7FA1" w:rsidRPr="009C7FA1">
              <w:rPr>
                <w:rFonts w:ascii="Arial" w:hAnsi="Arial" w:cs="Arial"/>
                <w:color w:val="000000" w:themeColor="text1"/>
              </w:rPr>
              <w:t>(n</w:t>
            </w:r>
            <w:r w:rsidR="009C7FA1">
              <w:rPr>
                <w:rFonts w:ascii="Arial" w:hAnsi="Arial" w:cs="Arial"/>
                <w:color w:val="000000" w:themeColor="text1"/>
              </w:rPr>
              <w:t xml:space="preserve"> </w:t>
            </w:r>
            <w:r w:rsidR="009C7FA1" w:rsidRPr="009C7FA1">
              <w:rPr>
                <w:rFonts w:ascii="Arial" w:hAnsi="Arial" w:cs="Arial"/>
                <w:color w:val="000000" w:themeColor="text1"/>
              </w:rPr>
              <w:t>=</w:t>
            </w:r>
            <w:r w:rsidR="009C7FA1">
              <w:rPr>
                <w:rFonts w:ascii="Arial" w:hAnsi="Arial" w:cs="Arial"/>
                <w:color w:val="000000" w:themeColor="text1"/>
              </w:rPr>
              <w:t xml:space="preserve"> </w:t>
            </w:r>
            <w:r w:rsidR="009C7FA1" w:rsidRPr="009C7FA1">
              <w:rPr>
                <w:rFonts w:ascii="Arial" w:hAnsi="Arial" w:cs="Arial"/>
                <w:color w:val="000000" w:themeColor="text1"/>
              </w:rPr>
              <w:t>5). Statistical significance was analyzed for the treated groups compared to the untreated control group by one-way ANOVA with Dunnett’s</w:t>
            </w:r>
            <w:r w:rsidR="009C7FA1">
              <w:rPr>
                <w:rFonts w:ascii="Arial" w:hAnsi="Arial" w:cs="Arial"/>
                <w:color w:val="000000" w:themeColor="text1"/>
              </w:rPr>
              <w:t xml:space="preserve"> </w:t>
            </w:r>
            <w:r w:rsidR="009C7FA1" w:rsidRPr="009C7FA1">
              <w:rPr>
                <w:rFonts w:ascii="Arial" w:hAnsi="Arial" w:cs="Arial"/>
                <w:color w:val="000000" w:themeColor="text1"/>
              </w:rPr>
              <w:t>multiple comparisons test. Statistical significance is indicated by *p</w:t>
            </w:r>
            <w:r w:rsidR="002D6DCE">
              <w:rPr>
                <w:rFonts w:ascii="Arial" w:hAnsi="Arial" w:cs="Arial"/>
                <w:color w:val="000000" w:themeColor="text1"/>
              </w:rPr>
              <w:t> </w:t>
            </w:r>
            <w:r w:rsidR="009C7FA1" w:rsidRPr="009C7FA1">
              <w:rPr>
                <w:rFonts w:ascii="Arial" w:hAnsi="Arial" w:cs="Arial"/>
                <w:color w:val="000000" w:themeColor="text1"/>
              </w:rPr>
              <w:t>&lt;</w:t>
            </w:r>
            <w:r w:rsidR="002D6DCE">
              <w:rPr>
                <w:rFonts w:ascii="Arial" w:hAnsi="Arial" w:cs="Arial"/>
                <w:color w:val="000000" w:themeColor="text1"/>
              </w:rPr>
              <w:t> </w:t>
            </w:r>
            <w:r w:rsidR="009C7FA1" w:rsidRPr="009C7FA1">
              <w:rPr>
                <w:rFonts w:ascii="Arial" w:hAnsi="Arial" w:cs="Arial"/>
                <w:color w:val="000000" w:themeColor="text1"/>
              </w:rPr>
              <w:t>0.05</w:t>
            </w:r>
            <w:r w:rsidR="002D6DCE">
              <w:rPr>
                <w:rFonts w:ascii="Arial" w:hAnsi="Arial" w:cs="Arial"/>
                <w:color w:val="000000" w:themeColor="text1"/>
              </w:rPr>
              <w:t xml:space="preserve">, </w:t>
            </w:r>
            <w:r w:rsidR="00BC6693">
              <w:rPr>
                <w:rFonts w:ascii="Arial" w:hAnsi="Arial" w:cs="Arial"/>
                <w:color w:val="000000" w:themeColor="text1"/>
              </w:rPr>
              <w:t>**p &lt; 0.01, ***p &lt; 0.001.</w:t>
            </w:r>
            <w:bookmarkEnd w:id="147"/>
          </w:p>
        </w:tc>
      </w:tr>
    </w:tbl>
    <w:p w14:paraId="7CCCDD7B" w14:textId="4F4B7097" w:rsidR="0016318A" w:rsidRDefault="0016318A" w:rsidP="006749C7">
      <w:pPr>
        <w:spacing w:line="360" w:lineRule="auto"/>
        <w:jc w:val="both"/>
        <w:rPr>
          <w:rFonts w:ascii="Arial" w:hAnsi="Arial" w:cs="Arial"/>
          <w:color w:val="000000" w:themeColor="text1"/>
        </w:rPr>
      </w:pPr>
    </w:p>
    <w:p w14:paraId="5BF10AC8" w14:textId="5C2431FC" w:rsidR="00302B7C" w:rsidRDefault="00253FC2" w:rsidP="00253FC2">
      <w:pPr>
        <w:spacing w:line="360" w:lineRule="auto"/>
        <w:ind w:firstLine="1440"/>
        <w:jc w:val="both"/>
        <w:rPr>
          <w:rFonts w:ascii="Arial" w:hAnsi="Arial" w:cs="Arial"/>
        </w:rPr>
      </w:pPr>
      <w:r w:rsidRPr="00083C90">
        <w:rPr>
          <w:rFonts w:ascii="Arial" w:hAnsi="Arial" w:cs="Arial"/>
          <w:b/>
          <w:bCs/>
        </w:rPr>
        <w:t>Figure 46</w:t>
      </w:r>
      <w:r>
        <w:rPr>
          <w:rFonts w:ascii="Arial" w:hAnsi="Arial" w:cs="Arial"/>
        </w:rPr>
        <w:t xml:space="preserve"> shows the levels of proinflammatory cytokines IFN-</w:t>
      </w:r>
      <w:r>
        <w:rPr>
          <w:rFonts w:ascii="Arial" w:hAnsi="Arial" w:cs="Arial"/>
        </w:rPr>
        <w:sym w:font="Symbol" w:char="F067"/>
      </w:r>
      <w:r>
        <w:rPr>
          <w:rFonts w:ascii="Arial" w:hAnsi="Arial" w:cs="Arial"/>
        </w:rPr>
        <w:t>, TNF-</w:t>
      </w:r>
      <w:r>
        <w:rPr>
          <w:rFonts w:ascii="Arial" w:hAnsi="Arial" w:cs="Arial"/>
        </w:rPr>
        <w:sym w:font="Symbol" w:char="F061"/>
      </w:r>
      <w:r>
        <w:rPr>
          <w:rFonts w:ascii="Arial" w:hAnsi="Arial" w:cs="Arial"/>
        </w:rPr>
        <w:t xml:space="preserve">, IL-6, and IL-12 (p70). The groups IMQ + PTT, anti-PD-1 + PTT, and anti-PD-1 + IMQ + PTT increased the levels of the four cytokines studied compared to the untreated control. As previously discussed, those cytokines play a role in innate and adaptive immune response; thus, the increased presence of those molecules in the circulatory system is evidence of a systemic immune response. It is worthwhile mentioning the additional effect of combining therapies. While PTT alone and IMQ alone did not increase the level of any of those cytokines compared to the untreated control, the combination of IMQ + PTT promoted the production of proinflammatory cytokines. Here, the combination of therapies has a positive effect, which is not usually seen in the combination of drugs in chemotherapy. The combination of treatments in the different groups also induced a significant increase in survival compared to untreated control (survival curves of each group compared to control can be seen in </w:t>
      </w:r>
      <w:r w:rsidR="009575B1">
        <w:rPr>
          <w:rFonts w:ascii="Arial" w:hAnsi="Arial" w:cs="Arial"/>
        </w:rPr>
        <w:t>A</w:t>
      </w:r>
      <w:r>
        <w:rPr>
          <w:rFonts w:ascii="Arial" w:hAnsi="Arial" w:cs="Arial"/>
        </w:rPr>
        <w:t>ppendix A</w:t>
      </w:r>
      <w:r w:rsidR="009575B1">
        <w:rPr>
          <w:rFonts w:ascii="Arial" w:hAnsi="Arial" w:cs="Arial"/>
        </w:rPr>
        <w:t xml:space="preserve"> – </w:t>
      </w:r>
      <w:r w:rsidR="009575B1" w:rsidRPr="00783054">
        <w:rPr>
          <w:rFonts w:ascii="Arial" w:hAnsi="Arial" w:cs="Arial"/>
          <w:b/>
          <w:bCs/>
        </w:rPr>
        <w:t>Figure 78</w:t>
      </w:r>
      <w:r w:rsidRPr="00783054">
        <w:rPr>
          <w:rFonts w:ascii="Arial" w:hAnsi="Arial" w:cs="Arial"/>
        </w:rPr>
        <w:t>).</w:t>
      </w:r>
      <w:r>
        <w:rPr>
          <w:rFonts w:ascii="Arial" w:hAnsi="Arial" w:cs="Arial"/>
        </w:rPr>
        <w:t xml:space="preserve"> </w:t>
      </w:r>
      <w:r w:rsidR="00302B7C">
        <w:rPr>
          <w:rFonts w:ascii="Arial" w:hAnsi="Arial" w:cs="Arial"/>
        </w:rPr>
        <w:t xml:space="preserve">Nonetheless, only the complete treatment group </w:t>
      </w:r>
      <w:r w:rsidR="00591779">
        <w:rPr>
          <w:rFonts w:ascii="Arial" w:hAnsi="Arial" w:cs="Arial"/>
        </w:rPr>
        <w:t>(anti-PD-1</w:t>
      </w:r>
      <w:r w:rsidR="00E46ECB">
        <w:rPr>
          <w:rFonts w:ascii="Arial" w:hAnsi="Arial" w:cs="Arial"/>
        </w:rPr>
        <w:t xml:space="preserve"> + IMQ + </w:t>
      </w:r>
      <w:r w:rsidR="00FD1252">
        <w:rPr>
          <w:rFonts w:ascii="Arial" w:hAnsi="Arial" w:cs="Arial"/>
        </w:rPr>
        <w:t xml:space="preserve">PTT) had </w:t>
      </w:r>
      <w:r w:rsidR="00776F61">
        <w:rPr>
          <w:rFonts w:ascii="Arial" w:hAnsi="Arial" w:cs="Arial"/>
        </w:rPr>
        <w:t xml:space="preserve">four </w:t>
      </w:r>
      <w:r w:rsidR="00FD1252">
        <w:rPr>
          <w:rFonts w:ascii="Arial" w:hAnsi="Arial" w:cs="Arial"/>
        </w:rPr>
        <w:t xml:space="preserve">mice surviving </w:t>
      </w:r>
      <w:r w:rsidR="00776F61">
        <w:rPr>
          <w:rFonts w:ascii="Arial" w:hAnsi="Arial" w:cs="Arial"/>
        </w:rPr>
        <w:t xml:space="preserve">past 50 </w:t>
      </w:r>
      <w:r w:rsidR="00776F61">
        <w:rPr>
          <w:rFonts w:ascii="Arial" w:hAnsi="Arial" w:cs="Arial"/>
        </w:rPr>
        <w:lastRenderedPageBreak/>
        <w:t>days after tumor inoculation.</w:t>
      </w:r>
      <w:r w:rsidR="00764924" w:rsidRPr="00764924">
        <w:rPr>
          <w:rFonts w:ascii="Arial" w:hAnsi="Arial" w:cs="Arial"/>
        </w:rPr>
        <w:t xml:space="preserve"> </w:t>
      </w:r>
      <w:r w:rsidR="00764924">
        <w:rPr>
          <w:rFonts w:ascii="Arial" w:hAnsi="Arial" w:cs="Arial"/>
        </w:rPr>
        <w:t>This is evidence of the beneficial anti-cancer effect of combinatorial therapies with PTT.</w:t>
      </w:r>
    </w:p>
    <w:p w14:paraId="53FB345C" w14:textId="77777777" w:rsidR="006520D4" w:rsidRDefault="006520D4" w:rsidP="006520D4">
      <w:pPr>
        <w:spacing w:line="360" w:lineRule="auto"/>
        <w:ind w:firstLine="1440"/>
        <w:jc w:val="both"/>
        <w:rPr>
          <w:rFonts w:ascii="Arial" w:hAnsi="Arial" w:cs="Arial"/>
        </w:rPr>
      </w:pPr>
      <w:r>
        <w:rPr>
          <w:rFonts w:ascii="Arial" w:hAnsi="Arial" w:cs="Arial"/>
        </w:rPr>
        <w:t xml:space="preserve">Additionally, by comparing the groups with individual therapies, only the PTT group increased survival (anti-PD-1 alone and IMQ alone did not increase survival – see </w:t>
      </w:r>
      <w:r w:rsidRPr="00783054">
        <w:rPr>
          <w:rFonts w:ascii="Arial" w:hAnsi="Arial" w:cs="Arial"/>
          <w:b/>
          <w:bCs/>
        </w:rPr>
        <w:t>Figure 78</w:t>
      </w:r>
      <w:r w:rsidRPr="00783054">
        <w:rPr>
          <w:rFonts w:ascii="Arial" w:hAnsi="Arial" w:cs="Arial"/>
        </w:rPr>
        <w:t>).</w:t>
      </w:r>
      <w:r>
        <w:rPr>
          <w:rFonts w:ascii="Arial" w:hAnsi="Arial" w:cs="Arial"/>
        </w:rPr>
        <w:t xml:space="preserve"> These results demonstrate the synergistic effect of a combination of therapies, in which the results of the joint therapies are superior to the summation of the therapeutic outcome of individual treatment components.</w:t>
      </w:r>
    </w:p>
    <w:p w14:paraId="143D552C" w14:textId="77777777" w:rsidR="009D1800" w:rsidRDefault="009D1800" w:rsidP="009D1800">
      <w:pPr>
        <w:spacing w:line="360" w:lineRule="auto"/>
        <w:ind w:firstLine="1440"/>
        <w:jc w:val="both"/>
        <w:rPr>
          <w:rFonts w:ascii="Arial" w:hAnsi="Arial" w:cs="Arial"/>
        </w:rPr>
      </w:pPr>
      <w:r>
        <w:rPr>
          <w:rFonts w:ascii="Arial" w:hAnsi="Arial" w:cs="Arial"/>
        </w:rPr>
        <w:t xml:space="preserve">Another experiment was performed to prove the activation of a systemic immune response. 4T1-tumor-bearing mice were treated identically to the survival test and euthanized 15 days after PTT for the immunophenotyping of splenic cells. The results of that experiment are shown in </w:t>
      </w:r>
      <w:r w:rsidRPr="003F14A1">
        <w:rPr>
          <w:rFonts w:ascii="Arial" w:hAnsi="Arial" w:cs="Arial"/>
          <w:b/>
          <w:bCs/>
        </w:rPr>
        <w:t>Figure 47</w:t>
      </w:r>
      <w:r>
        <w:rPr>
          <w:rFonts w:ascii="Arial" w:hAnsi="Arial" w:cs="Arial"/>
        </w:rPr>
        <w:t>.</w:t>
      </w:r>
    </w:p>
    <w:p w14:paraId="13E35B96" w14:textId="77777777" w:rsidR="009D1800" w:rsidRDefault="009D1800" w:rsidP="00253FC2">
      <w:pPr>
        <w:spacing w:line="360" w:lineRule="auto"/>
        <w:ind w:firstLine="1440"/>
        <w:jc w:val="both"/>
        <w:rPr>
          <w:rFonts w:ascii="Arial" w:hAnsi="Arial" w:cs="Arial"/>
        </w:rPr>
      </w:pPr>
    </w:p>
    <w:p w14:paraId="1C2B3676" w14:textId="77777777" w:rsidR="009177BF" w:rsidRDefault="009177BF" w:rsidP="006749C7">
      <w:pPr>
        <w:spacing w:line="360" w:lineRule="auto"/>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16318A" w14:paraId="0A1FF0D6" w14:textId="77777777" w:rsidTr="0016318A">
        <w:tc>
          <w:tcPr>
            <w:tcW w:w="9350" w:type="dxa"/>
          </w:tcPr>
          <w:p w14:paraId="25E981A9" w14:textId="38325207" w:rsidR="0016318A" w:rsidRDefault="009A61B0" w:rsidP="000D71A7">
            <w:pPr>
              <w:spacing w:beforeAutospacing="0" w:line="360" w:lineRule="auto"/>
              <w:ind w:firstLine="0"/>
              <w:rPr>
                <w:rFonts w:ascii="Arial" w:hAnsi="Arial" w:cs="Arial"/>
                <w:color w:val="000000" w:themeColor="text1"/>
              </w:rPr>
            </w:pPr>
            <w:r w:rsidRPr="009A61B0">
              <w:rPr>
                <w:rFonts w:ascii="Arial" w:hAnsi="Arial" w:cs="Arial"/>
                <w:noProof/>
                <w:color w:val="000000" w:themeColor="text1"/>
              </w:rPr>
              <w:lastRenderedPageBreak/>
              <w:drawing>
                <wp:inline distT="0" distB="0" distL="0" distR="0" wp14:anchorId="7D81AF68" wp14:editId="10A64EE1">
                  <wp:extent cx="5770142" cy="55184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811980" cy="5558498"/>
                          </a:xfrm>
                          <a:prstGeom prst="rect">
                            <a:avLst/>
                          </a:prstGeom>
                        </pic:spPr>
                      </pic:pic>
                    </a:graphicData>
                  </a:graphic>
                </wp:inline>
              </w:drawing>
            </w:r>
          </w:p>
        </w:tc>
      </w:tr>
      <w:tr w:rsidR="0016318A" w14:paraId="3810A90D" w14:textId="77777777" w:rsidTr="0016318A">
        <w:tc>
          <w:tcPr>
            <w:tcW w:w="9350" w:type="dxa"/>
          </w:tcPr>
          <w:p w14:paraId="0666FD50" w14:textId="290AB8CB" w:rsidR="0016318A" w:rsidRDefault="009D1800" w:rsidP="00E77EFE">
            <w:pPr>
              <w:spacing w:line="360" w:lineRule="auto"/>
              <w:ind w:firstLine="0"/>
              <w:rPr>
                <w:rFonts w:ascii="Arial" w:hAnsi="Arial" w:cs="Arial"/>
                <w:color w:val="000000" w:themeColor="text1"/>
              </w:rPr>
            </w:pPr>
            <w:bookmarkStart w:id="148" w:name="_Toc121217369"/>
            <w:r w:rsidRPr="009D1800">
              <w:rPr>
                <w:rFonts w:ascii="Arial" w:hAnsi="Arial" w:cs="Arial"/>
                <w:b/>
                <w:bCs/>
                <w:color w:val="000000" w:themeColor="text1"/>
              </w:rPr>
              <w:t xml:space="preserve">Figure </w:t>
            </w:r>
            <w:r w:rsidRPr="009D1800">
              <w:rPr>
                <w:rFonts w:ascii="Arial" w:hAnsi="Arial" w:cs="Arial"/>
                <w:b/>
                <w:bCs/>
                <w:color w:val="000000" w:themeColor="text1"/>
              </w:rPr>
              <w:fldChar w:fldCharType="begin"/>
            </w:r>
            <w:r w:rsidRPr="009D1800">
              <w:rPr>
                <w:rFonts w:ascii="Arial" w:hAnsi="Arial" w:cs="Arial"/>
                <w:b/>
                <w:bCs/>
                <w:color w:val="000000" w:themeColor="text1"/>
              </w:rPr>
              <w:instrText xml:space="preserve"> SEQ Figure \* ARABIC </w:instrText>
            </w:r>
            <w:r w:rsidRPr="009D1800">
              <w:rPr>
                <w:rFonts w:ascii="Arial" w:hAnsi="Arial" w:cs="Arial"/>
                <w:b/>
                <w:bCs/>
                <w:color w:val="000000" w:themeColor="text1"/>
              </w:rPr>
              <w:fldChar w:fldCharType="separate"/>
            </w:r>
            <w:r w:rsidR="002C4B25">
              <w:rPr>
                <w:rFonts w:ascii="Arial" w:hAnsi="Arial" w:cs="Arial"/>
                <w:b/>
                <w:bCs/>
                <w:noProof/>
                <w:color w:val="000000" w:themeColor="text1"/>
              </w:rPr>
              <w:t>47</w:t>
            </w:r>
            <w:r w:rsidRPr="009D1800">
              <w:rPr>
                <w:rFonts w:ascii="Arial" w:hAnsi="Arial" w:cs="Arial"/>
                <w:b/>
                <w:bCs/>
                <w:color w:val="000000" w:themeColor="text1"/>
              </w:rPr>
              <w:fldChar w:fldCharType="end"/>
            </w:r>
            <w:r w:rsidR="00C1339D" w:rsidRPr="00D23C0A">
              <w:rPr>
                <w:rFonts w:ascii="Arial" w:hAnsi="Arial" w:cs="Arial"/>
                <w:b/>
                <w:bCs/>
                <w:color w:val="000000" w:themeColor="text1"/>
              </w:rPr>
              <w:t xml:space="preserve">: </w:t>
            </w:r>
            <w:r w:rsidR="00B210BF">
              <w:rPr>
                <w:rFonts w:ascii="Arial" w:hAnsi="Arial" w:cs="Arial"/>
                <w:b/>
                <w:bCs/>
                <w:color w:val="000000" w:themeColor="text1"/>
              </w:rPr>
              <w:t>Analysis of splenic cells after</w:t>
            </w:r>
            <w:r w:rsidR="00C1339D">
              <w:rPr>
                <w:rFonts w:ascii="Arial" w:hAnsi="Arial" w:cs="Arial"/>
                <w:b/>
                <w:bCs/>
                <w:color w:val="000000" w:themeColor="text1"/>
              </w:rPr>
              <w:t xml:space="preserve"> </w:t>
            </w:r>
            <w:r w:rsidR="00C1339D" w:rsidRPr="00D74025">
              <w:rPr>
                <w:rFonts w:ascii="Arial" w:hAnsi="Arial" w:cs="Arial"/>
                <w:b/>
                <w:bCs/>
                <w:color w:val="000000" w:themeColor="text1"/>
              </w:rPr>
              <w:t>combinatorial therapy of anti-PD-1, imiquimod-loaded hydrogel and photothermal therapy (PTT) at 55</w:t>
            </w:r>
            <w:r w:rsidR="00C1339D" w:rsidRPr="00D74025">
              <w:rPr>
                <w:rFonts w:ascii="Arial" w:hAnsi="Arial" w:cs="Arial"/>
                <w:b/>
                <w:bCs/>
                <w:color w:val="000000" w:themeColor="text1"/>
              </w:rPr>
              <w:sym w:font="Symbol" w:char="F0B0"/>
            </w:r>
            <w:r w:rsidR="00C1339D" w:rsidRPr="00D74025">
              <w:rPr>
                <w:rFonts w:ascii="Arial" w:hAnsi="Arial" w:cs="Arial"/>
                <w:b/>
                <w:bCs/>
                <w:color w:val="000000" w:themeColor="text1"/>
              </w:rPr>
              <w:t>C in 4T1 tumors</w:t>
            </w:r>
            <w:r w:rsidR="00C1339D" w:rsidRPr="00D74025">
              <w:rPr>
                <w:rFonts w:ascii="Arial" w:hAnsi="Arial" w:cs="Arial"/>
                <w:color w:val="000000" w:themeColor="text1"/>
              </w:rPr>
              <w:t>.</w:t>
            </w:r>
            <w:r w:rsidR="00C1339D" w:rsidRPr="009C7FA1">
              <w:rPr>
                <w:rFonts w:ascii="Arial" w:hAnsi="Arial" w:cs="Arial"/>
                <w:color w:val="000000" w:themeColor="text1"/>
              </w:rPr>
              <w:t xml:space="preserve"> </w:t>
            </w:r>
            <w:r w:rsidR="00C1339D" w:rsidRPr="00D74025">
              <w:rPr>
                <w:rFonts w:ascii="Arial" w:hAnsi="Arial" w:cs="Arial"/>
                <w:color w:val="000000" w:themeColor="text1"/>
              </w:rPr>
              <w:t xml:space="preserve">Female </w:t>
            </w:r>
            <w:proofErr w:type="spellStart"/>
            <w:r w:rsidR="00C1339D" w:rsidRPr="00D74025">
              <w:rPr>
                <w:rFonts w:ascii="Arial" w:hAnsi="Arial" w:cs="Arial"/>
                <w:color w:val="000000" w:themeColor="text1"/>
              </w:rPr>
              <w:t>Balb</w:t>
            </w:r>
            <w:proofErr w:type="spellEnd"/>
            <w:r w:rsidR="00C1339D" w:rsidRPr="00D74025">
              <w:rPr>
                <w:rFonts w:ascii="Arial" w:hAnsi="Arial" w:cs="Arial"/>
                <w:color w:val="000000" w:themeColor="text1"/>
              </w:rPr>
              <w:t xml:space="preserve"> c/J mice bearing 4T1 orthotopic syngeneic tumors (d ~ 3 mm) were treated with combinatorial therapy. Selected groups were administered with imiquimod (IMQ)-loaded hydrogel intratumorally (50 mg) on day 7 after tumor inoculation. Select groups also received intraperitoneal injection of anti-PD-1 (10 mg/kg) on days 7, 10, and 15. On day 11, groups were administered with an IT dose of 1.2 mg/kg SWCNT-ANXA5. Tumors were irradiated with a NIR laser at a power density of 1 W/cm</w:t>
            </w:r>
            <w:r w:rsidR="00C1339D" w:rsidRPr="00D74025">
              <w:rPr>
                <w:rFonts w:ascii="Arial" w:hAnsi="Arial" w:cs="Arial"/>
                <w:color w:val="000000" w:themeColor="text1"/>
                <w:vertAlign w:val="superscript"/>
              </w:rPr>
              <w:t>2</w:t>
            </w:r>
            <w:r w:rsidR="00C1339D" w:rsidRPr="00D74025">
              <w:rPr>
                <w:rFonts w:ascii="Arial" w:hAnsi="Arial" w:cs="Arial"/>
                <w:color w:val="000000" w:themeColor="text1"/>
              </w:rPr>
              <w:t xml:space="preserve"> until tumor surface temperature reached 55ºC</w:t>
            </w:r>
            <w:r w:rsidR="00C1339D">
              <w:rPr>
                <w:rFonts w:ascii="Arial" w:hAnsi="Arial" w:cs="Arial"/>
                <w:color w:val="000000" w:themeColor="text1"/>
              </w:rPr>
              <w:t xml:space="preserve">. </w:t>
            </w:r>
            <w:r w:rsidR="004D188B">
              <w:rPr>
                <w:rFonts w:ascii="Arial" w:hAnsi="Arial" w:cs="Arial"/>
                <w:color w:val="000000" w:themeColor="text1"/>
              </w:rPr>
              <w:t xml:space="preserve">Analysis of splenic </w:t>
            </w:r>
            <w:r w:rsidR="004D188B">
              <w:rPr>
                <w:rFonts w:ascii="Arial" w:hAnsi="Arial" w:cs="Arial"/>
                <w:color w:val="000000" w:themeColor="text1"/>
              </w:rPr>
              <w:lastRenderedPageBreak/>
              <w:t>cells 15</w:t>
            </w:r>
            <w:r w:rsidR="00C1339D" w:rsidRPr="009C7FA1">
              <w:rPr>
                <w:rFonts w:ascii="Arial" w:hAnsi="Arial" w:cs="Arial"/>
                <w:color w:val="000000" w:themeColor="text1"/>
              </w:rPr>
              <w:t xml:space="preserve"> days after PTT </w:t>
            </w:r>
            <w:r w:rsidR="0062701D">
              <w:rPr>
                <w:rFonts w:ascii="Arial" w:hAnsi="Arial" w:cs="Arial"/>
                <w:color w:val="000000" w:themeColor="text1"/>
              </w:rPr>
              <w:t>A,</w:t>
            </w:r>
            <w:r w:rsidR="00FE1B79">
              <w:rPr>
                <w:rFonts w:ascii="Arial" w:hAnsi="Arial" w:cs="Arial"/>
                <w:color w:val="000000" w:themeColor="text1"/>
              </w:rPr>
              <w:t xml:space="preserve"> </w:t>
            </w:r>
            <w:r w:rsidR="0062701D">
              <w:rPr>
                <w:rFonts w:ascii="Arial" w:hAnsi="Arial" w:cs="Arial"/>
                <w:color w:val="000000" w:themeColor="text1"/>
              </w:rPr>
              <w:t xml:space="preserve">B) Percentage of </w:t>
            </w:r>
            <w:r w:rsidR="00997CAD">
              <w:rPr>
                <w:rFonts w:ascii="Arial" w:hAnsi="Arial" w:cs="Arial"/>
                <w:color w:val="000000" w:themeColor="text1"/>
              </w:rPr>
              <w:t>total cells</w:t>
            </w:r>
            <w:r w:rsidR="00FE1B79">
              <w:rPr>
                <w:rFonts w:ascii="Arial" w:hAnsi="Arial" w:cs="Arial"/>
                <w:color w:val="000000" w:themeColor="text1"/>
              </w:rPr>
              <w:t xml:space="preserve"> for cytotoxic T cells (A) and helper T cells (B)</w:t>
            </w:r>
            <w:r w:rsidR="00997CAD">
              <w:rPr>
                <w:rFonts w:ascii="Arial" w:hAnsi="Arial" w:cs="Arial"/>
                <w:color w:val="000000" w:themeColor="text1"/>
              </w:rPr>
              <w:t xml:space="preserve">; </w:t>
            </w:r>
            <w:proofErr w:type="gramStart"/>
            <w:r w:rsidR="00997CAD">
              <w:rPr>
                <w:rFonts w:ascii="Arial" w:hAnsi="Arial" w:cs="Arial"/>
                <w:color w:val="000000" w:themeColor="text1"/>
              </w:rPr>
              <w:t>C,D</w:t>
            </w:r>
            <w:proofErr w:type="gramEnd"/>
            <w:r w:rsidR="00997CAD">
              <w:rPr>
                <w:rFonts w:ascii="Arial" w:hAnsi="Arial" w:cs="Arial"/>
                <w:color w:val="000000" w:themeColor="text1"/>
              </w:rPr>
              <w:t>) Cell count</w:t>
            </w:r>
            <w:r w:rsidR="00FE1B79">
              <w:rPr>
                <w:rFonts w:ascii="Arial" w:hAnsi="Arial" w:cs="Arial"/>
                <w:color w:val="000000" w:themeColor="text1"/>
              </w:rPr>
              <w:t xml:space="preserve"> of cytotoxic T cells</w:t>
            </w:r>
            <w:r w:rsidR="004812C4">
              <w:rPr>
                <w:rFonts w:ascii="Arial" w:hAnsi="Arial" w:cs="Arial"/>
                <w:color w:val="000000" w:themeColor="text1"/>
              </w:rPr>
              <w:t xml:space="preserve"> (C) and helper T cells (D)</w:t>
            </w:r>
            <w:r w:rsidR="00997CAD">
              <w:rPr>
                <w:rFonts w:ascii="Arial" w:hAnsi="Arial" w:cs="Arial"/>
                <w:color w:val="000000" w:themeColor="text1"/>
              </w:rPr>
              <w:t xml:space="preserve">. </w:t>
            </w:r>
            <w:r w:rsidR="00C1339D" w:rsidRPr="009C7FA1">
              <w:rPr>
                <w:rFonts w:ascii="Arial" w:hAnsi="Arial" w:cs="Arial"/>
                <w:color w:val="000000" w:themeColor="text1"/>
              </w:rPr>
              <w:t>Data are presented as mean</w:t>
            </w:r>
            <w:r w:rsidR="00C1339D">
              <w:rPr>
                <w:rFonts w:ascii="Arial" w:hAnsi="Arial" w:cs="Arial"/>
                <w:color w:val="000000" w:themeColor="text1"/>
              </w:rPr>
              <w:t> </w:t>
            </w:r>
            <w:r w:rsidR="00C1339D" w:rsidRPr="009C7FA1">
              <w:rPr>
                <w:rFonts w:ascii="Arial" w:hAnsi="Arial" w:cs="Arial"/>
                <w:color w:val="000000" w:themeColor="text1"/>
              </w:rPr>
              <w:t>±</w:t>
            </w:r>
            <w:r w:rsidR="00C1339D">
              <w:rPr>
                <w:rFonts w:ascii="Arial" w:hAnsi="Arial" w:cs="Arial"/>
                <w:color w:val="000000" w:themeColor="text1"/>
              </w:rPr>
              <w:t> </w:t>
            </w:r>
            <w:r w:rsidR="00C1339D" w:rsidRPr="009C7FA1">
              <w:rPr>
                <w:rFonts w:ascii="Arial" w:hAnsi="Arial" w:cs="Arial"/>
                <w:color w:val="000000" w:themeColor="text1"/>
              </w:rPr>
              <w:t>SE</w:t>
            </w:r>
            <w:r w:rsidR="00C1339D">
              <w:rPr>
                <w:rFonts w:ascii="Arial" w:hAnsi="Arial" w:cs="Arial"/>
                <w:color w:val="000000" w:themeColor="text1"/>
              </w:rPr>
              <w:t xml:space="preserve"> </w:t>
            </w:r>
            <w:r w:rsidR="00C1339D" w:rsidRPr="009C7FA1">
              <w:rPr>
                <w:rFonts w:ascii="Arial" w:hAnsi="Arial" w:cs="Arial"/>
                <w:color w:val="000000" w:themeColor="text1"/>
              </w:rPr>
              <w:t>(n</w:t>
            </w:r>
            <w:r w:rsidR="00C1339D">
              <w:rPr>
                <w:rFonts w:ascii="Arial" w:hAnsi="Arial" w:cs="Arial"/>
                <w:color w:val="000000" w:themeColor="text1"/>
              </w:rPr>
              <w:t xml:space="preserve"> </w:t>
            </w:r>
            <w:r w:rsidR="00C1339D" w:rsidRPr="009C7FA1">
              <w:rPr>
                <w:rFonts w:ascii="Arial" w:hAnsi="Arial" w:cs="Arial"/>
                <w:color w:val="000000" w:themeColor="text1"/>
              </w:rPr>
              <w:t>=</w:t>
            </w:r>
            <w:r w:rsidR="00C1339D">
              <w:rPr>
                <w:rFonts w:ascii="Arial" w:hAnsi="Arial" w:cs="Arial"/>
                <w:color w:val="000000" w:themeColor="text1"/>
              </w:rPr>
              <w:t xml:space="preserve"> </w:t>
            </w:r>
            <w:r w:rsidR="00E90F8E">
              <w:rPr>
                <w:rFonts w:ascii="Arial" w:hAnsi="Arial" w:cs="Arial"/>
                <w:color w:val="000000" w:themeColor="text1"/>
              </w:rPr>
              <w:t>4</w:t>
            </w:r>
            <w:r w:rsidR="00C1339D" w:rsidRPr="009C7FA1">
              <w:rPr>
                <w:rFonts w:ascii="Arial" w:hAnsi="Arial" w:cs="Arial"/>
                <w:color w:val="000000" w:themeColor="text1"/>
              </w:rPr>
              <w:t>). Statistical significance was analyzed for the treated groups compared to the untreated control group by one-way ANOVA with Dunnett’s</w:t>
            </w:r>
            <w:r w:rsidR="00C1339D">
              <w:rPr>
                <w:rFonts w:ascii="Arial" w:hAnsi="Arial" w:cs="Arial"/>
                <w:color w:val="000000" w:themeColor="text1"/>
              </w:rPr>
              <w:t xml:space="preserve"> </w:t>
            </w:r>
            <w:r w:rsidR="00C1339D" w:rsidRPr="009C7FA1">
              <w:rPr>
                <w:rFonts w:ascii="Arial" w:hAnsi="Arial" w:cs="Arial"/>
                <w:color w:val="000000" w:themeColor="text1"/>
              </w:rPr>
              <w:t>multiple comparisons test. Statistical significance is indicated by *p</w:t>
            </w:r>
            <w:r w:rsidR="00C1339D">
              <w:rPr>
                <w:rFonts w:ascii="Arial" w:hAnsi="Arial" w:cs="Arial"/>
                <w:color w:val="000000" w:themeColor="text1"/>
              </w:rPr>
              <w:t> </w:t>
            </w:r>
            <w:r w:rsidR="00C1339D" w:rsidRPr="009C7FA1">
              <w:rPr>
                <w:rFonts w:ascii="Arial" w:hAnsi="Arial" w:cs="Arial"/>
                <w:color w:val="000000" w:themeColor="text1"/>
              </w:rPr>
              <w:t>&lt;</w:t>
            </w:r>
            <w:r w:rsidR="00C1339D">
              <w:rPr>
                <w:rFonts w:ascii="Arial" w:hAnsi="Arial" w:cs="Arial"/>
                <w:color w:val="000000" w:themeColor="text1"/>
              </w:rPr>
              <w:t> </w:t>
            </w:r>
            <w:r w:rsidR="00C1339D" w:rsidRPr="009C7FA1">
              <w:rPr>
                <w:rFonts w:ascii="Arial" w:hAnsi="Arial" w:cs="Arial"/>
                <w:color w:val="000000" w:themeColor="text1"/>
              </w:rPr>
              <w:t>0.05</w:t>
            </w:r>
            <w:r w:rsidR="00C1339D">
              <w:rPr>
                <w:rFonts w:ascii="Arial" w:hAnsi="Arial" w:cs="Arial"/>
                <w:color w:val="000000" w:themeColor="text1"/>
              </w:rPr>
              <w:t>, **p &lt; 0.01</w:t>
            </w:r>
            <w:r w:rsidR="00E90F8E">
              <w:rPr>
                <w:rFonts w:ascii="Arial" w:hAnsi="Arial" w:cs="Arial"/>
                <w:color w:val="000000" w:themeColor="text1"/>
              </w:rPr>
              <w:t>.</w:t>
            </w:r>
            <w:bookmarkEnd w:id="148"/>
          </w:p>
        </w:tc>
      </w:tr>
    </w:tbl>
    <w:p w14:paraId="50A1EB9D" w14:textId="0DF90D23" w:rsidR="009D1800" w:rsidRDefault="009D1800" w:rsidP="009D1800"/>
    <w:p w14:paraId="358B3C4C" w14:textId="3D7110C4" w:rsidR="00F8389E" w:rsidRDefault="000C5840" w:rsidP="000C5840">
      <w:pPr>
        <w:spacing w:line="360" w:lineRule="auto"/>
        <w:ind w:firstLine="1440"/>
        <w:jc w:val="both"/>
        <w:rPr>
          <w:rFonts w:ascii="Arial" w:hAnsi="Arial" w:cs="Arial"/>
        </w:rPr>
      </w:pPr>
      <w:r w:rsidRPr="00F61C2C">
        <w:rPr>
          <w:rFonts w:ascii="Arial" w:hAnsi="Arial" w:cs="Arial"/>
          <w:b/>
          <w:bCs/>
        </w:rPr>
        <w:t>Figure 47</w:t>
      </w:r>
      <w:r w:rsidR="00030024">
        <w:rPr>
          <w:rFonts w:ascii="Arial" w:hAnsi="Arial" w:cs="Arial"/>
          <w:b/>
          <w:bCs/>
        </w:rPr>
        <w:t>A</w:t>
      </w:r>
      <w:r>
        <w:rPr>
          <w:rFonts w:ascii="Arial" w:hAnsi="Arial" w:cs="Arial"/>
        </w:rPr>
        <w:t xml:space="preserve"> shows an increase in the percentage of cytotoxic T cells in many treatment groups, whereas </w:t>
      </w:r>
      <w:r w:rsidR="007540BE" w:rsidRPr="007540BE">
        <w:rPr>
          <w:rFonts w:ascii="Arial" w:hAnsi="Arial" w:cs="Arial"/>
          <w:b/>
          <w:bCs/>
        </w:rPr>
        <w:t>Figure 47B</w:t>
      </w:r>
      <w:r w:rsidR="007540BE">
        <w:rPr>
          <w:rFonts w:ascii="Arial" w:hAnsi="Arial" w:cs="Arial"/>
        </w:rPr>
        <w:t xml:space="preserve"> shows </w:t>
      </w:r>
      <w:r w:rsidR="001915C2">
        <w:rPr>
          <w:rFonts w:ascii="Arial" w:hAnsi="Arial" w:cs="Arial"/>
        </w:rPr>
        <w:t xml:space="preserve">the percentage of </w:t>
      </w:r>
      <w:r>
        <w:rPr>
          <w:rFonts w:ascii="Arial" w:hAnsi="Arial" w:cs="Arial"/>
        </w:rPr>
        <w:t xml:space="preserve">helper T cells was </w:t>
      </w:r>
      <w:r w:rsidR="001915C2">
        <w:rPr>
          <w:rFonts w:ascii="Arial" w:hAnsi="Arial" w:cs="Arial"/>
        </w:rPr>
        <w:t xml:space="preserve">increase </w:t>
      </w:r>
      <w:r>
        <w:rPr>
          <w:rFonts w:ascii="Arial" w:hAnsi="Arial" w:cs="Arial"/>
        </w:rPr>
        <w:t xml:space="preserve">only in the anti-PD-1 + PTT and anti-PD-1 + IMQ + PTT groups. </w:t>
      </w:r>
      <w:r w:rsidR="001915C2">
        <w:rPr>
          <w:rFonts w:ascii="Arial" w:hAnsi="Arial" w:cs="Arial"/>
        </w:rPr>
        <w:t xml:space="preserve">More importantly, the total cell count for </w:t>
      </w:r>
      <w:r w:rsidR="00F8389E">
        <w:rPr>
          <w:rFonts w:ascii="Arial" w:hAnsi="Arial" w:cs="Arial"/>
        </w:rPr>
        <w:t xml:space="preserve">those types of cells </w:t>
      </w:r>
      <w:proofErr w:type="gramStart"/>
      <w:r w:rsidR="00F8389E">
        <w:rPr>
          <w:rFonts w:ascii="Arial" w:hAnsi="Arial" w:cs="Arial"/>
        </w:rPr>
        <w:t>are</w:t>
      </w:r>
      <w:proofErr w:type="gramEnd"/>
      <w:r w:rsidR="00F8389E">
        <w:rPr>
          <w:rFonts w:ascii="Arial" w:hAnsi="Arial" w:cs="Arial"/>
        </w:rPr>
        <w:t xml:space="preserve"> shown in </w:t>
      </w:r>
      <w:r w:rsidR="00F8389E" w:rsidRPr="00F8389E">
        <w:rPr>
          <w:rFonts w:ascii="Arial" w:hAnsi="Arial" w:cs="Arial"/>
          <w:b/>
          <w:bCs/>
        </w:rPr>
        <w:t xml:space="preserve">Figure 47 </w:t>
      </w:r>
      <w:r w:rsidR="000A070D" w:rsidRPr="00F8389E">
        <w:rPr>
          <w:rFonts w:ascii="Arial" w:hAnsi="Arial" w:cs="Arial"/>
          <w:b/>
          <w:bCs/>
        </w:rPr>
        <w:t>C</w:t>
      </w:r>
      <w:r w:rsidR="000A070D">
        <w:rPr>
          <w:rFonts w:ascii="Arial" w:hAnsi="Arial" w:cs="Arial"/>
          <w:b/>
          <w:bCs/>
        </w:rPr>
        <w:t xml:space="preserve"> and </w:t>
      </w:r>
      <w:r w:rsidR="000A070D" w:rsidRPr="00F8389E">
        <w:rPr>
          <w:rFonts w:ascii="Arial" w:hAnsi="Arial" w:cs="Arial"/>
          <w:b/>
          <w:bCs/>
        </w:rPr>
        <w:t>D</w:t>
      </w:r>
      <w:r w:rsidR="00F8389E">
        <w:rPr>
          <w:rFonts w:ascii="Arial" w:hAnsi="Arial" w:cs="Arial"/>
        </w:rPr>
        <w:t>, where the number of cytotoxic T cells was significantly increased in anti-PD-1 + PTT and anti-PD-1 + IMQ + PTT groups, and the number of helper T cells was significantly increase only for anti-PD-1 + IMQ + PTT group. The difference from the results from percentage of total cells and cell count is due to the enlargement of spleens seen for the groups anti-PD-1 + PTT and anti-PD-1 + IMQ + PTT groups</w:t>
      </w:r>
      <w:r w:rsidR="00431F3D">
        <w:rPr>
          <w:rFonts w:ascii="Arial" w:hAnsi="Arial" w:cs="Arial"/>
        </w:rPr>
        <w:t>.</w:t>
      </w:r>
    </w:p>
    <w:p w14:paraId="5B7EBDFB" w14:textId="77777777" w:rsidR="005D1E0F" w:rsidRDefault="005D1E0F" w:rsidP="005D1E0F">
      <w:pPr>
        <w:spacing w:line="360" w:lineRule="auto"/>
        <w:ind w:firstLine="1440"/>
        <w:jc w:val="both"/>
        <w:rPr>
          <w:rFonts w:ascii="Arial" w:hAnsi="Arial" w:cs="Arial"/>
        </w:rPr>
      </w:pPr>
      <w:r>
        <w:rPr>
          <w:rFonts w:ascii="Arial" w:hAnsi="Arial" w:cs="Arial"/>
        </w:rPr>
        <w:t xml:space="preserve">Cytotoxic T cells kill target cells and would be essential in eliminating remaining cancerous cells in the primary tumor and metastatic tissue. Helper T cells are required for most adaptive immune responses. The increased splenic cell count of those cell types in the treated groups strengthens the hypothesis of an anti-tumoral immune response. </w:t>
      </w:r>
    </w:p>
    <w:p w14:paraId="05D8E61F" w14:textId="68036E42" w:rsidR="000C5840" w:rsidRDefault="000C5840" w:rsidP="000C5840">
      <w:pPr>
        <w:spacing w:line="360" w:lineRule="auto"/>
        <w:ind w:firstLine="1440"/>
        <w:jc w:val="both"/>
        <w:rPr>
          <w:rFonts w:ascii="Arial" w:hAnsi="Arial" w:cs="Arial"/>
        </w:rPr>
      </w:pPr>
      <w:r>
        <w:rPr>
          <w:rFonts w:ascii="Arial" w:hAnsi="Arial" w:cs="Arial"/>
        </w:rPr>
        <w:t xml:space="preserve">In conclusion, the complete treatment of </w:t>
      </w:r>
      <w:proofErr w:type="spellStart"/>
      <w:r>
        <w:rPr>
          <w:rFonts w:ascii="Arial" w:hAnsi="Arial" w:cs="Arial"/>
        </w:rPr>
        <w:t>intratumoral</w:t>
      </w:r>
      <w:proofErr w:type="spellEnd"/>
      <w:r>
        <w:rPr>
          <w:rFonts w:ascii="Arial" w:hAnsi="Arial" w:cs="Arial"/>
        </w:rPr>
        <w:t xml:space="preserve"> injection of </w:t>
      </w:r>
      <w:r w:rsidR="00407943">
        <w:rPr>
          <w:rFonts w:ascii="Arial" w:hAnsi="Arial" w:cs="Arial"/>
        </w:rPr>
        <w:t>imiquimod</w:t>
      </w:r>
      <w:r>
        <w:rPr>
          <w:rFonts w:ascii="Arial" w:hAnsi="Arial" w:cs="Arial"/>
        </w:rPr>
        <w:t xml:space="preserve">-loaded hydrogel, checkpoint inhibition </w:t>
      </w:r>
      <w:r w:rsidR="00407943">
        <w:rPr>
          <w:rFonts w:ascii="Arial" w:hAnsi="Arial" w:cs="Arial"/>
        </w:rPr>
        <w:t>with</w:t>
      </w:r>
      <w:r>
        <w:rPr>
          <w:rFonts w:ascii="Arial" w:hAnsi="Arial" w:cs="Arial"/>
        </w:rPr>
        <w:t xml:space="preserve"> anti-PD-1, and targeted photothermal therapy increased tumor control, survival, proinflammatory cytokines in serum, and percentage of cytotoxic T cells and helper T cells</w:t>
      </w:r>
      <w:r w:rsidR="003B36E2">
        <w:rPr>
          <w:rFonts w:ascii="Arial" w:hAnsi="Arial" w:cs="Arial"/>
        </w:rPr>
        <w:t xml:space="preserve"> and cytotoxic T cell count and helper T cell count</w:t>
      </w:r>
      <w:r>
        <w:rPr>
          <w:rFonts w:ascii="Arial" w:hAnsi="Arial" w:cs="Arial"/>
        </w:rPr>
        <w:t xml:space="preserve"> in the spleen</w:t>
      </w:r>
      <w:r w:rsidR="001C688A">
        <w:rPr>
          <w:rFonts w:ascii="Arial" w:hAnsi="Arial" w:cs="Arial"/>
        </w:rPr>
        <w:t xml:space="preserve"> in </w:t>
      </w:r>
      <w:r w:rsidR="00B97B51">
        <w:rPr>
          <w:rFonts w:ascii="Arial" w:hAnsi="Arial" w:cs="Arial"/>
        </w:rPr>
        <w:t xml:space="preserve">the </w:t>
      </w:r>
      <w:r w:rsidR="001C688A">
        <w:rPr>
          <w:rFonts w:ascii="Arial" w:hAnsi="Arial" w:cs="Arial"/>
        </w:rPr>
        <w:t>4T1 tumor model</w:t>
      </w:r>
      <w:r>
        <w:rPr>
          <w:rFonts w:ascii="Arial" w:hAnsi="Arial" w:cs="Arial"/>
        </w:rPr>
        <w:t>. Th</w:t>
      </w:r>
      <w:r w:rsidR="00F61C2C">
        <w:rPr>
          <w:rFonts w:ascii="Arial" w:hAnsi="Arial" w:cs="Arial"/>
        </w:rPr>
        <w:t>is</w:t>
      </w:r>
      <w:r>
        <w:rPr>
          <w:rFonts w:ascii="Arial" w:hAnsi="Arial" w:cs="Arial"/>
        </w:rPr>
        <w:t xml:space="preserve"> evidence </w:t>
      </w:r>
      <w:r w:rsidRPr="00D61D47">
        <w:rPr>
          <w:rFonts w:ascii="Calibri" w:hAnsi="Calibri" w:cs="Calibri"/>
        </w:rPr>
        <w:t>﻿</w:t>
      </w:r>
      <w:r>
        <w:rPr>
          <w:rFonts w:ascii="Arial" w:hAnsi="Arial" w:cs="Arial"/>
        </w:rPr>
        <w:t>support</w:t>
      </w:r>
      <w:r w:rsidR="00F61C2C">
        <w:rPr>
          <w:rFonts w:ascii="Arial" w:hAnsi="Arial" w:cs="Arial"/>
        </w:rPr>
        <w:t>s</w:t>
      </w:r>
      <w:r w:rsidRPr="00D61D47">
        <w:rPr>
          <w:rFonts w:ascii="Arial" w:hAnsi="Arial" w:cs="Arial"/>
        </w:rPr>
        <w:t xml:space="preserve"> the effectiveness of combining targeted photothermal therapy</w:t>
      </w:r>
      <w:r>
        <w:rPr>
          <w:rFonts w:ascii="Arial" w:hAnsi="Arial" w:cs="Arial"/>
        </w:rPr>
        <w:t>,</w:t>
      </w:r>
      <w:r w:rsidRPr="00D61D47">
        <w:rPr>
          <w:rFonts w:ascii="Arial" w:hAnsi="Arial" w:cs="Arial"/>
        </w:rPr>
        <w:t xml:space="preserve"> immune checkpoint inhibition</w:t>
      </w:r>
      <w:r>
        <w:rPr>
          <w:rFonts w:ascii="Arial" w:hAnsi="Arial" w:cs="Arial"/>
        </w:rPr>
        <w:t>, and immunoadjuvant</w:t>
      </w:r>
      <w:r w:rsidRPr="00D61D47">
        <w:rPr>
          <w:rFonts w:ascii="Arial" w:hAnsi="Arial" w:cs="Arial"/>
        </w:rPr>
        <w:t xml:space="preserve"> for </w:t>
      </w:r>
      <w:r>
        <w:rPr>
          <w:rFonts w:ascii="Arial" w:hAnsi="Arial" w:cs="Arial"/>
        </w:rPr>
        <w:t xml:space="preserve">treating non-immunogenic </w:t>
      </w:r>
      <w:r w:rsidRPr="00D61D47">
        <w:rPr>
          <w:rFonts w:ascii="Arial" w:hAnsi="Arial" w:cs="Arial"/>
        </w:rPr>
        <w:t>metastatic breast cancer.</w:t>
      </w:r>
    </w:p>
    <w:p w14:paraId="66A9D109" w14:textId="77777777" w:rsidR="00FD70B0" w:rsidRDefault="00FD70B0" w:rsidP="000C5840">
      <w:pPr>
        <w:spacing w:line="360" w:lineRule="auto"/>
        <w:ind w:firstLine="1440"/>
        <w:jc w:val="both"/>
        <w:rPr>
          <w:rFonts w:ascii="Arial" w:hAnsi="Arial" w:cs="Arial"/>
        </w:rPr>
      </w:pPr>
    </w:p>
    <w:p w14:paraId="4F1B80CC" w14:textId="5DA59589" w:rsidR="006F5996" w:rsidRDefault="00E44F01" w:rsidP="00E44F01">
      <w:pPr>
        <w:spacing w:line="360" w:lineRule="auto"/>
        <w:jc w:val="center"/>
        <w:rPr>
          <w:rFonts w:ascii="Arial" w:hAnsi="Arial" w:cs="Arial"/>
        </w:rPr>
      </w:pPr>
      <w:r>
        <w:rPr>
          <w:rFonts w:ascii="Arial" w:hAnsi="Arial" w:cs="Arial"/>
        </w:rPr>
        <w:t>***</w:t>
      </w:r>
    </w:p>
    <w:p w14:paraId="43D1830D" w14:textId="1BC5382A" w:rsidR="00FD70B0" w:rsidRDefault="00FD70B0" w:rsidP="00E44F01">
      <w:pPr>
        <w:spacing w:line="360" w:lineRule="auto"/>
        <w:jc w:val="both"/>
        <w:rPr>
          <w:rFonts w:ascii="Arial" w:hAnsi="Arial" w:cs="Arial"/>
        </w:rPr>
      </w:pPr>
    </w:p>
    <w:p w14:paraId="3E59375B" w14:textId="77777777" w:rsidR="00C008B6" w:rsidRDefault="00C008B6" w:rsidP="00E44F01">
      <w:pPr>
        <w:spacing w:line="360" w:lineRule="auto"/>
        <w:jc w:val="both"/>
        <w:rPr>
          <w:rFonts w:ascii="Arial" w:hAnsi="Arial" w:cs="Arial"/>
        </w:rPr>
      </w:pPr>
    </w:p>
    <w:p w14:paraId="56A549A0" w14:textId="77777777" w:rsidR="00B87CEC" w:rsidRDefault="00C008B6" w:rsidP="00B87CEC">
      <w:pPr>
        <w:spacing w:line="360" w:lineRule="auto"/>
        <w:ind w:firstLine="1440"/>
        <w:jc w:val="both"/>
        <w:rPr>
          <w:rFonts w:ascii="Arial" w:hAnsi="Arial" w:cs="Arial"/>
        </w:rPr>
      </w:pPr>
      <w:r>
        <w:rPr>
          <w:rFonts w:ascii="Arial" w:hAnsi="Arial" w:cs="Arial"/>
        </w:rPr>
        <w:lastRenderedPageBreak/>
        <w:t xml:space="preserve">Due to the encouraging pre-clinical results gathered in this work, efforts to translate this treatment strategy to a clinical setting are possible. </w:t>
      </w:r>
      <w:r w:rsidR="00B87CEC">
        <w:rPr>
          <w:rFonts w:ascii="Arial" w:hAnsi="Arial" w:cs="Arial"/>
        </w:rPr>
        <w:t>This translation</w:t>
      </w:r>
      <w:r>
        <w:rPr>
          <w:rFonts w:ascii="Arial" w:hAnsi="Arial" w:cs="Arial"/>
        </w:rPr>
        <w:t xml:space="preserve"> would involve using a needle-like laser probe to guide the laser into the tumor location, along with an imaging technique to locate the tumor.</w:t>
      </w:r>
    </w:p>
    <w:p w14:paraId="670EC94C" w14:textId="77777777" w:rsidR="00AE7B84" w:rsidRDefault="00972773" w:rsidP="00972773">
      <w:pPr>
        <w:spacing w:line="360" w:lineRule="auto"/>
        <w:ind w:firstLine="1440"/>
        <w:jc w:val="both"/>
      </w:pPr>
      <w:proofErr w:type="gramStart"/>
      <w:r>
        <w:rPr>
          <w:rFonts w:ascii="Arial" w:hAnsi="Arial" w:cs="Arial"/>
        </w:rPr>
        <w:t>Similar to</w:t>
      </w:r>
      <w:proofErr w:type="gramEnd"/>
      <w:r>
        <w:rPr>
          <w:rFonts w:ascii="Arial" w:hAnsi="Arial" w:cs="Arial"/>
        </w:rPr>
        <w:t xml:space="preserve"> the other laser probes in the market approved for PTT, the use of cooling systems to avoid probe overheating might be necessary for the device design, even though the power output used in this therapy is significantly reduced due to the very efficient transformation of the NIR light into heat from the (6,5) SWCNT. The laser probe should also be coupled with temperature measurement devices to assess the thermal kinetics of the tumoral tissue. All those systems should be controlled by automated control systems that would ensure the maintenance of a suitable heating profile and temperature for efficient ablation of the primary tumor. </w:t>
      </w:r>
      <w:r w:rsidR="00934DDD">
        <w:rPr>
          <w:rFonts w:ascii="Arial" w:hAnsi="Arial" w:cs="Arial"/>
        </w:rPr>
        <w:t xml:space="preserve">The </w:t>
      </w:r>
      <w:proofErr w:type="spellStart"/>
      <w:r w:rsidR="00934DDD">
        <w:rPr>
          <w:rFonts w:ascii="Arial" w:hAnsi="Arial" w:cs="Arial"/>
        </w:rPr>
        <w:t>intratumoral</w:t>
      </w:r>
      <w:proofErr w:type="spellEnd"/>
      <w:r w:rsidR="00934DDD">
        <w:rPr>
          <w:rFonts w:ascii="Arial" w:hAnsi="Arial" w:cs="Arial"/>
        </w:rPr>
        <w:t xml:space="preserve"> injection of the SWCNT-ANXA5 conjugate can be performed immediately before the laser irradiation using the same imaging technique.</w:t>
      </w:r>
      <w:r w:rsidR="00151780">
        <w:rPr>
          <w:rFonts w:ascii="Arial" w:hAnsi="Arial" w:cs="Arial"/>
        </w:rPr>
        <w:t xml:space="preserve"> Multifocal cancers would require the ablation of each tumor since the effectiveness of the combination therapy is correlated with the efficient ablation of the primary tumor.</w:t>
      </w:r>
      <w:r w:rsidR="00151780" w:rsidRPr="00F533F7">
        <w:rPr>
          <w:rFonts w:ascii="Arial" w:hAnsi="Arial" w:cs="Arial"/>
        </w:rPr>
        <w:t xml:space="preserve"> </w:t>
      </w:r>
      <w:r w:rsidR="00151780">
        <w:rPr>
          <w:rFonts w:ascii="Arial" w:hAnsi="Arial" w:cs="Arial"/>
        </w:rPr>
        <w:t>Another possibility to achieve therapeutic effects is the ablation of lymph nodes when they are involved in the spread of primary tumors.</w:t>
      </w:r>
      <w:r w:rsidR="00870774" w:rsidRPr="00870774">
        <w:t xml:space="preserve"> </w:t>
      </w:r>
    </w:p>
    <w:p w14:paraId="231C6D87" w14:textId="224019F3" w:rsidR="00472AF3" w:rsidRPr="00A738AB" w:rsidRDefault="00055E86" w:rsidP="00972773">
      <w:pPr>
        <w:spacing w:line="360" w:lineRule="auto"/>
        <w:ind w:firstLine="1440"/>
        <w:jc w:val="both"/>
        <w:rPr>
          <w:rFonts w:ascii="Arial" w:hAnsi="Arial" w:cs="Arial"/>
        </w:rPr>
      </w:pPr>
      <w:r w:rsidRPr="00055E86">
        <w:rPr>
          <w:rFonts w:ascii="Arial" w:hAnsi="Arial" w:cs="Arial"/>
        </w:rPr>
        <w:t xml:space="preserve">It is worthwhile mentioning that primary mammary tumors in humans can surpass sizes of 5 cm in diameter.  Due to the limitations regarding NIR light penetration in tissue, the efficient ablation of large primary tumors might require irradiation sessions in different tumor locations. Another </w:t>
      </w:r>
      <w:r w:rsidR="00A606FC">
        <w:rPr>
          <w:rFonts w:ascii="Arial" w:hAnsi="Arial" w:cs="Arial"/>
        </w:rPr>
        <w:t>feasible</w:t>
      </w:r>
      <w:r w:rsidR="0036035C">
        <w:rPr>
          <w:rFonts w:ascii="Arial" w:hAnsi="Arial" w:cs="Arial"/>
        </w:rPr>
        <w:t xml:space="preserve"> approach</w:t>
      </w:r>
      <w:r w:rsidR="00A606FC">
        <w:rPr>
          <w:rFonts w:ascii="Arial" w:hAnsi="Arial" w:cs="Arial"/>
        </w:rPr>
        <w:t xml:space="preserve"> </w:t>
      </w:r>
      <w:r w:rsidRPr="00055E86">
        <w:rPr>
          <w:rFonts w:ascii="Arial" w:hAnsi="Arial" w:cs="Arial"/>
        </w:rPr>
        <w:t xml:space="preserve"> is placing the laser tip in the center of the tumor and relying on heat transfer to the boundaries, while monitoring the temperature at the boundaries. Heat transfer from the irradiation site to the edges would allow the ablation of the whole tumor volume. A milder temperature at the boundaries would determine when the stop the irradiation (for example, the border is at 45</w:t>
      </w:r>
      <w:r w:rsidR="00A606FC">
        <w:rPr>
          <w:rFonts w:ascii="Arial" w:hAnsi="Arial" w:cs="Arial"/>
        </w:rPr>
        <w:sym w:font="Symbol" w:char="F0B0"/>
      </w:r>
      <w:r w:rsidRPr="00055E86">
        <w:rPr>
          <w:rFonts w:ascii="Arial" w:hAnsi="Arial" w:cs="Arial"/>
        </w:rPr>
        <w:t>C for 5 min). Larger tumors are known to be hypoxic; therefore, the lack of blood flow would decrease the heat loss to the circulation. This condition might enhance the conductive heat transfer from the center to the tumor's boundaries, resulting in efficient ablation.</w:t>
      </w:r>
    </w:p>
    <w:p w14:paraId="3516653D" w14:textId="29C5E688" w:rsidR="00F533F7" w:rsidRDefault="006F0ABE" w:rsidP="00F533F7">
      <w:pPr>
        <w:spacing w:line="360" w:lineRule="auto"/>
        <w:ind w:firstLine="1440"/>
        <w:jc w:val="both"/>
        <w:rPr>
          <w:rFonts w:ascii="Arial" w:hAnsi="Arial" w:cs="Arial"/>
        </w:rPr>
      </w:pPr>
      <w:r>
        <w:rPr>
          <w:rFonts w:ascii="Arial" w:hAnsi="Arial" w:cs="Arial"/>
        </w:rPr>
        <w:t>Additionally, the PTT would replace lumpectomy</w:t>
      </w:r>
      <w:r w:rsidR="00B05F7C">
        <w:rPr>
          <w:rFonts w:ascii="Arial" w:hAnsi="Arial" w:cs="Arial"/>
        </w:rPr>
        <w:t xml:space="preserve"> or </w:t>
      </w:r>
      <w:r>
        <w:rPr>
          <w:rFonts w:ascii="Arial" w:hAnsi="Arial" w:cs="Arial"/>
        </w:rPr>
        <w:t xml:space="preserve">mastectomy as primary courses of treatment for breast cancer because the </w:t>
      </w:r>
      <w:r w:rsidR="00A25224">
        <w:rPr>
          <w:rFonts w:ascii="Arial" w:hAnsi="Arial" w:cs="Arial"/>
        </w:rPr>
        <w:t xml:space="preserve">tumor </w:t>
      </w:r>
      <w:r>
        <w:rPr>
          <w:rFonts w:ascii="Arial" w:hAnsi="Arial" w:cs="Arial"/>
        </w:rPr>
        <w:t xml:space="preserve">surgical removal would hinder the generation of tumor antigens and danger signals required for the synergistic effect of </w:t>
      </w:r>
      <w:r>
        <w:rPr>
          <w:rFonts w:ascii="Arial" w:hAnsi="Arial" w:cs="Arial"/>
        </w:rPr>
        <w:lastRenderedPageBreak/>
        <w:t xml:space="preserve">PTT with the checkpoint inhibition. </w:t>
      </w:r>
      <w:r w:rsidR="00F533F7">
        <w:rPr>
          <w:rFonts w:ascii="Arial" w:hAnsi="Arial" w:cs="Arial"/>
        </w:rPr>
        <w:t>After the therapeutic effects of the combination therapy are established, mastectomy might be encouraged to avoid cancer recurrence.</w:t>
      </w:r>
    </w:p>
    <w:p w14:paraId="6C1D9653" w14:textId="4E422B32" w:rsidR="00E44F01" w:rsidRDefault="003A05C4" w:rsidP="00E44F01">
      <w:pPr>
        <w:spacing w:line="360" w:lineRule="auto"/>
        <w:jc w:val="both"/>
        <w:rPr>
          <w:rFonts w:ascii="Arial" w:hAnsi="Arial" w:cs="Arial"/>
        </w:rPr>
      </w:pPr>
      <w:r>
        <w:rPr>
          <w:rFonts w:ascii="Arial" w:hAnsi="Arial" w:cs="Arial"/>
        </w:rPr>
        <w:br w:type="page"/>
      </w:r>
    </w:p>
    <w:p w14:paraId="18BB3400" w14:textId="29F2AD83" w:rsidR="00D50330" w:rsidRPr="00894911" w:rsidRDefault="00476142" w:rsidP="00366232">
      <w:pPr>
        <w:pStyle w:val="Heading2"/>
        <w:ind w:firstLine="0"/>
        <w:rPr>
          <w:rFonts w:ascii="Arial" w:hAnsi="Arial" w:cs="Arial"/>
          <w:b/>
          <w:bCs/>
          <w:color w:val="000000" w:themeColor="text1"/>
          <w:sz w:val="28"/>
          <w:szCs w:val="28"/>
        </w:rPr>
      </w:pPr>
      <w:bookmarkStart w:id="149" w:name="_Toc121217286"/>
      <w:r w:rsidRPr="00D74025">
        <w:rPr>
          <w:rFonts w:ascii="Arial" w:hAnsi="Arial" w:cs="Arial"/>
          <w:b/>
          <w:bCs/>
          <w:color w:val="000000" w:themeColor="text1"/>
          <w:sz w:val="28"/>
          <w:szCs w:val="28"/>
        </w:rPr>
        <w:lastRenderedPageBreak/>
        <w:t>3.</w:t>
      </w:r>
      <w:r w:rsidR="00E113AE" w:rsidRPr="00D74025">
        <w:rPr>
          <w:rFonts w:ascii="Arial" w:hAnsi="Arial" w:cs="Arial"/>
          <w:b/>
          <w:bCs/>
          <w:color w:val="000000" w:themeColor="text1"/>
          <w:sz w:val="28"/>
          <w:szCs w:val="28"/>
        </w:rPr>
        <w:t>3</w:t>
      </w:r>
      <w:r w:rsidRPr="00D74025">
        <w:rPr>
          <w:rFonts w:ascii="Arial" w:hAnsi="Arial" w:cs="Arial"/>
          <w:b/>
          <w:bCs/>
          <w:color w:val="000000" w:themeColor="text1"/>
          <w:sz w:val="28"/>
          <w:szCs w:val="28"/>
        </w:rPr>
        <w:t xml:space="preserve"> Preliminary </w:t>
      </w:r>
      <w:r w:rsidRPr="00D74025">
        <w:rPr>
          <w:rFonts w:ascii="Arial" w:hAnsi="Arial" w:cs="Arial"/>
          <w:b/>
          <w:bCs/>
          <w:i/>
          <w:iCs/>
          <w:color w:val="000000" w:themeColor="text1"/>
          <w:sz w:val="28"/>
          <w:szCs w:val="28"/>
        </w:rPr>
        <w:t>in</w:t>
      </w:r>
      <w:r w:rsidR="00E113AE" w:rsidRPr="00D74025">
        <w:rPr>
          <w:rFonts w:ascii="Arial" w:hAnsi="Arial" w:cs="Arial"/>
          <w:b/>
          <w:bCs/>
          <w:i/>
          <w:iCs/>
          <w:color w:val="000000" w:themeColor="text1"/>
          <w:sz w:val="28"/>
          <w:szCs w:val="28"/>
        </w:rPr>
        <w:t xml:space="preserve"> vitro </w:t>
      </w:r>
      <w:r w:rsidR="00E113AE" w:rsidRPr="00D74025">
        <w:rPr>
          <w:rFonts w:ascii="Arial" w:hAnsi="Arial" w:cs="Arial"/>
          <w:b/>
          <w:bCs/>
          <w:color w:val="000000" w:themeColor="text1"/>
          <w:sz w:val="28"/>
          <w:szCs w:val="28"/>
        </w:rPr>
        <w:t>and</w:t>
      </w:r>
      <w:r w:rsidRPr="00D74025">
        <w:rPr>
          <w:rFonts w:ascii="Arial" w:hAnsi="Arial" w:cs="Arial"/>
          <w:b/>
          <w:bCs/>
          <w:i/>
          <w:iCs/>
          <w:color w:val="000000" w:themeColor="text1"/>
          <w:sz w:val="28"/>
          <w:szCs w:val="28"/>
        </w:rPr>
        <w:t xml:space="preserve"> </w:t>
      </w:r>
      <w:r w:rsidR="00E113AE" w:rsidRPr="00D74025">
        <w:rPr>
          <w:rFonts w:ascii="Arial" w:hAnsi="Arial" w:cs="Arial"/>
          <w:b/>
          <w:bCs/>
          <w:i/>
          <w:iCs/>
          <w:color w:val="000000" w:themeColor="text1"/>
          <w:sz w:val="28"/>
          <w:szCs w:val="28"/>
        </w:rPr>
        <w:t xml:space="preserve">in </w:t>
      </w:r>
      <w:r w:rsidRPr="00D74025">
        <w:rPr>
          <w:rFonts w:ascii="Arial" w:hAnsi="Arial" w:cs="Arial"/>
          <w:b/>
          <w:bCs/>
          <w:i/>
          <w:iCs/>
          <w:color w:val="000000" w:themeColor="text1"/>
          <w:sz w:val="28"/>
          <w:szCs w:val="28"/>
        </w:rPr>
        <w:t>vivo</w:t>
      </w:r>
      <w:r w:rsidRPr="00D74025">
        <w:rPr>
          <w:rFonts w:ascii="Arial" w:hAnsi="Arial" w:cs="Arial"/>
          <w:b/>
          <w:bCs/>
          <w:color w:val="000000" w:themeColor="text1"/>
          <w:sz w:val="28"/>
          <w:szCs w:val="28"/>
        </w:rPr>
        <w:t xml:space="preserve"> studies with SWCNT-ANXA5 mediated radiofrequency ablation</w:t>
      </w:r>
      <w:bookmarkEnd w:id="149"/>
    </w:p>
    <w:p w14:paraId="18437DE6" w14:textId="21374D4B" w:rsidR="00A20770" w:rsidRPr="003D4C83" w:rsidRDefault="00A20770" w:rsidP="00A20770">
      <w:pPr>
        <w:pStyle w:val="Heading3"/>
        <w:rPr>
          <w:rFonts w:ascii="Arial" w:hAnsi="Arial" w:cs="Arial"/>
          <w:b/>
          <w:bCs/>
          <w:color w:val="000000" w:themeColor="text1"/>
        </w:rPr>
      </w:pPr>
      <w:bookmarkStart w:id="150" w:name="_Toc121217287"/>
      <w:r w:rsidRPr="003D4C83">
        <w:rPr>
          <w:rFonts w:ascii="Arial" w:hAnsi="Arial" w:cs="Arial"/>
          <w:b/>
          <w:bCs/>
          <w:color w:val="000000" w:themeColor="text1"/>
        </w:rPr>
        <w:t>3.3.1 Preliminary studies with SWCNT-ANXA5 mediated radiofrequency ablation</w:t>
      </w:r>
      <w:bookmarkEnd w:id="150"/>
    </w:p>
    <w:p w14:paraId="5F7886D7" w14:textId="7041A3D6" w:rsidR="00E113AE" w:rsidRPr="00D74025" w:rsidRDefault="00E113AE" w:rsidP="00E113AE">
      <w:pPr>
        <w:rPr>
          <w:color w:val="000000" w:themeColor="text1"/>
        </w:rPr>
      </w:pPr>
    </w:p>
    <w:p w14:paraId="50CCD540" w14:textId="77777777" w:rsidR="00E113AE" w:rsidRPr="00D74025" w:rsidRDefault="00E113AE" w:rsidP="00E113AE">
      <w:pPr>
        <w:rPr>
          <w:color w:val="000000" w:themeColor="text1"/>
        </w:rPr>
      </w:pPr>
    </w:p>
    <w:p w14:paraId="27CC1B71" w14:textId="68B6328B" w:rsidR="00D50330" w:rsidRPr="0089320A" w:rsidRDefault="00D50330" w:rsidP="00894911">
      <w:pPr>
        <w:spacing w:line="360" w:lineRule="auto"/>
        <w:ind w:firstLine="1350"/>
        <w:jc w:val="both"/>
        <w:rPr>
          <w:rFonts w:ascii="Arial" w:hAnsi="Arial" w:cs="Arial"/>
          <w:color w:val="000000" w:themeColor="text1"/>
        </w:rPr>
      </w:pPr>
      <w:r w:rsidRPr="0089320A">
        <w:rPr>
          <w:rFonts w:ascii="Arial" w:hAnsi="Arial" w:cs="Arial"/>
          <w:color w:val="000000" w:themeColor="text1"/>
        </w:rPr>
        <w:t>A series of experiments were performed to study the SWCNT responsivity in the RF field. Most of them were done using SWCNT suspension in surfactant, but others were performed on the SWCNT-ANXA5 conjugate.</w:t>
      </w:r>
    </w:p>
    <w:p w14:paraId="22766B85" w14:textId="382B4A2D" w:rsidR="002A4DCF" w:rsidRDefault="002A4DCF" w:rsidP="002A4DCF">
      <w:pPr>
        <w:spacing w:line="360" w:lineRule="auto"/>
        <w:ind w:firstLine="1350"/>
        <w:jc w:val="both"/>
        <w:rPr>
          <w:rFonts w:ascii="Arial" w:hAnsi="Arial" w:cs="Arial"/>
          <w:color w:val="000000" w:themeColor="text1"/>
        </w:rPr>
      </w:pPr>
      <w:r>
        <w:rPr>
          <w:rFonts w:ascii="Arial" w:hAnsi="Arial" w:cs="Arial"/>
          <w:color w:val="000000" w:themeColor="text1"/>
        </w:rPr>
        <w:t>First, d</w:t>
      </w:r>
      <w:r w:rsidRPr="0089320A">
        <w:rPr>
          <w:rFonts w:ascii="Arial" w:hAnsi="Arial" w:cs="Arial"/>
          <w:color w:val="000000" w:themeColor="text1"/>
        </w:rPr>
        <w:t xml:space="preserve">ifferent carbon nanotubes were suspended in sodium dodecyl </w:t>
      </w:r>
      <w:r>
        <w:rPr>
          <w:rFonts w:ascii="Arial" w:hAnsi="Arial" w:cs="Arial"/>
          <w:color w:val="000000" w:themeColor="text1"/>
        </w:rPr>
        <w:t>sulfate</w:t>
      </w:r>
      <w:r w:rsidRPr="0089320A">
        <w:rPr>
          <w:rFonts w:ascii="Arial" w:hAnsi="Arial" w:cs="Arial"/>
          <w:color w:val="000000" w:themeColor="text1"/>
        </w:rPr>
        <w:t xml:space="preserve"> (SDS) using sonication. (6,5) SWCNT used in the PTT was tested in comparison to few</w:t>
      </w:r>
      <w:r w:rsidR="00504F94">
        <w:rPr>
          <w:rFonts w:ascii="Arial" w:hAnsi="Arial" w:cs="Arial"/>
          <w:color w:val="000000" w:themeColor="text1"/>
        </w:rPr>
        <w:t>-</w:t>
      </w:r>
      <w:r w:rsidRPr="0089320A">
        <w:rPr>
          <w:rFonts w:ascii="Arial" w:hAnsi="Arial" w:cs="Arial"/>
          <w:color w:val="000000" w:themeColor="text1"/>
        </w:rPr>
        <w:t xml:space="preserve">walled CNT </w:t>
      </w:r>
      <w:r w:rsidR="00500E8D">
        <w:rPr>
          <w:rFonts w:ascii="Arial" w:hAnsi="Arial" w:cs="Arial"/>
          <w:color w:val="000000" w:themeColor="text1"/>
        </w:rPr>
        <w:t xml:space="preserve">(FWCNT) </w:t>
      </w:r>
      <w:r w:rsidRPr="0089320A">
        <w:rPr>
          <w:rFonts w:ascii="Arial" w:hAnsi="Arial" w:cs="Arial"/>
          <w:color w:val="000000" w:themeColor="text1"/>
        </w:rPr>
        <w:t xml:space="preserve">produced by Dr. Daniel </w:t>
      </w:r>
      <w:proofErr w:type="spellStart"/>
      <w:r w:rsidRPr="0089320A">
        <w:rPr>
          <w:rFonts w:ascii="Arial" w:hAnsi="Arial" w:cs="Arial"/>
          <w:color w:val="000000" w:themeColor="text1"/>
        </w:rPr>
        <w:t>Resasco’s</w:t>
      </w:r>
      <w:proofErr w:type="spellEnd"/>
      <w:r w:rsidRPr="0089320A">
        <w:rPr>
          <w:rFonts w:ascii="Arial" w:hAnsi="Arial" w:cs="Arial"/>
          <w:color w:val="000000" w:themeColor="text1"/>
        </w:rPr>
        <w:t xml:space="preserve"> research group. Suspensions were placed in </w:t>
      </w:r>
      <w:r>
        <w:rPr>
          <w:rFonts w:ascii="Arial" w:hAnsi="Arial" w:cs="Arial"/>
          <w:color w:val="000000" w:themeColor="text1"/>
        </w:rPr>
        <w:t xml:space="preserve">a </w:t>
      </w:r>
      <w:r w:rsidRPr="0089320A">
        <w:rPr>
          <w:rFonts w:ascii="Arial" w:hAnsi="Arial" w:cs="Arial"/>
          <w:color w:val="000000" w:themeColor="text1"/>
        </w:rPr>
        <w:t>square cuvette (1 cm x 1cm x 4 cm)</w:t>
      </w:r>
      <w:r>
        <w:rPr>
          <w:rFonts w:ascii="Arial" w:hAnsi="Arial" w:cs="Arial"/>
          <w:color w:val="000000" w:themeColor="text1"/>
        </w:rPr>
        <w:t>, irradiated</w:t>
      </w:r>
      <w:r w:rsidRPr="0089320A">
        <w:rPr>
          <w:rFonts w:ascii="Arial" w:hAnsi="Arial" w:cs="Arial"/>
          <w:color w:val="000000" w:themeColor="text1"/>
        </w:rPr>
        <w:t xml:space="preserve"> </w:t>
      </w:r>
      <w:r>
        <w:rPr>
          <w:rFonts w:ascii="Arial" w:hAnsi="Arial" w:cs="Arial"/>
          <w:color w:val="000000" w:themeColor="text1"/>
        </w:rPr>
        <w:t xml:space="preserve">at 13.56 MHz </w:t>
      </w:r>
      <w:r w:rsidR="00504F94">
        <w:rPr>
          <w:rFonts w:ascii="Arial" w:hAnsi="Arial" w:cs="Arial"/>
          <w:color w:val="000000" w:themeColor="text1"/>
        </w:rPr>
        <w:t>between</w:t>
      </w:r>
      <w:r>
        <w:rPr>
          <w:rFonts w:ascii="Arial" w:hAnsi="Arial" w:cs="Arial"/>
          <w:color w:val="000000" w:themeColor="text1"/>
        </w:rPr>
        <w:t xml:space="preserve"> parallel plates </w:t>
      </w:r>
      <w:r w:rsidR="004A6E98">
        <w:rPr>
          <w:rFonts w:ascii="Arial" w:hAnsi="Arial" w:cs="Arial"/>
          <w:color w:val="000000" w:themeColor="text1"/>
        </w:rPr>
        <w:t>in</w:t>
      </w:r>
      <w:r>
        <w:rPr>
          <w:rFonts w:ascii="Arial" w:hAnsi="Arial" w:cs="Arial"/>
          <w:color w:val="000000" w:themeColor="text1"/>
        </w:rPr>
        <w:t xml:space="preserve"> a </w:t>
      </w:r>
      <w:proofErr w:type="spellStart"/>
      <w:r>
        <w:rPr>
          <w:rFonts w:ascii="Arial" w:hAnsi="Arial" w:cs="Arial"/>
          <w:color w:val="000000" w:themeColor="text1"/>
        </w:rPr>
        <w:t>Comdel</w:t>
      </w:r>
      <w:proofErr w:type="spellEnd"/>
      <w:r>
        <w:rPr>
          <w:rFonts w:ascii="Arial" w:hAnsi="Arial" w:cs="Arial"/>
          <w:color w:val="000000" w:themeColor="text1"/>
        </w:rPr>
        <w:t xml:space="preserve"> RF generator</w:t>
      </w:r>
      <w:r w:rsidR="004A6E98">
        <w:rPr>
          <w:rFonts w:ascii="Arial" w:hAnsi="Arial" w:cs="Arial"/>
          <w:color w:val="000000" w:themeColor="text1"/>
        </w:rPr>
        <w:t xml:space="preserve"> </w:t>
      </w:r>
      <w:r>
        <w:rPr>
          <w:rFonts w:ascii="Arial" w:hAnsi="Arial" w:cs="Arial"/>
          <w:color w:val="000000" w:themeColor="text1"/>
        </w:rPr>
        <w:t>and match</w:t>
      </w:r>
      <w:r w:rsidR="004A6E98">
        <w:rPr>
          <w:rFonts w:ascii="Arial" w:hAnsi="Arial" w:cs="Arial"/>
          <w:color w:val="000000" w:themeColor="text1"/>
        </w:rPr>
        <w:t>ing networks</w:t>
      </w:r>
      <w:r>
        <w:rPr>
          <w:rFonts w:ascii="Arial" w:hAnsi="Arial" w:cs="Arial"/>
          <w:color w:val="000000" w:themeColor="text1"/>
        </w:rPr>
        <w:t xml:space="preserve"> </w:t>
      </w:r>
      <w:r w:rsidRPr="0089320A">
        <w:rPr>
          <w:rFonts w:ascii="Arial" w:hAnsi="Arial" w:cs="Arial"/>
          <w:color w:val="000000" w:themeColor="text1"/>
        </w:rPr>
        <w:t>for 60 s at different power output</w:t>
      </w:r>
      <w:r>
        <w:rPr>
          <w:rFonts w:ascii="Arial" w:hAnsi="Arial" w:cs="Arial"/>
          <w:color w:val="000000" w:themeColor="text1"/>
        </w:rPr>
        <w:t>s</w:t>
      </w:r>
      <w:r w:rsidRPr="0089320A">
        <w:rPr>
          <w:rFonts w:ascii="Arial" w:hAnsi="Arial" w:cs="Arial"/>
          <w:color w:val="000000" w:themeColor="text1"/>
        </w:rPr>
        <w:t xml:space="preserve">. </w:t>
      </w:r>
      <w:r>
        <w:rPr>
          <w:rFonts w:ascii="Arial" w:hAnsi="Arial" w:cs="Arial"/>
          <w:color w:val="000000" w:themeColor="text1"/>
        </w:rPr>
        <w:t>The temperature</w:t>
      </w:r>
      <w:r w:rsidRPr="0089320A">
        <w:rPr>
          <w:rFonts w:ascii="Arial" w:hAnsi="Arial" w:cs="Arial"/>
          <w:color w:val="000000" w:themeColor="text1"/>
        </w:rPr>
        <w:t xml:space="preserve"> was recorded using </w:t>
      </w:r>
      <w:r>
        <w:rPr>
          <w:rFonts w:ascii="Arial" w:hAnsi="Arial" w:cs="Arial"/>
          <w:color w:val="000000" w:themeColor="text1"/>
        </w:rPr>
        <w:t xml:space="preserve">a </w:t>
      </w:r>
      <w:r w:rsidRPr="0089320A">
        <w:rPr>
          <w:rFonts w:ascii="Arial" w:hAnsi="Arial" w:cs="Arial"/>
          <w:color w:val="000000" w:themeColor="text1"/>
        </w:rPr>
        <w:t xml:space="preserve">type K thermocouple. The results are </w:t>
      </w:r>
      <w:r w:rsidRPr="00572564">
        <w:rPr>
          <w:rFonts w:ascii="Arial" w:hAnsi="Arial" w:cs="Arial"/>
          <w:color w:val="000000" w:themeColor="text1"/>
        </w:rPr>
        <w:t xml:space="preserve">seen in </w:t>
      </w:r>
      <w:r w:rsidR="00572564">
        <w:rPr>
          <w:rFonts w:ascii="Arial" w:hAnsi="Arial" w:cs="Arial"/>
          <w:b/>
          <w:bCs/>
          <w:color w:val="000000" w:themeColor="text1"/>
        </w:rPr>
        <w:t>F</w:t>
      </w:r>
      <w:r w:rsidRPr="00572564">
        <w:rPr>
          <w:rFonts w:ascii="Arial" w:hAnsi="Arial" w:cs="Arial"/>
          <w:b/>
          <w:bCs/>
          <w:color w:val="000000" w:themeColor="text1"/>
        </w:rPr>
        <w:t xml:space="preserve">igure </w:t>
      </w:r>
      <w:r w:rsidR="00572564">
        <w:rPr>
          <w:rFonts w:ascii="Arial" w:hAnsi="Arial" w:cs="Arial"/>
          <w:b/>
          <w:bCs/>
          <w:color w:val="000000" w:themeColor="text1"/>
        </w:rPr>
        <w:t>48</w:t>
      </w:r>
      <w:r w:rsidRPr="00572564">
        <w:rPr>
          <w:rFonts w:ascii="Arial" w:hAnsi="Arial" w:cs="Arial"/>
          <w:color w:val="000000" w:themeColor="text1"/>
        </w:rPr>
        <w:t>.</w:t>
      </w:r>
    </w:p>
    <w:tbl>
      <w:tblPr>
        <w:tblStyle w:val="TableGrid"/>
        <w:tblW w:w="0" w:type="auto"/>
        <w:tblLook w:val="04A0" w:firstRow="1" w:lastRow="0" w:firstColumn="1" w:lastColumn="0" w:noHBand="0" w:noVBand="1"/>
      </w:tblPr>
      <w:tblGrid>
        <w:gridCol w:w="9350"/>
      </w:tblGrid>
      <w:tr w:rsidR="00EE1E03" w14:paraId="4BB50363" w14:textId="77777777" w:rsidTr="00EE1E03">
        <w:tc>
          <w:tcPr>
            <w:tcW w:w="9350" w:type="dxa"/>
          </w:tcPr>
          <w:p w14:paraId="385FBBD1" w14:textId="3939F8FD" w:rsidR="00EE1E03" w:rsidRDefault="004643DE" w:rsidP="00B72D37">
            <w:pPr>
              <w:snapToGrid w:val="0"/>
              <w:spacing w:beforeAutospacing="0" w:line="360" w:lineRule="auto"/>
              <w:ind w:firstLine="0"/>
              <w:rPr>
                <w:rFonts w:ascii="Arial" w:hAnsi="Arial" w:cs="Arial"/>
                <w:color w:val="000000" w:themeColor="text1"/>
              </w:rPr>
            </w:pPr>
            <w:r w:rsidRPr="004643DE">
              <w:rPr>
                <w:rFonts w:ascii="Arial" w:hAnsi="Arial" w:cs="Arial"/>
                <w:noProof/>
                <w:color w:val="000000" w:themeColor="text1"/>
              </w:rPr>
              <w:lastRenderedPageBreak/>
              <w:drawing>
                <wp:inline distT="0" distB="0" distL="0" distR="0" wp14:anchorId="0011C9C5" wp14:editId="1B292055">
                  <wp:extent cx="5806767" cy="3510116"/>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813266" cy="3514045"/>
                          </a:xfrm>
                          <a:prstGeom prst="rect">
                            <a:avLst/>
                          </a:prstGeom>
                        </pic:spPr>
                      </pic:pic>
                    </a:graphicData>
                  </a:graphic>
                </wp:inline>
              </w:drawing>
            </w:r>
          </w:p>
        </w:tc>
      </w:tr>
      <w:tr w:rsidR="00EE1E03" w14:paraId="623436E0" w14:textId="77777777" w:rsidTr="00EE1E03">
        <w:tc>
          <w:tcPr>
            <w:tcW w:w="9350" w:type="dxa"/>
          </w:tcPr>
          <w:p w14:paraId="7A4FCB39" w14:textId="60E89849" w:rsidR="00EE1E03" w:rsidRPr="00EE1E03" w:rsidRDefault="00E96C60" w:rsidP="00581CAE">
            <w:pPr>
              <w:spacing w:before="0" w:beforeAutospacing="0" w:after="0" w:afterAutospacing="0" w:line="360" w:lineRule="auto"/>
              <w:ind w:firstLine="0"/>
              <w:contextualSpacing/>
              <w:rPr>
                <w:rFonts w:ascii="Arial" w:hAnsi="Arial" w:cs="Arial"/>
                <w:color w:val="000000" w:themeColor="text1"/>
              </w:rPr>
            </w:pPr>
            <w:bookmarkStart w:id="151" w:name="_Toc121217370"/>
            <w:r w:rsidRPr="00E96C60">
              <w:rPr>
                <w:rFonts w:ascii="Arial" w:hAnsi="Arial" w:cs="Arial"/>
                <w:b/>
                <w:bCs/>
                <w:color w:val="000000" w:themeColor="text1"/>
              </w:rPr>
              <w:t xml:space="preserve">Figure </w:t>
            </w:r>
            <w:r w:rsidRPr="00E96C60">
              <w:rPr>
                <w:rFonts w:ascii="Arial" w:hAnsi="Arial" w:cs="Arial"/>
                <w:b/>
                <w:bCs/>
                <w:color w:val="000000" w:themeColor="text1"/>
              </w:rPr>
              <w:fldChar w:fldCharType="begin"/>
            </w:r>
            <w:r w:rsidRPr="00E96C60">
              <w:rPr>
                <w:rFonts w:ascii="Arial" w:hAnsi="Arial" w:cs="Arial"/>
                <w:b/>
                <w:bCs/>
                <w:color w:val="000000" w:themeColor="text1"/>
              </w:rPr>
              <w:instrText xml:space="preserve"> SEQ Figure \* ARABIC </w:instrText>
            </w:r>
            <w:r w:rsidRPr="00E96C60">
              <w:rPr>
                <w:rFonts w:ascii="Arial" w:hAnsi="Arial" w:cs="Arial"/>
                <w:b/>
                <w:bCs/>
                <w:color w:val="000000" w:themeColor="text1"/>
              </w:rPr>
              <w:fldChar w:fldCharType="separate"/>
            </w:r>
            <w:r w:rsidR="002C4B25">
              <w:rPr>
                <w:rFonts w:ascii="Arial" w:hAnsi="Arial" w:cs="Arial"/>
                <w:b/>
                <w:bCs/>
                <w:noProof/>
                <w:color w:val="000000" w:themeColor="text1"/>
              </w:rPr>
              <w:t>48</w:t>
            </w:r>
            <w:r w:rsidRPr="00E96C60">
              <w:rPr>
                <w:rFonts w:ascii="Arial" w:hAnsi="Arial" w:cs="Arial"/>
                <w:b/>
                <w:bCs/>
                <w:color w:val="000000" w:themeColor="text1"/>
              </w:rPr>
              <w:fldChar w:fldCharType="end"/>
            </w:r>
            <w:r w:rsidR="00581CAE" w:rsidRPr="004643DE">
              <w:rPr>
                <w:rFonts w:ascii="Arial" w:hAnsi="Arial" w:cs="Arial"/>
                <w:b/>
                <w:bCs/>
                <w:color w:val="000000" w:themeColor="text1"/>
              </w:rPr>
              <w:t xml:space="preserve">: Heating rate of (6,5) SWCNT and few walled CNT suspended in sodium dodecyl </w:t>
            </w:r>
            <w:r w:rsidR="00581CAE">
              <w:rPr>
                <w:rFonts w:ascii="Arial" w:hAnsi="Arial" w:cs="Arial"/>
                <w:b/>
                <w:bCs/>
                <w:color w:val="000000" w:themeColor="text1"/>
              </w:rPr>
              <w:t>sulfate</w:t>
            </w:r>
            <w:r w:rsidR="00581CAE" w:rsidRPr="004643DE">
              <w:rPr>
                <w:rFonts w:ascii="Arial" w:hAnsi="Arial" w:cs="Arial"/>
                <w:b/>
                <w:bCs/>
                <w:color w:val="000000" w:themeColor="text1"/>
              </w:rPr>
              <w:t xml:space="preserve"> (SDS) in RF field</w:t>
            </w:r>
            <w:r w:rsidR="00581CAE">
              <w:rPr>
                <w:rFonts w:ascii="Arial" w:hAnsi="Arial" w:cs="Arial"/>
                <w:color w:val="000000" w:themeColor="text1"/>
              </w:rPr>
              <w:t xml:space="preserve">. One </w:t>
            </w:r>
            <w:r w:rsidR="00E95C75">
              <w:rPr>
                <w:rFonts w:ascii="Arial" w:hAnsi="Arial" w:cs="Arial"/>
                <w:color w:val="000000" w:themeColor="text1"/>
              </w:rPr>
              <w:t>ml</w:t>
            </w:r>
            <w:r w:rsidR="00581CAE">
              <w:rPr>
                <w:rFonts w:ascii="Arial" w:hAnsi="Arial" w:cs="Arial"/>
                <w:color w:val="000000" w:themeColor="text1"/>
              </w:rPr>
              <w:t xml:space="preserve"> sample</w:t>
            </w:r>
            <w:r w:rsidR="00E95C75">
              <w:rPr>
                <w:rFonts w:ascii="Arial" w:hAnsi="Arial" w:cs="Arial"/>
                <w:color w:val="000000" w:themeColor="text1"/>
              </w:rPr>
              <w:t>s</w:t>
            </w:r>
            <w:r w:rsidR="00581CAE">
              <w:rPr>
                <w:rFonts w:ascii="Arial" w:hAnsi="Arial" w:cs="Arial"/>
                <w:color w:val="000000" w:themeColor="text1"/>
              </w:rPr>
              <w:t xml:space="preserve"> of SDS (1%), (6,5) SWCNT and few</w:t>
            </w:r>
            <w:r w:rsidR="00AE227F">
              <w:rPr>
                <w:rFonts w:ascii="Arial" w:hAnsi="Arial" w:cs="Arial"/>
                <w:color w:val="000000" w:themeColor="text1"/>
              </w:rPr>
              <w:t>-</w:t>
            </w:r>
            <w:r w:rsidR="00581CAE">
              <w:rPr>
                <w:rFonts w:ascii="Arial" w:hAnsi="Arial" w:cs="Arial"/>
                <w:color w:val="000000" w:themeColor="text1"/>
              </w:rPr>
              <w:t>walled CNT placed in the cuvette (1 cm </w:t>
            </w:r>
            <w:r w:rsidR="00581CAE">
              <w:rPr>
                <w:rFonts w:ascii="Arial" w:hAnsi="Arial" w:cs="Arial"/>
                <w:color w:val="000000" w:themeColor="text1"/>
              </w:rPr>
              <w:sym w:font="Symbol" w:char="F0B4"/>
            </w:r>
            <w:r w:rsidR="00581CAE">
              <w:rPr>
                <w:rFonts w:ascii="Arial" w:hAnsi="Arial" w:cs="Arial"/>
                <w:color w:val="000000" w:themeColor="text1"/>
              </w:rPr>
              <w:t> 1 cm </w:t>
            </w:r>
            <w:r w:rsidR="00581CAE">
              <w:rPr>
                <w:rFonts w:ascii="Arial" w:hAnsi="Arial" w:cs="Arial"/>
                <w:color w:val="000000" w:themeColor="text1"/>
              </w:rPr>
              <w:sym w:font="Symbol" w:char="F0B4"/>
            </w:r>
            <w:r w:rsidR="00581CAE">
              <w:rPr>
                <w:rFonts w:ascii="Arial" w:hAnsi="Arial" w:cs="Arial"/>
                <w:color w:val="000000" w:themeColor="text1"/>
              </w:rPr>
              <w:t xml:space="preserve"> 4 cm) were irradiated in 13.56 MHz </w:t>
            </w:r>
            <w:r w:rsidR="00E95C75">
              <w:rPr>
                <w:rFonts w:ascii="Arial" w:hAnsi="Arial" w:cs="Arial"/>
                <w:color w:val="000000" w:themeColor="text1"/>
              </w:rPr>
              <w:t xml:space="preserve">RF field </w:t>
            </w:r>
            <w:r w:rsidR="00581CAE">
              <w:rPr>
                <w:rFonts w:ascii="Arial" w:hAnsi="Arial" w:cs="Arial"/>
                <w:color w:val="000000" w:themeColor="text1"/>
              </w:rPr>
              <w:t xml:space="preserve">generated between horizontal plates at various power outputs. Initial and final temperatures were measured with a type K thermocouple immersed in the liquid phase. </w:t>
            </w:r>
            <w:r w:rsidR="00581CAE" w:rsidRPr="0045105E">
              <w:rPr>
                <w:rFonts w:ascii="Arial" w:hAnsi="Arial" w:cs="Arial"/>
                <w:color w:val="000000" w:themeColor="text1"/>
              </w:rPr>
              <w:t xml:space="preserve">Statistical </w:t>
            </w:r>
            <w:r w:rsidR="00AE227F">
              <w:rPr>
                <w:rFonts w:ascii="Arial" w:hAnsi="Arial" w:cs="Arial"/>
                <w:color w:val="000000" w:themeColor="text1"/>
              </w:rPr>
              <w:t>a</w:t>
            </w:r>
            <w:r w:rsidR="00581CAE" w:rsidRPr="0045105E">
              <w:rPr>
                <w:rFonts w:ascii="Arial" w:hAnsi="Arial" w:cs="Arial"/>
                <w:color w:val="000000" w:themeColor="text1"/>
              </w:rPr>
              <w:t>nalysis: one-way ANOVA with Tukey</w:t>
            </w:r>
            <w:r w:rsidR="00581CAE">
              <w:rPr>
                <w:rFonts w:ascii="Arial" w:hAnsi="Arial" w:cs="Arial"/>
                <w:color w:val="000000" w:themeColor="text1"/>
              </w:rPr>
              <w:t>’</w:t>
            </w:r>
            <w:r w:rsidR="00581CAE" w:rsidRPr="0045105E">
              <w:rPr>
                <w:rFonts w:ascii="Arial" w:hAnsi="Arial" w:cs="Arial"/>
                <w:color w:val="000000" w:themeColor="text1"/>
              </w:rPr>
              <w:t>s multiple comparisons test comparing the three groups in each power level (n</w:t>
            </w:r>
            <w:r w:rsidR="00AE227F">
              <w:rPr>
                <w:rFonts w:ascii="Arial" w:hAnsi="Arial" w:cs="Arial"/>
                <w:color w:val="000000" w:themeColor="text1"/>
              </w:rPr>
              <w:t xml:space="preserve"> </w:t>
            </w:r>
            <w:r w:rsidR="00581CAE" w:rsidRPr="0045105E">
              <w:rPr>
                <w:rFonts w:ascii="Arial" w:hAnsi="Arial" w:cs="Arial"/>
                <w:color w:val="000000" w:themeColor="text1"/>
              </w:rPr>
              <w:t>=</w:t>
            </w:r>
            <w:r w:rsidR="00AE227F">
              <w:rPr>
                <w:rFonts w:ascii="Arial" w:hAnsi="Arial" w:cs="Arial"/>
                <w:color w:val="000000" w:themeColor="text1"/>
              </w:rPr>
              <w:t xml:space="preserve"> </w:t>
            </w:r>
            <w:r w:rsidR="00581CAE" w:rsidRPr="0045105E">
              <w:rPr>
                <w:rFonts w:ascii="Arial" w:hAnsi="Arial" w:cs="Arial"/>
                <w:color w:val="000000" w:themeColor="text1"/>
              </w:rPr>
              <w:t>3). *p</w:t>
            </w:r>
            <w:r w:rsidR="00581CAE">
              <w:rPr>
                <w:rFonts w:ascii="Arial" w:hAnsi="Arial" w:cs="Arial"/>
                <w:color w:val="000000" w:themeColor="text1"/>
              </w:rPr>
              <w:t> </w:t>
            </w:r>
            <w:r w:rsidR="00581CAE" w:rsidRPr="0045105E">
              <w:rPr>
                <w:rFonts w:ascii="Arial" w:hAnsi="Arial" w:cs="Arial"/>
                <w:color w:val="000000" w:themeColor="text1"/>
              </w:rPr>
              <w:t>&lt;</w:t>
            </w:r>
            <w:r w:rsidR="00581CAE">
              <w:rPr>
                <w:rFonts w:ascii="Arial" w:hAnsi="Arial" w:cs="Arial"/>
                <w:color w:val="000000" w:themeColor="text1"/>
              </w:rPr>
              <w:t> </w:t>
            </w:r>
            <w:r w:rsidR="00581CAE" w:rsidRPr="0045105E">
              <w:rPr>
                <w:rFonts w:ascii="Arial" w:hAnsi="Arial" w:cs="Arial"/>
                <w:color w:val="000000" w:themeColor="text1"/>
              </w:rPr>
              <w:t>0.05, **p</w:t>
            </w:r>
            <w:r w:rsidR="00581CAE">
              <w:rPr>
                <w:rFonts w:ascii="Arial" w:hAnsi="Arial" w:cs="Arial"/>
                <w:color w:val="000000" w:themeColor="text1"/>
              </w:rPr>
              <w:t> </w:t>
            </w:r>
            <w:r w:rsidR="00581CAE" w:rsidRPr="0045105E">
              <w:rPr>
                <w:rFonts w:ascii="Arial" w:hAnsi="Arial" w:cs="Arial"/>
                <w:color w:val="000000" w:themeColor="text1"/>
              </w:rPr>
              <w:t>&lt;</w:t>
            </w:r>
            <w:r w:rsidR="00581CAE">
              <w:rPr>
                <w:rFonts w:ascii="Arial" w:hAnsi="Arial" w:cs="Arial"/>
                <w:color w:val="000000" w:themeColor="text1"/>
              </w:rPr>
              <w:t> </w:t>
            </w:r>
            <w:r w:rsidR="00581CAE" w:rsidRPr="0045105E">
              <w:rPr>
                <w:rFonts w:ascii="Arial" w:hAnsi="Arial" w:cs="Arial"/>
                <w:color w:val="000000" w:themeColor="text1"/>
              </w:rPr>
              <w:t>0.01, ***p</w:t>
            </w:r>
            <w:r w:rsidR="00581CAE">
              <w:rPr>
                <w:rFonts w:ascii="Arial" w:hAnsi="Arial" w:cs="Arial"/>
                <w:color w:val="000000" w:themeColor="text1"/>
              </w:rPr>
              <w:t> </w:t>
            </w:r>
            <w:r w:rsidR="00581CAE" w:rsidRPr="0045105E">
              <w:rPr>
                <w:rFonts w:ascii="Arial" w:hAnsi="Arial" w:cs="Arial"/>
                <w:color w:val="000000" w:themeColor="text1"/>
              </w:rPr>
              <w:t>&lt;</w:t>
            </w:r>
            <w:r w:rsidR="00581CAE">
              <w:rPr>
                <w:rFonts w:ascii="Arial" w:hAnsi="Arial" w:cs="Arial"/>
                <w:color w:val="000000" w:themeColor="text1"/>
              </w:rPr>
              <w:t> </w:t>
            </w:r>
            <w:r w:rsidR="00581CAE" w:rsidRPr="0045105E">
              <w:rPr>
                <w:rFonts w:ascii="Arial" w:hAnsi="Arial" w:cs="Arial"/>
                <w:color w:val="000000" w:themeColor="text1"/>
              </w:rPr>
              <w:t>0.001, ****p</w:t>
            </w:r>
            <w:r w:rsidR="00581CAE">
              <w:rPr>
                <w:rFonts w:ascii="Arial" w:hAnsi="Arial" w:cs="Arial"/>
                <w:color w:val="000000" w:themeColor="text1"/>
              </w:rPr>
              <w:t> </w:t>
            </w:r>
            <w:r w:rsidR="00581CAE" w:rsidRPr="0045105E">
              <w:rPr>
                <w:rFonts w:ascii="Arial" w:hAnsi="Arial" w:cs="Arial"/>
                <w:color w:val="000000" w:themeColor="text1"/>
              </w:rPr>
              <w:t>&lt;</w:t>
            </w:r>
            <w:r w:rsidR="00581CAE">
              <w:rPr>
                <w:rFonts w:ascii="Arial" w:hAnsi="Arial" w:cs="Arial"/>
                <w:color w:val="000000" w:themeColor="text1"/>
              </w:rPr>
              <w:t> </w:t>
            </w:r>
            <w:r w:rsidR="00581CAE" w:rsidRPr="0045105E">
              <w:rPr>
                <w:rFonts w:ascii="Arial" w:hAnsi="Arial" w:cs="Arial"/>
                <w:color w:val="000000" w:themeColor="text1"/>
              </w:rPr>
              <w:t>0.0001.</w:t>
            </w:r>
            <w:bookmarkEnd w:id="151"/>
          </w:p>
        </w:tc>
      </w:tr>
    </w:tbl>
    <w:p w14:paraId="3C038C4F" w14:textId="77777777" w:rsidR="00E96C60" w:rsidRDefault="00E96C60" w:rsidP="00017F94">
      <w:pPr>
        <w:spacing w:line="360" w:lineRule="auto"/>
        <w:ind w:firstLine="1440"/>
        <w:contextualSpacing/>
        <w:jc w:val="both"/>
        <w:rPr>
          <w:rFonts w:ascii="Arial" w:hAnsi="Arial" w:cs="Arial"/>
          <w:color w:val="000000" w:themeColor="text1"/>
        </w:rPr>
      </w:pPr>
    </w:p>
    <w:p w14:paraId="4B5EDE56" w14:textId="77777777" w:rsidR="00E96C60" w:rsidRDefault="00E96C60" w:rsidP="00017F94">
      <w:pPr>
        <w:spacing w:line="360" w:lineRule="auto"/>
        <w:ind w:firstLine="1440"/>
        <w:contextualSpacing/>
        <w:jc w:val="both"/>
        <w:rPr>
          <w:rFonts w:ascii="Arial" w:hAnsi="Arial" w:cs="Arial"/>
          <w:color w:val="000000" w:themeColor="text1"/>
        </w:rPr>
      </w:pPr>
    </w:p>
    <w:p w14:paraId="51647F1B" w14:textId="4F0AEC9E" w:rsidR="00017F94" w:rsidRDefault="00017F94" w:rsidP="00017F94">
      <w:pPr>
        <w:spacing w:line="360" w:lineRule="auto"/>
        <w:ind w:firstLine="1440"/>
        <w:contextualSpacing/>
        <w:jc w:val="both"/>
        <w:rPr>
          <w:rFonts w:ascii="Arial" w:hAnsi="Arial" w:cs="Arial"/>
          <w:color w:val="000000" w:themeColor="text1"/>
        </w:rPr>
      </w:pPr>
      <w:r w:rsidRPr="00DE249A">
        <w:rPr>
          <w:rFonts w:ascii="Arial" w:hAnsi="Arial" w:cs="Arial"/>
          <w:color w:val="000000" w:themeColor="text1"/>
        </w:rPr>
        <w:t>In the first experiment</w:t>
      </w:r>
      <w:r w:rsidR="008E5AAF">
        <w:rPr>
          <w:rFonts w:ascii="Arial" w:hAnsi="Arial" w:cs="Arial"/>
          <w:color w:val="000000" w:themeColor="text1"/>
        </w:rPr>
        <w:t xml:space="preserve"> (</w:t>
      </w:r>
      <w:r w:rsidR="008E5AAF" w:rsidRPr="008E5AAF">
        <w:rPr>
          <w:rFonts w:ascii="Arial" w:hAnsi="Arial" w:cs="Arial"/>
          <w:b/>
          <w:bCs/>
          <w:color w:val="000000" w:themeColor="text1"/>
        </w:rPr>
        <w:t>Figure 48</w:t>
      </w:r>
      <w:r w:rsidR="008E5AAF">
        <w:rPr>
          <w:rFonts w:ascii="Arial" w:hAnsi="Arial" w:cs="Arial"/>
          <w:color w:val="000000" w:themeColor="text1"/>
        </w:rPr>
        <w:t>)</w:t>
      </w:r>
      <w:r w:rsidRPr="00DE249A">
        <w:rPr>
          <w:rFonts w:ascii="Arial" w:hAnsi="Arial" w:cs="Arial"/>
          <w:color w:val="000000" w:themeColor="text1"/>
        </w:rPr>
        <w:t xml:space="preserve">, the comparison of </w:t>
      </w:r>
      <w:r>
        <w:rPr>
          <w:rFonts w:ascii="Arial" w:hAnsi="Arial" w:cs="Arial"/>
          <w:color w:val="000000" w:themeColor="text1"/>
        </w:rPr>
        <w:t>single-walled</w:t>
      </w:r>
      <w:r w:rsidRPr="00DE249A">
        <w:rPr>
          <w:rFonts w:ascii="Arial" w:hAnsi="Arial" w:cs="Arial"/>
          <w:color w:val="000000" w:themeColor="text1"/>
        </w:rPr>
        <w:t xml:space="preserve"> to </w:t>
      </w:r>
      <w:r>
        <w:rPr>
          <w:rFonts w:ascii="Arial" w:hAnsi="Arial" w:cs="Arial"/>
          <w:color w:val="000000" w:themeColor="text1"/>
        </w:rPr>
        <w:t>few-walled</w:t>
      </w:r>
      <w:r w:rsidRPr="00DE249A">
        <w:rPr>
          <w:rFonts w:ascii="Arial" w:hAnsi="Arial" w:cs="Arial"/>
          <w:color w:val="000000" w:themeColor="text1"/>
        </w:rPr>
        <w:t xml:space="preserve"> carbon nanotubes </w:t>
      </w:r>
      <w:r>
        <w:rPr>
          <w:rFonts w:ascii="Arial" w:hAnsi="Arial" w:cs="Arial"/>
          <w:color w:val="000000" w:themeColor="text1"/>
        </w:rPr>
        <w:t xml:space="preserve">(FWCNT) </w:t>
      </w:r>
      <w:r w:rsidRPr="00DE249A">
        <w:rPr>
          <w:rFonts w:ascii="Arial" w:hAnsi="Arial" w:cs="Arial"/>
          <w:color w:val="000000" w:themeColor="text1"/>
        </w:rPr>
        <w:t xml:space="preserve">in SDS surfactant showed that the SWCNT </w:t>
      </w:r>
      <w:r>
        <w:rPr>
          <w:rFonts w:ascii="Arial" w:hAnsi="Arial" w:cs="Arial"/>
          <w:color w:val="000000" w:themeColor="text1"/>
        </w:rPr>
        <w:t>induced a significantly higher heating</w:t>
      </w:r>
      <w:r w:rsidRPr="00DE249A">
        <w:rPr>
          <w:rFonts w:ascii="Arial" w:hAnsi="Arial" w:cs="Arial"/>
          <w:color w:val="000000" w:themeColor="text1"/>
        </w:rPr>
        <w:t xml:space="preserve"> </w:t>
      </w:r>
      <w:r>
        <w:rPr>
          <w:rFonts w:ascii="Arial" w:hAnsi="Arial" w:cs="Arial"/>
          <w:color w:val="000000" w:themeColor="text1"/>
        </w:rPr>
        <w:t xml:space="preserve">rate than FWCNT in the </w:t>
      </w:r>
      <w:r w:rsidRPr="00DE249A">
        <w:rPr>
          <w:rFonts w:ascii="Arial" w:hAnsi="Arial" w:cs="Arial"/>
          <w:color w:val="000000" w:themeColor="text1"/>
        </w:rPr>
        <w:t xml:space="preserve">RF field for all power levels. Statistical significance was also found between the CNT suspension and surfactant solution. While those results are encouraging, the heating of the surfactant is relevant. </w:t>
      </w:r>
      <w:r>
        <w:rPr>
          <w:rFonts w:ascii="Arial" w:hAnsi="Arial" w:cs="Arial"/>
          <w:color w:val="000000" w:themeColor="text1"/>
        </w:rPr>
        <w:t xml:space="preserve">It is worthwhile mentioning that the higher the power output, the more significant the difference in heating rate between CNT and surfactant solution. Therefore, it can be </w:t>
      </w:r>
      <w:r>
        <w:rPr>
          <w:rFonts w:ascii="Arial" w:hAnsi="Arial" w:cs="Arial"/>
          <w:color w:val="000000" w:themeColor="text1"/>
        </w:rPr>
        <w:lastRenderedPageBreak/>
        <w:t>inferred that the responsivity of CNT to the RF increases more rapidly than the surfactant solution as the power output increases. That observation might benefit cancer applications since a lower power output might generate some heat to biological tissue. Still, higher powers might be more efficient at inducing localized heating in the presence of SWCNT.</w:t>
      </w:r>
    </w:p>
    <w:p w14:paraId="3C0416BB" w14:textId="77365506" w:rsidR="005C4B9F" w:rsidRPr="00AD3A38" w:rsidRDefault="005C4B9F" w:rsidP="005C4B9F">
      <w:pPr>
        <w:spacing w:line="360" w:lineRule="auto"/>
        <w:ind w:firstLine="1350"/>
        <w:jc w:val="both"/>
        <w:rPr>
          <w:rFonts w:ascii="Arial" w:hAnsi="Arial" w:cs="Arial"/>
          <w:b/>
          <w:bCs/>
          <w:color w:val="000000" w:themeColor="text1"/>
        </w:rPr>
      </w:pPr>
      <w:r>
        <w:rPr>
          <w:rFonts w:ascii="Arial" w:hAnsi="Arial" w:cs="Arial"/>
          <w:color w:val="000000" w:themeColor="text1"/>
        </w:rPr>
        <w:t xml:space="preserve">Similarly, </w:t>
      </w:r>
      <w:r w:rsidRPr="00EA7F09">
        <w:rPr>
          <w:rFonts w:ascii="Arial" w:hAnsi="Arial" w:cs="Arial"/>
          <w:color w:val="000000" w:themeColor="text1"/>
        </w:rPr>
        <w:t xml:space="preserve">the CNT </w:t>
      </w:r>
      <w:r>
        <w:rPr>
          <w:rFonts w:ascii="Arial" w:hAnsi="Arial" w:cs="Arial"/>
          <w:color w:val="000000" w:themeColor="text1"/>
        </w:rPr>
        <w:t xml:space="preserve">samples </w:t>
      </w:r>
      <w:r w:rsidRPr="00EA7F09">
        <w:rPr>
          <w:rFonts w:ascii="Arial" w:hAnsi="Arial" w:cs="Arial"/>
          <w:color w:val="000000" w:themeColor="text1"/>
        </w:rPr>
        <w:t>were suspended in a different surfactant. Following the same procedures, (6,5) SWCNT and few</w:t>
      </w:r>
      <w:r>
        <w:rPr>
          <w:rFonts w:ascii="Arial" w:hAnsi="Arial" w:cs="Arial"/>
          <w:color w:val="000000" w:themeColor="text1"/>
        </w:rPr>
        <w:t>-</w:t>
      </w:r>
      <w:r w:rsidRPr="00EA7F09">
        <w:rPr>
          <w:rFonts w:ascii="Arial" w:hAnsi="Arial" w:cs="Arial"/>
          <w:color w:val="000000" w:themeColor="text1"/>
        </w:rPr>
        <w:t xml:space="preserve">walled CNT were suspended in sodium deoxycholate (SDC) and subjected to RF irradiation. The results are shown in </w:t>
      </w:r>
      <w:r w:rsidR="00AD3A38" w:rsidRPr="00AD3A38">
        <w:rPr>
          <w:rFonts w:ascii="Arial" w:hAnsi="Arial" w:cs="Arial"/>
          <w:b/>
          <w:bCs/>
          <w:color w:val="000000" w:themeColor="text1"/>
        </w:rPr>
        <w:t>F</w:t>
      </w:r>
      <w:r w:rsidRPr="00AD3A38">
        <w:rPr>
          <w:rFonts w:ascii="Arial" w:hAnsi="Arial" w:cs="Arial"/>
          <w:b/>
          <w:bCs/>
          <w:color w:val="000000" w:themeColor="text1"/>
        </w:rPr>
        <w:t xml:space="preserve">igure </w:t>
      </w:r>
      <w:r w:rsidR="00E304D3">
        <w:rPr>
          <w:rFonts w:ascii="Arial" w:hAnsi="Arial" w:cs="Arial"/>
          <w:b/>
          <w:bCs/>
          <w:color w:val="000000" w:themeColor="text1"/>
        </w:rPr>
        <w:t>49</w:t>
      </w:r>
      <w:r w:rsidRPr="00AD3A38">
        <w:rPr>
          <w:rFonts w:ascii="Arial" w:hAnsi="Arial" w:cs="Arial"/>
          <w:b/>
          <w:bCs/>
          <w:color w:val="000000" w:themeColor="text1"/>
        </w:rPr>
        <w:t>.</w:t>
      </w:r>
    </w:p>
    <w:p w14:paraId="7470D38B" w14:textId="21BFDE1A" w:rsidR="00D50330" w:rsidRDefault="00D50330" w:rsidP="00D50330">
      <w:pPr>
        <w:contextualSpacing/>
        <w:rPr>
          <w:rFonts w:ascii="Arial" w:hAnsi="Arial" w:cs="Arial"/>
          <w:color w:val="000000" w:themeColor="text1"/>
          <w:sz w:val="20"/>
          <w:szCs w:val="20"/>
        </w:rPr>
      </w:pPr>
    </w:p>
    <w:p w14:paraId="58B859AB" w14:textId="7526D316" w:rsidR="000726FE" w:rsidRDefault="000726FE" w:rsidP="00D50330">
      <w:pPr>
        <w:contextualSpacing/>
        <w:rPr>
          <w:rFonts w:ascii="Arial" w:hAnsi="Arial" w:cs="Arial"/>
          <w:color w:val="000000" w:themeColor="text1"/>
          <w:sz w:val="20"/>
          <w:szCs w:val="20"/>
        </w:rPr>
      </w:pPr>
    </w:p>
    <w:tbl>
      <w:tblPr>
        <w:tblStyle w:val="TableGrid"/>
        <w:tblW w:w="0" w:type="auto"/>
        <w:tblLook w:val="04A0" w:firstRow="1" w:lastRow="0" w:firstColumn="1" w:lastColumn="0" w:noHBand="0" w:noVBand="1"/>
      </w:tblPr>
      <w:tblGrid>
        <w:gridCol w:w="9350"/>
      </w:tblGrid>
      <w:tr w:rsidR="008A0F7C" w14:paraId="19D2A047" w14:textId="77777777" w:rsidTr="008A0F7C">
        <w:tc>
          <w:tcPr>
            <w:tcW w:w="9350" w:type="dxa"/>
          </w:tcPr>
          <w:p w14:paraId="19D4F549" w14:textId="2EEF366C" w:rsidR="008A0F7C" w:rsidRDefault="008A0F7C" w:rsidP="00B72D37">
            <w:pPr>
              <w:snapToGrid w:val="0"/>
              <w:spacing w:beforeAutospacing="0"/>
              <w:ind w:firstLine="0"/>
              <w:rPr>
                <w:rFonts w:ascii="Arial" w:hAnsi="Arial" w:cs="Arial"/>
                <w:color w:val="000000" w:themeColor="text1"/>
                <w:sz w:val="20"/>
                <w:szCs w:val="20"/>
              </w:rPr>
            </w:pPr>
            <w:r w:rsidRPr="008A0F7C">
              <w:rPr>
                <w:rFonts w:ascii="Arial" w:hAnsi="Arial" w:cs="Arial"/>
                <w:noProof/>
                <w:color w:val="000000" w:themeColor="text1"/>
                <w:sz w:val="20"/>
                <w:szCs w:val="20"/>
              </w:rPr>
              <w:drawing>
                <wp:inline distT="0" distB="0" distL="0" distR="0" wp14:anchorId="2A079EAF" wp14:editId="015F6410">
                  <wp:extent cx="5943600" cy="3338195"/>
                  <wp:effectExtent l="0" t="0" r="0" b="190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3600" cy="3338195"/>
                          </a:xfrm>
                          <a:prstGeom prst="rect">
                            <a:avLst/>
                          </a:prstGeom>
                        </pic:spPr>
                      </pic:pic>
                    </a:graphicData>
                  </a:graphic>
                </wp:inline>
              </w:drawing>
            </w:r>
          </w:p>
        </w:tc>
      </w:tr>
      <w:tr w:rsidR="008A0F7C" w14:paraId="11F54CFB" w14:textId="77777777" w:rsidTr="008A0F7C">
        <w:tc>
          <w:tcPr>
            <w:tcW w:w="9350" w:type="dxa"/>
          </w:tcPr>
          <w:p w14:paraId="405B8475" w14:textId="7A96BA91" w:rsidR="008A0F7C" w:rsidRPr="00EB7449" w:rsidRDefault="00E96C60" w:rsidP="00EB7449">
            <w:pPr>
              <w:spacing w:line="360" w:lineRule="auto"/>
              <w:ind w:firstLine="0"/>
            </w:pPr>
            <w:bookmarkStart w:id="152" w:name="_Toc121217371"/>
            <w:r w:rsidRPr="00E96C60">
              <w:rPr>
                <w:rFonts w:ascii="Arial" w:hAnsi="Arial" w:cs="Arial"/>
                <w:b/>
                <w:bCs/>
                <w:color w:val="000000" w:themeColor="text1"/>
              </w:rPr>
              <w:t xml:space="preserve">Figure </w:t>
            </w:r>
            <w:r w:rsidRPr="00E96C60">
              <w:rPr>
                <w:rFonts w:ascii="Arial" w:hAnsi="Arial" w:cs="Arial"/>
                <w:b/>
                <w:bCs/>
                <w:color w:val="000000" w:themeColor="text1"/>
              </w:rPr>
              <w:fldChar w:fldCharType="begin"/>
            </w:r>
            <w:r w:rsidRPr="00E96C60">
              <w:rPr>
                <w:rFonts w:ascii="Arial" w:hAnsi="Arial" w:cs="Arial"/>
                <w:b/>
                <w:bCs/>
                <w:color w:val="000000" w:themeColor="text1"/>
              </w:rPr>
              <w:instrText xml:space="preserve"> SEQ Figure \* ARABIC </w:instrText>
            </w:r>
            <w:r w:rsidRPr="00E96C60">
              <w:rPr>
                <w:rFonts w:ascii="Arial" w:hAnsi="Arial" w:cs="Arial"/>
                <w:b/>
                <w:bCs/>
                <w:color w:val="000000" w:themeColor="text1"/>
              </w:rPr>
              <w:fldChar w:fldCharType="separate"/>
            </w:r>
            <w:r w:rsidR="002C4B25">
              <w:rPr>
                <w:rFonts w:ascii="Arial" w:hAnsi="Arial" w:cs="Arial"/>
                <w:b/>
                <w:bCs/>
                <w:noProof/>
                <w:color w:val="000000" w:themeColor="text1"/>
              </w:rPr>
              <w:t>49</w:t>
            </w:r>
            <w:r w:rsidRPr="00E96C60">
              <w:rPr>
                <w:rFonts w:ascii="Arial" w:hAnsi="Arial" w:cs="Arial"/>
                <w:b/>
                <w:bCs/>
                <w:color w:val="000000" w:themeColor="text1"/>
              </w:rPr>
              <w:fldChar w:fldCharType="end"/>
            </w:r>
            <w:r w:rsidR="00EB7449" w:rsidRPr="004643DE">
              <w:rPr>
                <w:rFonts w:ascii="Arial" w:hAnsi="Arial" w:cs="Arial"/>
                <w:b/>
                <w:bCs/>
                <w:color w:val="000000" w:themeColor="text1"/>
              </w:rPr>
              <w:t>: Heating rate of (6,5) SWCNT and few walled CNT suspended in sodium d</w:t>
            </w:r>
            <w:r w:rsidR="00EB7449">
              <w:rPr>
                <w:rFonts w:ascii="Arial" w:hAnsi="Arial" w:cs="Arial"/>
                <w:b/>
                <w:bCs/>
                <w:color w:val="000000" w:themeColor="text1"/>
              </w:rPr>
              <w:t>eoxycholate</w:t>
            </w:r>
            <w:r w:rsidR="00EB7449" w:rsidRPr="004643DE">
              <w:rPr>
                <w:rFonts w:ascii="Arial" w:hAnsi="Arial" w:cs="Arial"/>
                <w:b/>
                <w:bCs/>
                <w:color w:val="000000" w:themeColor="text1"/>
              </w:rPr>
              <w:t xml:space="preserve"> (SD</w:t>
            </w:r>
            <w:r w:rsidR="00EB7449">
              <w:rPr>
                <w:rFonts w:ascii="Arial" w:hAnsi="Arial" w:cs="Arial"/>
                <w:b/>
                <w:bCs/>
                <w:color w:val="000000" w:themeColor="text1"/>
              </w:rPr>
              <w:t>C</w:t>
            </w:r>
            <w:r w:rsidR="00EB7449" w:rsidRPr="004643DE">
              <w:rPr>
                <w:rFonts w:ascii="Arial" w:hAnsi="Arial" w:cs="Arial"/>
                <w:b/>
                <w:bCs/>
                <w:color w:val="000000" w:themeColor="text1"/>
              </w:rPr>
              <w:t>) in</w:t>
            </w:r>
            <w:r w:rsidR="00EB7449">
              <w:rPr>
                <w:rFonts w:ascii="Arial" w:hAnsi="Arial" w:cs="Arial"/>
                <w:b/>
                <w:bCs/>
                <w:color w:val="000000" w:themeColor="text1"/>
              </w:rPr>
              <w:t xml:space="preserve"> 13,56 MHz</w:t>
            </w:r>
            <w:r w:rsidR="00EB7449" w:rsidRPr="004643DE">
              <w:rPr>
                <w:rFonts w:ascii="Arial" w:hAnsi="Arial" w:cs="Arial"/>
                <w:b/>
                <w:bCs/>
                <w:color w:val="000000" w:themeColor="text1"/>
              </w:rPr>
              <w:t xml:space="preserve"> RF field</w:t>
            </w:r>
            <w:r w:rsidR="00EB7449">
              <w:rPr>
                <w:rFonts w:ascii="Arial" w:hAnsi="Arial" w:cs="Arial"/>
                <w:color w:val="000000" w:themeColor="text1"/>
              </w:rPr>
              <w:t>. One m</w:t>
            </w:r>
            <w:r w:rsidR="00E304D3">
              <w:rPr>
                <w:rFonts w:ascii="Arial" w:hAnsi="Arial" w:cs="Arial"/>
                <w:color w:val="000000" w:themeColor="text1"/>
              </w:rPr>
              <w:t>l</w:t>
            </w:r>
            <w:r w:rsidR="00EB7449">
              <w:rPr>
                <w:rFonts w:ascii="Arial" w:hAnsi="Arial" w:cs="Arial"/>
                <w:color w:val="000000" w:themeColor="text1"/>
              </w:rPr>
              <w:t xml:space="preserve"> sample of SDC (1%), (6,5) SWCNT and few-walled CNT placed in a cuvette (1 cm </w:t>
            </w:r>
            <w:r w:rsidR="00EB7449">
              <w:rPr>
                <w:rFonts w:ascii="Arial" w:hAnsi="Arial" w:cs="Arial"/>
                <w:color w:val="000000" w:themeColor="text1"/>
              </w:rPr>
              <w:sym w:font="Symbol" w:char="F0B4"/>
            </w:r>
            <w:r w:rsidR="00EB7449">
              <w:rPr>
                <w:rFonts w:ascii="Arial" w:hAnsi="Arial" w:cs="Arial"/>
                <w:color w:val="000000" w:themeColor="text1"/>
              </w:rPr>
              <w:t> 1 cm </w:t>
            </w:r>
            <w:r w:rsidR="00EB7449">
              <w:rPr>
                <w:rFonts w:ascii="Arial" w:hAnsi="Arial" w:cs="Arial"/>
                <w:color w:val="000000" w:themeColor="text1"/>
              </w:rPr>
              <w:sym w:font="Symbol" w:char="F0B4"/>
            </w:r>
            <w:r w:rsidR="00EB7449">
              <w:rPr>
                <w:rFonts w:ascii="Arial" w:hAnsi="Arial" w:cs="Arial"/>
                <w:color w:val="000000" w:themeColor="text1"/>
              </w:rPr>
              <w:t xml:space="preserve"> 4 cm) were irradiated in 13.56 MHz </w:t>
            </w:r>
            <w:r w:rsidR="00E304D3">
              <w:rPr>
                <w:rFonts w:ascii="Arial" w:hAnsi="Arial" w:cs="Arial"/>
                <w:color w:val="000000" w:themeColor="text1"/>
              </w:rPr>
              <w:t xml:space="preserve">RF field </w:t>
            </w:r>
            <w:r w:rsidR="00EB7449">
              <w:rPr>
                <w:rFonts w:ascii="Arial" w:hAnsi="Arial" w:cs="Arial"/>
                <w:color w:val="000000" w:themeColor="text1"/>
              </w:rPr>
              <w:t xml:space="preserve">generated between horizontal plates at various power outputs. Initial and final temperatures were measured with a type K thermocouple immersed in the liquid phase. </w:t>
            </w:r>
            <w:r w:rsidR="00EB7449" w:rsidRPr="0045105E">
              <w:rPr>
                <w:rFonts w:ascii="Arial" w:hAnsi="Arial" w:cs="Arial"/>
                <w:color w:val="000000" w:themeColor="text1"/>
              </w:rPr>
              <w:t xml:space="preserve">Statistical </w:t>
            </w:r>
            <w:r w:rsidR="009F5EB1">
              <w:rPr>
                <w:rFonts w:ascii="Arial" w:hAnsi="Arial" w:cs="Arial"/>
                <w:color w:val="000000" w:themeColor="text1"/>
              </w:rPr>
              <w:t>a</w:t>
            </w:r>
            <w:r w:rsidR="00EB7449" w:rsidRPr="0045105E">
              <w:rPr>
                <w:rFonts w:ascii="Arial" w:hAnsi="Arial" w:cs="Arial"/>
                <w:color w:val="000000" w:themeColor="text1"/>
              </w:rPr>
              <w:t xml:space="preserve">nalysis: </w:t>
            </w:r>
            <w:r w:rsidR="00EB7449">
              <w:rPr>
                <w:rFonts w:ascii="Arial" w:hAnsi="Arial" w:cs="Arial"/>
                <w:color w:val="000000" w:themeColor="text1"/>
              </w:rPr>
              <w:t>o</w:t>
            </w:r>
            <w:r w:rsidR="00EB7449" w:rsidRPr="0045105E">
              <w:rPr>
                <w:rFonts w:ascii="Arial" w:hAnsi="Arial" w:cs="Arial"/>
                <w:color w:val="000000" w:themeColor="text1"/>
              </w:rPr>
              <w:t>rdinary one-way ANOVA with Tukey</w:t>
            </w:r>
            <w:r w:rsidR="00EB7449">
              <w:rPr>
                <w:rFonts w:ascii="Arial" w:hAnsi="Arial" w:cs="Arial"/>
                <w:color w:val="000000" w:themeColor="text1"/>
              </w:rPr>
              <w:t>’</w:t>
            </w:r>
            <w:r w:rsidR="00EB7449" w:rsidRPr="0045105E">
              <w:rPr>
                <w:rFonts w:ascii="Arial" w:hAnsi="Arial" w:cs="Arial"/>
                <w:color w:val="000000" w:themeColor="text1"/>
              </w:rPr>
              <w:t xml:space="preserve">s multiple </w:t>
            </w:r>
            <w:r w:rsidR="00EB7449" w:rsidRPr="0045105E">
              <w:rPr>
                <w:rFonts w:ascii="Arial" w:hAnsi="Arial" w:cs="Arial"/>
                <w:color w:val="000000" w:themeColor="text1"/>
              </w:rPr>
              <w:lastRenderedPageBreak/>
              <w:t>comparisons test comparing the three groups in each power level (n</w:t>
            </w:r>
            <w:r w:rsidR="009F5EB1">
              <w:rPr>
                <w:rFonts w:ascii="Arial" w:hAnsi="Arial" w:cs="Arial"/>
                <w:color w:val="000000" w:themeColor="text1"/>
              </w:rPr>
              <w:t xml:space="preserve"> </w:t>
            </w:r>
            <w:r w:rsidR="00EB7449" w:rsidRPr="0045105E">
              <w:rPr>
                <w:rFonts w:ascii="Arial" w:hAnsi="Arial" w:cs="Arial"/>
                <w:color w:val="000000" w:themeColor="text1"/>
              </w:rPr>
              <w:t>=</w:t>
            </w:r>
            <w:r w:rsidR="009F5EB1">
              <w:rPr>
                <w:rFonts w:ascii="Arial" w:hAnsi="Arial" w:cs="Arial"/>
                <w:color w:val="000000" w:themeColor="text1"/>
              </w:rPr>
              <w:t xml:space="preserve"> </w:t>
            </w:r>
            <w:r w:rsidR="00EB7449" w:rsidRPr="0045105E">
              <w:rPr>
                <w:rFonts w:ascii="Arial" w:hAnsi="Arial" w:cs="Arial"/>
                <w:color w:val="000000" w:themeColor="text1"/>
              </w:rPr>
              <w:t>3). *p</w:t>
            </w:r>
            <w:r w:rsidR="00EB7449">
              <w:rPr>
                <w:rFonts w:ascii="Arial" w:hAnsi="Arial" w:cs="Arial"/>
                <w:color w:val="000000" w:themeColor="text1"/>
              </w:rPr>
              <w:t> </w:t>
            </w:r>
            <w:r w:rsidR="00EB7449" w:rsidRPr="0045105E">
              <w:rPr>
                <w:rFonts w:ascii="Arial" w:hAnsi="Arial" w:cs="Arial"/>
                <w:color w:val="000000" w:themeColor="text1"/>
              </w:rPr>
              <w:t>&lt;</w:t>
            </w:r>
            <w:r w:rsidR="00EB7449">
              <w:rPr>
                <w:rFonts w:ascii="Arial" w:hAnsi="Arial" w:cs="Arial"/>
                <w:color w:val="000000" w:themeColor="text1"/>
              </w:rPr>
              <w:t> </w:t>
            </w:r>
            <w:r w:rsidR="00EB7449" w:rsidRPr="0045105E">
              <w:rPr>
                <w:rFonts w:ascii="Arial" w:hAnsi="Arial" w:cs="Arial"/>
                <w:color w:val="000000" w:themeColor="text1"/>
              </w:rPr>
              <w:t>0.05, **p</w:t>
            </w:r>
            <w:r w:rsidR="00EB7449">
              <w:rPr>
                <w:rFonts w:ascii="Arial" w:hAnsi="Arial" w:cs="Arial"/>
                <w:color w:val="000000" w:themeColor="text1"/>
              </w:rPr>
              <w:t> </w:t>
            </w:r>
            <w:r w:rsidR="00EB7449" w:rsidRPr="0045105E">
              <w:rPr>
                <w:rFonts w:ascii="Arial" w:hAnsi="Arial" w:cs="Arial"/>
                <w:color w:val="000000" w:themeColor="text1"/>
              </w:rPr>
              <w:t>&lt;</w:t>
            </w:r>
            <w:r w:rsidR="00EB7449">
              <w:rPr>
                <w:rFonts w:ascii="Arial" w:hAnsi="Arial" w:cs="Arial"/>
                <w:color w:val="000000" w:themeColor="text1"/>
              </w:rPr>
              <w:t> </w:t>
            </w:r>
            <w:r w:rsidR="00EB7449" w:rsidRPr="0045105E">
              <w:rPr>
                <w:rFonts w:ascii="Arial" w:hAnsi="Arial" w:cs="Arial"/>
                <w:color w:val="000000" w:themeColor="text1"/>
              </w:rPr>
              <w:t>0.01, ***p</w:t>
            </w:r>
            <w:r w:rsidR="00EB7449">
              <w:rPr>
                <w:rFonts w:ascii="Arial" w:hAnsi="Arial" w:cs="Arial"/>
                <w:color w:val="000000" w:themeColor="text1"/>
              </w:rPr>
              <w:t> </w:t>
            </w:r>
            <w:r w:rsidR="00EB7449" w:rsidRPr="0045105E">
              <w:rPr>
                <w:rFonts w:ascii="Arial" w:hAnsi="Arial" w:cs="Arial"/>
                <w:color w:val="000000" w:themeColor="text1"/>
              </w:rPr>
              <w:t>&lt;</w:t>
            </w:r>
            <w:r w:rsidR="00EB7449">
              <w:rPr>
                <w:rFonts w:ascii="Arial" w:hAnsi="Arial" w:cs="Arial"/>
                <w:color w:val="000000" w:themeColor="text1"/>
              </w:rPr>
              <w:t> </w:t>
            </w:r>
            <w:r w:rsidR="00EB7449" w:rsidRPr="0045105E">
              <w:rPr>
                <w:rFonts w:ascii="Arial" w:hAnsi="Arial" w:cs="Arial"/>
                <w:color w:val="000000" w:themeColor="text1"/>
              </w:rPr>
              <w:t>0.001, ****p</w:t>
            </w:r>
            <w:r w:rsidR="00EB7449">
              <w:rPr>
                <w:rFonts w:ascii="Arial" w:hAnsi="Arial" w:cs="Arial"/>
                <w:color w:val="000000" w:themeColor="text1"/>
              </w:rPr>
              <w:t> </w:t>
            </w:r>
            <w:r w:rsidR="00EB7449" w:rsidRPr="0045105E">
              <w:rPr>
                <w:rFonts w:ascii="Arial" w:hAnsi="Arial" w:cs="Arial"/>
                <w:color w:val="000000" w:themeColor="text1"/>
              </w:rPr>
              <w:t>&lt;</w:t>
            </w:r>
            <w:r w:rsidR="00EB7449">
              <w:rPr>
                <w:rFonts w:ascii="Arial" w:hAnsi="Arial" w:cs="Arial"/>
                <w:color w:val="000000" w:themeColor="text1"/>
              </w:rPr>
              <w:t> </w:t>
            </w:r>
            <w:r w:rsidR="00EB7449" w:rsidRPr="0045105E">
              <w:rPr>
                <w:rFonts w:ascii="Arial" w:hAnsi="Arial" w:cs="Arial"/>
                <w:color w:val="000000" w:themeColor="text1"/>
              </w:rPr>
              <w:t>0.0001.</w:t>
            </w:r>
            <w:bookmarkEnd w:id="152"/>
          </w:p>
        </w:tc>
      </w:tr>
    </w:tbl>
    <w:p w14:paraId="1C9FAC7D" w14:textId="77777777" w:rsidR="000726FE" w:rsidRPr="00D74025" w:rsidRDefault="000726FE" w:rsidP="00D50330">
      <w:pPr>
        <w:contextualSpacing/>
        <w:rPr>
          <w:rFonts w:ascii="Arial" w:hAnsi="Arial" w:cs="Arial"/>
          <w:color w:val="000000" w:themeColor="text1"/>
          <w:sz w:val="20"/>
          <w:szCs w:val="20"/>
        </w:rPr>
      </w:pPr>
    </w:p>
    <w:p w14:paraId="2E474B00" w14:textId="77777777" w:rsidR="00D50330" w:rsidRPr="00D74025" w:rsidRDefault="00D50330" w:rsidP="00D50330">
      <w:pPr>
        <w:rPr>
          <w:rFonts w:ascii="Arial" w:hAnsi="Arial" w:cs="Arial"/>
          <w:color w:val="000000" w:themeColor="text1"/>
          <w:sz w:val="20"/>
          <w:szCs w:val="20"/>
        </w:rPr>
      </w:pPr>
    </w:p>
    <w:p w14:paraId="534D4797" w14:textId="77777777" w:rsidR="009C4CB0" w:rsidRDefault="009C4CB0" w:rsidP="009C4CB0">
      <w:pPr>
        <w:spacing w:line="360" w:lineRule="auto"/>
        <w:ind w:firstLine="1440"/>
        <w:contextualSpacing/>
        <w:jc w:val="both"/>
        <w:rPr>
          <w:rFonts w:ascii="Arial" w:hAnsi="Arial" w:cs="Arial"/>
          <w:color w:val="000000" w:themeColor="text1"/>
        </w:rPr>
      </w:pPr>
      <w:r>
        <w:rPr>
          <w:rFonts w:ascii="Arial" w:hAnsi="Arial" w:cs="Arial"/>
          <w:color w:val="000000" w:themeColor="text1"/>
        </w:rPr>
        <w:t xml:space="preserve">For the experiment with the carbon nanotubes suspended in SDC, </w:t>
      </w:r>
      <w:r w:rsidRPr="00DE249A">
        <w:rPr>
          <w:rFonts w:ascii="Arial" w:hAnsi="Arial" w:cs="Arial"/>
          <w:color w:val="000000" w:themeColor="text1"/>
        </w:rPr>
        <w:t>the heating of the surfactant was more effective than the CNT suspension</w:t>
      </w:r>
      <w:r>
        <w:rPr>
          <w:rFonts w:ascii="Arial" w:hAnsi="Arial" w:cs="Arial"/>
          <w:color w:val="000000" w:themeColor="text1"/>
        </w:rPr>
        <w:t xml:space="preserve"> at any power output</w:t>
      </w:r>
      <w:r w:rsidRPr="00DE249A">
        <w:rPr>
          <w:rFonts w:ascii="Arial" w:hAnsi="Arial" w:cs="Arial"/>
          <w:color w:val="000000" w:themeColor="text1"/>
        </w:rPr>
        <w:t xml:space="preserve">. Somehow, the interaction of </w:t>
      </w:r>
      <w:r>
        <w:rPr>
          <w:rFonts w:ascii="Arial" w:hAnsi="Arial" w:cs="Arial"/>
          <w:color w:val="000000" w:themeColor="text1"/>
        </w:rPr>
        <w:t xml:space="preserve">the </w:t>
      </w:r>
      <w:r w:rsidRPr="00DE249A">
        <w:rPr>
          <w:rFonts w:ascii="Arial" w:hAnsi="Arial" w:cs="Arial"/>
          <w:color w:val="000000" w:themeColor="text1"/>
        </w:rPr>
        <w:t xml:space="preserve">CNT </w:t>
      </w:r>
      <w:r>
        <w:rPr>
          <w:rFonts w:ascii="Arial" w:hAnsi="Arial" w:cs="Arial"/>
          <w:color w:val="000000" w:themeColor="text1"/>
        </w:rPr>
        <w:t>with</w:t>
      </w:r>
      <w:r w:rsidRPr="00DE249A">
        <w:rPr>
          <w:rFonts w:ascii="Arial" w:hAnsi="Arial" w:cs="Arial"/>
          <w:color w:val="000000" w:themeColor="text1"/>
        </w:rPr>
        <w:t xml:space="preserve"> </w:t>
      </w:r>
      <w:r>
        <w:rPr>
          <w:rFonts w:ascii="Arial" w:hAnsi="Arial" w:cs="Arial"/>
          <w:color w:val="000000" w:themeColor="text1"/>
        </w:rPr>
        <w:t xml:space="preserve">the </w:t>
      </w:r>
      <w:r w:rsidRPr="00DE249A">
        <w:rPr>
          <w:rFonts w:ascii="Arial" w:hAnsi="Arial" w:cs="Arial"/>
          <w:color w:val="000000" w:themeColor="text1"/>
        </w:rPr>
        <w:t xml:space="preserve">surfactant reduced the </w:t>
      </w:r>
      <w:r>
        <w:rPr>
          <w:rFonts w:ascii="Arial" w:hAnsi="Arial" w:cs="Arial"/>
          <w:color w:val="000000" w:themeColor="text1"/>
        </w:rPr>
        <w:t>surfactant's responsivity and shielded the CNT's responsivity</w:t>
      </w:r>
      <w:r w:rsidRPr="00DE249A">
        <w:rPr>
          <w:rFonts w:ascii="Arial" w:hAnsi="Arial" w:cs="Arial"/>
          <w:color w:val="000000" w:themeColor="text1"/>
        </w:rPr>
        <w:t xml:space="preserve"> to the RF field. That was important to show that the different </w:t>
      </w:r>
      <w:r>
        <w:rPr>
          <w:rFonts w:ascii="Arial" w:hAnsi="Arial" w:cs="Arial"/>
          <w:color w:val="000000" w:themeColor="text1"/>
        </w:rPr>
        <w:t>interactions</w:t>
      </w:r>
      <w:r w:rsidRPr="00DE249A">
        <w:rPr>
          <w:rFonts w:ascii="Arial" w:hAnsi="Arial" w:cs="Arial"/>
          <w:color w:val="000000" w:themeColor="text1"/>
        </w:rPr>
        <w:t xml:space="preserve"> between compounds in the system might produce a deleterious effect on the responsivity of the </w:t>
      </w:r>
      <w:r>
        <w:rPr>
          <w:rFonts w:ascii="Arial" w:hAnsi="Arial" w:cs="Arial"/>
          <w:color w:val="000000" w:themeColor="text1"/>
        </w:rPr>
        <w:t>nano</w:t>
      </w:r>
      <w:r w:rsidRPr="00DE249A">
        <w:rPr>
          <w:rFonts w:ascii="Arial" w:hAnsi="Arial" w:cs="Arial"/>
          <w:color w:val="000000" w:themeColor="text1"/>
        </w:rPr>
        <w:t xml:space="preserve">particles </w:t>
      </w:r>
      <w:r>
        <w:rPr>
          <w:rFonts w:ascii="Arial" w:hAnsi="Arial" w:cs="Arial"/>
          <w:color w:val="000000" w:themeColor="text1"/>
        </w:rPr>
        <w:t>to the</w:t>
      </w:r>
      <w:r w:rsidRPr="00DE249A">
        <w:rPr>
          <w:rFonts w:ascii="Arial" w:hAnsi="Arial" w:cs="Arial"/>
          <w:color w:val="000000" w:themeColor="text1"/>
        </w:rPr>
        <w:t xml:space="preserve"> RF field. </w:t>
      </w:r>
      <w:r>
        <w:rPr>
          <w:rFonts w:ascii="Arial" w:hAnsi="Arial" w:cs="Arial"/>
          <w:color w:val="000000" w:themeColor="text1"/>
        </w:rPr>
        <w:t xml:space="preserve">Conversely, in this work, the use of SDC was chosen over SDS as a surfactant for the suspension of CNT in the production of SWCNT-ANXA5 conjugate for photothermal therapy due to the higher availability of (6,5) SWCNT in the samples after sonication pointed out by Dr. Prada </w:t>
      </w:r>
      <w:proofErr w:type="spellStart"/>
      <w:r>
        <w:rPr>
          <w:rFonts w:ascii="Arial" w:hAnsi="Arial" w:cs="Arial"/>
          <w:color w:val="000000" w:themeColor="text1"/>
        </w:rPr>
        <w:t>Silvy</w:t>
      </w:r>
      <w:proofErr w:type="spellEnd"/>
      <w:r>
        <w:rPr>
          <w:rFonts w:ascii="Arial" w:hAnsi="Arial" w:cs="Arial"/>
          <w:color w:val="000000" w:themeColor="text1"/>
        </w:rPr>
        <w:t xml:space="preserve"> and Dr. Sathish. Therefore, while SDC is a better surfactant for PTT applications, it evokes a deleterious effect in CNT in radiofrequency ablation (RFA) applications.</w:t>
      </w:r>
    </w:p>
    <w:p w14:paraId="184CE552" w14:textId="41CEEF17" w:rsidR="00BA162E" w:rsidRDefault="00BA162E" w:rsidP="00BA162E">
      <w:pPr>
        <w:spacing w:line="360" w:lineRule="auto"/>
        <w:ind w:firstLine="1440"/>
        <w:jc w:val="both"/>
        <w:rPr>
          <w:rFonts w:ascii="Arial" w:hAnsi="Arial" w:cs="Arial"/>
          <w:color w:val="000000" w:themeColor="text1"/>
        </w:rPr>
      </w:pPr>
      <w:r w:rsidRPr="00F97CCF">
        <w:rPr>
          <w:rFonts w:ascii="Arial" w:hAnsi="Arial" w:cs="Arial"/>
          <w:color w:val="000000" w:themeColor="text1"/>
        </w:rPr>
        <w:t>The effect of other surfactants was also studied compared to SDS and SDC previously showed.</w:t>
      </w:r>
      <w:r>
        <w:rPr>
          <w:rFonts w:ascii="Arial" w:hAnsi="Arial" w:cs="Arial"/>
          <w:color w:val="000000" w:themeColor="text1"/>
        </w:rPr>
        <w:t xml:space="preserve"> </w:t>
      </w:r>
      <w:r w:rsidRPr="0008316A">
        <w:rPr>
          <w:rFonts w:ascii="Arial" w:hAnsi="Arial" w:cs="Arial"/>
          <w:color w:val="000000" w:themeColor="text1"/>
        </w:rPr>
        <w:t xml:space="preserve">The (6,5) SWCNT suspended in different surfactants were subjected to RF irradiation in </w:t>
      </w:r>
      <w:r>
        <w:rPr>
          <w:rFonts w:ascii="Arial" w:hAnsi="Arial" w:cs="Arial"/>
          <w:color w:val="000000" w:themeColor="text1"/>
        </w:rPr>
        <w:t xml:space="preserve">a </w:t>
      </w:r>
      <w:r w:rsidRPr="0008316A">
        <w:rPr>
          <w:rFonts w:ascii="Arial" w:hAnsi="Arial" w:cs="Arial"/>
          <w:color w:val="000000" w:themeColor="text1"/>
        </w:rPr>
        <w:t xml:space="preserve">cuvette as </w:t>
      </w:r>
      <w:r>
        <w:rPr>
          <w:rFonts w:ascii="Arial" w:hAnsi="Arial" w:cs="Arial"/>
          <w:color w:val="000000" w:themeColor="text1"/>
        </w:rPr>
        <w:t>before</w:t>
      </w:r>
      <w:r w:rsidRPr="0008316A">
        <w:rPr>
          <w:rFonts w:ascii="Arial" w:hAnsi="Arial" w:cs="Arial"/>
          <w:color w:val="000000" w:themeColor="text1"/>
        </w:rPr>
        <w:t xml:space="preserve">, applying different power outputs. SWCNT concentration was 500 mg/L. The results are shown in </w:t>
      </w:r>
      <w:r w:rsidR="00AD3A38" w:rsidRPr="00AD3A38">
        <w:rPr>
          <w:rFonts w:ascii="Arial" w:hAnsi="Arial" w:cs="Arial"/>
          <w:b/>
          <w:bCs/>
          <w:color w:val="000000" w:themeColor="text1"/>
        </w:rPr>
        <w:t>F</w:t>
      </w:r>
      <w:r w:rsidRPr="00AD3A38">
        <w:rPr>
          <w:rFonts w:ascii="Arial" w:hAnsi="Arial" w:cs="Arial"/>
          <w:b/>
          <w:bCs/>
          <w:color w:val="000000" w:themeColor="text1"/>
        </w:rPr>
        <w:t xml:space="preserve">igure </w:t>
      </w:r>
      <w:r w:rsidR="00AD3A38" w:rsidRPr="00AD3A38">
        <w:rPr>
          <w:rFonts w:ascii="Arial" w:hAnsi="Arial" w:cs="Arial"/>
          <w:b/>
          <w:bCs/>
          <w:color w:val="000000" w:themeColor="text1"/>
        </w:rPr>
        <w:t>50</w:t>
      </w:r>
      <w:r w:rsidR="00AD3A38">
        <w:rPr>
          <w:rFonts w:ascii="Arial" w:hAnsi="Arial" w:cs="Arial"/>
          <w:color w:val="000000" w:themeColor="text1"/>
        </w:rPr>
        <w:t>.</w:t>
      </w:r>
    </w:p>
    <w:p w14:paraId="30141367" w14:textId="77777777" w:rsidR="007F0487" w:rsidRDefault="007F0487" w:rsidP="007F0487">
      <w:pPr>
        <w:spacing w:line="360" w:lineRule="auto"/>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7F0487" w14:paraId="663C62CD" w14:textId="77777777" w:rsidTr="00BF01CD">
        <w:tc>
          <w:tcPr>
            <w:tcW w:w="9350" w:type="dxa"/>
          </w:tcPr>
          <w:p w14:paraId="0D3931E9" w14:textId="77777777" w:rsidR="007F0487" w:rsidRDefault="007F0487" w:rsidP="000D71A7">
            <w:pPr>
              <w:spacing w:beforeAutospacing="0" w:line="360" w:lineRule="auto"/>
              <w:ind w:hanging="15"/>
              <w:rPr>
                <w:rFonts w:ascii="Arial" w:hAnsi="Arial" w:cs="Arial"/>
                <w:color w:val="000000" w:themeColor="text1"/>
              </w:rPr>
            </w:pPr>
            <w:r w:rsidRPr="00D74025">
              <w:rPr>
                <w:rFonts w:ascii="Arial" w:hAnsi="Arial" w:cs="Arial"/>
                <w:noProof/>
                <w:color w:val="000000" w:themeColor="text1"/>
                <w:sz w:val="20"/>
                <w:szCs w:val="20"/>
              </w:rPr>
              <w:drawing>
                <wp:inline distT="0" distB="0" distL="0" distR="0" wp14:anchorId="58035689" wp14:editId="131BB63D">
                  <wp:extent cx="5935706" cy="2007220"/>
                  <wp:effectExtent l="0" t="0" r="0" b="0"/>
                  <wp:docPr id="44" name="Picture 4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Diagram&#10;&#10;Description automatically generated with medium confidence"/>
                          <pic:cNvPicPr/>
                        </pic:nvPicPr>
                        <pic:blipFill rotWithShape="1">
                          <a:blip r:embed="rId70"/>
                          <a:srcRect l="1901"/>
                          <a:stretch/>
                        </pic:blipFill>
                        <pic:spPr bwMode="auto">
                          <a:xfrm>
                            <a:off x="0" y="0"/>
                            <a:ext cx="5962267" cy="2016202"/>
                          </a:xfrm>
                          <a:prstGeom prst="rect">
                            <a:avLst/>
                          </a:prstGeom>
                          <a:ln>
                            <a:noFill/>
                          </a:ln>
                          <a:extLst>
                            <a:ext uri="{53640926-AAD7-44D8-BBD7-CCE9431645EC}">
                              <a14:shadowObscured xmlns:a14="http://schemas.microsoft.com/office/drawing/2010/main"/>
                            </a:ext>
                          </a:extLst>
                        </pic:spPr>
                      </pic:pic>
                    </a:graphicData>
                  </a:graphic>
                </wp:inline>
              </w:drawing>
            </w:r>
          </w:p>
        </w:tc>
      </w:tr>
      <w:tr w:rsidR="007F0487" w14:paraId="6CF3A159" w14:textId="77777777" w:rsidTr="00BF01CD">
        <w:tc>
          <w:tcPr>
            <w:tcW w:w="9350" w:type="dxa"/>
          </w:tcPr>
          <w:p w14:paraId="35A7444A" w14:textId="7F509FEA" w:rsidR="007F0487" w:rsidRPr="00B248D8" w:rsidRDefault="00E96C60" w:rsidP="00B248D8">
            <w:pPr>
              <w:spacing w:line="360" w:lineRule="auto"/>
              <w:ind w:firstLine="0"/>
            </w:pPr>
            <w:bookmarkStart w:id="153" w:name="_Toc118715126"/>
            <w:bookmarkStart w:id="154" w:name="_Toc121217372"/>
            <w:r w:rsidRPr="00E96C60">
              <w:rPr>
                <w:rFonts w:ascii="Arial" w:hAnsi="Arial" w:cs="Arial"/>
                <w:b/>
                <w:bCs/>
                <w:color w:val="000000" w:themeColor="text1"/>
              </w:rPr>
              <w:t xml:space="preserve">Figure </w:t>
            </w:r>
            <w:r w:rsidRPr="00E96C60">
              <w:rPr>
                <w:rFonts w:ascii="Arial" w:hAnsi="Arial" w:cs="Arial"/>
                <w:b/>
                <w:bCs/>
                <w:color w:val="000000" w:themeColor="text1"/>
              </w:rPr>
              <w:fldChar w:fldCharType="begin"/>
            </w:r>
            <w:r w:rsidRPr="00E96C60">
              <w:rPr>
                <w:rFonts w:ascii="Arial" w:hAnsi="Arial" w:cs="Arial"/>
                <w:b/>
                <w:bCs/>
                <w:color w:val="000000" w:themeColor="text1"/>
              </w:rPr>
              <w:instrText xml:space="preserve"> SEQ Figure \* ARABIC </w:instrText>
            </w:r>
            <w:r w:rsidRPr="00E96C60">
              <w:rPr>
                <w:rFonts w:ascii="Arial" w:hAnsi="Arial" w:cs="Arial"/>
                <w:b/>
                <w:bCs/>
                <w:color w:val="000000" w:themeColor="text1"/>
              </w:rPr>
              <w:fldChar w:fldCharType="separate"/>
            </w:r>
            <w:r w:rsidR="002C4B25">
              <w:rPr>
                <w:rFonts w:ascii="Arial" w:hAnsi="Arial" w:cs="Arial"/>
                <w:b/>
                <w:bCs/>
                <w:noProof/>
                <w:color w:val="000000" w:themeColor="text1"/>
              </w:rPr>
              <w:t>50</w:t>
            </w:r>
            <w:r w:rsidRPr="00E96C60">
              <w:rPr>
                <w:rFonts w:ascii="Arial" w:hAnsi="Arial" w:cs="Arial"/>
                <w:b/>
                <w:bCs/>
                <w:color w:val="000000" w:themeColor="text1"/>
              </w:rPr>
              <w:fldChar w:fldCharType="end"/>
            </w:r>
            <w:r w:rsidR="00B248D8" w:rsidRPr="00380195">
              <w:rPr>
                <w:rFonts w:ascii="Arial" w:hAnsi="Arial" w:cs="Arial"/>
                <w:b/>
                <w:bCs/>
                <w:color w:val="000000" w:themeColor="text1"/>
              </w:rPr>
              <w:t xml:space="preserve">: Assessment of radiofrequency responsivity of (6,5) SWCNT </w:t>
            </w:r>
            <w:r w:rsidR="00B248D8">
              <w:rPr>
                <w:rFonts w:ascii="Arial" w:hAnsi="Arial" w:cs="Arial"/>
                <w:b/>
                <w:bCs/>
                <w:color w:val="000000" w:themeColor="text1"/>
              </w:rPr>
              <w:t xml:space="preserve">suspended </w:t>
            </w:r>
            <w:r w:rsidR="00B248D8" w:rsidRPr="00380195">
              <w:rPr>
                <w:rFonts w:ascii="Arial" w:hAnsi="Arial" w:cs="Arial"/>
                <w:b/>
                <w:bCs/>
                <w:color w:val="000000" w:themeColor="text1"/>
              </w:rPr>
              <w:t>in different surfactants.</w:t>
            </w:r>
            <w:r w:rsidR="00B248D8">
              <w:rPr>
                <w:rFonts w:ascii="Arial" w:hAnsi="Arial" w:cs="Arial"/>
                <w:color w:val="000000" w:themeColor="text1"/>
              </w:rPr>
              <w:t xml:space="preserve"> S</w:t>
            </w:r>
            <w:r w:rsidR="00B248D8" w:rsidRPr="00380195">
              <w:rPr>
                <w:rFonts w:ascii="Arial" w:hAnsi="Arial" w:cs="Arial"/>
                <w:color w:val="000000" w:themeColor="text1"/>
              </w:rPr>
              <w:t xml:space="preserve">amples of </w:t>
            </w:r>
            <w:r w:rsidR="00B248D8">
              <w:rPr>
                <w:rFonts w:ascii="Arial" w:hAnsi="Arial" w:cs="Arial"/>
                <w:color w:val="000000" w:themeColor="text1"/>
              </w:rPr>
              <w:t>(6,5)</w:t>
            </w:r>
            <w:r w:rsidR="00B248D8" w:rsidRPr="00380195">
              <w:rPr>
                <w:rFonts w:ascii="Arial" w:hAnsi="Arial" w:cs="Arial"/>
                <w:color w:val="000000" w:themeColor="text1"/>
              </w:rPr>
              <w:t xml:space="preserve"> </w:t>
            </w:r>
            <w:r w:rsidR="00B248D8">
              <w:rPr>
                <w:rFonts w:ascii="Arial" w:hAnsi="Arial" w:cs="Arial"/>
                <w:color w:val="000000" w:themeColor="text1"/>
              </w:rPr>
              <w:t>SW</w:t>
            </w:r>
            <w:r w:rsidR="00B248D8" w:rsidRPr="00380195">
              <w:rPr>
                <w:rFonts w:ascii="Arial" w:hAnsi="Arial" w:cs="Arial"/>
                <w:color w:val="000000" w:themeColor="text1"/>
              </w:rPr>
              <w:t>CNT were</w:t>
            </w:r>
            <w:r w:rsidR="00B248D8">
              <w:rPr>
                <w:rFonts w:ascii="Arial" w:hAnsi="Arial" w:cs="Arial"/>
                <w:color w:val="000000" w:themeColor="text1"/>
              </w:rPr>
              <w:t xml:space="preserve"> sonicated in different surfactants [SDS (1%), SDC (1%), Triton X-100 (2%), and Tween 20 (2%)] for </w:t>
            </w:r>
            <w:r w:rsidR="00B248D8">
              <w:rPr>
                <w:rFonts w:ascii="Arial" w:hAnsi="Arial" w:cs="Arial"/>
                <w:color w:val="000000" w:themeColor="text1"/>
              </w:rPr>
              <w:lastRenderedPageBreak/>
              <w:t xml:space="preserve">1 h. </w:t>
            </w:r>
            <w:r w:rsidR="00B248D8" w:rsidRPr="00380195">
              <w:rPr>
                <w:rFonts w:ascii="Arial" w:hAnsi="Arial" w:cs="Arial"/>
                <w:color w:val="000000" w:themeColor="text1"/>
              </w:rPr>
              <w:t>One</w:t>
            </w:r>
            <w:r w:rsidR="0020020F">
              <w:rPr>
                <w:rFonts w:ascii="Arial" w:hAnsi="Arial" w:cs="Arial"/>
                <w:color w:val="000000" w:themeColor="text1"/>
              </w:rPr>
              <w:t xml:space="preserve"> ml</w:t>
            </w:r>
            <w:r w:rsidR="00B248D8" w:rsidRPr="00380195">
              <w:rPr>
                <w:rFonts w:ascii="Arial" w:hAnsi="Arial" w:cs="Arial"/>
                <w:color w:val="000000" w:themeColor="text1"/>
              </w:rPr>
              <w:t xml:space="preserve"> </w:t>
            </w:r>
            <w:r w:rsidR="00B248D8">
              <w:rPr>
                <w:rFonts w:ascii="Arial" w:hAnsi="Arial" w:cs="Arial"/>
                <w:color w:val="000000" w:themeColor="text1"/>
              </w:rPr>
              <w:t xml:space="preserve">samples were </w:t>
            </w:r>
            <w:r w:rsidR="00B248D8" w:rsidRPr="00380195">
              <w:rPr>
                <w:rFonts w:ascii="Arial" w:hAnsi="Arial" w:cs="Arial"/>
                <w:color w:val="000000" w:themeColor="text1"/>
              </w:rPr>
              <w:t xml:space="preserve">placed in </w:t>
            </w:r>
            <w:r w:rsidR="00B248D8">
              <w:rPr>
                <w:rFonts w:ascii="Arial" w:hAnsi="Arial" w:cs="Arial"/>
                <w:color w:val="000000" w:themeColor="text1"/>
              </w:rPr>
              <w:t xml:space="preserve">a </w:t>
            </w:r>
            <w:r w:rsidR="00B248D8" w:rsidRPr="00380195">
              <w:rPr>
                <w:rFonts w:ascii="Arial" w:hAnsi="Arial" w:cs="Arial"/>
                <w:color w:val="000000" w:themeColor="text1"/>
              </w:rPr>
              <w:t>cuvette (1 cm </w:t>
            </w:r>
            <w:r w:rsidR="00B248D8" w:rsidRPr="00380195">
              <w:rPr>
                <w:rFonts w:ascii="Arial" w:hAnsi="Arial" w:cs="Arial"/>
                <w:color w:val="000000" w:themeColor="text1"/>
              </w:rPr>
              <w:sym w:font="Symbol" w:char="F0B4"/>
            </w:r>
            <w:r w:rsidR="00B248D8" w:rsidRPr="00380195">
              <w:rPr>
                <w:rFonts w:ascii="Arial" w:hAnsi="Arial" w:cs="Arial"/>
                <w:color w:val="000000" w:themeColor="text1"/>
              </w:rPr>
              <w:t> 1 cm </w:t>
            </w:r>
            <w:r w:rsidR="00B248D8" w:rsidRPr="00380195">
              <w:rPr>
                <w:rFonts w:ascii="Arial" w:hAnsi="Arial" w:cs="Arial"/>
                <w:color w:val="000000" w:themeColor="text1"/>
              </w:rPr>
              <w:sym w:font="Symbol" w:char="F0B4"/>
            </w:r>
            <w:r w:rsidR="00B248D8" w:rsidRPr="00380195">
              <w:rPr>
                <w:rFonts w:ascii="Arial" w:hAnsi="Arial" w:cs="Arial"/>
                <w:color w:val="000000" w:themeColor="text1"/>
              </w:rPr>
              <w:t> 4 cm) an</w:t>
            </w:r>
            <w:r w:rsidR="00C00020">
              <w:rPr>
                <w:rFonts w:ascii="Arial" w:hAnsi="Arial" w:cs="Arial"/>
                <w:color w:val="000000" w:themeColor="text1"/>
              </w:rPr>
              <w:t>d</w:t>
            </w:r>
            <w:r w:rsidR="00B248D8" w:rsidRPr="00380195">
              <w:rPr>
                <w:rFonts w:ascii="Arial" w:hAnsi="Arial" w:cs="Arial"/>
                <w:color w:val="000000" w:themeColor="text1"/>
              </w:rPr>
              <w:t xml:space="preserve"> irradiated in 13.56 MHz generated between horizontal plates at </w:t>
            </w:r>
            <w:r w:rsidR="00B248D8">
              <w:rPr>
                <w:rFonts w:ascii="Arial" w:hAnsi="Arial" w:cs="Arial"/>
                <w:color w:val="000000" w:themeColor="text1"/>
              </w:rPr>
              <w:t>different</w:t>
            </w:r>
            <w:r w:rsidR="00B248D8" w:rsidRPr="00380195">
              <w:rPr>
                <w:rFonts w:ascii="Arial" w:hAnsi="Arial" w:cs="Arial"/>
                <w:color w:val="000000" w:themeColor="text1"/>
              </w:rPr>
              <w:t xml:space="preserve"> power output</w:t>
            </w:r>
            <w:r w:rsidR="00B248D8">
              <w:rPr>
                <w:rFonts w:ascii="Arial" w:hAnsi="Arial" w:cs="Arial"/>
                <w:color w:val="000000" w:themeColor="text1"/>
              </w:rPr>
              <w:t>s (200, 400, and 600 W)</w:t>
            </w:r>
            <w:r w:rsidR="00B248D8" w:rsidRPr="00380195">
              <w:rPr>
                <w:rFonts w:ascii="Arial" w:hAnsi="Arial" w:cs="Arial"/>
                <w:color w:val="000000" w:themeColor="text1"/>
              </w:rPr>
              <w:t xml:space="preserve">. Initial and final </w:t>
            </w:r>
            <w:r w:rsidR="00B248D8">
              <w:rPr>
                <w:rFonts w:ascii="Arial" w:hAnsi="Arial" w:cs="Arial"/>
                <w:color w:val="000000" w:themeColor="text1"/>
              </w:rPr>
              <w:t>temperatures</w:t>
            </w:r>
            <w:r w:rsidR="00B248D8" w:rsidRPr="00380195">
              <w:rPr>
                <w:rFonts w:ascii="Arial" w:hAnsi="Arial" w:cs="Arial"/>
                <w:color w:val="000000" w:themeColor="text1"/>
              </w:rPr>
              <w:t xml:space="preserve"> were measured with </w:t>
            </w:r>
            <w:r w:rsidR="00B248D8">
              <w:rPr>
                <w:rFonts w:ascii="Arial" w:hAnsi="Arial" w:cs="Arial"/>
                <w:color w:val="000000" w:themeColor="text1"/>
              </w:rPr>
              <w:t xml:space="preserve">a </w:t>
            </w:r>
            <w:r w:rsidR="00B248D8" w:rsidRPr="00380195">
              <w:rPr>
                <w:rFonts w:ascii="Arial" w:hAnsi="Arial" w:cs="Arial"/>
                <w:color w:val="000000" w:themeColor="text1"/>
              </w:rPr>
              <w:t xml:space="preserve">type K thermocouple immersed in </w:t>
            </w:r>
            <w:r w:rsidR="00B248D8">
              <w:rPr>
                <w:rFonts w:ascii="Arial" w:hAnsi="Arial" w:cs="Arial"/>
                <w:color w:val="000000" w:themeColor="text1"/>
              </w:rPr>
              <w:t xml:space="preserve">the </w:t>
            </w:r>
            <w:r w:rsidR="00B248D8" w:rsidRPr="00380195">
              <w:rPr>
                <w:rFonts w:ascii="Arial" w:hAnsi="Arial" w:cs="Arial"/>
                <w:color w:val="000000" w:themeColor="text1"/>
              </w:rPr>
              <w:t>liquid phase</w:t>
            </w:r>
            <w:r w:rsidR="00B248D8">
              <w:rPr>
                <w:rFonts w:ascii="Arial" w:hAnsi="Arial" w:cs="Arial"/>
                <w:color w:val="000000" w:themeColor="text1"/>
              </w:rPr>
              <w:t xml:space="preserve">. </w:t>
            </w:r>
            <w:r w:rsidR="00B248D8" w:rsidRPr="00380195">
              <w:rPr>
                <w:rFonts w:ascii="Arial" w:hAnsi="Arial" w:cs="Arial"/>
                <w:color w:val="000000" w:themeColor="text1"/>
              </w:rPr>
              <w:t xml:space="preserve">Statistical </w:t>
            </w:r>
            <w:r w:rsidR="00C00020">
              <w:rPr>
                <w:rFonts w:ascii="Arial" w:hAnsi="Arial" w:cs="Arial"/>
                <w:color w:val="000000" w:themeColor="text1"/>
              </w:rPr>
              <w:t>a</w:t>
            </w:r>
            <w:r w:rsidR="00B248D8" w:rsidRPr="00380195">
              <w:rPr>
                <w:rFonts w:ascii="Arial" w:hAnsi="Arial" w:cs="Arial"/>
                <w:color w:val="000000" w:themeColor="text1"/>
              </w:rPr>
              <w:t>nalysis</w:t>
            </w:r>
            <w:r w:rsidR="00B248D8">
              <w:rPr>
                <w:rFonts w:ascii="Arial" w:hAnsi="Arial" w:cs="Arial"/>
                <w:color w:val="000000" w:themeColor="text1"/>
              </w:rPr>
              <w:t xml:space="preserve"> between surfactant and SWCNT suspension in surfactant was done by unpaired t-test with Welch’s correction for assumed different variances. n = 3, </w:t>
            </w:r>
            <w:r w:rsidR="00B248D8" w:rsidRPr="00380195">
              <w:rPr>
                <w:rFonts w:ascii="Arial" w:hAnsi="Arial" w:cs="Arial"/>
                <w:color w:val="000000" w:themeColor="text1"/>
              </w:rPr>
              <w:t>*p &lt; 0.05, **p &lt; 0.01, ***p &lt; 0.001</w:t>
            </w:r>
            <w:r w:rsidR="00B248D8">
              <w:rPr>
                <w:rFonts w:ascii="Arial" w:hAnsi="Arial" w:cs="Arial"/>
                <w:color w:val="000000" w:themeColor="text1"/>
              </w:rPr>
              <w:t>.</w:t>
            </w:r>
            <w:bookmarkEnd w:id="153"/>
            <w:bookmarkEnd w:id="154"/>
          </w:p>
        </w:tc>
      </w:tr>
    </w:tbl>
    <w:p w14:paraId="6263DA1F" w14:textId="5F746E65" w:rsidR="007F0487" w:rsidRPr="007960E8" w:rsidRDefault="007F0487" w:rsidP="007F0487">
      <w:pPr>
        <w:spacing w:line="360" w:lineRule="auto"/>
        <w:rPr>
          <w:rFonts w:ascii="Arial" w:hAnsi="Arial" w:cs="Arial"/>
          <w:color w:val="000000" w:themeColor="text1"/>
        </w:rPr>
      </w:pPr>
    </w:p>
    <w:p w14:paraId="08503D5F" w14:textId="06F00516" w:rsidR="00BD780D" w:rsidRDefault="00BD780D" w:rsidP="00BD780D">
      <w:pPr>
        <w:spacing w:line="360" w:lineRule="auto"/>
        <w:ind w:firstLine="1440"/>
        <w:jc w:val="both"/>
        <w:rPr>
          <w:rFonts w:ascii="Arial" w:hAnsi="Arial" w:cs="Arial"/>
          <w:color w:val="000000" w:themeColor="text1"/>
        </w:rPr>
      </w:pPr>
      <w:r w:rsidRPr="007960E8">
        <w:rPr>
          <w:rFonts w:ascii="Arial" w:hAnsi="Arial" w:cs="Arial"/>
          <w:color w:val="000000" w:themeColor="text1"/>
        </w:rPr>
        <w:t xml:space="preserve">Comparing the different surfactants, </w:t>
      </w:r>
      <w:r>
        <w:rPr>
          <w:rFonts w:ascii="Arial" w:hAnsi="Arial" w:cs="Arial"/>
          <w:color w:val="000000" w:themeColor="text1"/>
        </w:rPr>
        <w:t xml:space="preserve">only </w:t>
      </w:r>
      <w:r w:rsidRPr="007960E8">
        <w:rPr>
          <w:rFonts w:ascii="Arial" w:hAnsi="Arial" w:cs="Arial"/>
          <w:color w:val="000000" w:themeColor="text1"/>
        </w:rPr>
        <w:t xml:space="preserve">SDC had a deleterious effect on the responsivity of the SWCNT to </w:t>
      </w:r>
      <w:r>
        <w:rPr>
          <w:rFonts w:ascii="Arial" w:hAnsi="Arial" w:cs="Arial"/>
          <w:color w:val="000000" w:themeColor="text1"/>
        </w:rPr>
        <w:t xml:space="preserve">the </w:t>
      </w:r>
      <w:r w:rsidRPr="007960E8">
        <w:rPr>
          <w:rFonts w:ascii="Arial" w:hAnsi="Arial" w:cs="Arial"/>
          <w:color w:val="000000" w:themeColor="text1"/>
        </w:rPr>
        <w:t xml:space="preserve">RF field. Additionally, although SWCNT suspension in SDS has a higher heating rate than in </w:t>
      </w:r>
      <w:r>
        <w:rPr>
          <w:rFonts w:ascii="Arial" w:hAnsi="Arial" w:cs="Arial"/>
          <w:color w:val="000000" w:themeColor="text1"/>
        </w:rPr>
        <w:t>other surfactants</w:t>
      </w:r>
      <w:r w:rsidRPr="007960E8">
        <w:rPr>
          <w:rFonts w:ascii="Arial" w:hAnsi="Arial" w:cs="Arial"/>
          <w:color w:val="000000" w:themeColor="text1"/>
        </w:rPr>
        <w:t xml:space="preserve">, the effect of the SDS alone is much more considerable than TRITON X-100 and TWEEN-20. Therefore, it was reasoned that using TWEEN-20 for </w:t>
      </w:r>
      <w:r>
        <w:rPr>
          <w:rFonts w:ascii="Arial" w:hAnsi="Arial" w:cs="Arial"/>
          <w:color w:val="000000" w:themeColor="text1"/>
        </w:rPr>
        <w:t>the following</w:t>
      </w:r>
      <w:r w:rsidRPr="007960E8">
        <w:rPr>
          <w:rFonts w:ascii="Arial" w:hAnsi="Arial" w:cs="Arial"/>
          <w:color w:val="000000" w:themeColor="text1"/>
        </w:rPr>
        <w:t xml:space="preserve"> experiments would be more beneficial due to a lower heating “noise” generated by this surfactant. </w:t>
      </w:r>
      <w:r>
        <w:rPr>
          <w:rFonts w:ascii="Arial" w:hAnsi="Arial" w:cs="Arial"/>
          <w:color w:val="000000" w:themeColor="text1"/>
        </w:rPr>
        <w:t>Once again, the molecular environment of the S</w:t>
      </w:r>
      <w:r w:rsidR="00187AE6">
        <w:rPr>
          <w:rFonts w:ascii="Arial" w:hAnsi="Arial" w:cs="Arial"/>
          <w:color w:val="000000" w:themeColor="text1"/>
        </w:rPr>
        <w:t>W</w:t>
      </w:r>
      <w:r>
        <w:rPr>
          <w:rFonts w:ascii="Arial" w:hAnsi="Arial" w:cs="Arial"/>
          <w:color w:val="000000" w:themeColor="text1"/>
        </w:rPr>
        <w:t>C</w:t>
      </w:r>
      <w:r w:rsidR="00187AE6">
        <w:rPr>
          <w:rFonts w:ascii="Arial" w:hAnsi="Arial" w:cs="Arial"/>
          <w:color w:val="000000" w:themeColor="text1"/>
        </w:rPr>
        <w:t>N</w:t>
      </w:r>
      <w:r>
        <w:rPr>
          <w:rFonts w:ascii="Arial" w:hAnsi="Arial" w:cs="Arial"/>
          <w:color w:val="000000" w:themeColor="text1"/>
        </w:rPr>
        <w:t>T influences the heating rate of the samples, which might influence the performance of SWCNT as responsive materials in RF.</w:t>
      </w:r>
    </w:p>
    <w:p w14:paraId="14ADC243" w14:textId="19688F84" w:rsidR="00717625" w:rsidRDefault="00717625" w:rsidP="00717625">
      <w:pPr>
        <w:spacing w:line="360" w:lineRule="auto"/>
        <w:ind w:firstLine="1440"/>
        <w:jc w:val="both"/>
        <w:rPr>
          <w:rFonts w:ascii="Arial" w:hAnsi="Arial" w:cs="Arial"/>
          <w:color w:val="000000" w:themeColor="text1"/>
        </w:rPr>
      </w:pPr>
      <w:r>
        <w:rPr>
          <w:rFonts w:ascii="Arial" w:hAnsi="Arial" w:cs="Arial"/>
          <w:color w:val="000000" w:themeColor="text1"/>
        </w:rPr>
        <w:t>Another possibility that was analyzed was the suspension of (6,5) SWC</w:t>
      </w:r>
      <w:r w:rsidR="00187AE6">
        <w:rPr>
          <w:rFonts w:ascii="Arial" w:hAnsi="Arial" w:cs="Arial"/>
          <w:color w:val="000000" w:themeColor="text1"/>
        </w:rPr>
        <w:t>N</w:t>
      </w:r>
      <w:r>
        <w:rPr>
          <w:rFonts w:ascii="Arial" w:hAnsi="Arial" w:cs="Arial"/>
          <w:color w:val="000000" w:themeColor="text1"/>
        </w:rPr>
        <w:t xml:space="preserve">T in solvent instead of the aqueous surfactant solution. For that, HPLC ethanol was used to suspend the CNT. The responsivity of ethanol to RF was also assessed by 13.56 MHz in a cuvette, as shown in </w:t>
      </w:r>
      <w:r w:rsidR="00AD3A38" w:rsidRPr="00AD3A38">
        <w:rPr>
          <w:rFonts w:ascii="Arial" w:hAnsi="Arial" w:cs="Arial"/>
          <w:b/>
          <w:bCs/>
          <w:color w:val="000000" w:themeColor="text1"/>
        </w:rPr>
        <w:t>F</w:t>
      </w:r>
      <w:r w:rsidRPr="00AD3A38">
        <w:rPr>
          <w:rFonts w:ascii="Arial" w:hAnsi="Arial" w:cs="Arial"/>
          <w:b/>
          <w:bCs/>
          <w:color w:val="000000" w:themeColor="text1"/>
        </w:rPr>
        <w:t xml:space="preserve">igure </w:t>
      </w:r>
      <w:r w:rsidR="00AD3A38" w:rsidRPr="00AD3A38">
        <w:rPr>
          <w:rFonts w:ascii="Arial" w:hAnsi="Arial" w:cs="Arial"/>
          <w:b/>
          <w:bCs/>
          <w:color w:val="000000" w:themeColor="text1"/>
        </w:rPr>
        <w:t>51</w:t>
      </w:r>
      <w:r>
        <w:rPr>
          <w:rFonts w:ascii="Arial" w:hAnsi="Arial" w:cs="Arial"/>
          <w:color w:val="000000" w:themeColor="text1"/>
        </w:rPr>
        <w:t>.</w:t>
      </w:r>
    </w:p>
    <w:p w14:paraId="2A24C705" w14:textId="77777777" w:rsidR="007F0487" w:rsidRDefault="007F0487" w:rsidP="007F0487">
      <w:pPr>
        <w:spacing w:line="360" w:lineRule="auto"/>
        <w:ind w:firstLine="1440"/>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7F0487" w14:paraId="298C7EBB" w14:textId="77777777" w:rsidTr="00BF01CD">
        <w:tc>
          <w:tcPr>
            <w:tcW w:w="9350" w:type="dxa"/>
          </w:tcPr>
          <w:p w14:paraId="5FF3DDAF" w14:textId="5087BCCE" w:rsidR="002A5EE3" w:rsidRDefault="006C4BB4" w:rsidP="000D71A7">
            <w:pPr>
              <w:spacing w:beforeAutospacing="0" w:line="360" w:lineRule="auto"/>
              <w:ind w:firstLine="0"/>
              <w:jc w:val="center"/>
              <w:rPr>
                <w:rFonts w:ascii="Arial" w:hAnsi="Arial" w:cs="Arial"/>
                <w:color w:val="000000" w:themeColor="text1"/>
              </w:rPr>
            </w:pPr>
            <w:r w:rsidRPr="006C4BB4">
              <w:rPr>
                <w:rFonts w:ascii="Arial" w:hAnsi="Arial" w:cs="Arial"/>
                <w:noProof/>
                <w:color w:val="000000" w:themeColor="text1"/>
              </w:rPr>
              <w:lastRenderedPageBreak/>
              <w:drawing>
                <wp:inline distT="0" distB="0" distL="0" distR="0" wp14:anchorId="26F5D746" wp14:editId="4050672E">
                  <wp:extent cx="5943600" cy="293370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3600" cy="2933700"/>
                          </a:xfrm>
                          <a:prstGeom prst="rect">
                            <a:avLst/>
                          </a:prstGeom>
                        </pic:spPr>
                      </pic:pic>
                    </a:graphicData>
                  </a:graphic>
                </wp:inline>
              </w:drawing>
            </w:r>
          </w:p>
        </w:tc>
      </w:tr>
      <w:tr w:rsidR="007F0487" w14:paraId="6452D006" w14:textId="77777777" w:rsidTr="00BF01CD">
        <w:tc>
          <w:tcPr>
            <w:tcW w:w="9350" w:type="dxa"/>
          </w:tcPr>
          <w:p w14:paraId="0DE6A4F4" w14:textId="7D9D2178" w:rsidR="007F0487" w:rsidRPr="00211A69" w:rsidRDefault="007C7A42" w:rsidP="00211A69">
            <w:pPr>
              <w:spacing w:line="360" w:lineRule="auto"/>
              <w:ind w:firstLine="0"/>
            </w:pPr>
            <w:bookmarkStart w:id="155" w:name="_Toc121217373"/>
            <w:r w:rsidRPr="007C7A42">
              <w:rPr>
                <w:rFonts w:ascii="Arial" w:hAnsi="Arial" w:cs="Arial"/>
                <w:b/>
                <w:bCs/>
                <w:color w:val="000000" w:themeColor="text1"/>
              </w:rPr>
              <w:t xml:space="preserve">Figure </w:t>
            </w:r>
            <w:r w:rsidRPr="007C7A42">
              <w:rPr>
                <w:rFonts w:ascii="Arial" w:hAnsi="Arial" w:cs="Arial"/>
                <w:b/>
                <w:bCs/>
                <w:color w:val="000000" w:themeColor="text1"/>
              </w:rPr>
              <w:fldChar w:fldCharType="begin"/>
            </w:r>
            <w:r w:rsidRPr="007C7A42">
              <w:rPr>
                <w:rFonts w:ascii="Arial" w:hAnsi="Arial" w:cs="Arial"/>
                <w:b/>
                <w:bCs/>
                <w:color w:val="000000" w:themeColor="text1"/>
              </w:rPr>
              <w:instrText xml:space="preserve"> SEQ Figure \* ARABIC </w:instrText>
            </w:r>
            <w:r w:rsidRPr="007C7A42">
              <w:rPr>
                <w:rFonts w:ascii="Arial" w:hAnsi="Arial" w:cs="Arial"/>
                <w:b/>
                <w:bCs/>
                <w:color w:val="000000" w:themeColor="text1"/>
              </w:rPr>
              <w:fldChar w:fldCharType="separate"/>
            </w:r>
            <w:r w:rsidR="002C4B25">
              <w:rPr>
                <w:rFonts w:ascii="Arial" w:hAnsi="Arial" w:cs="Arial"/>
                <w:b/>
                <w:bCs/>
                <w:noProof/>
                <w:color w:val="000000" w:themeColor="text1"/>
              </w:rPr>
              <w:t>51</w:t>
            </w:r>
            <w:r w:rsidRPr="007C7A42">
              <w:rPr>
                <w:rFonts w:ascii="Arial" w:hAnsi="Arial" w:cs="Arial"/>
                <w:b/>
                <w:bCs/>
                <w:color w:val="000000" w:themeColor="text1"/>
              </w:rPr>
              <w:fldChar w:fldCharType="end"/>
            </w:r>
            <w:r w:rsidR="00211A69" w:rsidRPr="00946E89">
              <w:rPr>
                <w:rFonts w:ascii="Arial" w:hAnsi="Arial" w:cs="Arial"/>
                <w:b/>
                <w:bCs/>
                <w:color w:val="000000" w:themeColor="text1"/>
              </w:rPr>
              <w:t>: Analysis of the effect of the suspension of (6,5) SWCNT in solvent ethanol.</w:t>
            </w:r>
            <w:r w:rsidR="00211A69">
              <w:rPr>
                <w:rFonts w:ascii="Arial" w:hAnsi="Arial" w:cs="Arial"/>
                <w:color w:val="000000" w:themeColor="text1"/>
              </w:rPr>
              <w:t xml:space="preserve"> A) Samples of 4.2 ml of ethanol were irradiated with a 13.56 MHz RF field, and the temperature was measured with a type K thermocouple. The heating rate was not very high compared to some surfactant solutions. B) Image of cuvette after a few seconds of irradiation of SWCNT suspended in ethanol. Ignition of the flammable solvent occurred during irradiation; therefore, the heating rate was</w:t>
            </w:r>
            <w:r w:rsidR="0012496D">
              <w:rPr>
                <w:rFonts w:ascii="Arial" w:hAnsi="Arial" w:cs="Arial"/>
                <w:color w:val="000000" w:themeColor="text1"/>
              </w:rPr>
              <w:t xml:space="preserve"> no</w:t>
            </w:r>
            <w:r w:rsidR="00211A69">
              <w:rPr>
                <w:rFonts w:ascii="Arial" w:hAnsi="Arial" w:cs="Arial"/>
                <w:color w:val="000000" w:themeColor="text1"/>
              </w:rPr>
              <w:t>t measured.</w:t>
            </w:r>
            <w:bookmarkEnd w:id="155"/>
          </w:p>
        </w:tc>
      </w:tr>
    </w:tbl>
    <w:p w14:paraId="06D72A0E" w14:textId="77777777" w:rsidR="007C7A42" w:rsidRDefault="007C7A42" w:rsidP="00FE7866">
      <w:pPr>
        <w:spacing w:line="360" w:lineRule="auto"/>
        <w:ind w:firstLine="1440"/>
        <w:contextualSpacing/>
        <w:jc w:val="both"/>
        <w:rPr>
          <w:rFonts w:ascii="Arial" w:hAnsi="Arial" w:cs="Arial"/>
          <w:color w:val="000000" w:themeColor="text1"/>
        </w:rPr>
      </w:pPr>
    </w:p>
    <w:p w14:paraId="6091B8A5" w14:textId="599BA67A" w:rsidR="00FE7866" w:rsidRDefault="00FE7866" w:rsidP="00FE7866">
      <w:pPr>
        <w:spacing w:line="360" w:lineRule="auto"/>
        <w:ind w:firstLine="1440"/>
        <w:contextualSpacing/>
        <w:jc w:val="both"/>
        <w:rPr>
          <w:rFonts w:ascii="Arial" w:hAnsi="Arial" w:cs="Arial"/>
          <w:color w:val="000000" w:themeColor="text1"/>
        </w:rPr>
      </w:pPr>
      <w:r w:rsidRPr="00AD3A38">
        <w:rPr>
          <w:rFonts w:ascii="Arial" w:hAnsi="Arial" w:cs="Arial"/>
          <w:b/>
          <w:bCs/>
          <w:color w:val="000000" w:themeColor="text1"/>
        </w:rPr>
        <w:t xml:space="preserve">Figure </w:t>
      </w:r>
      <w:r w:rsidR="007C7A42" w:rsidRPr="00AD3A38">
        <w:rPr>
          <w:rFonts w:ascii="Arial" w:hAnsi="Arial" w:cs="Arial"/>
          <w:b/>
          <w:bCs/>
          <w:color w:val="000000" w:themeColor="text1"/>
        </w:rPr>
        <w:t>51</w:t>
      </w:r>
      <w:r>
        <w:rPr>
          <w:rFonts w:ascii="Arial" w:hAnsi="Arial" w:cs="Arial"/>
          <w:color w:val="000000" w:themeColor="text1"/>
        </w:rPr>
        <w:t xml:space="preserve"> shows that ethanol alone being irradiated with the RF field did not result in a very high heating rate. Nonetheless, the addition of SWCNT to the solvent induces the ignition of the flammable liquid. This is evidence that the SWCNT is very responsive to the RF field, but caution should be used in choosing the method of suspension of CNT. Due to ignition, solvents are not an adequate medium to suspend CNT for RF applications.</w:t>
      </w:r>
    </w:p>
    <w:p w14:paraId="3AB81CCE" w14:textId="2E6F398F" w:rsidR="001A7112" w:rsidRDefault="001A7112" w:rsidP="001A7112">
      <w:pPr>
        <w:spacing w:line="360" w:lineRule="auto"/>
        <w:ind w:firstLine="1440"/>
        <w:contextualSpacing/>
        <w:jc w:val="both"/>
        <w:rPr>
          <w:rFonts w:ascii="Arial" w:hAnsi="Arial" w:cs="Arial"/>
          <w:color w:val="000000" w:themeColor="text1"/>
        </w:rPr>
      </w:pPr>
      <w:r>
        <w:rPr>
          <w:rFonts w:ascii="Arial" w:hAnsi="Arial" w:cs="Arial"/>
          <w:color w:val="000000" w:themeColor="text1"/>
        </w:rPr>
        <w:t xml:space="preserve">From the contradictory effect of surfactants on the heating rate of CNT suspensions subjected to 13.56 MHz irradiation, it can be hypothesized that the molecular environment of the CNT affects the responsiveness of those nanoparticles to RF. Thus, the conjugation of SWCNT to the targeting protein ANXA5 might induce a deleterious effect in the RF due to the change in the molecular environment of CNT. To assess that possibility, </w:t>
      </w:r>
      <w:r w:rsidRPr="00DE249A">
        <w:rPr>
          <w:rFonts w:ascii="Arial" w:hAnsi="Arial" w:cs="Arial"/>
          <w:color w:val="000000" w:themeColor="text1"/>
        </w:rPr>
        <w:t xml:space="preserve">SWCNT-ANXA5 conjugate was produced and characterized using the same </w:t>
      </w:r>
      <w:r w:rsidRPr="00DE249A">
        <w:rPr>
          <w:rFonts w:ascii="Arial" w:hAnsi="Arial" w:cs="Arial"/>
          <w:color w:val="000000" w:themeColor="text1"/>
        </w:rPr>
        <w:lastRenderedPageBreak/>
        <w:t>procedures described previously for the PTT project. Deionized (DI) water and phosphate buffer</w:t>
      </w:r>
      <w:r w:rsidR="0012496D">
        <w:rPr>
          <w:rFonts w:ascii="Arial" w:hAnsi="Arial" w:cs="Arial"/>
          <w:color w:val="000000" w:themeColor="text1"/>
        </w:rPr>
        <w:t>ed</w:t>
      </w:r>
      <w:r w:rsidRPr="00DE249A">
        <w:rPr>
          <w:rFonts w:ascii="Arial" w:hAnsi="Arial" w:cs="Arial"/>
          <w:color w:val="000000" w:themeColor="text1"/>
        </w:rPr>
        <w:t xml:space="preserve"> saline (PBS) were used as control</w:t>
      </w:r>
      <w:r>
        <w:rPr>
          <w:rFonts w:ascii="Arial" w:hAnsi="Arial" w:cs="Arial"/>
          <w:color w:val="000000" w:themeColor="text1"/>
        </w:rPr>
        <w:t xml:space="preserve"> samples</w:t>
      </w:r>
      <w:r w:rsidRPr="00DE249A">
        <w:rPr>
          <w:rFonts w:ascii="Arial" w:hAnsi="Arial" w:cs="Arial"/>
          <w:color w:val="000000" w:themeColor="text1"/>
        </w:rPr>
        <w:t>. SWCNT</w:t>
      </w:r>
      <w:r>
        <w:rPr>
          <w:rFonts w:ascii="Arial" w:hAnsi="Arial" w:cs="Arial"/>
          <w:color w:val="000000" w:themeColor="text1"/>
        </w:rPr>
        <w:t>-ANXA5</w:t>
      </w:r>
      <w:r w:rsidRPr="00DE249A">
        <w:rPr>
          <w:rFonts w:ascii="Arial" w:hAnsi="Arial" w:cs="Arial"/>
          <w:color w:val="000000" w:themeColor="text1"/>
        </w:rPr>
        <w:t xml:space="preserve"> had </w:t>
      </w:r>
      <w:r>
        <w:rPr>
          <w:rFonts w:ascii="Arial" w:hAnsi="Arial" w:cs="Arial"/>
          <w:color w:val="000000" w:themeColor="text1"/>
        </w:rPr>
        <w:t xml:space="preserve">a </w:t>
      </w:r>
      <w:r w:rsidRPr="00DE249A">
        <w:rPr>
          <w:rFonts w:ascii="Arial" w:hAnsi="Arial" w:cs="Arial"/>
          <w:color w:val="000000" w:themeColor="text1"/>
        </w:rPr>
        <w:t>concentration of ~115 mg/L</w:t>
      </w:r>
      <w:r>
        <w:rPr>
          <w:rFonts w:ascii="Arial" w:hAnsi="Arial" w:cs="Arial"/>
          <w:color w:val="000000" w:themeColor="text1"/>
        </w:rPr>
        <w:t xml:space="preserve"> in CNT</w:t>
      </w:r>
      <w:r w:rsidRPr="00DE249A">
        <w:rPr>
          <w:rFonts w:ascii="Arial" w:hAnsi="Arial" w:cs="Arial"/>
          <w:color w:val="000000" w:themeColor="text1"/>
        </w:rPr>
        <w:t>. Cuvettes</w:t>
      </w:r>
      <w:r>
        <w:rPr>
          <w:rFonts w:ascii="Arial" w:hAnsi="Arial" w:cs="Arial"/>
          <w:color w:val="000000" w:themeColor="text1"/>
        </w:rPr>
        <w:t xml:space="preserve"> holding 1 ml samples</w:t>
      </w:r>
      <w:r w:rsidRPr="00DE249A">
        <w:rPr>
          <w:rFonts w:ascii="Arial" w:hAnsi="Arial" w:cs="Arial"/>
          <w:color w:val="000000" w:themeColor="text1"/>
        </w:rPr>
        <w:t xml:space="preserve"> were loaded between the plates in the RF system. </w:t>
      </w:r>
      <w:r>
        <w:rPr>
          <w:rFonts w:ascii="Arial" w:hAnsi="Arial" w:cs="Arial"/>
          <w:color w:val="000000" w:themeColor="text1"/>
        </w:rPr>
        <w:t>The bulk</w:t>
      </w:r>
      <w:r w:rsidRPr="00DE249A">
        <w:rPr>
          <w:rFonts w:ascii="Arial" w:hAnsi="Arial" w:cs="Arial"/>
          <w:color w:val="000000" w:themeColor="text1"/>
        </w:rPr>
        <w:t xml:space="preserve"> temperature of the liquids was assessed with </w:t>
      </w:r>
      <w:r>
        <w:rPr>
          <w:rFonts w:ascii="Arial" w:hAnsi="Arial" w:cs="Arial"/>
          <w:color w:val="000000" w:themeColor="text1"/>
        </w:rPr>
        <w:t xml:space="preserve">a </w:t>
      </w:r>
      <w:r w:rsidRPr="00DE249A">
        <w:rPr>
          <w:rFonts w:ascii="Arial" w:hAnsi="Arial" w:cs="Arial"/>
          <w:color w:val="000000" w:themeColor="text1"/>
        </w:rPr>
        <w:t xml:space="preserve">type K thermocouple before and after 60 s of irradiation. </w:t>
      </w:r>
      <w:r>
        <w:rPr>
          <w:rFonts w:ascii="Arial" w:hAnsi="Arial" w:cs="Arial"/>
          <w:color w:val="000000" w:themeColor="text1"/>
        </w:rPr>
        <w:t xml:space="preserve">Samples were individually irradiated in the </w:t>
      </w:r>
      <w:proofErr w:type="spellStart"/>
      <w:r>
        <w:rPr>
          <w:rFonts w:ascii="Arial" w:hAnsi="Arial" w:cs="Arial"/>
          <w:color w:val="000000" w:themeColor="text1"/>
        </w:rPr>
        <w:t>Comdel</w:t>
      </w:r>
      <w:proofErr w:type="spellEnd"/>
      <w:r>
        <w:rPr>
          <w:rFonts w:ascii="Arial" w:hAnsi="Arial" w:cs="Arial"/>
          <w:color w:val="000000" w:themeColor="text1"/>
        </w:rPr>
        <w:t xml:space="preserve"> system. </w:t>
      </w:r>
      <w:r w:rsidRPr="00DE249A">
        <w:rPr>
          <w:rFonts w:ascii="Arial" w:hAnsi="Arial" w:cs="Arial"/>
          <w:color w:val="000000" w:themeColor="text1"/>
        </w:rPr>
        <w:t xml:space="preserve">Power output was set to 300 W. Results are shown in </w:t>
      </w:r>
      <w:r w:rsidR="00AD3A38" w:rsidRPr="00AD3A38">
        <w:rPr>
          <w:rFonts w:ascii="Arial" w:hAnsi="Arial" w:cs="Arial"/>
          <w:b/>
          <w:bCs/>
          <w:color w:val="000000" w:themeColor="text1"/>
        </w:rPr>
        <w:t>F</w:t>
      </w:r>
      <w:r w:rsidRPr="00AD3A38">
        <w:rPr>
          <w:rFonts w:ascii="Arial" w:hAnsi="Arial" w:cs="Arial"/>
          <w:b/>
          <w:bCs/>
          <w:color w:val="000000" w:themeColor="text1"/>
        </w:rPr>
        <w:t xml:space="preserve">igure </w:t>
      </w:r>
      <w:r w:rsidR="00AD3A38" w:rsidRPr="00AD3A38">
        <w:rPr>
          <w:rFonts w:ascii="Arial" w:hAnsi="Arial" w:cs="Arial"/>
          <w:b/>
          <w:bCs/>
          <w:color w:val="000000" w:themeColor="text1"/>
        </w:rPr>
        <w:t>52</w:t>
      </w:r>
      <w:r w:rsidRPr="00DE249A">
        <w:rPr>
          <w:rFonts w:ascii="Arial" w:hAnsi="Arial" w:cs="Arial"/>
          <w:color w:val="000000" w:themeColor="text1"/>
        </w:rPr>
        <w:t>.</w:t>
      </w:r>
    </w:p>
    <w:tbl>
      <w:tblPr>
        <w:tblStyle w:val="TableGrid"/>
        <w:tblW w:w="0" w:type="auto"/>
        <w:tblLook w:val="04A0" w:firstRow="1" w:lastRow="0" w:firstColumn="1" w:lastColumn="0" w:noHBand="0" w:noVBand="1"/>
      </w:tblPr>
      <w:tblGrid>
        <w:gridCol w:w="9350"/>
      </w:tblGrid>
      <w:tr w:rsidR="00867812" w14:paraId="15D611F9" w14:textId="77777777" w:rsidTr="00867812">
        <w:tc>
          <w:tcPr>
            <w:tcW w:w="9350" w:type="dxa"/>
          </w:tcPr>
          <w:p w14:paraId="3FF0D988" w14:textId="6A450579" w:rsidR="00867812" w:rsidRDefault="004D64DE" w:rsidP="00B72D37">
            <w:pPr>
              <w:snapToGrid w:val="0"/>
              <w:spacing w:beforeAutospacing="0" w:line="360" w:lineRule="auto"/>
              <w:ind w:firstLine="0"/>
              <w:jc w:val="center"/>
              <w:rPr>
                <w:rFonts w:ascii="Arial" w:hAnsi="Arial" w:cs="Arial"/>
                <w:color w:val="000000" w:themeColor="text1"/>
              </w:rPr>
            </w:pPr>
            <w:r w:rsidRPr="004D64DE">
              <w:rPr>
                <w:rFonts w:ascii="Arial" w:hAnsi="Arial" w:cs="Arial"/>
                <w:noProof/>
                <w:color w:val="000000" w:themeColor="text1"/>
                <w:sz w:val="20"/>
                <w:szCs w:val="20"/>
              </w:rPr>
              <w:drawing>
                <wp:inline distT="0" distB="0" distL="0" distR="0" wp14:anchorId="74EFD975" wp14:editId="544025BF">
                  <wp:extent cx="3318387" cy="3409972"/>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5143"/>
                          <a:stretch/>
                        </pic:blipFill>
                        <pic:spPr bwMode="auto">
                          <a:xfrm>
                            <a:off x="0" y="0"/>
                            <a:ext cx="3336796" cy="3428889"/>
                          </a:xfrm>
                          <a:prstGeom prst="rect">
                            <a:avLst/>
                          </a:prstGeom>
                          <a:ln>
                            <a:noFill/>
                          </a:ln>
                          <a:extLst>
                            <a:ext uri="{53640926-AAD7-44D8-BBD7-CCE9431645EC}">
                              <a14:shadowObscured xmlns:a14="http://schemas.microsoft.com/office/drawing/2010/main"/>
                            </a:ext>
                          </a:extLst>
                        </pic:spPr>
                      </pic:pic>
                    </a:graphicData>
                  </a:graphic>
                </wp:inline>
              </w:drawing>
            </w:r>
          </w:p>
        </w:tc>
      </w:tr>
      <w:tr w:rsidR="00867812" w14:paraId="473A54D3" w14:textId="77777777" w:rsidTr="00867812">
        <w:tc>
          <w:tcPr>
            <w:tcW w:w="9350" w:type="dxa"/>
          </w:tcPr>
          <w:p w14:paraId="507C2F95" w14:textId="6E1F05C3" w:rsidR="00867812" w:rsidRPr="00E96D13" w:rsidRDefault="00565550" w:rsidP="00E96D13">
            <w:pPr>
              <w:spacing w:line="360" w:lineRule="auto"/>
              <w:ind w:firstLine="0"/>
            </w:pPr>
            <w:bookmarkStart w:id="156" w:name="_Toc121217374"/>
            <w:r w:rsidRPr="00565550">
              <w:rPr>
                <w:rFonts w:ascii="Arial" w:hAnsi="Arial" w:cs="Arial"/>
                <w:b/>
                <w:bCs/>
                <w:color w:val="000000" w:themeColor="text1"/>
              </w:rPr>
              <w:t xml:space="preserve">Figure </w:t>
            </w:r>
            <w:r w:rsidRPr="00565550">
              <w:rPr>
                <w:rFonts w:ascii="Arial" w:hAnsi="Arial" w:cs="Arial"/>
                <w:b/>
                <w:bCs/>
                <w:color w:val="000000" w:themeColor="text1"/>
              </w:rPr>
              <w:fldChar w:fldCharType="begin"/>
            </w:r>
            <w:r w:rsidRPr="00565550">
              <w:rPr>
                <w:rFonts w:ascii="Arial" w:hAnsi="Arial" w:cs="Arial"/>
                <w:b/>
                <w:bCs/>
                <w:color w:val="000000" w:themeColor="text1"/>
              </w:rPr>
              <w:instrText xml:space="preserve"> SEQ Figure \* ARABIC </w:instrText>
            </w:r>
            <w:r w:rsidRPr="00565550">
              <w:rPr>
                <w:rFonts w:ascii="Arial" w:hAnsi="Arial" w:cs="Arial"/>
                <w:b/>
                <w:bCs/>
                <w:color w:val="000000" w:themeColor="text1"/>
              </w:rPr>
              <w:fldChar w:fldCharType="separate"/>
            </w:r>
            <w:r w:rsidR="002C4B25">
              <w:rPr>
                <w:rFonts w:ascii="Arial" w:hAnsi="Arial" w:cs="Arial"/>
                <w:b/>
                <w:bCs/>
                <w:noProof/>
                <w:color w:val="000000" w:themeColor="text1"/>
              </w:rPr>
              <w:t>52</w:t>
            </w:r>
            <w:r w:rsidRPr="00565550">
              <w:rPr>
                <w:rFonts w:ascii="Arial" w:hAnsi="Arial" w:cs="Arial"/>
                <w:b/>
                <w:bCs/>
                <w:color w:val="000000" w:themeColor="text1"/>
              </w:rPr>
              <w:fldChar w:fldCharType="end"/>
            </w:r>
            <w:r w:rsidR="00E96D13" w:rsidRPr="004643DE">
              <w:rPr>
                <w:rFonts w:ascii="Arial" w:hAnsi="Arial" w:cs="Arial"/>
                <w:b/>
                <w:bCs/>
                <w:color w:val="000000" w:themeColor="text1"/>
              </w:rPr>
              <w:t>: Heating rate of SWCNT</w:t>
            </w:r>
            <w:r w:rsidR="00E96D13">
              <w:rPr>
                <w:rFonts w:ascii="Arial" w:hAnsi="Arial" w:cs="Arial"/>
                <w:b/>
                <w:bCs/>
                <w:color w:val="000000" w:themeColor="text1"/>
              </w:rPr>
              <w:t>-ANXA5 conjugate</w:t>
            </w:r>
            <w:r w:rsidR="00E96D13" w:rsidRPr="004643DE">
              <w:rPr>
                <w:rFonts w:ascii="Arial" w:hAnsi="Arial" w:cs="Arial"/>
                <w:b/>
                <w:bCs/>
                <w:color w:val="000000" w:themeColor="text1"/>
              </w:rPr>
              <w:t xml:space="preserve"> in</w:t>
            </w:r>
            <w:r w:rsidR="00E96D13">
              <w:rPr>
                <w:rFonts w:ascii="Arial" w:hAnsi="Arial" w:cs="Arial"/>
                <w:b/>
                <w:bCs/>
                <w:color w:val="000000" w:themeColor="text1"/>
              </w:rPr>
              <w:t xml:space="preserve"> 13.56 MHz</w:t>
            </w:r>
            <w:r w:rsidR="00E96D13" w:rsidRPr="004643DE">
              <w:rPr>
                <w:rFonts w:ascii="Arial" w:hAnsi="Arial" w:cs="Arial"/>
                <w:b/>
                <w:bCs/>
                <w:color w:val="000000" w:themeColor="text1"/>
              </w:rPr>
              <w:t xml:space="preserve"> RF field</w:t>
            </w:r>
            <w:r w:rsidR="00E96D13">
              <w:rPr>
                <w:rFonts w:ascii="Arial" w:hAnsi="Arial" w:cs="Arial"/>
                <w:color w:val="000000" w:themeColor="text1"/>
              </w:rPr>
              <w:t>. One</w:t>
            </w:r>
            <w:r w:rsidR="00DF0636">
              <w:rPr>
                <w:rFonts w:ascii="Arial" w:hAnsi="Arial" w:cs="Arial"/>
                <w:color w:val="000000" w:themeColor="text1"/>
              </w:rPr>
              <w:t xml:space="preserve"> ml </w:t>
            </w:r>
            <w:r w:rsidR="00E96D13">
              <w:rPr>
                <w:rFonts w:ascii="Arial" w:hAnsi="Arial" w:cs="Arial"/>
                <w:color w:val="000000" w:themeColor="text1"/>
              </w:rPr>
              <w:t>samples of deionized (DI) water, phosphate buffer</w:t>
            </w:r>
            <w:r w:rsidR="00DF0636">
              <w:rPr>
                <w:rFonts w:ascii="Arial" w:hAnsi="Arial" w:cs="Arial"/>
                <w:color w:val="000000" w:themeColor="text1"/>
              </w:rPr>
              <w:t>ed</w:t>
            </w:r>
            <w:r w:rsidR="00E96D13">
              <w:rPr>
                <w:rFonts w:ascii="Arial" w:hAnsi="Arial" w:cs="Arial"/>
                <w:color w:val="000000" w:themeColor="text1"/>
              </w:rPr>
              <w:t xml:space="preserve"> saline (PBS), and (6,5) SWCNT-ANXA5 </w:t>
            </w:r>
            <w:r w:rsidR="00D946DA">
              <w:rPr>
                <w:rFonts w:ascii="Arial" w:hAnsi="Arial" w:cs="Arial"/>
                <w:color w:val="000000" w:themeColor="text1"/>
              </w:rPr>
              <w:t>(</w:t>
            </w:r>
            <w:r w:rsidR="006B5229">
              <w:rPr>
                <w:rFonts w:ascii="Arial" w:hAnsi="Arial" w:cs="Arial"/>
                <w:color w:val="000000" w:themeColor="text1"/>
              </w:rPr>
              <w:t>~</w:t>
            </w:r>
            <w:r w:rsidR="00D946DA">
              <w:rPr>
                <w:rFonts w:ascii="Arial" w:hAnsi="Arial" w:cs="Arial"/>
                <w:color w:val="000000" w:themeColor="text1"/>
              </w:rPr>
              <w:t xml:space="preserve">115 mg/L of SWCNT) </w:t>
            </w:r>
            <w:r w:rsidR="00E96D13">
              <w:rPr>
                <w:rFonts w:ascii="Arial" w:hAnsi="Arial" w:cs="Arial"/>
                <w:color w:val="000000" w:themeColor="text1"/>
              </w:rPr>
              <w:t>were placed in a cuvette (1 cm </w:t>
            </w:r>
            <w:r w:rsidR="00E96D13">
              <w:rPr>
                <w:rFonts w:ascii="Arial" w:hAnsi="Arial" w:cs="Arial"/>
                <w:color w:val="000000" w:themeColor="text1"/>
              </w:rPr>
              <w:sym w:font="Symbol" w:char="F0B4"/>
            </w:r>
            <w:r w:rsidR="00E96D13">
              <w:rPr>
                <w:rFonts w:ascii="Arial" w:hAnsi="Arial" w:cs="Arial"/>
                <w:color w:val="000000" w:themeColor="text1"/>
              </w:rPr>
              <w:t> 1 cm </w:t>
            </w:r>
            <w:r w:rsidR="00E96D13">
              <w:rPr>
                <w:rFonts w:ascii="Arial" w:hAnsi="Arial" w:cs="Arial"/>
                <w:color w:val="000000" w:themeColor="text1"/>
              </w:rPr>
              <w:sym w:font="Symbol" w:char="F0B4"/>
            </w:r>
            <w:r w:rsidR="00E96D13">
              <w:rPr>
                <w:rFonts w:ascii="Arial" w:hAnsi="Arial" w:cs="Arial"/>
                <w:color w:val="000000" w:themeColor="text1"/>
              </w:rPr>
              <w:t xml:space="preserve"> 4 cm) and irradiated in 13.56 MHz </w:t>
            </w:r>
            <w:r w:rsidR="00D946DA">
              <w:rPr>
                <w:rFonts w:ascii="Arial" w:hAnsi="Arial" w:cs="Arial"/>
                <w:color w:val="000000" w:themeColor="text1"/>
              </w:rPr>
              <w:t xml:space="preserve">RF field </w:t>
            </w:r>
            <w:r w:rsidR="00E96D13">
              <w:rPr>
                <w:rFonts w:ascii="Arial" w:hAnsi="Arial" w:cs="Arial"/>
                <w:color w:val="000000" w:themeColor="text1"/>
              </w:rPr>
              <w:t xml:space="preserve">generated between horizontal plates at 300 W power output. Initial and final temperatures were measured with a type K thermocouple immersed in the liquid phase. </w:t>
            </w:r>
            <w:r w:rsidR="00E96D13" w:rsidRPr="0045105E">
              <w:rPr>
                <w:rFonts w:ascii="Arial" w:hAnsi="Arial" w:cs="Arial"/>
                <w:color w:val="000000" w:themeColor="text1"/>
              </w:rPr>
              <w:t xml:space="preserve">Statistical Analysis: </w:t>
            </w:r>
            <w:r w:rsidR="00E96D13">
              <w:rPr>
                <w:rFonts w:ascii="Arial" w:hAnsi="Arial" w:cs="Arial"/>
                <w:color w:val="000000" w:themeColor="text1"/>
              </w:rPr>
              <w:t>o</w:t>
            </w:r>
            <w:r w:rsidR="00E96D13" w:rsidRPr="0045105E">
              <w:rPr>
                <w:rFonts w:ascii="Arial" w:hAnsi="Arial" w:cs="Arial"/>
                <w:color w:val="000000" w:themeColor="text1"/>
              </w:rPr>
              <w:t>rdinary one-way ANOVA with Tukey's multiple comparisons test comparing the three groups in each power level (n=3). ***p</w:t>
            </w:r>
            <w:r w:rsidR="00E96D13">
              <w:rPr>
                <w:rFonts w:ascii="Arial" w:hAnsi="Arial" w:cs="Arial"/>
                <w:color w:val="000000" w:themeColor="text1"/>
              </w:rPr>
              <w:t> </w:t>
            </w:r>
            <w:r w:rsidR="00E96D13" w:rsidRPr="0045105E">
              <w:rPr>
                <w:rFonts w:ascii="Arial" w:hAnsi="Arial" w:cs="Arial"/>
                <w:color w:val="000000" w:themeColor="text1"/>
              </w:rPr>
              <w:t>&lt;</w:t>
            </w:r>
            <w:r w:rsidR="00E96D13">
              <w:rPr>
                <w:rFonts w:ascii="Arial" w:hAnsi="Arial" w:cs="Arial"/>
                <w:color w:val="000000" w:themeColor="text1"/>
              </w:rPr>
              <w:t> </w:t>
            </w:r>
            <w:r w:rsidR="00E96D13" w:rsidRPr="0045105E">
              <w:rPr>
                <w:rFonts w:ascii="Arial" w:hAnsi="Arial" w:cs="Arial"/>
                <w:color w:val="000000" w:themeColor="text1"/>
              </w:rPr>
              <w:t>0.001</w:t>
            </w:r>
            <w:r w:rsidR="00E96D13">
              <w:rPr>
                <w:rFonts w:ascii="Arial" w:hAnsi="Arial" w:cs="Arial"/>
                <w:color w:val="000000" w:themeColor="text1"/>
              </w:rPr>
              <w:t>.</w:t>
            </w:r>
            <w:bookmarkEnd w:id="156"/>
          </w:p>
        </w:tc>
      </w:tr>
    </w:tbl>
    <w:p w14:paraId="1FED472D" w14:textId="182E5D1D" w:rsidR="00D50330" w:rsidRDefault="00D50330" w:rsidP="00D50330">
      <w:pPr>
        <w:rPr>
          <w:color w:val="000000" w:themeColor="text1"/>
          <w:sz w:val="20"/>
          <w:szCs w:val="20"/>
        </w:rPr>
      </w:pPr>
    </w:p>
    <w:p w14:paraId="45B6E186" w14:textId="77777777" w:rsidR="00565550" w:rsidRPr="00D74025" w:rsidRDefault="00565550" w:rsidP="00D50330">
      <w:pPr>
        <w:rPr>
          <w:color w:val="000000" w:themeColor="text1"/>
          <w:sz w:val="20"/>
          <w:szCs w:val="20"/>
        </w:rPr>
      </w:pPr>
    </w:p>
    <w:p w14:paraId="7CCA0A00" w14:textId="00AB7663" w:rsidR="00BA63C5" w:rsidRDefault="00BA63C5" w:rsidP="00BA63C5">
      <w:pPr>
        <w:spacing w:line="360" w:lineRule="auto"/>
        <w:ind w:firstLine="1440"/>
        <w:contextualSpacing/>
        <w:jc w:val="both"/>
        <w:rPr>
          <w:rFonts w:ascii="Arial" w:hAnsi="Arial" w:cs="Arial"/>
          <w:color w:val="000000" w:themeColor="text1"/>
        </w:rPr>
      </w:pPr>
      <w:r w:rsidRPr="00405A98">
        <w:rPr>
          <w:rFonts w:ascii="Arial" w:hAnsi="Arial" w:cs="Arial"/>
          <w:color w:val="000000" w:themeColor="text1"/>
        </w:rPr>
        <w:t>In the experiment</w:t>
      </w:r>
      <w:r>
        <w:rPr>
          <w:rFonts w:ascii="Arial" w:hAnsi="Arial" w:cs="Arial"/>
          <w:color w:val="000000" w:themeColor="text1"/>
        </w:rPr>
        <w:t xml:space="preserve"> in </w:t>
      </w:r>
      <w:r w:rsidRPr="00BA63C5">
        <w:rPr>
          <w:rFonts w:ascii="Arial" w:hAnsi="Arial" w:cs="Arial"/>
          <w:b/>
          <w:bCs/>
          <w:color w:val="000000" w:themeColor="text1"/>
        </w:rPr>
        <w:t>Figure 52</w:t>
      </w:r>
      <w:r w:rsidRPr="00BA63C5">
        <w:rPr>
          <w:rFonts w:ascii="Arial" w:hAnsi="Arial" w:cs="Arial"/>
          <w:color w:val="000000" w:themeColor="text1"/>
        </w:rPr>
        <w:t>,</w:t>
      </w:r>
      <w:r w:rsidRPr="00405A98">
        <w:rPr>
          <w:rFonts w:ascii="Arial" w:hAnsi="Arial" w:cs="Arial"/>
          <w:color w:val="000000" w:themeColor="text1"/>
        </w:rPr>
        <w:t xml:space="preserve"> it can be seen a very statistically significant higher heating rate </w:t>
      </w:r>
      <w:r>
        <w:rPr>
          <w:rFonts w:ascii="Arial" w:hAnsi="Arial" w:cs="Arial"/>
          <w:color w:val="000000" w:themeColor="text1"/>
        </w:rPr>
        <w:t>compared to</w:t>
      </w:r>
      <w:r w:rsidRPr="00405A98">
        <w:rPr>
          <w:rFonts w:ascii="Arial" w:hAnsi="Arial" w:cs="Arial"/>
          <w:color w:val="000000" w:themeColor="text1"/>
        </w:rPr>
        <w:t xml:space="preserve"> the controls. </w:t>
      </w:r>
      <w:r>
        <w:rPr>
          <w:rFonts w:ascii="Arial" w:hAnsi="Arial" w:cs="Arial"/>
          <w:color w:val="000000" w:themeColor="text1"/>
        </w:rPr>
        <w:t>Thus,</w:t>
      </w:r>
      <w:r w:rsidRPr="00405A98">
        <w:rPr>
          <w:rFonts w:ascii="Arial" w:hAnsi="Arial" w:cs="Arial"/>
          <w:color w:val="000000" w:themeColor="text1"/>
        </w:rPr>
        <w:t xml:space="preserve"> the conjugation of SWCNT to ANXA5 </w:t>
      </w:r>
      <w:r w:rsidRPr="00405A98">
        <w:rPr>
          <w:rFonts w:ascii="Arial" w:hAnsi="Arial" w:cs="Arial"/>
          <w:color w:val="000000" w:themeColor="text1"/>
        </w:rPr>
        <w:lastRenderedPageBreak/>
        <w:t xml:space="preserve">did not produce a deleterious effect on the responsivity of the nanoparticle in the RF field. </w:t>
      </w:r>
      <w:r>
        <w:rPr>
          <w:rFonts w:ascii="Arial" w:hAnsi="Arial" w:cs="Arial"/>
          <w:color w:val="000000" w:themeColor="text1"/>
        </w:rPr>
        <w:t xml:space="preserve">Additionally, comparing the heating rate of the suspension of SWCNT in SDS and SDC at 300 W to the heating rate of SWCNT-ANXA5, the heating rate of the conjugate is </w:t>
      </w:r>
      <w:proofErr w:type="gramStart"/>
      <w:r>
        <w:rPr>
          <w:rFonts w:ascii="Arial" w:hAnsi="Arial" w:cs="Arial"/>
          <w:color w:val="000000" w:themeColor="text1"/>
        </w:rPr>
        <w:t>similar to</w:t>
      </w:r>
      <w:proofErr w:type="gramEnd"/>
      <w:r>
        <w:rPr>
          <w:rFonts w:ascii="Arial" w:hAnsi="Arial" w:cs="Arial"/>
          <w:color w:val="000000" w:themeColor="text1"/>
        </w:rPr>
        <w:t xml:space="preserve"> the SWCNT suspended in SDS, even though the concentration of CNT is lower (115 mg/L in SWCNT-ANXA5 compared to 500 mg/L in SDS suspension). The heating rate of the conjugate is also more significant than that seen for SWCNT suspended in SDC, though the concentration in the conjugation is lower. Thus, disregarding the concentration effects, the compared heating rate of the suspension and the conjugate is evidence that the conjugation process did not cause a deleterious effect on the responsiveness of SWCNT to RF. The use of a similar concentration would be beneficial to strengthen this claim. Nonetheless, those are</w:t>
      </w:r>
      <w:r w:rsidRPr="00405A98">
        <w:rPr>
          <w:rFonts w:ascii="Arial" w:hAnsi="Arial" w:cs="Arial"/>
          <w:color w:val="000000" w:themeColor="text1"/>
        </w:rPr>
        <w:t xml:space="preserve"> promising result</w:t>
      </w:r>
      <w:r>
        <w:rPr>
          <w:rFonts w:ascii="Arial" w:hAnsi="Arial" w:cs="Arial"/>
          <w:color w:val="000000" w:themeColor="text1"/>
        </w:rPr>
        <w:t>s</w:t>
      </w:r>
      <w:r w:rsidRPr="00405A98">
        <w:rPr>
          <w:rFonts w:ascii="Arial" w:hAnsi="Arial" w:cs="Arial"/>
          <w:color w:val="000000" w:themeColor="text1"/>
        </w:rPr>
        <w:t xml:space="preserve"> for the biomedical applications </w:t>
      </w:r>
      <w:r>
        <w:rPr>
          <w:rFonts w:ascii="Arial" w:hAnsi="Arial" w:cs="Arial"/>
          <w:color w:val="000000" w:themeColor="text1"/>
        </w:rPr>
        <w:t xml:space="preserve">of SWCNT-ANXA5-mediated RFA </w:t>
      </w:r>
      <w:r w:rsidRPr="00405A98">
        <w:rPr>
          <w:rFonts w:ascii="Arial" w:hAnsi="Arial" w:cs="Arial"/>
          <w:color w:val="000000" w:themeColor="text1"/>
        </w:rPr>
        <w:t>intended in this project</w:t>
      </w:r>
      <w:r>
        <w:rPr>
          <w:rFonts w:ascii="Arial" w:hAnsi="Arial" w:cs="Arial"/>
          <w:color w:val="000000" w:themeColor="text1"/>
        </w:rPr>
        <w:t>. T</w:t>
      </w:r>
      <w:r w:rsidRPr="00405A98">
        <w:rPr>
          <w:rFonts w:ascii="Arial" w:hAnsi="Arial" w:cs="Arial"/>
          <w:color w:val="000000" w:themeColor="text1"/>
        </w:rPr>
        <w:t>he interactions with biological tissue and fluids might change those results</w:t>
      </w:r>
      <w:r>
        <w:rPr>
          <w:rFonts w:ascii="Arial" w:hAnsi="Arial" w:cs="Arial"/>
          <w:color w:val="000000" w:themeColor="text1"/>
        </w:rPr>
        <w:t>; thus, f</w:t>
      </w:r>
      <w:r w:rsidRPr="00405A98">
        <w:rPr>
          <w:rFonts w:ascii="Arial" w:hAnsi="Arial" w:cs="Arial"/>
          <w:color w:val="000000" w:themeColor="text1"/>
        </w:rPr>
        <w:t xml:space="preserve">urther studies </w:t>
      </w:r>
      <w:r w:rsidRPr="00405A98">
        <w:rPr>
          <w:rFonts w:ascii="Arial" w:hAnsi="Arial" w:cs="Arial"/>
          <w:i/>
          <w:iCs/>
          <w:color w:val="000000" w:themeColor="text1"/>
        </w:rPr>
        <w:t>in vitro</w:t>
      </w:r>
      <w:r w:rsidRPr="00405A98">
        <w:rPr>
          <w:rFonts w:ascii="Arial" w:hAnsi="Arial" w:cs="Arial"/>
          <w:color w:val="000000" w:themeColor="text1"/>
        </w:rPr>
        <w:t xml:space="preserve"> and </w:t>
      </w:r>
      <w:r w:rsidRPr="00405A98">
        <w:rPr>
          <w:rFonts w:ascii="Arial" w:hAnsi="Arial" w:cs="Arial"/>
          <w:i/>
          <w:iCs/>
          <w:color w:val="000000" w:themeColor="text1"/>
        </w:rPr>
        <w:t>in vivo</w:t>
      </w:r>
      <w:r w:rsidRPr="00405A98">
        <w:rPr>
          <w:rFonts w:ascii="Arial" w:hAnsi="Arial" w:cs="Arial"/>
          <w:color w:val="000000" w:themeColor="text1"/>
        </w:rPr>
        <w:t xml:space="preserve"> are necessary to confirm the preservation of the responsivity in biological systems.</w:t>
      </w:r>
    </w:p>
    <w:p w14:paraId="1357D97F" w14:textId="5A00A0E8" w:rsidR="00C85AAB" w:rsidRPr="00396A7F" w:rsidRDefault="00C85AAB" w:rsidP="00C85AAB">
      <w:pPr>
        <w:spacing w:line="360" w:lineRule="auto"/>
        <w:ind w:firstLine="1440"/>
        <w:contextualSpacing/>
        <w:jc w:val="both"/>
        <w:rPr>
          <w:rFonts w:ascii="Arial" w:hAnsi="Arial" w:cs="Arial"/>
          <w:color w:val="000000" w:themeColor="text1"/>
        </w:rPr>
      </w:pPr>
      <w:r>
        <w:rPr>
          <w:rFonts w:ascii="Arial" w:hAnsi="Arial" w:cs="Arial"/>
          <w:color w:val="000000" w:themeColor="text1"/>
        </w:rPr>
        <w:t>Another aspect that might influence the responsivity of CNT to RF irradiation is the chirality. As previously mentioned, the properties of CNT are correlated to their chirality, the way their carbon atoms assemble in the tube structure. CHASM</w:t>
      </w:r>
      <w:r>
        <w:rPr>
          <w:rFonts w:ascii="Arial" w:hAnsi="Arial" w:cs="Arial"/>
          <w:color w:val="000000" w:themeColor="text1"/>
        </w:rPr>
        <w:sym w:font="Symbol" w:char="F0D4"/>
      </w:r>
      <w:r>
        <w:rPr>
          <w:rFonts w:ascii="Arial" w:hAnsi="Arial" w:cs="Arial"/>
          <w:color w:val="000000" w:themeColor="text1"/>
        </w:rPr>
        <w:t xml:space="preserve"> produced and purified SWCNT with different chiral enrichments and provided those samples to our lab. Samples were suspended in SDS (1%) by sonication for 1</w:t>
      </w:r>
      <w:r w:rsidR="006B5229">
        <w:rPr>
          <w:rFonts w:ascii="Arial" w:hAnsi="Arial" w:cs="Arial"/>
          <w:color w:val="000000" w:themeColor="text1"/>
        </w:rPr>
        <w:t xml:space="preserve"> </w:t>
      </w:r>
      <w:r>
        <w:rPr>
          <w:rFonts w:ascii="Arial" w:hAnsi="Arial" w:cs="Arial"/>
          <w:color w:val="000000" w:themeColor="text1"/>
        </w:rPr>
        <w:t xml:space="preserve">h </w:t>
      </w:r>
      <w:r w:rsidRPr="00396A7F">
        <w:rPr>
          <w:rFonts w:ascii="Arial" w:hAnsi="Arial" w:cs="Arial"/>
          <w:color w:val="000000" w:themeColor="text1"/>
        </w:rPr>
        <w:t>at the concentration of 500</w:t>
      </w:r>
      <w:r>
        <w:rPr>
          <w:rFonts w:ascii="Arial" w:hAnsi="Arial" w:cs="Arial"/>
          <w:color w:val="000000" w:themeColor="text1"/>
        </w:rPr>
        <w:t> </w:t>
      </w:r>
      <w:r w:rsidRPr="00396A7F">
        <w:rPr>
          <w:rFonts w:ascii="Arial" w:hAnsi="Arial" w:cs="Arial"/>
          <w:color w:val="000000" w:themeColor="text1"/>
        </w:rPr>
        <w:t xml:space="preserve">mg/L </w:t>
      </w:r>
      <w:r>
        <w:rPr>
          <w:rFonts w:ascii="Arial" w:hAnsi="Arial" w:cs="Arial"/>
          <w:color w:val="000000" w:themeColor="text1"/>
        </w:rPr>
        <w:t xml:space="preserve">and subjected to 13.56 MHz RF irradiation following the same protocols as before. Samples were also compared to few-walled carbon nanotubes. </w:t>
      </w:r>
      <w:r w:rsidRPr="00396A7F">
        <w:rPr>
          <w:rFonts w:ascii="Arial" w:hAnsi="Arial" w:cs="Arial"/>
          <w:color w:val="000000" w:themeColor="text1"/>
        </w:rPr>
        <w:t xml:space="preserve">Maximum power was used in those experiments (600 W). See results in </w:t>
      </w:r>
      <w:r w:rsidR="00845C20">
        <w:rPr>
          <w:rFonts w:ascii="Arial" w:hAnsi="Arial" w:cs="Arial"/>
          <w:b/>
          <w:bCs/>
          <w:color w:val="000000" w:themeColor="text1"/>
        </w:rPr>
        <w:t>F</w:t>
      </w:r>
      <w:r w:rsidRPr="00845C20">
        <w:rPr>
          <w:rFonts w:ascii="Arial" w:hAnsi="Arial" w:cs="Arial"/>
          <w:b/>
          <w:bCs/>
          <w:color w:val="000000" w:themeColor="text1"/>
        </w:rPr>
        <w:t xml:space="preserve">igure </w:t>
      </w:r>
      <w:r w:rsidR="00845C20" w:rsidRPr="00845C20">
        <w:rPr>
          <w:rFonts w:ascii="Arial" w:hAnsi="Arial" w:cs="Arial"/>
          <w:b/>
          <w:bCs/>
          <w:color w:val="000000" w:themeColor="text1"/>
        </w:rPr>
        <w:t>53</w:t>
      </w:r>
      <w:r w:rsidRPr="00845C20">
        <w:rPr>
          <w:rFonts w:ascii="Arial" w:hAnsi="Arial" w:cs="Arial"/>
          <w:color w:val="000000" w:themeColor="text1"/>
        </w:rPr>
        <w:t>.</w:t>
      </w:r>
    </w:p>
    <w:p w14:paraId="1BEFCF29" w14:textId="464BDAC9" w:rsidR="00846E83" w:rsidRPr="00405A98" w:rsidRDefault="00846E83" w:rsidP="00405A98">
      <w:pPr>
        <w:spacing w:line="360" w:lineRule="auto"/>
        <w:ind w:firstLine="1440"/>
        <w:contextualSpacing/>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AE5646" w14:paraId="72C1CB8B" w14:textId="77777777" w:rsidTr="00AE5646">
        <w:tc>
          <w:tcPr>
            <w:tcW w:w="9350" w:type="dxa"/>
          </w:tcPr>
          <w:p w14:paraId="4DF2B2CA" w14:textId="1A9FC56D" w:rsidR="00AE5646" w:rsidRDefault="004B16FE" w:rsidP="00B72D37">
            <w:pPr>
              <w:snapToGrid w:val="0"/>
              <w:spacing w:beforeAutospacing="0" w:afterAutospacing="0"/>
              <w:ind w:firstLine="0"/>
              <w:jc w:val="left"/>
              <w:rPr>
                <w:rFonts w:ascii="Arial" w:hAnsi="Arial" w:cs="Arial"/>
                <w:color w:val="000000" w:themeColor="text1"/>
                <w:sz w:val="20"/>
                <w:szCs w:val="20"/>
              </w:rPr>
            </w:pPr>
            <w:r w:rsidRPr="004B16FE">
              <w:rPr>
                <w:rFonts w:ascii="Arial" w:hAnsi="Arial" w:cs="Arial"/>
                <w:noProof/>
                <w:color w:val="000000" w:themeColor="text1"/>
                <w:sz w:val="20"/>
                <w:szCs w:val="20"/>
              </w:rPr>
              <w:lastRenderedPageBreak/>
              <w:drawing>
                <wp:inline distT="0" distB="0" distL="0" distR="0" wp14:anchorId="7E65A276" wp14:editId="0A5C8682">
                  <wp:extent cx="5828777" cy="4817327"/>
                  <wp:effectExtent l="0" t="0" r="635"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3940"/>
                          <a:stretch/>
                        </pic:blipFill>
                        <pic:spPr bwMode="auto">
                          <a:xfrm>
                            <a:off x="0" y="0"/>
                            <a:ext cx="5831472" cy="4819554"/>
                          </a:xfrm>
                          <a:prstGeom prst="rect">
                            <a:avLst/>
                          </a:prstGeom>
                          <a:ln>
                            <a:noFill/>
                          </a:ln>
                          <a:extLst>
                            <a:ext uri="{53640926-AAD7-44D8-BBD7-CCE9431645EC}">
                              <a14:shadowObscured xmlns:a14="http://schemas.microsoft.com/office/drawing/2010/main"/>
                            </a:ext>
                          </a:extLst>
                        </pic:spPr>
                      </pic:pic>
                    </a:graphicData>
                  </a:graphic>
                </wp:inline>
              </w:drawing>
            </w:r>
          </w:p>
        </w:tc>
      </w:tr>
      <w:tr w:rsidR="00AE5646" w14:paraId="1A987251" w14:textId="77777777" w:rsidTr="00AE5646">
        <w:tc>
          <w:tcPr>
            <w:tcW w:w="9350" w:type="dxa"/>
          </w:tcPr>
          <w:p w14:paraId="0FAA7D60" w14:textId="44526E57" w:rsidR="00AE5646" w:rsidRPr="009215B7" w:rsidRDefault="00565550" w:rsidP="009215B7">
            <w:pPr>
              <w:spacing w:line="360" w:lineRule="auto"/>
              <w:ind w:firstLine="0"/>
            </w:pPr>
            <w:bookmarkStart w:id="157" w:name="_Toc121217375"/>
            <w:r w:rsidRPr="00565550">
              <w:rPr>
                <w:rFonts w:ascii="Arial" w:hAnsi="Arial" w:cs="Arial"/>
                <w:b/>
                <w:bCs/>
                <w:color w:val="000000" w:themeColor="text1"/>
              </w:rPr>
              <w:t xml:space="preserve">Figure </w:t>
            </w:r>
            <w:r w:rsidRPr="00565550">
              <w:rPr>
                <w:rFonts w:ascii="Arial" w:hAnsi="Arial" w:cs="Arial"/>
                <w:b/>
                <w:bCs/>
                <w:color w:val="000000" w:themeColor="text1"/>
              </w:rPr>
              <w:fldChar w:fldCharType="begin"/>
            </w:r>
            <w:r w:rsidRPr="00565550">
              <w:rPr>
                <w:rFonts w:ascii="Arial" w:hAnsi="Arial" w:cs="Arial"/>
                <w:b/>
                <w:bCs/>
                <w:color w:val="000000" w:themeColor="text1"/>
              </w:rPr>
              <w:instrText xml:space="preserve"> SEQ Figure \* ARABIC </w:instrText>
            </w:r>
            <w:r w:rsidRPr="00565550">
              <w:rPr>
                <w:rFonts w:ascii="Arial" w:hAnsi="Arial" w:cs="Arial"/>
                <w:b/>
                <w:bCs/>
                <w:color w:val="000000" w:themeColor="text1"/>
              </w:rPr>
              <w:fldChar w:fldCharType="separate"/>
            </w:r>
            <w:r w:rsidR="002C4B25">
              <w:rPr>
                <w:rFonts w:ascii="Arial" w:hAnsi="Arial" w:cs="Arial"/>
                <w:b/>
                <w:bCs/>
                <w:noProof/>
                <w:color w:val="000000" w:themeColor="text1"/>
              </w:rPr>
              <w:t>53</w:t>
            </w:r>
            <w:r w:rsidRPr="00565550">
              <w:rPr>
                <w:rFonts w:ascii="Arial" w:hAnsi="Arial" w:cs="Arial"/>
                <w:b/>
                <w:bCs/>
                <w:color w:val="000000" w:themeColor="text1"/>
              </w:rPr>
              <w:fldChar w:fldCharType="end"/>
            </w:r>
            <w:r w:rsidR="009215B7" w:rsidRPr="004643DE">
              <w:rPr>
                <w:rFonts w:ascii="Arial" w:hAnsi="Arial" w:cs="Arial"/>
                <w:b/>
                <w:bCs/>
                <w:color w:val="000000" w:themeColor="text1"/>
              </w:rPr>
              <w:t xml:space="preserve">: Heating rate of </w:t>
            </w:r>
            <w:r w:rsidR="009215B7">
              <w:rPr>
                <w:rFonts w:ascii="Arial" w:hAnsi="Arial" w:cs="Arial"/>
                <w:b/>
                <w:bCs/>
                <w:color w:val="000000" w:themeColor="text1"/>
              </w:rPr>
              <w:t xml:space="preserve">different chiral </w:t>
            </w:r>
            <w:r w:rsidR="009215B7" w:rsidRPr="004643DE">
              <w:rPr>
                <w:rFonts w:ascii="Arial" w:hAnsi="Arial" w:cs="Arial"/>
                <w:b/>
                <w:bCs/>
                <w:color w:val="000000" w:themeColor="text1"/>
              </w:rPr>
              <w:t xml:space="preserve">CNT suspended in sodium </w:t>
            </w:r>
            <w:r w:rsidR="00E03A44">
              <w:rPr>
                <w:rFonts w:ascii="Arial" w:hAnsi="Arial" w:cs="Arial"/>
                <w:b/>
                <w:bCs/>
                <w:color w:val="000000" w:themeColor="text1"/>
              </w:rPr>
              <w:t>dodecyl sulfate</w:t>
            </w:r>
            <w:r w:rsidR="009215B7" w:rsidRPr="004643DE">
              <w:rPr>
                <w:rFonts w:ascii="Arial" w:hAnsi="Arial" w:cs="Arial"/>
                <w:b/>
                <w:bCs/>
                <w:color w:val="000000" w:themeColor="text1"/>
              </w:rPr>
              <w:t xml:space="preserve"> (SD</w:t>
            </w:r>
            <w:r w:rsidR="009215B7">
              <w:rPr>
                <w:rFonts w:ascii="Arial" w:hAnsi="Arial" w:cs="Arial"/>
                <w:b/>
                <w:bCs/>
                <w:color w:val="000000" w:themeColor="text1"/>
              </w:rPr>
              <w:t>S</w:t>
            </w:r>
            <w:r w:rsidR="009215B7" w:rsidRPr="004643DE">
              <w:rPr>
                <w:rFonts w:ascii="Arial" w:hAnsi="Arial" w:cs="Arial"/>
                <w:b/>
                <w:bCs/>
                <w:color w:val="000000" w:themeColor="text1"/>
              </w:rPr>
              <w:t>) in</w:t>
            </w:r>
            <w:r w:rsidR="009215B7">
              <w:rPr>
                <w:rFonts w:ascii="Arial" w:hAnsi="Arial" w:cs="Arial"/>
                <w:b/>
                <w:bCs/>
                <w:color w:val="000000" w:themeColor="text1"/>
              </w:rPr>
              <w:t xml:space="preserve"> 13.56 MHz</w:t>
            </w:r>
            <w:r w:rsidR="009215B7" w:rsidRPr="004643DE">
              <w:rPr>
                <w:rFonts w:ascii="Arial" w:hAnsi="Arial" w:cs="Arial"/>
                <w:b/>
                <w:bCs/>
                <w:color w:val="000000" w:themeColor="text1"/>
              </w:rPr>
              <w:t xml:space="preserve"> RF field</w:t>
            </w:r>
            <w:r w:rsidR="009215B7">
              <w:rPr>
                <w:rFonts w:ascii="Arial" w:hAnsi="Arial" w:cs="Arial"/>
                <w:color w:val="000000" w:themeColor="text1"/>
              </w:rPr>
              <w:t>. One milliliter samples of CNT suspensions presenting different chiral enrichments were placed in a cuvette (1 cm </w:t>
            </w:r>
            <w:r w:rsidR="009215B7">
              <w:rPr>
                <w:rFonts w:ascii="Arial" w:hAnsi="Arial" w:cs="Arial"/>
                <w:color w:val="000000" w:themeColor="text1"/>
              </w:rPr>
              <w:sym w:font="Symbol" w:char="F0B4"/>
            </w:r>
            <w:r w:rsidR="009215B7">
              <w:rPr>
                <w:rFonts w:ascii="Arial" w:hAnsi="Arial" w:cs="Arial"/>
                <w:color w:val="000000" w:themeColor="text1"/>
              </w:rPr>
              <w:t> 1 cm </w:t>
            </w:r>
            <w:r w:rsidR="009215B7">
              <w:rPr>
                <w:rFonts w:ascii="Arial" w:hAnsi="Arial" w:cs="Arial"/>
                <w:color w:val="000000" w:themeColor="text1"/>
              </w:rPr>
              <w:sym w:font="Symbol" w:char="F0B4"/>
            </w:r>
            <w:r w:rsidR="009215B7">
              <w:rPr>
                <w:rFonts w:ascii="Arial" w:hAnsi="Arial" w:cs="Arial"/>
                <w:color w:val="000000" w:themeColor="text1"/>
              </w:rPr>
              <w:t xml:space="preserve"> 4 cm) and irradiated in 13.56 MHz </w:t>
            </w:r>
            <w:r w:rsidR="00CC3CAC">
              <w:rPr>
                <w:rFonts w:ascii="Arial" w:hAnsi="Arial" w:cs="Arial"/>
                <w:color w:val="000000" w:themeColor="text1"/>
              </w:rPr>
              <w:t xml:space="preserve">RF field </w:t>
            </w:r>
            <w:r w:rsidR="009215B7">
              <w:rPr>
                <w:rFonts w:ascii="Arial" w:hAnsi="Arial" w:cs="Arial"/>
                <w:color w:val="000000" w:themeColor="text1"/>
              </w:rPr>
              <w:t xml:space="preserve">generated between horizontal plates at 600 W power output. Initial and final temperatures were measured with a type K thermocouple immersed in the liquid phase. </w:t>
            </w:r>
            <w:r w:rsidR="009215B7" w:rsidRPr="0045105E">
              <w:rPr>
                <w:rFonts w:ascii="Arial" w:hAnsi="Arial" w:cs="Arial"/>
                <w:color w:val="000000" w:themeColor="text1"/>
              </w:rPr>
              <w:t xml:space="preserve">Statistical Analysis: </w:t>
            </w:r>
            <w:r w:rsidR="009215B7">
              <w:rPr>
                <w:rFonts w:ascii="Arial" w:hAnsi="Arial" w:cs="Arial"/>
                <w:color w:val="000000" w:themeColor="text1"/>
              </w:rPr>
              <w:t>o</w:t>
            </w:r>
            <w:r w:rsidR="009215B7" w:rsidRPr="0045105E">
              <w:rPr>
                <w:rFonts w:ascii="Arial" w:hAnsi="Arial" w:cs="Arial"/>
                <w:color w:val="000000" w:themeColor="text1"/>
              </w:rPr>
              <w:t>rdinary one-way ANOVA with Tukey's multiple comparisons test comparing the three groups in each power level (n=</w:t>
            </w:r>
            <w:r w:rsidR="009215B7">
              <w:rPr>
                <w:rFonts w:ascii="Arial" w:hAnsi="Arial" w:cs="Arial"/>
                <w:color w:val="000000" w:themeColor="text1"/>
              </w:rPr>
              <w:t>5</w:t>
            </w:r>
            <w:r w:rsidR="009215B7" w:rsidRPr="0045105E">
              <w:rPr>
                <w:rFonts w:ascii="Arial" w:hAnsi="Arial" w:cs="Arial"/>
                <w:color w:val="000000" w:themeColor="text1"/>
              </w:rPr>
              <w:t xml:space="preserve">). </w:t>
            </w:r>
            <w:r w:rsidR="009215B7" w:rsidRPr="00473F6C">
              <w:rPr>
                <w:rFonts w:ascii="Arial" w:hAnsi="Arial" w:cs="Arial"/>
                <w:color w:val="000000" w:themeColor="text1"/>
              </w:rPr>
              <w:t xml:space="preserve">Statistical </w:t>
            </w:r>
            <w:r w:rsidR="00CC3CAC">
              <w:rPr>
                <w:rFonts w:ascii="Arial" w:hAnsi="Arial" w:cs="Arial"/>
                <w:color w:val="000000" w:themeColor="text1"/>
              </w:rPr>
              <w:t>a</w:t>
            </w:r>
            <w:r w:rsidR="009215B7" w:rsidRPr="00473F6C">
              <w:rPr>
                <w:rFonts w:ascii="Arial" w:hAnsi="Arial" w:cs="Arial"/>
                <w:color w:val="000000" w:themeColor="text1"/>
              </w:rPr>
              <w:t xml:space="preserve">nalysis: </w:t>
            </w:r>
            <w:r w:rsidR="00CC3CAC">
              <w:rPr>
                <w:rFonts w:ascii="Arial" w:hAnsi="Arial" w:cs="Arial"/>
                <w:color w:val="000000" w:themeColor="text1"/>
              </w:rPr>
              <w:t>o</w:t>
            </w:r>
            <w:r w:rsidR="009215B7" w:rsidRPr="00473F6C">
              <w:rPr>
                <w:rFonts w:ascii="Arial" w:hAnsi="Arial" w:cs="Arial"/>
                <w:color w:val="000000" w:themeColor="text1"/>
              </w:rPr>
              <w:t>rdinary one-way ANOVA with Tukey's multiple comparisons test comparing groups (n=5). *p</w:t>
            </w:r>
            <w:r w:rsidR="009215B7">
              <w:rPr>
                <w:rFonts w:ascii="Arial" w:hAnsi="Arial" w:cs="Arial"/>
                <w:color w:val="000000" w:themeColor="text1"/>
              </w:rPr>
              <w:t> </w:t>
            </w:r>
            <w:r w:rsidR="009215B7" w:rsidRPr="00473F6C">
              <w:rPr>
                <w:rFonts w:ascii="Arial" w:hAnsi="Arial" w:cs="Arial"/>
                <w:color w:val="000000" w:themeColor="text1"/>
              </w:rPr>
              <w:t>&lt;</w:t>
            </w:r>
            <w:r w:rsidR="009215B7">
              <w:rPr>
                <w:rFonts w:ascii="Arial" w:hAnsi="Arial" w:cs="Arial"/>
                <w:color w:val="000000" w:themeColor="text1"/>
              </w:rPr>
              <w:t> </w:t>
            </w:r>
            <w:r w:rsidR="009215B7" w:rsidRPr="00473F6C">
              <w:rPr>
                <w:rFonts w:ascii="Arial" w:hAnsi="Arial" w:cs="Arial"/>
                <w:color w:val="000000" w:themeColor="text1"/>
              </w:rPr>
              <w:t>0.05, **p</w:t>
            </w:r>
            <w:r w:rsidR="009215B7">
              <w:rPr>
                <w:rFonts w:ascii="Arial" w:hAnsi="Arial" w:cs="Arial"/>
                <w:color w:val="000000" w:themeColor="text1"/>
              </w:rPr>
              <w:t> </w:t>
            </w:r>
            <w:r w:rsidR="009215B7" w:rsidRPr="00473F6C">
              <w:rPr>
                <w:rFonts w:ascii="Arial" w:hAnsi="Arial" w:cs="Arial"/>
                <w:color w:val="000000" w:themeColor="text1"/>
              </w:rPr>
              <w:t>&lt;</w:t>
            </w:r>
            <w:r w:rsidR="009215B7">
              <w:rPr>
                <w:rFonts w:ascii="Arial" w:hAnsi="Arial" w:cs="Arial"/>
                <w:color w:val="000000" w:themeColor="text1"/>
              </w:rPr>
              <w:t> </w:t>
            </w:r>
            <w:r w:rsidR="009215B7" w:rsidRPr="00473F6C">
              <w:rPr>
                <w:rFonts w:ascii="Arial" w:hAnsi="Arial" w:cs="Arial"/>
                <w:color w:val="000000" w:themeColor="text1"/>
              </w:rPr>
              <w:t>0.01, ***p</w:t>
            </w:r>
            <w:r w:rsidR="009215B7">
              <w:rPr>
                <w:rFonts w:ascii="Arial" w:hAnsi="Arial" w:cs="Arial"/>
                <w:color w:val="000000" w:themeColor="text1"/>
              </w:rPr>
              <w:t> </w:t>
            </w:r>
            <w:r w:rsidR="009215B7" w:rsidRPr="00473F6C">
              <w:rPr>
                <w:rFonts w:ascii="Arial" w:hAnsi="Arial" w:cs="Arial"/>
                <w:color w:val="000000" w:themeColor="text1"/>
              </w:rPr>
              <w:t>&lt;</w:t>
            </w:r>
            <w:r w:rsidR="009215B7">
              <w:rPr>
                <w:rFonts w:ascii="Arial" w:hAnsi="Arial" w:cs="Arial"/>
                <w:color w:val="000000" w:themeColor="text1"/>
              </w:rPr>
              <w:t> </w:t>
            </w:r>
            <w:r w:rsidR="009215B7" w:rsidRPr="00473F6C">
              <w:rPr>
                <w:rFonts w:ascii="Arial" w:hAnsi="Arial" w:cs="Arial"/>
                <w:color w:val="000000" w:themeColor="text1"/>
              </w:rPr>
              <w:t>0.001, ****p</w:t>
            </w:r>
            <w:r w:rsidR="009215B7">
              <w:rPr>
                <w:rFonts w:ascii="Arial" w:hAnsi="Arial" w:cs="Arial"/>
                <w:color w:val="000000" w:themeColor="text1"/>
              </w:rPr>
              <w:t> </w:t>
            </w:r>
            <w:r w:rsidR="009215B7" w:rsidRPr="00473F6C">
              <w:rPr>
                <w:rFonts w:ascii="Arial" w:hAnsi="Arial" w:cs="Arial"/>
                <w:color w:val="000000" w:themeColor="text1"/>
              </w:rPr>
              <w:t>&lt;</w:t>
            </w:r>
            <w:r w:rsidR="009215B7">
              <w:rPr>
                <w:rFonts w:ascii="Arial" w:hAnsi="Arial" w:cs="Arial"/>
                <w:color w:val="000000" w:themeColor="text1"/>
              </w:rPr>
              <w:t> </w:t>
            </w:r>
            <w:r w:rsidR="009215B7" w:rsidRPr="00473F6C">
              <w:rPr>
                <w:rFonts w:ascii="Arial" w:hAnsi="Arial" w:cs="Arial"/>
                <w:color w:val="000000" w:themeColor="text1"/>
              </w:rPr>
              <w:t>0.0001 compared to SDS 1% (control)</w:t>
            </w:r>
            <w:r w:rsidR="009215B7">
              <w:rPr>
                <w:rFonts w:ascii="Arial" w:hAnsi="Arial" w:cs="Arial"/>
                <w:color w:val="000000" w:themeColor="text1"/>
              </w:rPr>
              <w:t xml:space="preserve"> and </w:t>
            </w:r>
            <w:r w:rsidR="009215B7" w:rsidRPr="00473F6C">
              <w:rPr>
                <w:rFonts w:ascii="Arial" w:hAnsi="Arial" w:cs="Arial"/>
                <w:color w:val="000000" w:themeColor="text1"/>
              </w:rPr>
              <w:t>#p</w:t>
            </w:r>
            <w:r w:rsidR="009215B7">
              <w:rPr>
                <w:rFonts w:ascii="Arial" w:hAnsi="Arial" w:cs="Arial"/>
                <w:color w:val="000000" w:themeColor="text1"/>
              </w:rPr>
              <w:t> </w:t>
            </w:r>
            <w:r w:rsidR="009215B7" w:rsidRPr="00473F6C">
              <w:rPr>
                <w:rFonts w:ascii="Arial" w:hAnsi="Arial" w:cs="Arial"/>
                <w:color w:val="000000" w:themeColor="text1"/>
              </w:rPr>
              <w:t>&lt;</w:t>
            </w:r>
            <w:r w:rsidR="009215B7">
              <w:rPr>
                <w:rFonts w:ascii="Arial" w:hAnsi="Arial" w:cs="Arial"/>
                <w:color w:val="000000" w:themeColor="text1"/>
              </w:rPr>
              <w:t> </w:t>
            </w:r>
            <w:r w:rsidR="009215B7" w:rsidRPr="00473F6C">
              <w:rPr>
                <w:rFonts w:ascii="Arial" w:hAnsi="Arial" w:cs="Arial"/>
                <w:color w:val="000000" w:themeColor="text1"/>
              </w:rPr>
              <w:t>0.05, ## p</w:t>
            </w:r>
            <w:r w:rsidR="009215B7">
              <w:rPr>
                <w:rFonts w:ascii="Arial" w:hAnsi="Arial" w:cs="Arial"/>
                <w:color w:val="000000" w:themeColor="text1"/>
              </w:rPr>
              <w:t> </w:t>
            </w:r>
            <w:r w:rsidR="009215B7" w:rsidRPr="00473F6C">
              <w:rPr>
                <w:rFonts w:ascii="Arial" w:hAnsi="Arial" w:cs="Arial"/>
                <w:color w:val="000000" w:themeColor="text1"/>
              </w:rPr>
              <w:t>&lt;</w:t>
            </w:r>
            <w:r w:rsidR="009215B7">
              <w:rPr>
                <w:rFonts w:ascii="Arial" w:hAnsi="Arial" w:cs="Arial"/>
                <w:color w:val="000000" w:themeColor="text1"/>
              </w:rPr>
              <w:t> </w:t>
            </w:r>
            <w:r w:rsidR="009215B7" w:rsidRPr="00473F6C">
              <w:rPr>
                <w:rFonts w:ascii="Arial" w:hAnsi="Arial" w:cs="Arial"/>
                <w:color w:val="000000" w:themeColor="text1"/>
              </w:rPr>
              <w:t>0.01 between groups</w:t>
            </w:r>
            <w:r w:rsidR="009215B7">
              <w:rPr>
                <w:rFonts w:ascii="Arial" w:hAnsi="Arial" w:cs="Arial"/>
                <w:color w:val="000000" w:themeColor="text1"/>
              </w:rPr>
              <w:t>.</w:t>
            </w:r>
            <w:bookmarkEnd w:id="157"/>
          </w:p>
        </w:tc>
      </w:tr>
    </w:tbl>
    <w:p w14:paraId="14B011DF" w14:textId="77777777" w:rsidR="00A065FB" w:rsidRDefault="00A065FB" w:rsidP="00D532F9">
      <w:pPr>
        <w:spacing w:line="360" w:lineRule="auto"/>
        <w:ind w:firstLine="1440"/>
        <w:jc w:val="both"/>
        <w:rPr>
          <w:rFonts w:ascii="Arial" w:hAnsi="Arial" w:cs="Arial"/>
          <w:color w:val="000000" w:themeColor="text1"/>
        </w:rPr>
      </w:pPr>
    </w:p>
    <w:p w14:paraId="75A732F3" w14:textId="20D4899D" w:rsidR="00D532F9" w:rsidRDefault="00D532F9" w:rsidP="00D532F9">
      <w:pPr>
        <w:spacing w:line="360" w:lineRule="auto"/>
        <w:ind w:firstLine="1440"/>
        <w:jc w:val="both"/>
        <w:rPr>
          <w:rFonts w:ascii="Arial" w:hAnsi="Arial" w:cs="Arial"/>
          <w:color w:val="000000" w:themeColor="text1"/>
        </w:rPr>
      </w:pPr>
      <w:r w:rsidRPr="00F97CCF">
        <w:rPr>
          <w:rFonts w:ascii="Arial" w:hAnsi="Arial" w:cs="Arial"/>
          <w:color w:val="000000" w:themeColor="text1"/>
        </w:rPr>
        <w:lastRenderedPageBreak/>
        <w:t>Based on the heating rate data (</w:t>
      </w:r>
      <w:r w:rsidR="00845C20">
        <w:rPr>
          <w:rFonts w:ascii="Arial" w:hAnsi="Arial" w:cs="Arial"/>
          <w:b/>
          <w:bCs/>
          <w:color w:val="000000" w:themeColor="text1"/>
        </w:rPr>
        <w:t>F</w:t>
      </w:r>
      <w:r w:rsidRPr="00845C20">
        <w:rPr>
          <w:rFonts w:ascii="Arial" w:hAnsi="Arial" w:cs="Arial"/>
          <w:b/>
          <w:bCs/>
          <w:color w:val="000000" w:themeColor="text1"/>
        </w:rPr>
        <w:t xml:space="preserve">igure </w:t>
      </w:r>
      <w:r w:rsidR="00845C20">
        <w:rPr>
          <w:rFonts w:ascii="Arial" w:hAnsi="Arial" w:cs="Arial"/>
          <w:b/>
          <w:bCs/>
          <w:color w:val="000000" w:themeColor="text1"/>
        </w:rPr>
        <w:t>53</w:t>
      </w:r>
      <w:r w:rsidRPr="00F97CCF">
        <w:rPr>
          <w:rFonts w:ascii="Arial" w:hAnsi="Arial" w:cs="Arial"/>
          <w:color w:val="000000" w:themeColor="text1"/>
        </w:rPr>
        <w:t xml:space="preserve">), (6,5) SWCNT and sample PXD2-2069 </w:t>
      </w:r>
      <w:r>
        <w:rPr>
          <w:rFonts w:ascii="Arial" w:hAnsi="Arial" w:cs="Arial"/>
          <w:color w:val="000000" w:themeColor="text1"/>
        </w:rPr>
        <w:t>appear to be</w:t>
      </w:r>
      <w:r w:rsidRPr="00F97CCF">
        <w:rPr>
          <w:rFonts w:ascii="Arial" w:hAnsi="Arial" w:cs="Arial"/>
          <w:color w:val="000000" w:themeColor="text1"/>
        </w:rPr>
        <w:t xml:space="preserve"> more efficient at heating in the RF field. Comparing it with the enrichment data</w:t>
      </w:r>
      <w:r>
        <w:rPr>
          <w:rFonts w:ascii="Arial" w:hAnsi="Arial" w:cs="Arial"/>
          <w:color w:val="000000" w:themeColor="text1"/>
        </w:rPr>
        <w:t xml:space="preserve">, </w:t>
      </w:r>
      <w:r w:rsidRPr="00F97CCF">
        <w:rPr>
          <w:rFonts w:ascii="Arial" w:hAnsi="Arial" w:cs="Arial"/>
          <w:color w:val="000000" w:themeColor="text1"/>
        </w:rPr>
        <w:t xml:space="preserve">PXD2-2069 was the sample with the higher proportion of (6,5) chirality. With this result, (6,5) </w:t>
      </w:r>
      <w:r>
        <w:rPr>
          <w:rFonts w:ascii="Arial" w:hAnsi="Arial" w:cs="Arial"/>
          <w:color w:val="000000" w:themeColor="text1"/>
        </w:rPr>
        <w:t>SW</w:t>
      </w:r>
      <w:r w:rsidRPr="00F97CCF">
        <w:rPr>
          <w:rFonts w:ascii="Arial" w:hAnsi="Arial" w:cs="Arial"/>
          <w:color w:val="000000" w:themeColor="text1"/>
        </w:rPr>
        <w:t xml:space="preserve">CNT might be more RF responsive than the other </w:t>
      </w:r>
      <w:proofErr w:type="spellStart"/>
      <w:r w:rsidRPr="00F97CCF">
        <w:rPr>
          <w:rFonts w:ascii="Arial" w:hAnsi="Arial" w:cs="Arial"/>
          <w:color w:val="000000" w:themeColor="text1"/>
        </w:rPr>
        <w:t>chiralities</w:t>
      </w:r>
      <w:proofErr w:type="spellEnd"/>
      <w:r w:rsidRPr="00F97CCF">
        <w:rPr>
          <w:rFonts w:ascii="Arial" w:hAnsi="Arial" w:cs="Arial"/>
          <w:color w:val="000000" w:themeColor="text1"/>
        </w:rPr>
        <w:t xml:space="preserve"> studied. Additionally, because no statistical difference was observed between (6,5) SWCNT and sample PXD2-2069, the length of the CNT in the range of micrometers might not influence the responsivity of the nanomaterial to RF</w:t>
      </w:r>
      <w:r>
        <w:rPr>
          <w:rFonts w:ascii="Arial" w:hAnsi="Arial" w:cs="Arial"/>
          <w:color w:val="000000" w:themeColor="text1"/>
        </w:rPr>
        <w:t xml:space="preserve"> since (6,5) SWCNT is 1.5 </w:t>
      </w:r>
      <w:r>
        <w:rPr>
          <w:rFonts w:ascii="Arial" w:hAnsi="Arial" w:cs="Arial"/>
          <w:color w:val="000000" w:themeColor="text1"/>
        </w:rPr>
        <w:sym w:font="Symbol" w:char="F06D"/>
      </w:r>
      <w:r>
        <w:rPr>
          <w:rFonts w:ascii="Arial" w:hAnsi="Arial" w:cs="Arial"/>
          <w:color w:val="000000" w:themeColor="text1"/>
        </w:rPr>
        <w:t xml:space="preserve">m and sample PXD2-2069 is 0.98 </w:t>
      </w:r>
      <w:r>
        <w:rPr>
          <w:rFonts w:ascii="Arial" w:hAnsi="Arial" w:cs="Arial"/>
          <w:color w:val="000000" w:themeColor="text1"/>
        </w:rPr>
        <w:sym w:font="Symbol" w:char="F06D"/>
      </w:r>
      <w:r>
        <w:rPr>
          <w:rFonts w:ascii="Arial" w:hAnsi="Arial" w:cs="Arial"/>
          <w:color w:val="000000" w:themeColor="text1"/>
        </w:rPr>
        <w:t>m long.</w:t>
      </w:r>
      <w:r w:rsidRPr="00F97CCF">
        <w:rPr>
          <w:rFonts w:ascii="Arial" w:hAnsi="Arial" w:cs="Arial"/>
          <w:color w:val="000000" w:themeColor="text1"/>
        </w:rPr>
        <w:t xml:space="preserve"> </w:t>
      </w:r>
      <w:r>
        <w:rPr>
          <w:rFonts w:ascii="Arial" w:hAnsi="Arial" w:cs="Arial"/>
          <w:color w:val="000000" w:themeColor="text1"/>
        </w:rPr>
        <w:t>Although a decrease of 500 nm in length does not seem to influence the heating rate, a f</w:t>
      </w:r>
      <w:r w:rsidRPr="00F97CCF">
        <w:rPr>
          <w:rFonts w:ascii="Arial" w:hAnsi="Arial" w:cs="Arial"/>
          <w:color w:val="000000" w:themeColor="text1"/>
        </w:rPr>
        <w:t xml:space="preserve">urther </w:t>
      </w:r>
      <w:r>
        <w:rPr>
          <w:rFonts w:ascii="Arial" w:hAnsi="Arial" w:cs="Arial"/>
          <w:color w:val="000000" w:themeColor="text1"/>
        </w:rPr>
        <w:t>reduction</w:t>
      </w:r>
      <w:r w:rsidRPr="00F97CCF">
        <w:rPr>
          <w:rFonts w:ascii="Arial" w:hAnsi="Arial" w:cs="Arial"/>
          <w:color w:val="000000" w:themeColor="text1"/>
        </w:rPr>
        <w:t xml:space="preserve"> of the CNT length to the nanometer range (~ 200 nm) might </w:t>
      </w:r>
      <w:r>
        <w:rPr>
          <w:rFonts w:ascii="Arial" w:hAnsi="Arial" w:cs="Arial"/>
          <w:color w:val="000000" w:themeColor="text1"/>
        </w:rPr>
        <w:t>affect</w:t>
      </w:r>
      <w:r w:rsidRPr="00F97CCF">
        <w:rPr>
          <w:rFonts w:ascii="Arial" w:hAnsi="Arial" w:cs="Arial"/>
          <w:color w:val="000000" w:themeColor="text1"/>
        </w:rPr>
        <w:t xml:space="preserve"> the responsivity, which would need to be confirmed experimentally.</w:t>
      </w:r>
    </w:p>
    <w:p w14:paraId="48C8E4C3" w14:textId="294239AD" w:rsidR="00ED28BD" w:rsidRDefault="00ED28BD" w:rsidP="00ED28BD">
      <w:pPr>
        <w:spacing w:line="360" w:lineRule="auto"/>
        <w:ind w:firstLine="1440"/>
        <w:jc w:val="both"/>
        <w:rPr>
          <w:rFonts w:ascii="Arial" w:hAnsi="Arial" w:cs="Arial"/>
          <w:color w:val="000000" w:themeColor="text1"/>
        </w:rPr>
      </w:pPr>
      <w:r>
        <w:rPr>
          <w:rFonts w:ascii="Arial" w:hAnsi="Arial" w:cs="Arial"/>
          <w:color w:val="000000" w:themeColor="text1"/>
        </w:rPr>
        <w:t xml:space="preserve">Another parameter evaluated to influence the heating rate of samples was the geometry of the sample. While all the previous experiments were performed using </w:t>
      </w:r>
      <w:r w:rsidR="005C7E00">
        <w:rPr>
          <w:rFonts w:ascii="Arial" w:hAnsi="Arial" w:cs="Arial"/>
          <w:color w:val="000000" w:themeColor="text1"/>
        </w:rPr>
        <w:t xml:space="preserve">one </w:t>
      </w:r>
      <w:r>
        <w:rPr>
          <w:rFonts w:ascii="Arial" w:hAnsi="Arial" w:cs="Arial"/>
          <w:color w:val="000000" w:themeColor="text1"/>
        </w:rPr>
        <w:t>ml</w:t>
      </w:r>
      <w:r w:rsidR="005C7E00">
        <w:rPr>
          <w:rFonts w:ascii="Arial" w:hAnsi="Arial" w:cs="Arial"/>
          <w:color w:val="000000" w:themeColor="text1"/>
        </w:rPr>
        <w:t xml:space="preserve"> </w:t>
      </w:r>
      <w:r>
        <w:rPr>
          <w:rFonts w:ascii="Arial" w:hAnsi="Arial" w:cs="Arial"/>
          <w:color w:val="000000" w:themeColor="text1"/>
        </w:rPr>
        <w:t>samples in a cuvette, we assessed the heating rate of SWCNT and sample PXD2-2069 suspensions when completely filling out the cuvette with a total volume of 4.2 ml. Temperature rise was measured remotely by a thermal camera with emissivity adjusted to 0.93 (the emissivity of PP, the cuvette material).</w:t>
      </w:r>
      <w:r w:rsidR="005C7E00">
        <w:rPr>
          <w:rFonts w:ascii="Arial" w:hAnsi="Arial" w:cs="Arial"/>
          <w:color w:val="000000" w:themeColor="text1"/>
        </w:rPr>
        <w:t xml:space="preserve"> Results </w:t>
      </w:r>
      <w:r w:rsidR="00E67ABA">
        <w:rPr>
          <w:rFonts w:ascii="Arial" w:hAnsi="Arial" w:cs="Arial"/>
          <w:color w:val="000000" w:themeColor="text1"/>
        </w:rPr>
        <w:t xml:space="preserve">are shown in </w:t>
      </w:r>
      <w:r w:rsidR="00E67ABA" w:rsidRPr="00E67ABA">
        <w:rPr>
          <w:rFonts w:ascii="Arial" w:hAnsi="Arial" w:cs="Arial"/>
          <w:b/>
          <w:bCs/>
          <w:color w:val="000000" w:themeColor="text1"/>
        </w:rPr>
        <w:t>Figure 54</w:t>
      </w:r>
      <w:r w:rsidR="00E67ABA">
        <w:rPr>
          <w:rFonts w:ascii="Arial" w:hAnsi="Arial" w:cs="Arial"/>
          <w:color w:val="000000" w:themeColor="text1"/>
        </w:rPr>
        <w:t>.</w:t>
      </w:r>
    </w:p>
    <w:p w14:paraId="163304B4" w14:textId="77777777" w:rsidR="00845C20" w:rsidRDefault="00845C20" w:rsidP="00ED28BD">
      <w:pPr>
        <w:spacing w:line="360" w:lineRule="auto"/>
        <w:ind w:firstLine="1440"/>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2B4DB4" w14:paraId="0A262619" w14:textId="77777777" w:rsidTr="002B4DB4">
        <w:tc>
          <w:tcPr>
            <w:tcW w:w="9350" w:type="dxa"/>
          </w:tcPr>
          <w:p w14:paraId="7EA48F9B" w14:textId="28D38035" w:rsidR="0030424D" w:rsidRDefault="00CD1985" w:rsidP="00B815B1">
            <w:pPr>
              <w:spacing w:beforeAutospacing="0" w:line="360" w:lineRule="auto"/>
              <w:ind w:firstLine="0"/>
              <w:rPr>
                <w:rFonts w:ascii="Arial" w:hAnsi="Arial" w:cs="Arial"/>
                <w:color w:val="000000" w:themeColor="text1"/>
              </w:rPr>
            </w:pPr>
            <w:r w:rsidRPr="00CD1985">
              <w:rPr>
                <w:rFonts w:ascii="Arial" w:hAnsi="Arial" w:cs="Arial"/>
                <w:noProof/>
                <w:color w:val="000000" w:themeColor="text1"/>
              </w:rPr>
              <w:drawing>
                <wp:inline distT="0" distB="0" distL="0" distR="0" wp14:anchorId="4364C9D8" wp14:editId="62442549">
                  <wp:extent cx="5843239" cy="3090798"/>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854318" cy="3096658"/>
                          </a:xfrm>
                          <a:prstGeom prst="rect">
                            <a:avLst/>
                          </a:prstGeom>
                        </pic:spPr>
                      </pic:pic>
                    </a:graphicData>
                  </a:graphic>
                </wp:inline>
              </w:drawing>
            </w:r>
          </w:p>
        </w:tc>
      </w:tr>
      <w:tr w:rsidR="00310808" w14:paraId="5BEA0C8D" w14:textId="77777777" w:rsidTr="002B4DB4">
        <w:tc>
          <w:tcPr>
            <w:tcW w:w="9350" w:type="dxa"/>
          </w:tcPr>
          <w:p w14:paraId="74903910" w14:textId="045DEE6A" w:rsidR="00310808" w:rsidRPr="00B815B1" w:rsidRDefault="00565550" w:rsidP="00B815B1">
            <w:pPr>
              <w:spacing w:line="360" w:lineRule="auto"/>
              <w:ind w:firstLine="0"/>
            </w:pPr>
            <w:bookmarkStart w:id="158" w:name="_Toc121217376"/>
            <w:r w:rsidRPr="00565550">
              <w:rPr>
                <w:rFonts w:ascii="Arial" w:hAnsi="Arial" w:cs="Arial"/>
                <w:b/>
                <w:bCs/>
                <w:color w:val="000000" w:themeColor="text1"/>
              </w:rPr>
              <w:lastRenderedPageBreak/>
              <w:t xml:space="preserve">Figure </w:t>
            </w:r>
            <w:r w:rsidRPr="00565550">
              <w:rPr>
                <w:rFonts w:ascii="Arial" w:hAnsi="Arial" w:cs="Arial"/>
                <w:b/>
                <w:bCs/>
                <w:color w:val="000000" w:themeColor="text1"/>
              </w:rPr>
              <w:fldChar w:fldCharType="begin"/>
            </w:r>
            <w:r w:rsidRPr="00565550">
              <w:rPr>
                <w:rFonts w:ascii="Arial" w:hAnsi="Arial" w:cs="Arial"/>
                <w:b/>
                <w:bCs/>
                <w:color w:val="000000" w:themeColor="text1"/>
              </w:rPr>
              <w:instrText xml:space="preserve"> SEQ Figure \* ARABIC </w:instrText>
            </w:r>
            <w:r w:rsidRPr="00565550">
              <w:rPr>
                <w:rFonts w:ascii="Arial" w:hAnsi="Arial" w:cs="Arial"/>
                <w:b/>
                <w:bCs/>
                <w:color w:val="000000" w:themeColor="text1"/>
              </w:rPr>
              <w:fldChar w:fldCharType="separate"/>
            </w:r>
            <w:r w:rsidR="002C4B25">
              <w:rPr>
                <w:rFonts w:ascii="Arial" w:hAnsi="Arial" w:cs="Arial"/>
                <w:b/>
                <w:bCs/>
                <w:noProof/>
                <w:color w:val="000000" w:themeColor="text1"/>
              </w:rPr>
              <w:t>54</w:t>
            </w:r>
            <w:r w:rsidRPr="00565550">
              <w:rPr>
                <w:rFonts w:ascii="Arial" w:hAnsi="Arial" w:cs="Arial"/>
                <w:b/>
                <w:bCs/>
                <w:color w:val="000000" w:themeColor="text1"/>
              </w:rPr>
              <w:fldChar w:fldCharType="end"/>
            </w:r>
            <w:r w:rsidR="00B815B1" w:rsidRPr="004643DE">
              <w:rPr>
                <w:rFonts w:ascii="Arial" w:hAnsi="Arial" w:cs="Arial"/>
                <w:b/>
                <w:bCs/>
                <w:color w:val="000000" w:themeColor="text1"/>
              </w:rPr>
              <w:t xml:space="preserve">: </w:t>
            </w:r>
            <w:r w:rsidR="00B815B1">
              <w:rPr>
                <w:rFonts w:ascii="Arial" w:hAnsi="Arial" w:cs="Arial"/>
                <w:b/>
                <w:bCs/>
                <w:color w:val="000000" w:themeColor="text1"/>
              </w:rPr>
              <w:t>Effect of the geometry of liquid phase on the h</w:t>
            </w:r>
            <w:r w:rsidR="00B815B1" w:rsidRPr="004643DE">
              <w:rPr>
                <w:rFonts w:ascii="Arial" w:hAnsi="Arial" w:cs="Arial"/>
                <w:b/>
                <w:bCs/>
                <w:color w:val="000000" w:themeColor="text1"/>
              </w:rPr>
              <w:t xml:space="preserve">eating rate </w:t>
            </w:r>
            <w:r w:rsidR="00B815B1">
              <w:rPr>
                <w:rFonts w:ascii="Arial" w:hAnsi="Arial" w:cs="Arial"/>
                <w:b/>
                <w:bCs/>
                <w:color w:val="000000" w:themeColor="text1"/>
              </w:rPr>
              <w:t xml:space="preserve">of different samples </w:t>
            </w:r>
            <w:r w:rsidR="00B815B1" w:rsidRPr="004643DE">
              <w:rPr>
                <w:rFonts w:ascii="Arial" w:hAnsi="Arial" w:cs="Arial"/>
                <w:b/>
                <w:bCs/>
                <w:color w:val="000000" w:themeColor="text1"/>
              </w:rPr>
              <w:t>in</w:t>
            </w:r>
            <w:r w:rsidR="00B815B1">
              <w:rPr>
                <w:rFonts w:ascii="Arial" w:hAnsi="Arial" w:cs="Arial"/>
                <w:b/>
                <w:bCs/>
                <w:color w:val="000000" w:themeColor="text1"/>
              </w:rPr>
              <w:t xml:space="preserve"> 13.56 MHz</w:t>
            </w:r>
            <w:r w:rsidR="00B815B1" w:rsidRPr="004643DE">
              <w:rPr>
                <w:rFonts w:ascii="Arial" w:hAnsi="Arial" w:cs="Arial"/>
                <w:b/>
                <w:bCs/>
                <w:color w:val="000000" w:themeColor="text1"/>
              </w:rPr>
              <w:t xml:space="preserve"> RF field</w:t>
            </w:r>
            <w:r w:rsidR="00B815B1">
              <w:rPr>
                <w:rFonts w:ascii="Arial" w:hAnsi="Arial" w:cs="Arial"/>
                <w:color w:val="000000" w:themeColor="text1"/>
              </w:rPr>
              <w:t>. Either 1 ml or 4.2 ml was sampled into a cuvette (1 cm </w:t>
            </w:r>
            <w:r w:rsidR="00B815B1">
              <w:rPr>
                <w:rFonts w:ascii="Arial" w:hAnsi="Arial" w:cs="Arial"/>
                <w:color w:val="000000" w:themeColor="text1"/>
              </w:rPr>
              <w:sym w:font="Symbol" w:char="F0B4"/>
            </w:r>
            <w:r w:rsidR="00B815B1">
              <w:rPr>
                <w:rFonts w:ascii="Arial" w:hAnsi="Arial" w:cs="Arial"/>
                <w:color w:val="000000" w:themeColor="text1"/>
              </w:rPr>
              <w:t> 1 cm </w:t>
            </w:r>
            <w:r w:rsidR="00B815B1">
              <w:rPr>
                <w:rFonts w:ascii="Arial" w:hAnsi="Arial" w:cs="Arial"/>
                <w:color w:val="000000" w:themeColor="text1"/>
              </w:rPr>
              <w:sym w:font="Symbol" w:char="F0B4"/>
            </w:r>
            <w:r w:rsidR="00B815B1">
              <w:rPr>
                <w:rFonts w:ascii="Arial" w:hAnsi="Arial" w:cs="Arial"/>
                <w:color w:val="000000" w:themeColor="text1"/>
              </w:rPr>
              <w:t> 4 cm), creating liquid volumes of 1 cm or 4.2 cm of height. Samples of deionized (DI) water, phosphate buffer</w:t>
            </w:r>
            <w:r w:rsidR="00E67ABA">
              <w:rPr>
                <w:rFonts w:ascii="Arial" w:hAnsi="Arial" w:cs="Arial"/>
                <w:color w:val="000000" w:themeColor="text1"/>
              </w:rPr>
              <w:t>ed</w:t>
            </w:r>
            <w:r w:rsidR="00B815B1">
              <w:rPr>
                <w:rFonts w:ascii="Arial" w:hAnsi="Arial" w:cs="Arial"/>
                <w:color w:val="000000" w:themeColor="text1"/>
              </w:rPr>
              <w:t xml:space="preserve"> saline (PBS), SDS (1%), (6,5) SWCNT suspended in 1% SDS, and sample PXD2-2069 were irradiated with 13.56 MHz </w:t>
            </w:r>
            <w:proofErr w:type="spellStart"/>
            <w:r w:rsidR="00B815B1">
              <w:rPr>
                <w:rFonts w:ascii="Arial" w:hAnsi="Arial" w:cs="Arial"/>
                <w:color w:val="000000" w:themeColor="text1"/>
              </w:rPr>
              <w:t>Comdel</w:t>
            </w:r>
            <w:proofErr w:type="spellEnd"/>
            <w:r w:rsidR="00B815B1">
              <w:rPr>
                <w:rFonts w:ascii="Arial" w:hAnsi="Arial" w:cs="Arial"/>
                <w:color w:val="000000" w:themeColor="text1"/>
              </w:rPr>
              <w:t xml:space="preserve"> RF system between horizontal plates at 600 W power output. The temperature was measured with a thermal camera. The heating of DI water was not affected by the height of the liquid phase, while PBS presented a significantly greater heating rate when the height of the liquid phase was bigger. The heating rate of 4.2-ml samples of SDS (1%) could not be assessed because boiling started at around 30 s of irradiation, which did not happen to the 1 ml sample. (6,5) SWCNT and sample PXD2-2069 at volume 4.2 ml boiled rapidly after the irradiation (within less than 5 s), and the heating rate was also not assessed. *Indicates inability to measure heating rate due to the boiling of the liquid sample inside the cuvette.</w:t>
            </w:r>
            <w:bookmarkEnd w:id="158"/>
          </w:p>
        </w:tc>
      </w:tr>
    </w:tbl>
    <w:p w14:paraId="7405D77A" w14:textId="77777777" w:rsidR="00565550" w:rsidRDefault="00565550" w:rsidP="002B4DB4">
      <w:pPr>
        <w:spacing w:line="360" w:lineRule="auto"/>
        <w:jc w:val="both"/>
        <w:rPr>
          <w:rFonts w:ascii="Arial" w:hAnsi="Arial" w:cs="Arial"/>
          <w:color w:val="000000" w:themeColor="text1"/>
        </w:rPr>
      </w:pPr>
    </w:p>
    <w:p w14:paraId="1DF7A233" w14:textId="1E07EC2C" w:rsidR="00BE6C61" w:rsidRDefault="00BE6C61" w:rsidP="00BE6C61">
      <w:pPr>
        <w:spacing w:line="360" w:lineRule="auto"/>
        <w:ind w:firstLine="1440"/>
        <w:jc w:val="both"/>
        <w:rPr>
          <w:rFonts w:ascii="Arial" w:hAnsi="Arial" w:cs="Arial"/>
          <w:color w:val="000000" w:themeColor="text1"/>
        </w:rPr>
      </w:pPr>
      <w:r w:rsidRPr="00375B00">
        <w:rPr>
          <w:rFonts w:ascii="Arial" w:hAnsi="Arial" w:cs="Arial"/>
          <w:b/>
          <w:bCs/>
          <w:color w:val="000000" w:themeColor="text1"/>
        </w:rPr>
        <w:t xml:space="preserve">Figure </w:t>
      </w:r>
      <w:r w:rsidR="00375B00" w:rsidRPr="00375B00">
        <w:rPr>
          <w:rFonts w:ascii="Arial" w:hAnsi="Arial" w:cs="Arial"/>
          <w:b/>
          <w:bCs/>
          <w:color w:val="000000" w:themeColor="text1"/>
        </w:rPr>
        <w:t>54</w:t>
      </w:r>
      <w:r>
        <w:rPr>
          <w:rFonts w:ascii="Arial" w:hAnsi="Arial" w:cs="Arial"/>
          <w:color w:val="000000" w:themeColor="text1"/>
        </w:rPr>
        <w:t xml:space="preserve"> shows that 4.2-ml samples heated much more efficiently than the 1</w:t>
      </w:r>
      <w:r w:rsidR="00E865F7">
        <w:rPr>
          <w:rFonts w:ascii="Arial" w:hAnsi="Arial" w:cs="Arial"/>
          <w:color w:val="000000" w:themeColor="text1"/>
        </w:rPr>
        <w:t xml:space="preserve"> </w:t>
      </w:r>
      <w:r>
        <w:rPr>
          <w:rFonts w:ascii="Arial" w:hAnsi="Arial" w:cs="Arial"/>
          <w:color w:val="000000" w:themeColor="text1"/>
        </w:rPr>
        <w:t xml:space="preserve">cm samples. This seems counterintuitive because the power output was </w:t>
      </w:r>
      <w:r w:rsidR="00B55CC6">
        <w:rPr>
          <w:rFonts w:ascii="Arial" w:hAnsi="Arial" w:cs="Arial"/>
          <w:color w:val="000000" w:themeColor="text1"/>
        </w:rPr>
        <w:t xml:space="preserve">the same </w:t>
      </w:r>
      <w:r>
        <w:rPr>
          <w:rFonts w:ascii="Arial" w:hAnsi="Arial" w:cs="Arial"/>
          <w:color w:val="000000" w:themeColor="text1"/>
        </w:rPr>
        <w:t>600</w:t>
      </w:r>
      <w:r w:rsidR="00B55CC6">
        <w:rPr>
          <w:rFonts w:ascii="Arial" w:hAnsi="Arial" w:cs="Arial"/>
          <w:color w:val="000000" w:themeColor="text1"/>
        </w:rPr>
        <w:t> </w:t>
      </w:r>
      <w:r>
        <w:rPr>
          <w:rFonts w:ascii="Arial" w:hAnsi="Arial" w:cs="Arial"/>
          <w:color w:val="000000" w:themeColor="text1"/>
        </w:rPr>
        <w:t xml:space="preserve">W </w:t>
      </w:r>
      <w:r w:rsidR="00B55CC6">
        <w:rPr>
          <w:rFonts w:ascii="Arial" w:hAnsi="Arial" w:cs="Arial"/>
          <w:color w:val="000000" w:themeColor="text1"/>
        </w:rPr>
        <w:t xml:space="preserve">used before </w:t>
      </w:r>
      <w:r>
        <w:rPr>
          <w:rFonts w:ascii="Arial" w:hAnsi="Arial" w:cs="Arial"/>
          <w:color w:val="000000" w:themeColor="text1"/>
        </w:rPr>
        <w:t>for all the</w:t>
      </w:r>
      <w:r w:rsidR="00B55CC6">
        <w:rPr>
          <w:rFonts w:ascii="Arial" w:hAnsi="Arial" w:cs="Arial"/>
          <w:color w:val="000000" w:themeColor="text1"/>
        </w:rPr>
        <w:t xml:space="preserve"> previous</w:t>
      </w:r>
      <w:r>
        <w:rPr>
          <w:rFonts w:ascii="Arial" w:hAnsi="Arial" w:cs="Arial"/>
          <w:color w:val="000000" w:themeColor="text1"/>
        </w:rPr>
        <w:t xml:space="preserve"> experiments. In standard heat transfer settings, the heating rate is inversely proportional to the object's mass to be heated; thus, it would be expected that the 1</w:t>
      </w:r>
      <w:r w:rsidR="00E865F7">
        <w:rPr>
          <w:rFonts w:ascii="Arial" w:hAnsi="Arial" w:cs="Arial"/>
          <w:color w:val="000000" w:themeColor="text1"/>
        </w:rPr>
        <w:t xml:space="preserve"> </w:t>
      </w:r>
      <w:r>
        <w:rPr>
          <w:rFonts w:ascii="Arial" w:hAnsi="Arial" w:cs="Arial"/>
          <w:color w:val="000000" w:themeColor="text1"/>
        </w:rPr>
        <w:t>ml samples would heat more efficiently than the 4.2</w:t>
      </w:r>
      <w:r w:rsidR="00E865F7">
        <w:rPr>
          <w:rFonts w:ascii="Arial" w:hAnsi="Arial" w:cs="Arial"/>
          <w:color w:val="000000" w:themeColor="text1"/>
        </w:rPr>
        <w:t xml:space="preserve"> </w:t>
      </w:r>
      <w:r>
        <w:rPr>
          <w:rFonts w:ascii="Arial" w:hAnsi="Arial" w:cs="Arial"/>
          <w:color w:val="000000" w:themeColor="text1"/>
        </w:rPr>
        <w:t>ml samples. This discrepancy might be explained by how long the path of the RF field through the sample is. The radiofrequency irradiation of samples with a longer path (4.2 cm in 4.2-ml sample) demonstrated a much higher heating rate than those with a shorter path (1 cm in 1 ml samples).</w:t>
      </w:r>
    </w:p>
    <w:p w14:paraId="4016366D" w14:textId="0D913BFF" w:rsidR="00BE6C61" w:rsidRDefault="00BE6C61" w:rsidP="00BE6C61">
      <w:pPr>
        <w:spacing w:line="360" w:lineRule="auto"/>
        <w:ind w:firstLine="1440"/>
        <w:jc w:val="both"/>
        <w:rPr>
          <w:rFonts w:ascii="Arial" w:hAnsi="Arial" w:cs="Arial"/>
          <w:color w:val="000000" w:themeColor="text1"/>
        </w:rPr>
      </w:pPr>
      <w:r>
        <w:rPr>
          <w:rFonts w:ascii="Arial" w:hAnsi="Arial" w:cs="Arial"/>
          <w:color w:val="000000" w:themeColor="text1"/>
        </w:rPr>
        <w:t xml:space="preserve">Interestingly, Li </w:t>
      </w:r>
      <w:r>
        <w:rPr>
          <w:rFonts w:ascii="Arial" w:hAnsi="Arial" w:cs="Arial"/>
          <w:i/>
          <w:iCs/>
          <w:color w:val="000000" w:themeColor="text1"/>
        </w:rPr>
        <w:t>et al.</w:t>
      </w:r>
      <w:r>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{"citationID":"apfniq0nbu","properties":{"formattedCitation":"\\super 286\\nosupersub{}","plainCitation":"286","noteIndex":0},"citationItems":[{"id":195,"uris":["http://zotero.org/users/7661987/items/3E7SIZYH"],"itemData":{"id":195,"type":"article-journal","abstract":"Electromagnetic absorption and subsequent heating of nanoparticle solutions and simple NaCl ionic solutions is examined for biomedical applications in the radiofrequency range at 13.56 MHz. It is shown via both theory and experiment that for in vitro measurements the shape of the solution container plays a major role in absorption and heating.","container-title":"IEEE Transactions on Biomedical Engineering","DOI":"10.1109/TBME.2012.2219049","ISSN":"0018-9294, 1558-2531","issue":"12","journalAbbreviation":"IEEE Trans. Biomed. Eng.","language":"en","page":"3468-3474","source":"DOI.org (Crossref)","title":"The Effect of Sample Holder Geometry on Electromagnetic Heating of Nanoparticle and NaCl Solutions at 13.56 MHz","volume":"59","author":[{"family":"Li","given":"Dongxiao"},{"family":"Jung","given":"Yun Suk"},{"family":"Kim","given":"Hong Koo"},{"family":"Chen","given":"Junda"},{"family":"Geller","given":"David A."},{"family":"Shuba","given":"Mikhail V."},{"family":"Maksimenko","given":"Sergey A."},{"family":"Patch","given":"Sarah"},{"family":"Forati","given":"Ebrahim"},{"family":"Hanson","given":"George W."}],"issued":{"date-parts":[["2012",12]]}}}],"schema":"https://github.com/citation-style-language/schema/raw/master/csl-citation.json"} </w:instrText>
      </w:r>
      <w:r>
        <w:rPr>
          <w:rFonts w:ascii="Arial" w:hAnsi="Arial" w:cs="Arial"/>
          <w:color w:val="000000" w:themeColor="text1"/>
        </w:rPr>
        <w:fldChar w:fldCharType="separate"/>
      </w:r>
      <w:r w:rsidR="000F4F53" w:rsidRPr="000F4F53">
        <w:rPr>
          <w:rFonts w:ascii="Arial" w:hAnsi="Arial" w:cs="Arial"/>
          <w:color w:val="000000"/>
          <w:vertAlign w:val="superscript"/>
        </w:rPr>
        <w:t>286</w:t>
      </w:r>
      <w:r>
        <w:rPr>
          <w:rFonts w:ascii="Arial" w:hAnsi="Arial" w:cs="Arial"/>
          <w:color w:val="000000" w:themeColor="text1"/>
        </w:rPr>
        <w:fldChar w:fldCharType="end"/>
      </w:r>
      <w:r>
        <w:rPr>
          <w:rFonts w:ascii="Arial" w:hAnsi="Arial" w:cs="Arial"/>
          <w:color w:val="000000" w:themeColor="text1"/>
        </w:rPr>
        <w:t xml:space="preserve"> ha</w:t>
      </w:r>
      <w:r w:rsidR="001611BC">
        <w:rPr>
          <w:rFonts w:ascii="Arial" w:hAnsi="Arial" w:cs="Arial"/>
          <w:color w:val="000000" w:themeColor="text1"/>
        </w:rPr>
        <w:t>ve</w:t>
      </w:r>
      <w:r>
        <w:rPr>
          <w:rFonts w:ascii="Arial" w:hAnsi="Arial" w:cs="Arial"/>
          <w:color w:val="000000" w:themeColor="text1"/>
        </w:rPr>
        <w:t xml:space="preserve"> demonstrated both experimentally and theoretically that the sample holder geometry influences the heating rate of saline samples in a 13.56 MHz RF field. For example, in a vertically aligned RF field in samples saline of ~1 ml, the temperature increase of a petri dish at 10 min of irradiation was undetectable, whereas the temperature </w:t>
      </w:r>
      <w:proofErr w:type="gramStart"/>
      <w:r>
        <w:rPr>
          <w:rFonts w:ascii="Arial" w:hAnsi="Arial" w:cs="Arial"/>
          <w:color w:val="000000" w:themeColor="text1"/>
        </w:rPr>
        <w:t>increase</w:t>
      </w:r>
      <w:proofErr w:type="gramEnd"/>
      <w:r>
        <w:rPr>
          <w:rFonts w:ascii="Arial" w:hAnsi="Arial" w:cs="Arial"/>
          <w:color w:val="000000" w:themeColor="text1"/>
        </w:rPr>
        <w:t xml:space="preserve"> for a tube holding a similar volume of saline was ~2</w:t>
      </w:r>
      <w:r>
        <w:rPr>
          <w:rFonts w:ascii="Arial" w:hAnsi="Arial" w:cs="Arial"/>
          <w:color w:val="000000" w:themeColor="text1"/>
        </w:rPr>
        <w:sym w:font="Symbol" w:char="F0B0"/>
      </w:r>
      <w:r>
        <w:rPr>
          <w:rFonts w:ascii="Arial" w:hAnsi="Arial" w:cs="Arial"/>
          <w:color w:val="000000" w:themeColor="text1"/>
        </w:rPr>
        <w:t xml:space="preserve">C. Li </w:t>
      </w:r>
      <w:r>
        <w:rPr>
          <w:rFonts w:ascii="Arial" w:hAnsi="Arial" w:cs="Arial"/>
          <w:i/>
          <w:iCs/>
          <w:color w:val="000000" w:themeColor="text1"/>
        </w:rPr>
        <w:t xml:space="preserve">et al. </w:t>
      </w:r>
      <w:r>
        <w:rPr>
          <w:rFonts w:ascii="Arial" w:hAnsi="Arial" w:cs="Arial"/>
          <w:color w:val="000000" w:themeColor="text1"/>
        </w:rPr>
        <w:t xml:space="preserve">argue that a long, thin object parallelly oriented to the field would allow a more efficient penetration of the field compared to a perpendicularly oriented </w:t>
      </w:r>
      <w:r>
        <w:rPr>
          <w:rFonts w:ascii="Arial" w:hAnsi="Arial" w:cs="Arial"/>
          <w:color w:val="000000" w:themeColor="text1"/>
        </w:rPr>
        <w:lastRenderedPageBreak/>
        <w:t xml:space="preserve">shape. In our experiment, even though the shape of the sample holder was kept the same between experiments, the shape of the liquid volume varied due to the use of a </w:t>
      </w:r>
      <w:r w:rsidR="001611BC">
        <w:rPr>
          <w:rFonts w:ascii="Arial" w:hAnsi="Arial" w:cs="Arial"/>
          <w:color w:val="000000" w:themeColor="text1"/>
        </w:rPr>
        <w:t>larger</w:t>
      </w:r>
      <w:r>
        <w:rPr>
          <w:rFonts w:ascii="Arial" w:hAnsi="Arial" w:cs="Arial"/>
          <w:color w:val="000000" w:themeColor="text1"/>
        </w:rPr>
        <w:t xml:space="preserve"> volume. It is believed that the longer path RF field inside the fluid sample induces an increased absorbance of the irradiation. </w:t>
      </w:r>
      <w:proofErr w:type="gramStart"/>
      <w:r>
        <w:rPr>
          <w:rFonts w:ascii="Arial" w:hAnsi="Arial" w:cs="Arial"/>
          <w:color w:val="000000" w:themeColor="text1"/>
        </w:rPr>
        <w:t>Actually, the</w:t>
      </w:r>
      <w:proofErr w:type="gramEnd"/>
      <w:r>
        <w:rPr>
          <w:rFonts w:ascii="Arial" w:hAnsi="Arial" w:cs="Arial"/>
          <w:color w:val="000000" w:themeColor="text1"/>
        </w:rPr>
        <w:t xml:space="preserve"> geometry of the sample to be irradiated influences the results of the </w:t>
      </w:r>
      <w:r w:rsidR="001611BC">
        <w:rPr>
          <w:rFonts w:ascii="Arial" w:hAnsi="Arial" w:cs="Arial"/>
          <w:color w:val="000000" w:themeColor="text1"/>
        </w:rPr>
        <w:t>radiofrequency ablation (</w:t>
      </w:r>
      <w:r>
        <w:rPr>
          <w:rFonts w:ascii="Arial" w:hAnsi="Arial" w:cs="Arial"/>
          <w:color w:val="000000" w:themeColor="text1"/>
        </w:rPr>
        <w:t>RFA</w:t>
      </w:r>
      <w:r w:rsidR="001611BC">
        <w:rPr>
          <w:rFonts w:ascii="Arial" w:hAnsi="Arial" w:cs="Arial"/>
          <w:color w:val="000000" w:themeColor="text1"/>
        </w:rPr>
        <w:t>)</w:t>
      </w:r>
      <w:r>
        <w:rPr>
          <w:rFonts w:ascii="Arial" w:hAnsi="Arial" w:cs="Arial"/>
          <w:color w:val="000000" w:themeColor="text1"/>
        </w:rPr>
        <w:t>.</w:t>
      </w:r>
    </w:p>
    <w:p w14:paraId="35B942C3" w14:textId="618CFAE3" w:rsidR="00221C3A" w:rsidRDefault="00221C3A" w:rsidP="00221C3A">
      <w:pPr>
        <w:spacing w:line="360" w:lineRule="auto"/>
        <w:ind w:firstLine="1440"/>
        <w:jc w:val="both"/>
        <w:rPr>
          <w:rFonts w:ascii="Arial" w:hAnsi="Arial" w:cs="Arial"/>
          <w:color w:val="000000" w:themeColor="text1"/>
        </w:rPr>
      </w:pPr>
      <w:r>
        <w:rPr>
          <w:rFonts w:ascii="Arial" w:hAnsi="Arial" w:cs="Arial"/>
          <w:color w:val="000000" w:themeColor="text1"/>
        </w:rPr>
        <w:t>To illustrate how much more efficient the irradiation of the 4.2</w:t>
      </w:r>
      <w:r w:rsidR="00A3074D">
        <w:rPr>
          <w:rFonts w:ascii="Arial" w:hAnsi="Arial" w:cs="Arial"/>
          <w:color w:val="000000" w:themeColor="text1"/>
        </w:rPr>
        <w:t xml:space="preserve"> </w:t>
      </w:r>
      <w:r>
        <w:rPr>
          <w:rFonts w:ascii="Arial" w:hAnsi="Arial" w:cs="Arial"/>
          <w:color w:val="000000" w:themeColor="text1"/>
        </w:rPr>
        <w:t>ml CNT samples was compared to 1</w:t>
      </w:r>
      <w:r w:rsidR="00A3074D">
        <w:rPr>
          <w:rFonts w:ascii="Arial" w:hAnsi="Arial" w:cs="Arial"/>
          <w:color w:val="000000" w:themeColor="text1"/>
        </w:rPr>
        <w:t xml:space="preserve"> </w:t>
      </w:r>
      <w:r>
        <w:rPr>
          <w:rFonts w:ascii="Arial" w:hAnsi="Arial" w:cs="Arial"/>
          <w:color w:val="000000" w:themeColor="text1"/>
        </w:rPr>
        <w:t xml:space="preserve">ml samples, thermal pictures, and photos of those samples were taken in less than 5 s after the beginning of the irradiation and are shown in </w:t>
      </w:r>
      <w:r w:rsidRPr="00016FED">
        <w:rPr>
          <w:rFonts w:ascii="Arial" w:hAnsi="Arial" w:cs="Arial"/>
          <w:b/>
          <w:bCs/>
          <w:color w:val="000000" w:themeColor="text1"/>
        </w:rPr>
        <w:t xml:space="preserve">Figure </w:t>
      </w:r>
      <w:r w:rsidR="00016FED" w:rsidRPr="00016FED">
        <w:rPr>
          <w:rFonts w:ascii="Arial" w:hAnsi="Arial" w:cs="Arial"/>
          <w:b/>
          <w:bCs/>
          <w:color w:val="000000" w:themeColor="text1"/>
        </w:rPr>
        <w:t>55</w:t>
      </w:r>
      <w:r>
        <w:rPr>
          <w:rFonts w:ascii="Arial" w:hAnsi="Arial" w:cs="Arial"/>
          <w:color w:val="000000" w:themeColor="text1"/>
        </w:rPr>
        <w:t>.</w:t>
      </w:r>
    </w:p>
    <w:p w14:paraId="184AC1D3" w14:textId="77777777" w:rsidR="00565550" w:rsidRPr="00D74025" w:rsidRDefault="00565550" w:rsidP="00221C3A">
      <w:pPr>
        <w:spacing w:line="360" w:lineRule="auto"/>
        <w:ind w:firstLine="1440"/>
        <w:jc w:val="both"/>
        <w:rPr>
          <w:rFonts w:ascii="Arial" w:hAnsi="Arial" w:cs="Arial"/>
          <w:color w:val="000000" w:themeColor="text1"/>
          <w:sz w:val="20"/>
          <w:szCs w:val="20"/>
        </w:rPr>
      </w:pPr>
    </w:p>
    <w:tbl>
      <w:tblPr>
        <w:tblStyle w:val="TableGrid"/>
        <w:tblW w:w="0" w:type="auto"/>
        <w:tblLook w:val="04A0" w:firstRow="1" w:lastRow="0" w:firstColumn="1" w:lastColumn="0" w:noHBand="0" w:noVBand="1"/>
      </w:tblPr>
      <w:tblGrid>
        <w:gridCol w:w="9350"/>
      </w:tblGrid>
      <w:tr w:rsidR="00D91EDD" w14:paraId="06C06A6C" w14:textId="77777777" w:rsidTr="00D91EDD">
        <w:tc>
          <w:tcPr>
            <w:tcW w:w="9350" w:type="dxa"/>
          </w:tcPr>
          <w:p w14:paraId="57A241BA" w14:textId="7408717E" w:rsidR="00D91EDD" w:rsidRDefault="00D91EDD" w:rsidP="000D71A7">
            <w:pPr>
              <w:spacing w:beforeAutospacing="0"/>
              <w:ind w:firstLine="0"/>
              <w:rPr>
                <w:rFonts w:ascii="Arial" w:hAnsi="Arial" w:cs="Arial"/>
                <w:color w:val="000000" w:themeColor="text1"/>
                <w:sz w:val="20"/>
                <w:szCs w:val="20"/>
              </w:rPr>
            </w:pPr>
            <w:r w:rsidRPr="00D91EDD">
              <w:rPr>
                <w:rFonts w:ascii="Arial" w:hAnsi="Arial" w:cs="Arial"/>
                <w:noProof/>
                <w:color w:val="000000" w:themeColor="text1"/>
                <w:sz w:val="20"/>
                <w:szCs w:val="20"/>
              </w:rPr>
              <w:drawing>
                <wp:inline distT="0" distB="0" distL="0" distR="0" wp14:anchorId="02F6D820" wp14:editId="1450D7BC">
                  <wp:extent cx="5792393" cy="5174166"/>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99620" cy="5180621"/>
                          </a:xfrm>
                          <a:prstGeom prst="rect">
                            <a:avLst/>
                          </a:prstGeom>
                        </pic:spPr>
                      </pic:pic>
                    </a:graphicData>
                  </a:graphic>
                </wp:inline>
              </w:drawing>
            </w:r>
          </w:p>
        </w:tc>
      </w:tr>
      <w:tr w:rsidR="00D91EDD" w14:paraId="2EDDD36C" w14:textId="77777777" w:rsidTr="00D91EDD">
        <w:tc>
          <w:tcPr>
            <w:tcW w:w="9350" w:type="dxa"/>
          </w:tcPr>
          <w:p w14:paraId="1EBF604B" w14:textId="64EAFBD5" w:rsidR="00D91EDD" w:rsidRPr="00EA6BA2" w:rsidRDefault="00565550" w:rsidP="00EA6BA2">
            <w:pPr>
              <w:spacing w:line="360" w:lineRule="auto"/>
              <w:ind w:firstLine="0"/>
            </w:pPr>
            <w:bookmarkStart w:id="159" w:name="_Toc118715132"/>
            <w:bookmarkStart w:id="160" w:name="_Toc118728888"/>
            <w:bookmarkStart w:id="161" w:name="_Toc121217377"/>
            <w:r w:rsidRPr="00565550">
              <w:rPr>
                <w:rFonts w:ascii="Arial" w:hAnsi="Arial" w:cs="Arial"/>
                <w:b/>
                <w:bCs/>
                <w:color w:val="000000" w:themeColor="text1"/>
              </w:rPr>
              <w:lastRenderedPageBreak/>
              <w:t xml:space="preserve">Figure </w:t>
            </w:r>
            <w:r w:rsidRPr="00565550">
              <w:rPr>
                <w:rFonts w:ascii="Arial" w:hAnsi="Arial" w:cs="Arial"/>
                <w:b/>
                <w:bCs/>
                <w:color w:val="000000" w:themeColor="text1"/>
              </w:rPr>
              <w:fldChar w:fldCharType="begin"/>
            </w:r>
            <w:r w:rsidRPr="00565550">
              <w:rPr>
                <w:rFonts w:ascii="Arial" w:hAnsi="Arial" w:cs="Arial"/>
                <w:b/>
                <w:bCs/>
                <w:color w:val="000000" w:themeColor="text1"/>
              </w:rPr>
              <w:instrText xml:space="preserve"> SEQ Figure \* ARABIC </w:instrText>
            </w:r>
            <w:r w:rsidRPr="00565550">
              <w:rPr>
                <w:rFonts w:ascii="Arial" w:hAnsi="Arial" w:cs="Arial"/>
                <w:b/>
                <w:bCs/>
                <w:color w:val="000000" w:themeColor="text1"/>
              </w:rPr>
              <w:fldChar w:fldCharType="separate"/>
            </w:r>
            <w:r w:rsidR="002C4B25">
              <w:rPr>
                <w:rFonts w:ascii="Arial" w:hAnsi="Arial" w:cs="Arial"/>
                <w:b/>
                <w:bCs/>
                <w:noProof/>
                <w:color w:val="000000" w:themeColor="text1"/>
              </w:rPr>
              <w:t>55</w:t>
            </w:r>
            <w:r w:rsidRPr="00565550">
              <w:rPr>
                <w:rFonts w:ascii="Arial" w:hAnsi="Arial" w:cs="Arial"/>
                <w:b/>
                <w:bCs/>
                <w:color w:val="000000" w:themeColor="text1"/>
              </w:rPr>
              <w:fldChar w:fldCharType="end"/>
            </w:r>
            <w:r w:rsidR="00EA6BA2" w:rsidRPr="004643DE">
              <w:rPr>
                <w:rFonts w:ascii="Arial" w:hAnsi="Arial" w:cs="Arial"/>
                <w:b/>
                <w:bCs/>
                <w:color w:val="000000" w:themeColor="text1"/>
              </w:rPr>
              <w:t xml:space="preserve">: </w:t>
            </w:r>
            <w:r w:rsidR="00EA6BA2">
              <w:rPr>
                <w:rFonts w:ascii="Arial" w:hAnsi="Arial" w:cs="Arial"/>
                <w:b/>
                <w:bCs/>
                <w:color w:val="000000" w:themeColor="text1"/>
              </w:rPr>
              <w:t>Images of the 13.56 MHz</w:t>
            </w:r>
            <w:r w:rsidR="00EA6BA2" w:rsidRPr="004643DE">
              <w:rPr>
                <w:rFonts w:ascii="Arial" w:hAnsi="Arial" w:cs="Arial"/>
                <w:b/>
                <w:bCs/>
                <w:color w:val="000000" w:themeColor="text1"/>
              </w:rPr>
              <w:t xml:space="preserve"> RF field</w:t>
            </w:r>
            <w:r w:rsidR="00EA6BA2">
              <w:rPr>
                <w:rFonts w:ascii="Arial" w:hAnsi="Arial" w:cs="Arial"/>
                <w:b/>
                <w:bCs/>
                <w:color w:val="000000" w:themeColor="text1"/>
              </w:rPr>
              <w:t xml:space="preserve"> irradiation of (6,5) SWCNT and sample PXD2-2069 in </w:t>
            </w:r>
            <w:proofErr w:type="gramStart"/>
            <w:r w:rsidR="00EA6BA2">
              <w:rPr>
                <w:rFonts w:ascii="Arial" w:hAnsi="Arial" w:cs="Arial"/>
                <w:b/>
                <w:bCs/>
                <w:color w:val="000000" w:themeColor="text1"/>
              </w:rPr>
              <w:t>a completely filled</w:t>
            </w:r>
            <w:proofErr w:type="gramEnd"/>
            <w:r w:rsidR="00EA6BA2">
              <w:rPr>
                <w:rFonts w:ascii="Arial" w:hAnsi="Arial" w:cs="Arial"/>
                <w:b/>
                <w:bCs/>
                <w:color w:val="000000" w:themeColor="text1"/>
              </w:rPr>
              <w:t xml:space="preserve"> cuvette.</w:t>
            </w:r>
            <w:r w:rsidR="00E97CD8">
              <w:rPr>
                <w:rFonts w:ascii="Arial" w:hAnsi="Arial" w:cs="Arial"/>
                <w:b/>
                <w:bCs/>
                <w:color w:val="000000" w:themeColor="text1"/>
              </w:rPr>
              <w:t xml:space="preserve"> </w:t>
            </w:r>
            <w:r w:rsidR="00E97CD8">
              <w:rPr>
                <w:rFonts w:ascii="Arial" w:hAnsi="Arial" w:cs="Arial"/>
                <w:color w:val="000000" w:themeColor="text1"/>
              </w:rPr>
              <w:t>SW</w:t>
            </w:r>
            <w:r w:rsidR="00EA6BA2">
              <w:rPr>
                <w:rFonts w:ascii="Arial" w:hAnsi="Arial" w:cs="Arial"/>
                <w:color w:val="000000" w:themeColor="text1"/>
              </w:rPr>
              <w:t>CNT samples (</w:t>
            </w:r>
            <w:r w:rsidR="00C34670">
              <w:rPr>
                <w:rFonts w:ascii="Arial" w:hAnsi="Arial" w:cs="Arial"/>
                <w:color w:val="000000" w:themeColor="text1"/>
              </w:rPr>
              <w:t xml:space="preserve">4.2 ml, </w:t>
            </w:r>
            <w:r w:rsidR="00EA6BA2">
              <w:rPr>
                <w:rFonts w:ascii="Arial" w:hAnsi="Arial" w:cs="Arial"/>
                <w:color w:val="000000" w:themeColor="text1"/>
              </w:rPr>
              <w:t>500 mg/L) were placed in the cuvette (1 cm </w:t>
            </w:r>
            <w:r w:rsidR="00EA6BA2">
              <w:rPr>
                <w:rFonts w:ascii="Arial" w:hAnsi="Arial" w:cs="Arial"/>
                <w:color w:val="000000" w:themeColor="text1"/>
              </w:rPr>
              <w:sym w:font="Symbol" w:char="F0B4"/>
            </w:r>
            <w:r w:rsidR="00EA6BA2">
              <w:rPr>
                <w:rFonts w:ascii="Arial" w:hAnsi="Arial" w:cs="Arial"/>
                <w:color w:val="000000" w:themeColor="text1"/>
              </w:rPr>
              <w:t> 1 cm </w:t>
            </w:r>
            <w:r w:rsidR="00EA6BA2">
              <w:rPr>
                <w:rFonts w:ascii="Arial" w:hAnsi="Arial" w:cs="Arial"/>
                <w:color w:val="000000" w:themeColor="text1"/>
              </w:rPr>
              <w:sym w:font="Symbol" w:char="F0B4"/>
            </w:r>
            <w:r w:rsidR="00EA6BA2">
              <w:rPr>
                <w:rFonts w:ascii="Arial" w:hAnsi="Arial" w:cs="Arial"/>
                <w:color w:val="000000" w:themeColor="text1"/>
              </w:rPr>
              <w:t xml:space="preserve"> 4 cm) creating 4.2 cm of height. Cuvettes were irradiated with 13.56 MHz RF </w:t>
            </w:r>
            <w:r w:rsidR="001961F7">
              <w:rPr>
                <w:rFonts w:ascii="Arial" w:hAnsi="Arial" w:cs="Arial"/>
                <w:color w:val="000000" w:themeColor="text1"/>
              </w:rPr>
              <w:t xml:space="preserve">field </w:t>
            </w:r>
            <w:r w:rsidR="00EA6BA2">
              <w:rPr>
                <w:rFonts w:ascii="Arial" w:hAnsi="Arial" w:cs="Arial"/>
                <w:color w:val="000000" w:themeColor="text1"/>
              </w:rPr>
              <w:t xml:space="preserve">between horizontal plates at 600 W power output. A, B) </w:t>
            </w:r>
            <w:r w:rsidR="001961F7">
              <w:rPr>
                <w:rFonts w:ascii="Arial" w:hAnsi="Arial" w:cs="Arial"/>
                <w:color w:val="000000" w:themeColor="text1"/>
              </w:rPr>
              <w:t xml:space="preserve">Thermal (A) and photo </w:t>
            </w:r>
            <w:r w:rsidR="00461C64">
              <w:rPr>
                <w:rFonts w:ascii="Arial" w:hAnsi="Arial" w:cs="Arial"/>
                <w:color w:val="000000" w:themeColor="text1"/>
              </w:rPr>
              <w:t xml:space="preserve">(B) </w:t>
            </w:r>
            <w:r w:rsidR="001961F7">
              <w:rPr>
                <w:rFonts w:ascii="Arial" w:hAnsi="Arial" w:cs="Arial"/>
                <w:color w:val="000000" w:themeColor="text1"/>
              </w:rPr>
              <w:t>i</w:t>
            </w:r>
            <w:r w:rsidR="00EA6BA2">
              <w:rPr>
                <w:rFonts w:ascii="Arial" w:hAnsi="Arial" w:cs="Arial"/>
                <w:color w:val="000000" w:themeColor="text1"/>
              </w:rPr>
              <w:t xml:space="preserve">mages of (6,5) SWCNT within less than 5 s of the beginning of irradiation session. C, D) </w:t>
            </w:r>
            <w:r w:rsidR="00461C64">
              <w:rPr>
                <w:rFonts w:ascii="Arial" w:hAnsi="Arial" w:cs="Arial"/>
                <w:color w:val="000000" w:themeColor="text1"/>
              </w:rPr>
              <w:t>Thermal (C) and photo (D) i</w:t>
            </w:r>
            <w:r w:rsidR="00EA6BA2">
              <w:rPr>
                <w:rFonts w:ascii="Arial" w:hAnsi="Arial" w:cs="Arial"/>
                <w:color w:val="000000" w:themeColor="text1"/>
              </w:rPr>
              <w:t>mages of sample PDX2-2069 within less than 5 s of the start of irradiation. Images show the explosive behavior of the suspensions when the height of the liquid volume is longer.</w:t>
            </w:r>
            <w:bookmarkEnd w:id="159"/>
            <w:bookmarkEnd w:id="160"/>
            <w:bookmarkEnd w:id="161"/>
          </w:p>
        </w:tc>
      </w:tr>
    </w:tbl>
    <w:p w14:paraId="539EF3B0" w14:textId="77777777" w:rsidR="00430B5F" w:rsidRDefault="00430B5F" w:rsidP="00D50330">
      <w:pPr>
        <w:rPr>
          <w:rFonts w:ascii="Arial" w:hAnsi="Arial" w:cs="Arial"/>
          <w:color w:val="000000" w:themeColor="text1"/>
          <w:sz w:val="20"/>
          <w:szCs w:val="20"/>
        </w:rPr>
      </w:pPr>
    </w:p>
    <w:p w14:paraId="24B99909" w14:textId="77777777" w:rsidR="005C5BED" w:rsidRDefault="005C5BED" w:rsidP="005C5BED">
      <w:pPr>
        <w:rPr>
          <w:rFonts w:ascii="Arial" w:hAnsi="Arial" w:cs="Arial"/>
          <w:color w:val="000000" w:themeColor="text1"/>
          <w:sz w:val="20"/>
          <w:szCs w:val="20"/>
        </w:rPr>
      </w:pPr>
    </w:p>
    <w:p w14:paraId="7F30C230" w14:textId="625C6CD2" w:rsidR="005C5BED" w:rsidRPr="00884987" w:rsidRDefault="005C5BED" w:rsidP="005C5BED">
      <w:pPr>
        <w:spacing w:line="360" w:lineRule="auto"/>
        <w:ind w:firstLine="1440"/>
        <w:jc w:val="both"/>
        <w:rPr>
          <w:rFonts w:ascii="Arial" w:hAnsi="Arial" w:cs="Arial"/>
          <w:color w:val="000000" w:themeColor="text1"/>
        </w:rPr>
      </w:pPr>
      <w:r w:rsidRPr="00F5458B">
        <w:rPr>
          <w:rFonts w:ascii="Arial" w:hAnsi="Arial" w:cs="Arial"/>
          <w:b/>
          <w:bCs/>
          <w:color w:val="000000" w:themeColor="text1"/>
        </w:rPr>
        <w:t xml:space="preserve">Figure </w:t>
      </w:r>
      <w:r w:rsidR="00F5458B" w:rsidRPr="00F5458B">
        <w:rPr>
          <w:rFonts w:ascii="Arial" w:hAnsi="Arial" w:cs="Arial"/>
          <w:b/>
          <w:bCs/>
          <w:color w:val="000000" w:themeColor="text1"/>
        </w:rPr>
        <w:t>55</w:t>
      </w:r>
      <w:r>
        <w:rPr>
          <w:rFonts w:ascii="Arial" w:hAnsi="Arial" w:cs="Arial"/>
          <w:color w:val="000000" w:themeColor="text1"/>
        </w:rPr>
        <w:t xml:space="preserve"> shows an explosive behavior of both (6,5) SWCNT and sample PXD2-2059, both at a concentration of 500 mg/ml. Another observation was that the phenomenon seems to happen at the interface of liquid and air. Therefore, an experiment was </w:t>
      </w:r>
      <w:r w:rsidR="00800C3B">
        <w:rPr>
          <w:rFonts w:ascii="Arial" w:hAnsi="Arial" w:cs="Arial"/>
          <w:color w:val="000000" w:themeColor="text1"/>
        </w:rPr>
        <w:t>performed</w:t>
      </w:r>
      <w:r>
        <w:rPr>
          <w:rFonts w:ascii="Arial" w:hAnsi="Arial" w:cs="Arial"/>
          <w:color w:val="000000" w:themeColor="text1"/>
        </w:rPr>
        <w:t xml:space="preserve"> to avoid the presence of a liquid-air interface. For that, a volume of 0.2 ml of commercial coconut oil was placed on top of the aqueous suspension of (6,5) SWCNT. </w:t>
      </w:r>
      <w:r w:rsidR="003154EE">
        <w:rPr>
          <w:rFonts w:ascii="Arial" w:hAnsi="Arial" w:cs="Arial"/>
          <w:color w:val="000000" w:themeColor="text1"/>
        </w:rPr>
        <w:t>Before that</w:t>
      </w:r>
      <w:r>
        <w:rPr>
          <w:rFonts w:ascii="Arial" w:hAnsi="Arial" w:cs="Arial"/>
          <w:color w:val="000000" w:themeColor="text1"/>
        </w:rPr>
        <w:t xml:space="preserve">, the heating rate of samples of coconut oil (4.2 ml) was also evaluated in the 13.56 MHz RF field, and the results are shown in </w:t>
      </w:r>
      <w:r w:rsidRPr="00F5458B">
        <w:rPr>
          <w:rFonts w:ascii="Arial" w:hAnsi="Arial" w:cs="Arial"/>
          <w:b/>
          <w:bCs/>
          <w:color w:val="000000" w:themeColor="text1"/>
        </w:rPr>
        <w:t xml:space="preserve">Figure </w:t>
      </w:r>
      <w:r w:rsidR="00F5458B" w:rsidRPr="00F5458B">
        <w:rPr>
          <w:rFonts w:ascii="Arial" w:hAnsi="Arial" w:cs="Arial"/>
          <w:b/>
          <w:bCs/>
          <w:color w:val="000000" w:themeColor="text1"/>
        </w:rPr>
        <w:t>56</w:t>
      </w:r>
      <w:r>
        <w:rPr>
          <w:rFonts w:ascii="Arial" w:hAnsi="Arial" w:cs="Arial"/>
          <w:color w:val="000000" w:themeColor="text1"/>
        </w:rPr>
        <w:t>. It was also hypothesized that th</w:t>
      </w:r>
      <w:r w:rsidR="003154EE">
        <w:rPr>
          <w:rFonts w:ascii="Arial" w:hAnsi="Arial" w:cs="Arial"/>
          <w:color w:val="000000" w:themeColor="text1"/>
        </w:rPr>
        <w:t>e explosive</w:t>
      </w:r>
      <w:r>
        <w:rPr>
          <w:rFonts w:ascii="Arial" w:hAnsi="Arial" w:cs="Arial"/>
          <w:color w:val="000000" w:themeColor="text1"/>
        </w:rPr>
        <w:t xml:space="preserve"> behavior was caused by ionization. Thus, as shown in </w:t>
      </w:r>
      <w:r w:rsidR="00F5458B" w:rsidRPr="00F5458B">
        <w:rPr>
          <w:rFonts w:ascii="Arial" w:hAnsi="Arial" w:cs="Arial"/>
          <w:b/>
          <w:bCs/>
          <w:color w:val="000000" w:themeColor="text1"/>
        </w:rPr>
        <w:t>F</w:t>
      </w:r>
      <w:r w:rsidRPr="00F5458B">
        <w:rPr>
          <w:rFonts w:ascii="Arial" w:hAnsi="Arial" w:cs="Arial"/>
          <w:b/>
          <w:bCs/>
          <w:color w:val="000000" w:themeColor="text1"/>
        </w:rPr>
        <w:t xml:space="preserve">igure </w:t>
      </w:r>
      <w:r w:rsidR="00F5458B" w:rsidRPr="00F5458B">
        <w:rPr>
          <w:rFonts w:ascii="Arial" w:hAnsi="Arial" w:cs="Arial"/>
          <w:b/>
          <w:bCs/>
          <w:color w:val="000000" w:themeColor="text1"/>
        </w:rPr>
        <w:t>56</w:t>
      </w:r>
      <w:r>
        <w:rPr>
          <w:rFonts w:ascii="Arial" w:hAnsi="Arial" w:cs="Arial"/>
          <w:color w:val="000000" w:themeColor="text1"/>
        </w:rPr>
        <w:t xml:space="preserve">, another sample of very high ionic concentration (6 M of NaCl) was also evaluated inside 13.56 </w:t>
      </w:r>
      <w:proofErr w:type="spellStart"/>
      <w:r>
        <w:rPr>
          <w:rFonts w:ascii="Arial" w:hAnsi="Arial" w:cs="Arial"/>
          <w:color w:val="000000" w:themeColor="text1"/>
        </w:rPr>
        <w:t>MHz.</w:t>
      </w:r>
      <w:proofErr w:type="spellEnd"/>
      <w:r>
        <w:rPr>
          <w:rFonts w:ascii="Arial" w:hAnsi="Arial" w:cs="Arial"/>
          <w:color w:val="000000" w:themeColor="text1"/>
        </w:rPr>
        <w:t xml:space="preserve"> </w:t>
      </w:r>
    </w:p>
    <w:p w14:paraId="2BF67459" w14:textId="28DA3FF1" w:rsidR="00430B5F" w:rsidRDefault="00430B5F" w:rsidP="00D50330">
      <w:pPr>
        <w:rPr>
          <w:rFonts w:ascii="Arial" w:hAnsi="Arial" w:cs="Arial"/>
          <w:color w:val="000000" w:themeColor="text1"/>
          <w:sz w:val="20"/>
          <w:szCs w:val="20"/>
        </w:rPr>
      </w:pPr>
    </w:p>
    <w:tbl>
      <w:tblPr>
        <w:tblStyle w:val="TableGrid"/>
        <w:tblW w:w="0" w:type="auto"/>
        <w:tblLook w:val="04A0" w:firstRow="1" w:lastRow="0" w:firstColumn="1" w:lastColumn="0" w:noHBand="0" w:noVBand="1"/>
      </w:tblPr>
      <w:tblGrid>
        <w:gridCol w:w="9350"/>
      </w:tblGrid>
      <w:tr w:rsidR="00430B5F" w14:paraId="650F2A9E" w14:textId="77777777" w:rsidTr="00430B5F">
        <w:tc>
          <w:tcPr>
            <w:tcW w:w="9350" w:type="dxa"/>
          </w:tcPr>
          <w:p w14:paraId="0B5F60BF" w14:textId="496E7BA7" w:rsidR="00430B5F" w:rsidRDefault="00430B5F" w:rsidP="006F781B">
            <w:pPr>
              <w:spacing w:beforeAutospacing="0"/>
              <w:ind w:firstLine="0"/>
              <w:jc w:val="center"/>
              <w:rPr>
                <w:rFonts w:ascii="Arial" w:hAnsi="Arial" w:cs="Arial"/>
                <w:color w:val="000000" w:themeColor="text1"/>
                <w:sz w:val="20"/>
                <w:szCs w:val="20"/>
              </w:rPr>
            </w:pPr>
            <w:r w:rsidRPr="00C62D71">
              <w:rPr>
                <w:rFonts w:ascii="Arial" w:hAnsi="Arial" w:cs="Arial"/>
                <w:noProof/>
                <w:color w:val="000000" w:themeColor="text1"/>
                <w:sz w:val="20"/>
                <w:szCs w:val="20"/>
              </w:rPr>
              <w:drawing>
                <wp:inline distT="0" distB="0" distL="0" distR="0" wp14:anchorId="2E8A864B" wp14:editId="36E2DDD2">
                  <wp:extent cx="1986197" cy="2714773"/>
                  <wp:effectExtent l="0" t="0" r="0" b="3175"/>
                  <wp:docPr id="204" name="Picture 20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Picture 204" descr="Chart&#10;&#10;Description automatically generated"/>
                          <pic:cNvPicPr/>
                        </pic:nvPicPr>
                        <pic:blipFill rotWithShape="1">
                          <a:blip r:embed="rId76"/>
                          <a:srcRect b="8390"/>
                          <a:stretch/>
                        </pic:blipFill>
                        <pic:spPr bwMode="auto">
                          <a:xfrm>
                            <a:off x="0" y="0"/>
                            <a:ext cx="2005126" cy="2740646"/>
                          </a:xfrm>
                          <a:prstGeom prst="rect">
                            <a:avLst/>
                          </a:prstGeom>
                          <a:ln>
                            <a:noFill/>
                          </a:ln>
                          <a:extLst>
                            <a:ext uri="{53640926-AAD7-44D8-BBD7-CCE9431645EC}">
                              <a14:shadowObscured xmlns:a14="http://schemas.microsoft.com/office/drawing/2010/main"/>
                            </a:ext>
                          </a:extLst>
                        </pic:spPr>
                      </pic:pic>
                    </a:graphicData>
                  </a:graphic>
                </wp:inline>
              </w:drawing>
            </w:r>
          </w:p>
        </w:tc>
      </w:tr>
      <w:tr w:rsidR="00430B5F" w14:paraId="48F2256C" w14:textId="77777777" w:rsidTr="00430B5F">
        <w:tc>
          <w:tcPr>
            <w:tcW w:w="9350" w:type="dxa"/>
          </w:tcPr>
          <w:p w14:paraId="11E2E830" w14:textId="2AB098D6" w:rsidR="00430B5F" w:rsidRPr="00A30314" w:rsidRDefault="00471BFF" w:rsidP="00A30314">
            <w:pPr>
              <w:spacing w:line="360" w:lineRule="auto"/>
              <w:ind w:firstLine="0"/>
            </w:pPr>
            <w:bookmarkStart w:id="162" w:name="_Toc121217378"/>
            <w:r w:rsidRPr="00222E5A">
              <w:rPr>
                <w:rFonts w:ascii="Arial" w:hAnsi="Arial" w:cs="Arial"/>
                <w:b/>
                <w:bCs/>
                <w:color w:val="000000" w:themeColor="text1"/>
              </w:rPr>
              <w:lastRenderedPageBreak/>
              <w:t xml:space="preserve">Figure </w:t>
            </w:r>
            <w:r w:rsidRPr="00222E5A">
              <w:rPr>
                <w:rFonts w:ascii="Arial" w:hAnsi="Arial" w:cs="Arial"/>
                <w:b/>
                <w:bCs/>
                <w:color w:val="000000" w:themeColor="text1"/>
              </w:rPr>
              <w:fldChar w:fldCharType="begin"/>
            </w:r>
            <w:r w:rsidRPr="00222E5A">
              <w:rPr>
                <w:rFonts w:ascii="Arial" w:hAnsi="Arial" w:cs="Arial"/>
                <w:b/>
                <w:bCs/>
                <w:color w:val="000000" w:themeColor="text1"/>
              </w:rPr>
              <w:instrText xml:space="preserve"> SEQ Figure \* ARABIC </w:instrText>
            </w:r>
            <w:r w:rsidRPr="00222E5A">
              <w:rPr>
                <w:rFonts w:ascii="Arial" w:hAnsi="Arial" w:cs="Arial"/>
                <w:b/>
                <w:bCs/>
                <w:color w:val="000000" w:themeColor="text1"/>
              </w:rPr>
              <w:fldChar w:fldCharType="separate"/>
            </w:r>
            <w:r w:rsidR="002C4B25">
              <w:rPr>
                <w:rFonts w:ascii="Arial" w:hAnsi="Arial" w:cs="Arial"/>
                <w:b/>
                <w:bCs/>
                <w:noProof/>
                <w:color w:val="000000" w:themeColor="text1"/>
              </w:rPr>
              <w:t>56</w:t>
            </w:r>
            <w:r w:rsidRPr="00222E5A">
              <w:rPr>
                <w:rFonts w:ascii="Arial" w:hAnsi="Arial" w:cs="Arial"/>
                <w:b/>
                <w:bCs/>
                <w:color w:val="000000" w:themeColor="text1"/>
              </w:rPr>
              <w:fldChar w:fldCharType="end"/>
            </w:r>
            <w:r w:rsidR="00A30314" w:rsidRPr="00222E5A">
              <w:rPr>
                <w:rFonts w:ascii="Arial" w:hAnsi="Arial" w:cs="Arial"/>
                <w:b/>
                <w:bCs/>
                <w:color w:val="000000" w:themeColor="text1"/>
              </w:rPr>
              <w:t xml:space="preserve">: </w:t>
            </w:r>
            <w:r w:rsidR="00A30314">
              <w:rPr>
                <w:rFonts w:ascii="Arial" w:hAnsi="Arial" w:cs="Arial"/>
                <w:color w:val="000000" w:themeColor="text1"/>
              </w:rPr>
              <w:t>The heating</w:t>
            </w:r>
            <w:r w:rsidR="00A30314" w:rsidRPr="0043760A">
              <w:rPr>
                <w:rFonts w:ascii="Arial" w:hAnsi="Arial" w:cs="Arial"/>
                <w:color w:val="000000" w:themeColor="text1"/>
              </w:rPr>
              <w:t xml:space="preserve"> rate of commercially available coconut oil and saturated </w:t>
            </w:r>
            <w:r w:rsidR="00A30314">
              <w:rPr>
                <w:rFonts w:ascii="Arial" w:hAnsi="Arial" w:cs="Arial"/>
                <w:color w:val="000000" w:themeColor="text1"/>
              </w:rPr>
              <w:t>sodium chloride solution</w:t>
            </w:r>
            <w:r w:rsidR="00A30314" w:rsidRPr="0043760A">
              <w:rPr>
                <w:rFonts w:ascii="Arial" w:hAnsi="Arial" w:cs="Arial"/>
                <w:color w:val="000000" w:themeColor="text1"/>
              </w:rPr>
              <w:t xml:space="preserve"> irradiated with 13.56 MHz RF field at 600 W power output. Samples of coconut oil and NaCl (~6</w:t>
            </w:r>
            <w:r w:rsidR="000B522C">
              <w:rPr>
                <w:rFonts w:ascii="Arial" w:hAnsi="Arial" w:cs="Arial"/>
                <w:color w:val="000000" w:themeColor="text1"/>
              </w:rPr>
              <w:t xml:space="preserve"> </w:t>
            </w:r>
            <w:r w:rsidR="00A30314" w:rsidRPr="0043760A">
              <w:rPr>
                <w:rFonts w:ascii="Arial" w:hAnsi="Arial" w:cs="Arial"/>
                <w:color w:val="000000" w:themeColor="text1"/>
              </w:rPr>
              <w:t xml:space="preserve">M) were placed in </w:t>
            </w:r>
            <w:r w:rsidR="00A30314">
              <w:rPr>
                <w:rFonts w:ascii="Arial" w:hAnsi="Arial" w:cs="Arial"/>
                <w:color w:val="000000" w:themeColor="text1"/>
              </w:rPr>
              <w:t xml:space="preserve">a </w:t>
            </w:r>
            <w:r w:rsidR="00A30314" w:rsidRPr="0043760A">
              <w:rPr>
                <w:rFonts w:ascii="Arial" w:hAnsi="Arial" w:cs="Arial"/>
                <w:color w:val="000000" w:themeColor="text1"/>
              </w:rPr>
              <w:t xml:space="preserve">cuvette (4.2 ml) and irradiated in </w:t>
            </w:r>
            <w:r w:rsidR="00A30314">
              <w:rPr>
                <w:rFonts w:ascii="Arial" w:hAnsi="Arial" w:cs="Arial"/>
                <w:color w:val="000000" w:themeColor="text1"/>
              </w:rPr>
              <w:t xml:space="preserve">a </w:t>
            </w:r>
            <w:proofErr w:type="spellStart"/>
            <w:r w:rsidR="00A30314" w:rsidRPr="0043760A">
              <w:rPr>
                <w:rFonts w:ascii="Arial" w:hAnsi="Arial" w:cs="Arial"/>
                <w:color w:val="000000" w:themeColor="text1"/>
              </w:rPr>
              <w:t>Comdel</w:t>
            </w:r>
            <w:proofErr w:type="spellEnd"/>
            <w:r w:rsidR="00A30314" w:rsidRPr="0043760A">
              <w:rPr>
                <w:rFonts w:ascii="Arial" w:hAnsi="Arial" w:cs="Arial"/>
                <w:color w:val="000000" w:themeColor="text1"/>
              </w:rPr>
              <w:t xml:space="preserve"> system. </w:t>
            </w:r>
            <w:r w:rsidR="00A30314">
              <w:rPr>
                <w:rFonts w:ascii="Arial" w:hAnsi="Arial" w:cs="Arial"/>
                <w:color w:val="000000" w:themeColor="text1"/>
              </w:rPr>
              <w:t>The temperature</w:t>
            </w:r>
            <w:r w:rsidR="00A30314" w:rsidRPr="0043760A">
              <w:rPr>
                <w:rFonts w:ascii="Arial" w:hAnsi="Arial" w:cs="Arial"/>
                <w:color w:val="000000" w:themeColor="text1"/>
              </w:rPr>
              <w:t xml:space="preserve"> was assessed with </w:t>
            </w:r>
            <w:r w:rsidR="00A30314">
              <w:rPr>
                <w:rFonts w:ascii="Arial" w:hAnsi="Arial" w:cs="Arial"/>
                <w:color w:val="000000" w:themeColor="text1"/>
              </w:rPr>
              <w:t xml:space="preserve">a </w:t>
            </w:r>
            <w:r w:rsidR="00A30314" w:rsidRPr="0043760A">
              <w:rPr>
                <w:rFonts w:ascii="Arial" w:hAnsi="Arial" w:cs="Arial"/>
                <w:color w:val="000000" w:themeColor="text1"/>
              </w:rPr>
              <w:t xml:space="preserve">type K thermocouple. Statistical analysis: unpaired </w:t>
            </w:r>
            <w:r w:rsidR="00A30314">
              <w:rPr>
                <w:rFonts w:ascii="Arial" w:hAnsi="Arial" w:cs="Arial"/>
                <w:color w:val="000000" w:themeColor="text1"/>
              </w:rPr>
              <w:t>t-test</w:t>
            </w:r>
            <w:r w:rsidR="00A30314" w:rsidRPr="0043760A">
              <w:rPr>
                <w:rFonts w:ascii="Arial" w:hAnsi="Arial" w:cs="Arial"/>
                <w:color w:val="000000" w:themeColor="text1"/>
              </w:rPr>
              <w:t xml:space="preserve"> with Welch’s correction for assumed unequal variances (n = 3). ***p &lt; 0.001.</w:t>
            </w:r>
            <w:bookmarkEnd w:id="162"/>
          </w:p>
        </w:tc>
      </w:tr>
    </w:tbl>
    <w:p w14:paraId="281DE082" w14:textId="77777777" w:rsidR="00565550" w:rsidRDefault="00565550" w:rsidP="00D50330">
      <w:pPr>
        <w:rPr>
          <w:rFonts w:ascii="Arial" w:hAnsi="Arial" w:cs="Arial"/>
          <w:color w:val="000000" w:themeColor="text1"/>
          <w:sz w:val="20"/>
          <w:szCs w:val="20"/>
        </w:rPr>
      </w:pPr>
    </w:p>
    <w:p w14:paraId="29FAA9B7" w14:textId="77777777" w:rsidR="00430B5F" w:rsidRDefault="00430B5F" w:rsidP="00D50330">
      <w:pPr>
        <w:rPr>
          <w:rFonts w:ascii="Arial" w:hAnsi="Arial" w:cs="Arial"/>
          <w:color w:val="000000" w:themeColor="text1"/>
          <w:sz w:val="20"/>
          <w:szCs w:val="20"/>
        </w:rPr>
      </w:pPr>
    </w:p>
    <w:p w14:paraId="033ED31F" w14:textId="061CB701" w:rsidR="007C25AB" w:rsidRDefault="00040EF4" w:rsidP="00040EF4">
      <w:pPr>
        <w:spacing w:line="360" w:lineRule="auto"/>
        <w:ind w:firstLine="1440"/>
        <w:jc w:val="both"/>
        <w:rPr>
          <w:rFonts w:ascii="Arial" w:hAnsi="Arial" w:cs="Arial"/>
          <w:color w:val="000000" w:themeColor="text1"/>
        </w:rPr>
      </w:pPr>
      <w:r w:rsidRPr="00291851">
        <w:rPr>
          <w:rFonts w:ascii="Arial" w:hAnsi="Arial" w:cs="Arial"/>
          <w:b/>
          <w:bCs/>
          <w:color w:val="000000" w:themeColor="text1"/>
        </w:rPr>
        <w:t xml:space="preserve">Figure </w:t>
      </w:r>
      <w:r w:rsidR="00291851" w:rsidRPr="00291851">
        <w:rPr>
          <w:rFonts w:ascii="Arial" w:hAnsi="Arial" w:cs="Arial"/>
          <w:b/>
          <w:bCs/>
          <w:color w:val="000000" w:themeColor="text1"/>
        </w:rPr>
        <w:t>56</w:t>
      </w:r>
      <w:r>
        <w:rPr>
          <w:rFonts w:ascii="Arial" w:hAnsi="Arial" w:cs="Arial"/>
          <w:color w:val="000000" w:themeColor="text1"/>
        </w:rPr>
        <w:t xml:space="preserve"> </w:t>
      </w:r>
      <w:r w:rsidRPr="006B5F7F">
        <w:rPr>
          <w:rFonts w:ascii="Arial" w:hAnsi="Arial" w:cs="Arial"/>
          <w:color w:val="000000" w:themeColor="text1"/>
        </w:rPr>
        <w:t xml:space="preserve">shows that the heating rate of coconut oil is not very significant compared to the heating rate of CNT suspensions. Additionally, the high concentration of NaCl </w:t>
      </w:r>
      <w:r>
        <w:rPr>
          <w:rFonts w:ascii="Arial" w:hAnsi="Arial" w:cs="Arial"/>
          <w:color w:val="000000" w:themeColor="text1"/>
        </w:rPr>
        <w:t>did not induce a very high heating rate either</w:t>
      </w:r>
      <w:r w:rsidRPr="006B5F7F">
        <w:rPr>
          <w:rFonts w:ascii="Arial" w:hAnsi="Arial" w:cs="Arial"/>
          <w:color w:val="000000" w:themeColor="text1"/>
        </w:rPr>
        <w:t>. Therefore, the hypothesis of ionization was discarded.</w:t>
      </w:r>
      <w:r>
        <w:rPr>
          <w:rFonts w:ascii="Arial" w:hAnsi="Arial" w:cs="Arial"/>
          <w:color w:val="000000" w:themeColor="text1"/>
        </w:rPr>
        <w:t xml:space="preserve"> Subsequent tests of 4.0 ml of (6,5) SWCNT covered with 0.2 ml of coconut oil did not change the results seen in </w:t>
      </w:r>
      <w:r w:rsidR="00FD6AA1" w:rsidRPr="00FD6AA1">
        <w:rPr>
          <w:rFonts w:ascii="Arial" w:hAnsi="Arial" w:cs="Arial"/>
          <w:b/>
          <w:bCs/>
          <w:color w:val="000000" w:themeColor="text1"/>
        </w:rPr>
        <w:t>F</w:t>
      </w:r>
      <w:r w:rsidRPr="00FD6AA1">
        <w:rPr>
          <w:rFonts w:ascii="Arial" w:hAnsi="Arial" w:cs="Arial"/>
          <w:b/>
          <w:bCs/>
          <w:color w:val="000000" w:themeColor="text1"/>
        </w:rPr>
        <w:t xml:space="preserve">igure </w:t>
      </w:r>
      <w:r w:rsidR="00830345" w:rsidRPr="00FD6AA1">
        <w:rPr>
          <w:rFonts w:ascii="Arial" w:hAnsi="Arial" w:cs="Arial"/>
          <w:b/>
          <w:bCs/>
          <w:color w:val="000000" w:themeColor="text1"/>
        </w:rPr>
        <w:t>55</w:t>
      </w:r>
      <w:r>
        <w:rPr>
          <w:rFonts w:ascii="Arial" w:hAnsi="Arial" w:cs="Arial"/>
          <w:color w:val="000000" w:themeColor="text1"/>
        </w:rPr>
        <w:t xml:space="preserve">, with the explosive behavior of the CNT suspension </w:t>
      </w:r>
      <w:r w:rsidR="00FC45E0">
        <w:rPr>
          <w:rFonts w:ascii="Arial" w:hAnsi="Arial" w:cs="Arial"/>
          <w:color w:val="000000" w:themeColor="text1"/>
        </w:rPr>
        <w:t xml:space="preserve">still </w:t>
      </w:r>
      <w:r>
        <w:rPr>
          <w:rFonts w:ascii="Arial" w:hAnsi="Arial" w:cs="Arial"/>
          <w:color w:val="000000" w:themeColor="text1"/>
        </w:rPr>
        <w:t xml:space="preserve">happening and boiling starting in the aqueous phase. Hence, the explosive behavior of the CNT suspensions can be accredited to the CNT's very efficient absorbance of the 13.56 MHz RF field. More experiments are necessary to </w:t>
      </w:r>
      <w:r w:rsidR="00FC45E0">
        <w:rPr>
          <w:rFonts w:ascii="Arial" w:hAnsi="Arial" w:cs="Arial"/>
          <w:color w:val="000000" w:themeColor="text1"/>
        </w:rPr>
        <w:t xml:space="preserve">fully </w:t>
      </w:r>
      <w:r>
        <w:rPr>
          <w:rFonts w:ascii="Arial" w:hAnsi="Arial" w:cs="Arial"/>
          <w:color w:val="000000" w:themeColor="text1"/>
        </w:rPr>
        <w:t xml:space="preserve">understand the physical mechanisms involved in this phenomenon. </w:t>
      </w:r>
    </w:p>
    <w:p w14:paraId="00BBDC73" w14:textId="77777777" w:rsidR="004237CA" w:rsidRDefault="004237CA" w:rsidP="004237CA">
      <w:pPr>
        <w:spacing w:line="360" w:lineRule="auto"/>
        <w:ind w:firstLine="1440"/>
        <w:jc w:val="both"/>
        <w:rPr>
          <w:rFonts w:ascii="Arial" w:hAnsi="Arial" w:cs="Arial"/>
          <w:color w:val="000000" w:themeColor="text1"/>
        </w:rPr>
      </w:pPr>
      <w:r>
        <w:rPr>
          <w:rFonts w:ascii="Arial" w:hAnsi="Arial" w:cs="Arial"/>
          <w:color w:val="000000" w:themeColor="text1"/>
        </w:rPr>
        <w:t xml:space="preserve">Another parameter that influences the responsivity of CNT to the RF field is the frequency of the field used for the irradiation. For the laser irradiation of (6,5) SWCNT, a Raman spectrum shows a very high absorption in the near-infrared range and a peak absorption at 980 nm. Therefore, the wavelength of 980 nm was chosen for PTT applications. In the electromagnetic spectrum, wavelength and wave frequency are inversely proportional variables. In the RF range of the spectrum, there should be a wavelength/frequency where the CNT absorbs the most, </w:t>
      </w:r>
      <w:proofErr w:type="gramStart"/>
      <w:r>
        <w:rPr>
          <w:rFonts w:ascii="Arial" w:hAnsi="Arial" w:cs="Arial"/>
          <w:color w:val="000000" w:themeColor="text1"/>
        </w:rPr>
        <w:t>similar to</w:t>
      </w:r>
      <w:proofErr w:type="gramEnd"/>
      <w:r>
        <w:rPr>
          <w:rFonts w:ascii="Arial" w:hAnsi="Arial" w:cs="Arial"/>
          <w:color w:val="000000" w:themeColor="text1"/>
        </w:rPr>
        <w:t xml:space="preserve"> the peak absorption in the NIR range. That peak absorption would be called the resonance frequency in RF applications. </w:t>
      </w:r>
    </w:p>
    <w:p w14:paraId="4D7D3C96" w14:textId="737047BC" w:rsidR="004A2B3C" w:rsidRDefault="004A2B3C" w:rsidP="004A2B3C">
      <w:pPr>
        <w:spacing w:line="360" w:lineRule="auto"/>
        <w:ind w:firstLine="1440"/>
        <w:jc w:val="both"/>
        <w:rPr>
          <w:rFonts w:ascii="Arial" w:hAnsi="Arial" w:cs="Arial"/>
          <w:color w:val="000000" w:themeColor="text1"/>
        </w:rPr>
      </w:pPr>
      <w:r>
        <w:rPr>
          <w:rFonts w:ascii="Arial" w:hAnsi="Arial" w:cs="Arial"/>
          <w:color w:val="000000" w:themeColor="text1"/>
        </w:rPr>
        <w:t>For that, in collaboration with Dr. Caleb Fulton, from the</w:t>
      </w:r>
      <w:r w:rsidR="00D211B9">
        <w:rPr>
          <w:rFonts w:ascii="Arial" w:hAnsi="Arial" w:cs="Arial"/>
          <w:color w:val="000000" w:themeColor="text1"/>
        </w:rPr>
        <w:t xml:space="preserve"> University of Oklahoma</w:t>
      </w:r>
      <w:r>
        <w:rPr>
          <w:rFonts w:ascii="Arial" w:hAnsi="Arial" w:cs="Arial"/>
          <w:color w:val="000000" w:themeColor="text1"/>
        </w:rPr>
        <w:t xml:space="preserve"> Electrical Engineering Department and Advance Radar Research Center and his student Josh Short, an RF generator and matching network was built to create RF irradiation between plates at different frequencies. Conversely to the </w:t>
      </w:r>
      <w:proofErr w:type="spellStart"/>
      <w:r>
        <w:rPr>
          <w:rFonts w:ascii="Arial" w:hAnsi="Arial" w:cs="Arial"/>
          <w:color w:val="000000" w:themeColor="text1"/>
        </w:rPr>
        <w:t>Comdel</w:t>
      </w:r>
      <w:proofErr w:type="spellEnd"/>
      <w:r>
        <w:rPr>
          <w:rFonts w:ascii="Arial" w:hAnsi="Arial" w:cs="Arial"/>
          <w:color w:val="000000" w:themeColor="text1"/>
        </w:rPr>
        <w:t xml:space="preserve"> system previously used that only generates the RF at 13.56 MHz, the device developed at the University of Oklahoma was able to change the frequency of the RF </w:t>
      </w:r>
      <w:r w:rsidR="00A53521">
        <w:rPr>
          <w:rFonts w:ascii="Arial" w:hAnsi="Arial" w:cs="Arial"/>
          <w:color w:val="000000" w:themeColor="text1"/>
        </w:rPr>
        <w:t>field</w:t>
      </w:r>
      <w:r>
        <w:rPr>
          <w:rFonts w:ascii="Arial" w:hAnsi="Arial" w:cs="Arial"/>
          <w:color w:val="000000" w:themeColor="text1"/>
        </w:rPr>
        <w:t xml:space="preserve">. The power </w:t>
      </w:r>
      <w:r>
        <w:rPr>
          <w:rFonts w:ascii="Arial" w:hAnsi="Arial" w:cs="Arial"/>
          <w:color w:val="000000" w:themeColor="text1"/>
        </w:rPr>
        <w:lastRenderedPageBreak/>
        <w:t xml:space="preserve">output from this device was estimated to be ~ 15 W, which is much lower than the maximum power output generated in the </w:t>
      </w:r>
      <w:proofErr w:type="spellStart"/>
      <w:r>
        <w:rPr>
          <w:rFonts w:ascii="Arial" w:hAnsi="Arial" w:cs="Arial"/>
          <w:color w:val="000000" w:themeColor="text1"/>
        </w:rPr>
        <w:t>Comdel</w:t>
      </w:r>
      <w:proofErr w:type="spellEnd"/>
      <w:r>
        <w:rPr>
          <w:rFonts w:ascii="Arial" w:hAnsi="Arial" w:cs="Arial"/>
          <w:color w:val="000000" w:themeColor="text1"/>
        </w:rPr>
        <w:t xml:space="preserve"> system. Various frequencies were tested by comparing DI water and PEGylated SWCNT. Samples of DI water and (6,5) SWCNT (300 mg/ml) that were PEGylated following the initial part of the protocol for SWCNT-ANXA5 conjugation were placed in a cuvette (1 ml) and irradiated at 35, 40, 45, 55 and 60 </w:t>
      </w:r>
      <w:proofErr w:type="spellStart"/>
      <w:r>
        <w:rPr>
          <w:rFonts w:ascii="Arial" w:hAnsi="Arial" w:cs="Arial"/>
          <w:color w:val="000000" w:themeColor="text1"/>
        </w:rPr>
        <w:t>MHz.</w:t>
      </w:r>
      <w:proofErr w:type="spellEnd"/>
      <w:r>
        <w:rPr>
          <w:rFonts w:ascii="Arial" w:hAnsi="Arial" w:cs="Arial"/>
          <w:color w:val="000000" w:themeColor="text1"/>
        </w:rPr>
        <w:t xml:space="preserve"> Initial and final temperatures were measured with type K thermocouple immersed in the liquid phase. Samples were irradiated for 8 min. The results are shown in </w:t>
      </w:r>
      <w:r w:rsidRPr="00291851">
        <w:rPr>
          <w:rFonts w:ascii="Arial" w:hAnsi="Arial" w:cs="Arial"/>
          <w:b/>
          <w:bCs/>
          <w:color w:val="000000" w:themeColor="text1"/>
        </w:rPr>
        <w:t xml:space="preserve">Figure </w:t>
      </w:r>
      <w:r w:rsidR="00291851" w:rsidRPr="00291851">
        <w:rPr>
          <w:rFonts w:ascii="Arial" w:hAnsi="Arial" w:cs="Arial"/>
          <w:b/>
          <w:bCs/>
          <w:color w:val="000000" w:themeColor="text1"/>
        </w:rPr>
        <w:t>57</w:t>
      </w:r>
      <w:r>
        <w:rPr>
          <w:rFonts w:ascii="Arial" w:hAnsi="Arial" w:cs="Arial"/>
          <w:color w:val="000000" w:themeColor="text1"/>
        </w:rPr>
        <w:t>.</w:t>
      </w:r>
    </w:p>
    <w:p w14:paraId="3E7FE995" w14:textId="77777777" w:rsidR="00E9770D" w:rsidRPr="006B5F7F" w:rsidRDefault="00E9770D" w:rsidP="00EA4A29">
      <w:pPr>
        <w:spacing w:line="360" w:lineRule="auto"/>
        <w:ind w:firstLine="1440"/>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D74025" w:rsidRPr="00D74025" w14:paraId="7634A622" w14:textId="77777777" w:rsidTr="00F9311E">
        <w:tc>
          <w:tcPr>
            <w:tcW w:w="9350" w:type="dxa"/>
          </w:tcPr>
          <w:p w14:paraId="2DC83F64" w14:textId="1301A1D9" w:rsidR="008803EB" w:rsidRPr="00D74025" w:rsidRDefault="004C59F8" w:rsidP="006F781B">
            <w:pPr>
              <w:spacing w:beforeAutospacing="0" w:line="360" w:lineRule="auto"/>
              <w:ind w:firstLine="0"/>
              <w:rPr>
                <w:color w:val="000000" w:themeColor="text1"/>
              </w:rPr>
            </w:pPr>
            <w:r w:rsidRPr="004C59F8">
              <w:rPr>
                <w:noProof/>
                <w:color w:val="000000" w:themeColor="text1"/>
              </w:rPr>
              <w:drawing>
                <wp:inline distT="0" distB="0" distL="0" distR="0" wp14:anchorId="40AABC6D" wp14:editId="41CA7040">
                  <wp:extent cx="5838458" cy="3406391"/>
                  <wp:effectExtent l="0" t="0" r="381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849929" cy="3413083"/>
                          </a:xfrm>
                          <a:prstGeom prst="rect">
                            <a:avLst/>
                          </a:prstGeom>
                        </pic:spPr>
                      </pic:pic>
                    </a:graphicData>
                  </a:graphic>
                </wp:inline>
              </w:drawing>
            </w:r>
          </w:p>
        </w:tc>
      </w:tr>
      <w:tr w:rsidR="00D74025" w:rsidRPr="00D74025" w14:paraId="3297DDF0" w14:textId="77777777" w:rsidTr="00F9311E">
        <w:tc>
          <w:tcPr>
            <w:tcW w:w="9350" w:type="dxa"/>
          </w:tcPr>
          <w:p w14:paraId="26269E69" w14:textId="1E36CB75" w:rsidR="008803EB" w:rsidRPr="00C66251" w:rsidRDefault="00471BFF" w:rsidP="00C66251">
            <w:pPr>
              <w:spacing w:line="360" w:lineRule="auto"/>
              <w:ind w:firstLine="0"/>
            </w:pPr>
            <w:bookmarkStart w:id="163" w:name="_Toc121217379"/>
            <w:r w:rsidRPr="00471BFF">
              <w:rPr>
                <w:rFonts w:ascii="Arial" w:hAnsi="Arial" w:cs="Arial"/>
                <w:b/>
                <w:bCs/>
                <w:color w:val="000000" w:themeColor="text1"/>
              </w:rPr>
              <w:t xml:space="preserve">Figure </w:t>
            </w:r>
            <w:r w:rsidRPr="00471BFF">
              <w:rPr>
                <w:rFonts w:ascii="Arial" w:hAnsi="Arial" w:cs="Arial"/>
                <w:b/>
                <w:bCs/>
                <w:color w:val="000000" w:themeColor="text1"/>
              </w:rPr>
              <w:fldChar w:fldCharType="begin"/>
            </w:r>
            <w:r w:rsidRPr="00471BFF">
              <w:rPr>
                <w:rFonts w:ascii="Arial" w:hAnsi="Arial" w:cs="Arial"/>
                <w:b/>
                <w:bCs/>
                <w:color w:val="000000" w:themeColor="text1"/>
              </w:rPr>
              <w:instrText xml:space="preserve"> SEQ Figure \* ARABIC </w:instrText>
            </w:r>
            <w:r w:rsidRPr="00471BFF">
              <w:rPr>
                <w:rFonts w:ascii="Arial" w:hAnsi="Arial" w:cs="Arial"/>
                <w:b/>
                <w:bCs/>
                <w:color w:val="000000" w:themeColor="text1"/>
              </w:rPr>
              <w:fldChar w:fldCharType="separate"/>
            </w:r>
            <w:r w:rsidR="002C4B25">
              <w:rPr>
                <w:rFonts w:ascii="Arial" w:hAnsi="Arial" w:cs="Arial"/>
                <w:b/>
                <w:bCs/>
                <w:noProof/>
                <w:color w:val="000000" w:themeColor="text1"/>
              </w:rPr>
              <w:t>57</w:t>
            </w:r>
            <w:r w:rsidRPr="00471BFF">
              <w:rPr>
                <w:rFonts w:ascii="Arial" w:hAnsi="Arial" w:cs="Arial"/>
                <w:b/>
                <w:bCs/>
                <w:color w:val="000000" w:themeColor="text1"/>
              </w:rPr>
              <w:fldChar w:fldCharType="end"/>
            </w:r>
            <w:r w:rsidR="00C66251" w:rsidRPr="00EF4B6C">
              <w:rPr>
                <w:rFonts w:ascii="Arial" w:hAnsi="Arial" w:cs="Arial"/>
                <w:b/>
                <w:bCs/>
                <w:color w:val="000000" w:themeColor="text1"/>
              </w:rPr>
              <w:t>:  Assessment of the effect of frequency in the responsivity of SWCNT to the RF irradiation</w:t>
            </w:r>
            <w:r w:rsidR="00C66251">
              <w:rPr>
                <w:rFonts w:ascii="Arial" w:hAnsi="Arial" w:cs="Arial"/>
                <w:b/>
                <w:bCs/>
                <w:color w:val="000000" w:themeColor="text1"/>
              </w:rPr>
              <w:t xml:space="preserve"> at 15 W power output</w:t>
            </w:r>
            <w:r w:rsidR="00C66251" w:rsidRPr="00EF4B6C">
              <w:rPr>
                <w:rFonts w:ascii="Arial" w:hAnsi="Arial" w:cs="Arial"/>
                <w:b/>
                <w:bCs/>
                <w:color w:val="000000" w:themeColor="text1"/>
              </w:rPr>
              <w:t>.</w:t>
            </w:r>
            <w:r w:rsidR="00C66251">
              <w:rPr>
                <w:rFonts w:ascii="Arial" w:hAnsi="Arial" w:cs="Arial"/>
                <w:b/>
                <w:bCs/>
                <w:color w:val="000000" w:themeColor="text1"/>
              </w:rPr>
              <w:t xml:space="preserve"> </w:t>
            </w:r>
            <w:r w:rsidR="00C66251">
              <w:rPr>
                <w:rFonts w:ascii="Arial" w:hAnsi="Arial" w:cs="Arial"/>
                <w:color w:val="000000" w:themeColor="text1"/>
              </w:rPr>
              <w:t>Dr. Caleb Fulton and student Josh Short designed a radiofrequency generator and matching network to create an RF field between two horizontal plates. For each test, matching conditions were assessed by a network analyzer. One m</w:t>
            </w:r>
            <w:r w:rsidR="00DC770D">
              <w:rPr>
                <w:rFonts w:ascii="Arial" w:hAnsi="Arial" w:cs="Arial"/>
                <w:color w:val="000000" w:themeColor="text1"/>
              </w:rPr>
              <w:t>L</w:t>
            </w:r>
            <w:r w:rsidR="00C66251">
              <w:rPr>
                <w:rFonts w:ascii="Arial" w:hAnsi="Arial" w:cs="Arial"/>
                <w:color w:val="000000" w:themeColor="text1"/>
              </w:rPr>
              <w:t xml:space="preserve"> samples of deionized water and PEGylated SWCNT (300 mg/m</w:t>
            </w:r>
            <w:r w:rsidR="00BB1BBA">
              <w:rPr>
                <w:rFonts w:ascii="Arial" w:hAnsi="Arial" w:cs="Arial"/>
                <w:color w:val="000000" w:themeColor="text1"/>
              </w:rPr>
              <w:t>L</w:t>
            </w:r>
            <w:r w:rsidR="00C66251">
              <w:rPr>
                <w:rFonts w:ascii="Arial" w:hAnsi="Arial" w:cs="Arial"/>
                <w:color w:val="000000" w:themeColor="text1"/>
              </w:rPr>
              <w:t xml:space="preserve">) were placed in a cuvette and irradiated at different frequencies in the RF range. The temperature was measured by type K thermocouple inside of the liquid phase before and after the 8-min irradiation session. </w:t>
            </w:r>
            <w:r w:rsidR="00C66251" w:rsidRPr="00EF4B6C">
              <w:rPr>
                <w:rFonts w:ascii="Arial" w:hAnsi="Arial" w:cs="Arial"/>
                <w:color w:val="000000" w:themeColor="text1"/>
              </w:rPr>
              <w:t xml:space="preserve">No statistical significance was </w:t>
            </w:r>
            <w:r w:rsidR="00C66251" w:rsidRPr="00EF4B6C">
              <w:rPr>
                <w:rFonts w:ascii="Arial" w:hAnsi="Arial" w:cs="Arial"/>
                <w:color w:val="000000" w:themeColor="text1"/>
              </w:rPr>
              <w:lastRenderedPageBreak/>
              <w:t xml:space="preserve">found between </w:t>
            </w:r>
            <w:r w:rsidR="00C66251" w:rsidRPr="00CD3078">
              <w:rPr>
                <w:rFonts w:ascii="Arial" w:hAnsi="Arial" w:cs="Arial"/>
                <w:color w:val="000000" w:themeColor="text1"/>
              </w:rPr>
              <w:t>PEGylated SWCNT</w:t>
            </w:r>
            <w:r w:rsidR="00C66251" w:rsidRPr="00EF4B6C">
              <w:rPr>
                <w:rFonts w:ascii="Arial" w:hAnsi="Arial" w:cs="Arial"/>
                <w:color w:val="000000" w:themeColor="text1"/>
              </w:rPr>
              <w:t xml:space="preserve"> suspension and DI water for the rate of temperature increase in the range of 35 – 60 MHz using </w:t>
            </w:r>
            <w:r w:rsidR="00C66251">
              <w:rPr>
                <w:rFonts w:ascii="Arial" w:hAnsi="Arial" w:cs="Arial"/>
                <w:color w:val="000000" w:themeColor="text1"/>
              </w:rPr>
              <w:t xml:space="preserve">a power output of </w:t>
            </w:r>
            <w:r w:rsidR="00C66251" w:rsidRPr="00EF4B6C">
              <w:rPr>
                <w:rFonts w:ascii="Arial" w:hAnsi="Arial" w:cs="Arial"/>
                <w:color w:val="000000" w:themeColor="text1"/>
              </w:rPr>
              <w:t>15</w:t>
            </w:r>
            <w:r w:rsidR="00C66251">
              <w:rPr>
                <w:rFonts w:ascii="Arial" w:hAnsi="Arial" w:cs="Arial"/>
                <w:color w:val="000000" w:themeColor="text1"/>
              </w:rPr>
              <w:t> </w:t>
            </w:r>
            <w:r w:rsidR="00C66251" w:rsidRPr="00EF4B6C">
              <w:rPr>
                <w:rFonts w:ascii="Arial" w:hAnsi="Arial" w:cs="Arial"/>
                <w:color w:val="000000" w:themeColor="text1"/>
              </w:rPr>
              <w:t>W.</w:t>
            </w:r>
            <w:r w:rsidR="00C66251">
              <w:rPr>
                <w:rFonts w:ascii="Arial" w:hAnsi="Arial" w:cs="Arial"/>
                <w:color w:val="000000" w:themeColor="text1"/>
              </w:rPr>
              <w:t xml:space="preserve"> Statistical analysis: </w:t>
            </w:r>
            <w:r w:rsidR="00C66251" w:rsidRPr="0043760A">
              <w:rPr>
                <w:rFonts w:ascii="Arial" w:hAnsi="Arial" w:cs="Arial"/>
                <w:color w:val="000000" w:themeColor="text1"/>
              </w:rPr>
              <w:t xml:space="preserve">unpaired </w:t>
            </w:r>
            <w:r w:rsidR="00C66251">
              <w:rPr>
                <w:rFonts w:ascii="Arial" w:hAnsi="Arial" w:cs="Arial"/>
                <w:color w:val="000000" w:themeColor="text1"/>
              </w:rPr>
              <w:t>t-test</w:t>
            </w:r>
            <w:r w:rsidR="00C66251" w:rsidRPr="0043760A">
              <w:rPr>
                <w:rFonts w:ascii="Arial" w:hAnsi="Arial" w:cs="Arial"/>
                <w:color w:val="000000" w:themeColor="text1"/>
              </w:rPr>
              <w:t xml:space="preserve"> with Welch’s correction for assumed unequal variances (n = 3).</w:t>
            </w:r>
            <w:bookmarkEnd w:id="163"/>
          </w:p>
        </w:tc>
      </w:tr>
    </w:tbl>
    <w:p w14:paraId="7C5B95DD" w14:textId="3AE5FF55" w:rsidR="00471BFF" w:rsidRDefault="00471BFF" w:rsidP="00D50330">
      <w:pPr>
        <w:rPr>
          <w:rFonts w:ascii="Arial" w:hAnsi="Arial" w:cs="Arial"/>
          <w:color w:val="000000" w:themeColor="text1"/>
          <w:sz w:val="20"/>
          <w:szCs w:val="20"/>
        </w:rPr>
      </w:pPr>
    </w:p>
    <w:p w14:paraId="24813BD1" w14:textId="77777777" w:rsidR="00471BFF" w:rsidRPr="00D74025" w:rsidRDefault="00471BFF" w:rsidP="00D50330">
      <w:pPr>
        <w:rPr>
          <w:rFonts w:ascii="Arial" w:hAnsi="Arial" w:cs="Arial"/>
          <w:color w:val="000000" w:themeColor="text1"/>
          <w:sz w:val="20"/>
          <w:szCs w:val="20"/>
        </w:rPr>
      </w:pPr>
    </w:p>
    <w:p w14:paraId="1A459B02" w14:textId="6D70FCE0" w:rsidR="00CE54FD" w:rsidRPr="007C5441" w:rsidRDefault="00CE54FD" w:rsidP="00CE54FD">
      <w:pPr>
        <w:spacing w:line="360" w:lineRule="auto"/>
        <w:ind w:firstLine="1440"/>
        <w:jc w:val="both"/>
        <w:rPr>
          <w:rFonts w:ascii="Arial" w:hAnsi="Arial" w:cs="Arial"/>
          <w:color w:val="000000" w:themeColor="text1"/>
        </w:rPr>
      </w:pPr>
      <w:r w:rsidRPr="00291851">
        <w:rPr>
          <w:rFonts w:ascii="Arial" w:hAnsi="Arial" w:cs="Arial"/>
          <w:b/>
          <w:bCs/>
          <w:color w:val="000000" w:themeColor="text1"/>
        </w:rPr>
        <w:t xml:space="preserve">Figure </w:t>
      </w:r>
      <w:r w:rsidR="00291851" w:rsidRPr="00291851">
        <w:rPr>
          <w:rFonts w:ascii="Arial" w:hAnsi="Arial" w:cs="Arial"/>
          <w:b/>
          <w:bCs/>
          <w:color w:val="000000" w:themeColor="text1"/>
        </w:rPr>
        <w:t>57</w:t>
      </w:r>
      <w:r w:rsidRPr="007C5441">
        <w:rPr>
          <w:rFonts w:ascii="Arial" w:hAnsi="Arial" w:cs="Arial"/>
          <w:color w:val="000000" w:themeColor="text1"/>
        </w:rPr>
        <w:t xml:space="preserve"> shows </w:t>
      </w:r>
      <w:r>
        <w:rPr>
          <w:rFonts w:ascii="Arial" w:hAnsi="Arial" w:cs="Arial"/>
          <w:color w:val="000000" w:themeColor="text1"/>
        </w:rPr>
        <w:t>no statistical significance</w:t>
      </w:r>
      <w:r w:rsidRPr="007C5441">
        <w:rPr>
          <w:rFonts w:ascii="Arial" w:hAnsi="Arial" w:cs="Arial"/>
          <w:color w:val="000000" w:themeColor="text1"/>
        </w:rPr>
        <w:t xml:space="preserve"> between the SWCNT-PEG and control (DI water)</w:t>
      </w:r>
      <w:r>
        <w:rPr>
          <w:rFonts w:ascii="Arial" w:hAnsi="Arial" w:cs="Arial"/>
          <w:color w:val="000000" w:themeColor="text1"/>
        </w:rPr>
        <w:t xml:space="preserve"> was found</w:t>
      </w:r>
      <w:r w:rsidRPr="007C5441">
        <w:rPr>
          <w:rFonts w:ascii="Arial" w:hAnsi="Arial" w:cs="Arial"/>
          <w:color w:val="000000" w:themeColor="text1"/>
        </w:rPr>
        <w:t xml:space="preserve">. Additionally, the heating rates in this experiment are two orders of magnitude smaller than the ones found for SWCNT suspension irradiated with the </w:t>
      </w:r>
      <w:proofErr w:type="spellStart"/>
      <w:r w:rsidRPr="007C5441">
        <w:rPr>
          <w:rFonts w:ascii="Arial" w:hAnsi="Arial" w:cs="Arial"/>
          <w:color w:val="000000" w:themeColor="text1"/>
        </w:rPr>
        <w:t>Comdel</w:t>
      </w:r>
      <w:proofErr w:type="spellEnd"/>
      <w:r w:rsidRPr="007C5441">
        <w:rPr>
          <w:rFonts w:ascii="Arial" w:hAnsi="Arial" w:cs="Arial"/>
          <w:color w:val="000000" w:themeColor="text1"/>
        </w:rPr>
        <w:t xml:space="preserve"> system. Indeed, in the results previously depicted in this work</w:t>
      </w:r>
      <w:r>
        <w:rPr>
          <w:rFonts w:ascii="Arial" w:hAnsi="Arial" w:cs="Arial"/>
          <w:color w:val="000000" w:themeColor="text1"/>
        </w:rPr>
        <w:t>,</w:t>
      </w:r>
      <w:r w:rsidRPr="007C5441">
        <w:rPr>
          <w:rFonts w:ascii="Arial" w:hAnsi="Arial" w:cs="Arial"/>
          <w:color w:val="000000" w:themeColor="text1"/>
        </w:rPr>
        <w:t xml:space="preserve"> there is a trend of increas</w:t>
      </w:r>
      <w:r>
        <w:rPr>
          <w:rFonts w:ascii="Arial" w:hAnsi="Arial" w:cs="Arial"/>
          <w:color w:val="000000" w:themeColor="text1"/>
        </w:rPr>
        <w:t xml:space="preserve">ing the difference between the </w:t>
      </w:r>
      <w:r w:rsidRPr="007C5441">
        <w:rPr>
          <w:rFonts w:ascii="Arial" w:hAnsi="Arial" w:cs="Arial"/>
          <w:color w:val="000000" w:themeColor="text1"/>
        </w:rPr>
        <w:t xml:space="preserve">heating rate of CNT suspensions </w:t>
      </w:r>
      <w:r>
        <w:rPr>
          <w:rFonts w:ascii="Arial" w:hAnsi="Arial" w:cs="Arial"/>
          <w:color w:val="000000" w:themeColor="text1"/>
        </w:rPr>
        <w:t>and the heating rate of</w:t>
      </w:r>
      <w:r w:rsidRPr="007C5441">
        <w:rPr>
          <w:rFonts w:ascii="Arial" w:hAnsi="Arial" w:cs="Arial"/>
          <w:color w:val="000000" w:themeColor="text1"/>
        </w:rPr>
        <w:t xml:space="preserve"> control samples as the power output increases. It is hypothesized that </w:t>
      </w:r>
      <w:r>
        <w:rPr>
          <w:rFonts w:ascii="Arial" w:hAnsi="Arial" w:cs="Arial"/>
          <w:color w:val="000000" w:themeColor="text1"/>
        </w:rPr>
        <w:t xml:space="preserve">the </w:t>
      </w:r>
      <w:r w:rsidRPr="007C5441">
        <w:rPr>
          <w:rFonts w:ascii="Arial" w:hAnsi="Arial" w:cs="Arial"/>
          <w:color w:val="000000" w:themeColor="text1"/>
        </w:rPr>
        <w:t xml:space="preserve">power </w:t>
      </w:r>
      <w:r w:rsidR="009F549D">
        <w:rPr>
          <w:rFonts w:ascii="Arial" w:hAnsi="Arial" w:cs="Arial"/>
          <w:color w:val="000000" w:themeColor="text1"/>
        </w:rPr>
        <w:t>out</w:t>
      </w:r>
      <w:r w:rsidRPr="007C5441">
        <w:rPr>
          <w:rFonts w:ascii="Arial" w:hAnsi="Arial" w:cs="Arial"/>
          <w:color w:val="000000" w:themeColor="text1"/>
        </w:rPr>
        <w:t>put of the system</w:t>
      </w:r>
      <w:r w:rsidR="009F549D">
        <w:rPr>
          <w:rFonts w:ascii="Arial" w:hAnsi="Arial" w:cs="Arial"/>
          <w:color w:val="000000" w:themeColor="text1"/>
        </w:rPr>
        <w:t xml:space="preserve"> for the experiments on varying the frequency</w:t>
      </w:r>
      <w:r w:rsidRPr="007C5441">
        <w:rPr>
          <w:rFonts w:ascii="Arial" w:hAnsi="Arial" w:cs="Arial"/>
          <w:color w:val="000000" w:themeColor="text1"/>
        </w:rPr>
        <w:t xml:space="preserve"> might not be enough to produce significant results. This collaboration with Dr. Fulton is still in place</w:t>
      </w:r>
      <w:r>
        <w:rPr>
          <w:rFonts w:ascii="Arial" w:hAnsi="Arial" w:cs="Arial"/>
          <w:color w:val="000000" w:themeColor="text1"/>
        </w:rPr>
        <w:t>,</w:t>
      </w:r>
      <w:r w:rsidRPr="007C5441">
        <w:rPr>
          <w:rFonts w:ascii="Arial" w:hAnsi="Arial" w:cs="Arial"/>
          <w:color w:val="000000" w:themeColor="text1"/>
        </w:rPr>
        <w:t xml:space="preserve"> and there are already efforts to build another RF generator and matching network capable of delivering a higher power output between the plates.</w:t>
      </w:r>
    </w:p>
    <w:p w14:paraId="128D23ED" w14:textId="45F6F5A4" w:rsidR="00706DED" w:rsidRPr="00D40DFC" w:rsidRDefault="00706DED" w:rsidP="00706DED">
      <w:pPr>
        <w:spacing w:line="360" w:lineRule="auto"/>
        <w:ind w:firstLine="1440"/>
        <w:jc w:val="both"/>
        <w:rPr>
          <w:rFonts w:ascii="Arial" w:hAnsi="Arial" w:cs="Arial"/>
          <w:color w:val="000000" w:themeColor="text1"/>
        </w:rPr>
      </w:pPr>
      <w:r w:rsidRPr="007C5441">
        <w:rPr>
          <w:rFonts w:ascii="Arial" w:hAnsi="Arial" w:cs="Arial"/>
          <w:color w:val="000000" w:themeColor="text1"/>
        </w:rPr>
        <w:t xml:space="preserve">Another set of experiments </w:t>
      </w:r>
      <w:r>
        <w:rPr>
          <w:rFonts w:ascii="Arial" w:hAnsi="Arial" w:cs="Arial"/>
          <w:color w:val="000000" w:themeColor="text1"/>
        </w:rPr>
        <w:t>was</w:t>
      </w:r>
      <w:r w:rsidRPr="007C5441">
        <w:rPr>
          <w:rFonts w:ascii="Arial" w:hAnsi="Arial" w:cs="Arial"/>
          <w:color w:val="000000" w:themeColor="text1"/>
        </w:rPr>
        <w:t xml:space="preserve"> designed to determine if the power output of 100 W is enough to generate statistically significant results between CNT suspensions and control. For that, </w:t>
      </w:r>
      <w:proofErr w:type="spellStart"/>
      <w:r w:rsidRPr="007C5441">
        <w:rPr>
          <w:rFonts w:ascii="Arial" w:hAnsi="Arial" w:cs="Arial"/>
          <w:color w:val="000000" w:themeColor="text1"/>
        </w:rPr>
        <w:t>Comdel</w:t>
      </w:r>
      <w:proofErr w:type="spellEnd"/>
      <w:r w:rsidRPr="007C5441">
        <w:rPr>
          <w:rFonts w:ascii="Arial" w:hAnsi="Arial" w:cs="Arial"/>
          <w:color w:val="000000" w:themeColor="text1"/>
        </w:rPr>
        <w:t xml:space="preserve"> System outputting 100 W was used. More accurate temperature measurement was achieved </w:t>
      </w:r>
      <w:r>
        <w:rPr>
          <w:rFonts w:ascii="Arial" w:hAnsi="Arial" w:cs="Arial"/>
          <w:color w:val="000000" w:themeColor="text1"/>
        </w:rPr>
        <w:t>using</w:t>
      </w:r>
      <w:r w:rsidRPr="007C5441">
        <w:rPr>
          <w:rFonts w:ascii="Arial" w:hAnsi="Arial" w:cs="Arial"/>
          <w:color w:val="000000" w:themeColor="text1"/>
        </w:rPr>
        <w:t xml:space="preserve"> </w:t>
      </w:r>
      <w:r>
        <w:rPr>
          <w:rFonts w:ascii="Arial" w:hAnsi="Arial" w:cs="Arial"/>
          <w:color w:val="000000" w:themeColor="text1"/>
        </w:rPr>
        <w:t xml:space="preserve">the </w:t>
      </w:r>
      <w:r w:rsidRPr="007C5441">
        <w:rPr>
          <w:rFonts w:ascii="Arial" w:hAnsi="Arial" w:cs="Arial"/>
          <w:color w:val="000000" w:themeColor="text1"/>
        </w:rPr>
        <w:t xml:space="preserve">thermal camera FLIR </w:t>
      </w:r>
      <w:proofErr w:type="spellStart"/>
      <w:r w:rsidRPr="007C5441">
        <w:rPr>
          <w:rFonts w:ascii="Arial" w:hAnsi="Arial" w:cs="Arial"/>
          <w:color w:val="000000" w:themeColor="text1"/>
        </w:rPr>
        <w:t>ThermaCAM</w:t>
      </w:r>
      <w:proofErr w:type="spellEnd"/>
      <w:r w:rsidRPr="007C5441">
        <w:rPr>
          <w:rFonts w:ascii="Arial" w:hAnsi="Arial" w:cs="Arial"/>
          <w:color w:val="000000" w:themeColor="text1"/>
        </w:rPr>
        <w:t xml:space="preserve"> S60 and thermal images anal</w:t>
      </w:r>
      <w:r>
        <w:rPr>
          <w:rFonts w:ascii="Arial" w:hAnsi="Arial" w:cs="Arial"/>
          <w:color w:val="000000" w:themeColor="text1"/>
        </w:rPr>
        <w:t>ysis</w:t>
      </w:r>
      <w:r w:rsidRPr="007C5441">
        <w:rPr>
          <w:rFonts w:ascii="Arial" w:hAnsi="Arial" w:cs="Arial"/>
          <w:color w:val="000000" w:themeColor="text1"/>
        </w:rPr>
        <w:t xml:space="preserve"> with </w:t>
      </w:r>
      <w:proofErr w:type="spellStart"/>
      <w:r w:rsidRPr="007C5441">
        <w:rPr>
          <w:rFonts w:ascii="Arial" w:hAnsi="Arial" w:cs="Arial"/>
          <w:color w:val="000000" w:themeColor="text1"/>
        </w:rPr>
        <w:t>ThermaCAM</w:t>
      </w:r>
      <w:proofErr w:type="spellEnd"/>
      <w:r w:rsidRPr="007C5441">
        <w:rPr>
          <w:rFonts w:ascii="Arial" w:hAnsi="Arial" w:cs="Arial"/>
          <w:color w:val="000000" w:themeColor="text1"/>
        </w:rPr>
        <w:t xml:space="preserve"> Researcher Pro 2.7 Software</w:t>
      </w:r>
      <w:r>
        <w:rPr>
          <w:rFonts w:ascii="Arial" w:hAnsi="Arial" w:cs="Arial"/>
          <w:color w:val="000000" w:themeColor="text1"/>
        </w:rPr>
        <w:t xml:space="preserve">. Samples of 1 ml </w:t>
      </w:r>
      <w:proofErr w:type="gramStart"/>
      <w:r>
        <w:rPr>
          <w:rFonts w:ascii="Arial" w:hAnsi="Arial" w:cs="Arial"/>
          <w:color w:val="000000" w:themeColor="text1"/>
        </w:rPr>
        <w:t>completely filled</w:t>
      </w:r>
      <w:proofErr w:type="gramEnd"/>
      <w:r>
        <w:rPr>
          <w:rFonts w:ascii="Arial" w:hAnsi="Arial" w:cs="Arial"/>
          <w:color w:val="000000" w:themeColor="text1"/>
        </w:rPr>
        <w:t xml:space="preserve"> glass </w:t>
      </w:r>
      <w:r w:rsidR="003E5552">
        <w:rPr>
          <w:rFonts w:ascii="Arial" w:hAnsi="Arial" w:cs="Arial"/>
          <w:color w:val="000000" w:themeColor="text1"/>
        </w:rPr>
        <w:t>cylindrical sample holder</w:t>
      </w:r>
      <w:r w:rsidR="00C82EFD">
        <w:rPr>
          <w:rFonts w:ascii="Arial" w:hAnsi="Arial" w:cs="Arial"/>
          <w:color w:val="000000" w:themeColor="text1"/>
        </w:rPr>
        <w:t xml:space="preserve"> (</w:t>
      </w:r>
      <w:r w:rsidR="00861E96">
        <w:rPr>
          <w:rFonts w:ascii="Arial" w:hAnsi="Arial" w:cs="Arial"/>
          <w:color w:val="000000" w:themeColor="text1"/>
        </w:rPr>
        <w:t>8 mm radius and 35 mm height)</w:t>
      </w:r>
      <w:r>
        <w:rPr>
          <w:rFonts w:ascii="Arial" w:hAnsi="Arial" w:cs="Arial"/>
          <w:color w:val="000000" w:themeColor="text1"/>
        </w:rPr>
        <w:t xml:space="preserve">. Thermal images were taken before irradiation at 60 s of irradiation. The temperature was defined using analyzer software as </w:t>
      </w:r>
      <w:r w:rsidRPr="007C5441">
        <w:rPr>
          <w:rFonts w:ascii="Arial" w:hAnsi="Arial" w:cs="Arial"/>
          <w:color w:val="000000" w:themeColor="text1"/>
        </w:rPr>
        <w:t xml:space="preserve">the average temperature of </w:t>
      </w:r>
      <w:r w:rsidR="00D85334">
        <w:rPr>
          <w:rFonts w:ascii="Arial" w:hAnsi="Arial" w:cs="Arial"/>
          <w:color w:val="000000" w:themeColor="text1"/>
        </w:rPr>
        <w:t>superficial area of s</w:t>
      </w:r>
      <w:r w:rsidRPr="007C5441">
        <w:rPr>
          <w:rFonts w:ascii="Arial" w:hAnsi="Arial" w:cs="Arial"/>
          <w:color w:val="000000" w:themeColor="text1"/>
        </w:rPr>
        <w:t>hell vial</w:t>
      </w:r>
      <w:r w:rsidR="00D85334">
        <w:rPr>
          <w:rFonts w:ascii="Arial" w:hAnsi="Arial" w:cs="Arial"/>
          <w:color w:val="000000" w:themeColor="text1"/>
        </w:rPr>
        <w:t xml:space="preserve"> visualized by camera (see </w:t>
      </w:r>
      <w:r w:rsidR="00CC4912">
        <w:rPr>
          <w:rFonts w:ascii="Arial" w:hAnsi="Arial" w:cs="Arial"/>
          <w:color w:val="000000" w:themeColor="text1"/>
        </w:rPr>
        <w:t>Appen</w:t>
      </w:r>
      <w:r w:rsidR="00421E67">
        <w:rPr>
          <w:rFonts w:ascii="Arial" w:hAnsi="Arial" w:cs="Arial"/>
          <w:color w:val="000000" w:themeColor="text1"/>
        </w:rPr>
        <w:t>d</w:t>
      </w:r>
      <w:r w:rsidR="00CC4912">
        <w:rPr>
          <w:rFonts w:ascii="Arial" w:hAnsi="Arial" w:cs="Arial"/>
          <w:color w:val="000000" w:themeColor="text1"/>
        </w:rPr>
        <w:t>ix A -</w:t>
      </w:r>
      <w:r w:rsidR="00421E67">
        <w:rPr>
          <w:rFonts w:ascii="Arial" w:hAnsi="Arial" w:cs="Arial"/>
          <w:color w:val="000000" w:themeColor="text1"/>
        </w:rPr>
        <w:t xml:space="preserve"> </w:t>
      </w:r>
      <w:r w:rsidR="006F710F" w:rsidRPr="006F710F">
        <w:rPr>
          <w:rFonts w:ascii="Arial" w:hAnsi="Arial" w:cs="Arial"/>
          <w:b/>
          <w:bCs/>
          <w:color w:val="000000" w:themeColor="text1"/>
        </w:rPr>
        <w:t>F</w:t>
      </w:r>
      <w:r w:rsidR="00D85334" w:rsidRPr="006F710F">
        <w:rPr>
          <w:rFonts w:ascii="Arial" w:hAnsi="Arial" w:cs="Arial"/>
          <w:b/>
          <w:bCs/>
          <w:color w:val="000000" w:themeColor="text1"/>
        </w:rPr>
        <w:t xml:space="preserve">igure </w:t>
      </w:r>
      <w:r w:rsidR="006F710F" w:rsidRPr="006F710F">
        <w:rPr>
          <w:rFonts w:ascii="Arial" w:hAnsi="Arial" w:cs="Arial"/>
          <w:b/>
          <w:bCs/>
          <w:color w:val="000000" w:themeColor="text1"/>
        </w:rPr>
        <w:t>80</w:t>
      </w:r>
      <w:r w:rsidR="006F710F">
        <w:rPr>
          <w:rFonts w:ascii="Arial" w:hAnsi="Arial" w:cs="Arial"/>
          <w:color w:val="000000" w:themeColor="text1"/>
        </w:rPr>
        <w:t>)</w:t>
      </w:r>
      <w:r>
        <w:rPr>
          <w:rFonts w:ascii="Arial" w:hAnsi="Arial" w:cs="Arial"/>
          <w:color w:val="000000" w:themeColor="text1"/>
        </w:rPr>
        <w:t xml:space="preserve">. Smaller plates of 2 cm in width were used to concentrate the irradiation. Results are shown in </w:t>
      </w:r>
      <w:r w:rsidRPr="00291851">
        <w:rPr>
          <w:rFonts w:ascii="Arial" w:hAnsi="Arial" w:cs="Arial"/>
          <w:b/>
          <w:bCs/>
          <w:color w:val="000000" w:themeColor="text1"/>
        </w:rPr>
        <w:t xml:space="preserve">Figure </w:t>
      </w:r>
      <w:r w:rsidR="00291851" w:rsidRPr="00291851">
        <w:rPr>
          <w:rFonts w:ascii="Arial" w:hAnsi="Arial" w:cs="Arial"/>
          <w:b/>
          <w:bCs/>
          <w:color w:val="000000" w:themeColor="text1"/>
        </w:rPr>
        <w:t>58</w:t>
      </w:r>
      <w:r>
        <w:rPr>
          <w:rFonts w:ascii="Arial" w:hAnsi="Arial" w:cs="Arial"/>
          <w:color w:val="000000" w:themeColor="text1"/>
        </w:rPr>
        <w:t>.</w:t>
      </w:r>
    </w:p>
    <w:tbl>
      <w:tblPr>
        <w:tblStyle w:val="TableGrid"/>
        <w:tblW w:w="0" w:type="auto"/>
        <w:tblLook w:val="04A0" w:firstRow="1" w:lastRow="0" w:firstColumn="1" w:lastColumn="0" w:noHBand="0" w:noVBand="1"/>
      </w:tblPr>
      <w:tblGrid>
        <w:gridCol w:w="9350"/>
      </w:tblGrid>
      <w:tr w:rsidR="00D74025" w:rsidRPr="00D74025" w14:paraId="1C82904D" w14:textId="77777777" w:rsidTr="00011523">
        <w:tc>
          <w:tcPr>
            <w:tcW w:w="9350" w:type="dxa"/>
          </w:tcPr>
          <w:p w14:paraId="282131DC" w14:textId="1B207AA7" w:rsidR="00011523" w:rsidRPr="00D74025" w:rsidRDefault="00CD4A28" w:rsidP="006F781B">
            <w:pPr>
              <w:spacing w:beforeAutospacing="0"/>
              <w:ind w:firstLine="0"/>
              <w:jc w:val="center"/>
              <w:rPr>
                <w:rFonts w:ascii="Arial" w:hAnsi="Arial" w:cs="Arial"/>
                <w:color w:val="000000" w:themeColor="text1"/>
                <w:sz w:val="20"/>
                <w:szCs w:val="20"/>
              </w:rPr>
            </w:pPr>
            <w:r w:rsidRPr="00CD4A28">
              <w:rPr>
                <w:rFonts w:ascii="Arial" w:hAnsi="Arial" w:cs="Arial"/>
                <w:noProof/>
                <w:color w:val="000000" w:themeColor="text1"/>
                <w:sz w:val="20"/>
                <w:szCs w:val="20"/>
              </w:rPr>
              <w:lastRenderedPageBreak/>
              <w:drawing>
                <wp:inline distT="0" distB="0" distL="0" distR="0" wp14:anchorId="480E1596" wp14:editId="502B8700">
                  <wp:extent cx="3182925" cy="3378565"/>
                  <wp:effectExtent l="0" t="0" r="508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202373" cy="3399208"/>
                          </a:xfrm>
                          <a:prstGeom prst="rect">
                            <a:avLst/>
                          </a:prstGeom>
                        </pic:spPr>
                      </pic:pic>
                    </a:graphicData>
                  </a:graphic>
                </wp:inline>
              </w:drawing>
            </w:r>
          </w:p>
        </w:tc>
      </w:tr>
      <w:tr w:rsidR="00D74025" w:rsidRPr="00D74025" w14:paraId="47005615" w14:textId="77777777" w:rsidTr="00011523">
        <w:tc>
          <w:tcPr>
            <w:tcW w:w="9350" w:type="dxa"/>
          </w:tcPr>
          <w:p w14:paraId="57E6A978" w14:textId="6B6E4A08" w:rsidR="00011523" w:rsidRPr="00D909A4" w:rsidRDefault="00471BFF" w:rsidP="00D909A4">
            <w:pPr>
              <w:spacing w:line="360" w:lineRule="auto"/>
              <w:ind w:firstLine="0"/>
            </w:pPr>
            <w:bookmarkStart w:id="164" w:name="_Toc121217380"/>
            <w:r w:rsidRPr="00471BFF">
              <w:rPr>
                <w:rFonts w:ascii="Arial" w:hAnsi="Arial" w:cs="Arial"/>
                <w:b/>
                <w:bCs/>
                <w:color w:val="000000" w:themeColor="text1"/>
              </w:rPr>
              <w:t xml:space="preserve">Figure </w:t>
            </w:r>
            <w:r w:rsidRPr="00471BFF">
              <w:rPr>
                <w:rFonts w:ascii="Arial" w:hAnsi="Arial" w:cs="Arial"/>
                <w:b/>
                <w:bCs/>
                <w:color w:val="000000" w:themeColor="text1"/>
              </w:rPr>
              <w:fldChar w:fldCharType="begin"/>
            </w:r>
            <w:r w:rsidRPr="00471BFF">
              <w:rPr>
                <w:rFonts w:ascii="Arial" w:hAnsi="Arial" w:cs="Arial"/>
                <w:b/>
                <w:bCs/>
                <w:color w:val="000000" w:themeColor="text1"/>
              </w:rPr>
              <w:instrText xml:space="preserve"> SEQ Figure \* ARABIC </w:instrText>
            </w:r>
            <w:r w:rsidRPr="00471BFF">
              <w:rPr>
                <w:rFonts w:ascii="Arial" w:hAnsi="Arial" w:cs="Arial"/>
                <w:b/>
                <w:bCs/>
                <w:color w:val="000000" w:themeColor="text1"/>
              </w:rPr>
              <w:fldChar w:fldCharType="separate"/>
            </w:r>
            <w:r w:rsidR="002C4B25">
              <w:rPr>
                <w:rFonts w:ascii="Arial" w:hAnsi="Arial" w:cs="Arial"/>
                <w:b/>
                <w:bCs/>
                <w:noProof/>
                <w:color w:val="000000" w:themeColor="text1"/>
              </w:rPr>
              <w:t>58</w:t>
            </w:r>
            <w:r w:rsidRPr="00471BFF">
              <w:rPr>
                <w:rFonts w:ascii="Arial" w:hAnsi="Arial" w:cs="Arial"/>
                <w:b/>
                <w:bCs/>
                <w:color w:val="000000" w:themeColor="text1"/>
              </w:rPr>
              <w:fldChar w:fldCharType="end"/>
            </w:r>
            <w:r w:rsidR="00D909A4" w:rsidRPr="001D346A">
              <w:rPr>
                <w:rFonts w:ascii="Arial" w:hAnsi="Arial" w:cs="Arial"/>
                <w:b/>
                <w:bCs/>
                <w:color w:val="000000" w:themeColor="text1"/>
              </w:rPr>
              <w:t xml:space="preserve">: Analysis of statistical significance between samples irradiated </w:t>
            </w:r>
            <w:r w:rsidR="00D909A4">
              <w:rPr>
                <w:rFonts w:ascii="Arial" w:hAnsi="Arial" w:cs="Arial"/>
                <w:b/>
                <w:bCs/>
                <w:color w:val="000000" w:themeColor="text1"/>
              </w:rPr>
              <w:t>with</w:t>
            </w:r>
            <w:r w:rsidR="00D909A4" w:rsidRPr="001D346A">
              <w:rPr>
                <w:rFonts w:ascii="Arial" w:hAnsi="Arial" w:cs="Arial"/>
                <w:b/>
                <w:bCs/>
                <w:color w:val="000000" w:themeColor="text1"/>
              </w:rPr>
              <w:t xml:space="preserve"> 100</w:t>
            </w:r>
            <w:r w:rsidR="00D909A4">
              <w:rPr>
                <w:rFonts w:ascii="Arial" w:hAnsi="Arial" w:cs="Arial"/>
                <w:b/>
                <w:bCs/>
                <w:color w:val="000000" w:themeColor="text1"/>
              </w:rPr>
              <w:t> </w:t>
            </w:r>
            <w:r w:rsidR="00D909A4" w:rsidRPr="001D346A">
              <w:rPr>
                <w:rFonts w:ascii="Arial" w:hAnsi="Arial" w:cs="Arial"/>
                <w:b/>
                <w:bCs/>
                <w:color w:val="000000" w:themeColor="text1"/>
              </w:rPr>
              <w:t>W output power.</w:t>
            </w:r>
            <w:r w:rsidR="00D909A4">
              <w:rPr>
                <w:rFonts w:ascii="Arial" w:hAnsi="Arial" w:cs="Arial"/>
                <w:color w:val="000000" w:themeColor="text1"/>
              </w:rPr>
              <w:t xml:space="preserve"> Smaller irradiation plates designed by Dr. Fulton of 2 cm width were used to concentrate the field. Samples were placed in </w:t>
            </w:r>
            <w:r w:rsidR="00B667F0">
              <w:rPr>
                <w:rFonts w:ascii="Arial" w:hAnsi="Arial" w:cs="Arial"/>
                <w:color w:val="000000" w:themeColor="text1"/>
              </w:rPr>
              <w:t>cylindrical sample holder</w:t>
            </w:r>
            <w:r w:rsidR="00D909A4" w:rsidRPr="00C56A40">
              <w:rPr>
                <w:rFonts w:ascii="Arial" w:hAnsi="Arial" w:cs="Arial"/>
                <w:color w:val="000000" w:themeColor="text1"/>
              </w:rPr>
              <w:t xml:space="preserve"> </w:t>
            </w:r>
            <w:r w:rsidR="00D909A4">
              <w:rPr>
                <w:rFonts w:ascii="Arial" w:hAnsi="Arial" w:cs="Arial"/>
                <w:color w:val="000000" w:themeColor="text1"/>
              </w:rPr>
              <w:t>(</w:t>
            </w:r>
            <w:r w:rsidR="00873603">
              <w:rPr>
                <w:rFonts w:ascii="Arial" w:hAnsi="Arial" w:cs="Arial"/>
                <w:color w:val="000000" w:themeColor="text1"/>
              </w:rPr>
              <w:t>~</w:t>
            </w:r>
            <w:r w:rsidR="00D909A4">
              <w:rPr>
                <w:rFonts w:ascii="Arial" w:hAnsi="Arial" w:cs="Arial"/>
                <w:color w:val="000000" w:themeColor="text1"/>
              </w:rPr>
              <w:t>1 ml</w:t>
            </w:r>
            <w:r w:rsidR="00903E55">
              <w:rPr>
                <w:rFonts w:ascii="Arial" w:hAnsi="Arial" w:cs="Arial"/>
                <w:color w:val="000000" w:themeColor="text1"/>
              </w:rPr>
              <w:t xml:space="preserve">, </w:t>
            </w:r>
            <w:r w:rsidR="00312D1B">
              <w:rPr>
                <w:rFonts w:ascii="Arial" w:hAnsi="Arial" w:cs="Arial"/>
                <w:color w:val="000000" w:themeColor="text1"/>
              </w:rPr>
              <w:t>8 mm in diameter and 35 mm height</w:t>
            </w:r>
            <w:r w:rsidR="00D909A4">
              <w:rPr>
                <w:rFonts w:ascii="Arial" w:hAnsi="Arial" w:cs="Arial"/>
                <w:color w:val="000000" w:themeColor="text1"/>
              </w:rPr>
              <w:t xml:space="preserve">) and irradiated by </w:t>
            </w:r>
            <w:proofErr w:type="spellStart"/>
            <w:r w:rsidR="00D909A4">
              <w:rPr>
                <w:rFonts w:ascii="Arial" w:hAnsi="Arial" w:cs="Arial"/>
                <w:color w:val="000000" w:themeColor="text1"/>
              </w:rPr>
              <w:t>Comdel</w:t>
            </w:r>
            <w:proofErr w:type="spellEnd"/>
            <w:r w:rsidR="00D909A4">
              <w:rPr>
                <w:rFonts w:ascii="Arial" w:hAnsi="Arial" w:cs="Arial"/>
                <w:color w:val="000000" w:themeColor="text1"/>
              </w:rPr>
              <w:t xml:space="preserve"> System at 13.56 MHz with a power output of 100 W. Temperature was assessed with FLIR </w:t>
            </w:r>
            <w:proofErr w:type="spellStart"/>
            <w:r w:rsidR="00D909A4">
              <w:rPr>
                <w:rFonts w:ascii="Arial" w:hAnsi="Arial" w:cs="Arial"/>
                <w:color w:val="000000" w:themeColor="text1"/>
              </w:rPr>
              <w:t>ThermaCAM</w:t>
            </w:r>
            <w:proofErr w:type="spellEnd"/>
            <w:r w:rsidR="00D909A4">
              <w:rPr>
                <w:rFonts w:ascii="Arial" w:hAnsi="Arial" w:cs="Arial"/>
                <w:color w:val="000000" w:themeColor="text1"/>
              </w:rPr>
              <w:t xml:space="preserve"> S60 and analyzed with </w:t>
            </w:r>
            <w:proofErr w:type="spellStart"/>
            <w:r w:rsidR="00D909A4" w:rsidRPr="00C56A40">
              <w:rPr>
                <w:rFonts w:ascii="Arial" w:hAnsi="Arial" w:cs="Arial"/>
                <w:color w:val="000000" w:themeColor="text1"/>
              </w:rPr>
              <w:t>ThermaCAM</w:t>
            </w:r>
            <w:proofErr w:type="spellEnd"/>
            <w:r w:rsidR="00D909A4" w:rsidRPr="00C56A40">
              <w:rPr>
                <w:rFonts w:ascii="Arial" w:hAnsi="Arial" w:cs="Arial"/>
                <w:color w:val="000000" w:themeColor="text1"/>
              </w:rPr>
              <w:t xml:space="preserve"> Researcher Pro 2.7 Software</w:t>
            </w:r>
            <w:r w:rsidR="00D909A4">
              <w:rPr>
                <w:rFonts w:ascii="Arial" w:hAnsi="Arial" w:cs="Arial"/>
                <w:color w:val="000000" w:themeColor="text1"/>
              </w:rPr>
              <w:t xml:space="preserve">, which measured the average temperature in the </w:t>
            </w:r>
            <w:r w:rsidR="00C952E4">
              <w:rPr>
                <w:rFonts w:ascii="Arial" w:hAnsi="Arial" w:cs="Arial"/>
                <w:color w:val="000000" w:themeColor="text1"/>
              </w:rPr>
              <w:t xml:space="preserve">radial </w:t>
            </w:r>
            <w:r w:rsidR="00D909A4">
              <w:rPr>
                <w:rFonts w:ascii="Arial" w:hAnsi="Arial" w:cs="Arial"/>
                <w:color w:val="000000" w:themeColor="text1"/>
              </w:rPr>
              <w:t xml:space="preserve">surface of the </w:t>
            </w:r>
            <w:r w:rsidR="00B667F0">
              <w:rPr>
                <w:rFonts w:ascii="Arial" w:hAnsi="Arial" w:cs="Arial"/>
                <w:color w:val="000000" w:themeColor="text1"/>
              </w:rPr>
              <w:t>sample holder</w:t>
            </w:r>
            <w:r w:rsidR="00C952E4">
              <w:rPr>
                <w:rFonts w:ascii="Arial" w:hAnsi="Arial" w:cs="Arial"/>
                <w:color w:val="000000" w:themeColor="text1"/>
              </w:rPr>
              <w:t xml:space="preserve"> seen by camera</w:t>
            </w:r>
            <w:r w:rsidR="00D909A4">
              <w:rPr>
                <w:rFonts w:ascii="Arial" w:hAnsi="Arial" w:cs="Arial"/>
                <w:color w:val="000000" w:themeColor="text1"/>
              </w:rPr>
              <w:t>. Thermal</w:t>
            </w:r>
            <w:r w:rsidR="00D909A4" w:rsidRPr="00C56A40">
              <w:rPr>
                <w:rFonts w:ascii="Arial" w:hAnsi="Arial" w:cs="Arial"/>
                <w:color w:val="000000" w:themeColor="text1"/>
              </w:rPr>
              <w:t xml:space="preserve"> image</w:t>
            </w:r>
            <w:r w:rsidR="00D909A4">
              <w:rPr>
                <w:rFonts w:ascii="Arial" w:hAnsi="Arial" w:cs="Arial"/>
                <w:color w:val="000000" w:themeColor="text1"/>
              </w:rPr>
              <w:t>s</w:t>
            </w:r>
            <w:r w:rsidR="00D909A4" w:rsidRPr="00C56A40">
              <w:rPr>
                <w:rFonts w:ascii="Arial" w:hAnsi="Arial" w:cs="Arial"/>
                <w:color w:val="000000" w:themeColor="text1"/>
              </w:rPr>
              <w:t xml:space="preserve"> w</w:t>
            </w:r>
            <w:r w:rsidR="00D909A4">
              <w:rPr>
                <w:rFonts w:ascii="Arial" w:hAnsi="Arial" w:cs="Arial"/>
                <w:color w:val="000000" w:themeColor="text1"/>
              </w:rPr>
              <w:t>ere</w:t>
            </w:r>
            <w:r w:rsidR="00D909A4" w:rsidRPr="00C56A40">
              <w:rPr>
                <w:rFonts w:ascii="Arial" w:hAnsi="Arial" w:cs="Arial"/>
                <w:color w:val="000000" w:themeColor="text1"/>
              </w:rPr>
              <w:t xml:space="preserve"> capture</w:t>
            </w:r>
            <w:r w:rsidR="00D909A4">
              <w:rPr>
                <w:rFonts w:ascii="Arial" w:hAnsi="Arial" w:cs="Arial"/>
                <w:color w:val="000000" w:themeColor="text1"/>
              </w:rPr>
              <w:t>d</w:t>
            </w:r>
            <w:r w:rsidR="00D909A4" w:rsidRPr="00C56A40">
              <w:rPr>
                <w:rFonts w:ascii="Arial" w:hAnsi="Arial" w:cs="Arial"/>
                <w:color w:val="000000" w:themeColor="text1"/>
              </w:rPr>
              <w:t xml:space="preserve"> before irradiation</w:t>
            </w:r>
            <w:r w:rsidR="00D909A4">
              <w:rPr>
                <w:rFonts w:ascii="Arial" w:hAnsi="Arial" w:cs="Arial"/>
                <w:color w:val="000000" w:themeColor="text1"/>
              </w:rPr>
              <w:t>; RF</w:t>
            </w:r>
            <w:r w:rsidR="00D909A4" w:rsidRPr="00C56A40">
              <w:rPr>
                <w:rFonts w:ascii="Arial" w:hAnsi="Arial" w:cs="Arial"/>
                <w:color w:val="000000" w:themeColor="text1"/>
              </w:rPr>
              <w:t xml:space="preserve"> was turned on </w:t>
            </w:r>
            <w:r w:rsidR="00D909A4">
              <w:rPr>
                <w:rFonts w:ascii="Arial" w:hAnsi="Arial" w:cs="Arial"/>
                <w:color w:val="000000" w:themeColor="text1"/>
              </w:rPr>
              <w:t>simultaneously with</w:t>
            </w:r>
            <w:r w:rsidR="00D909A4" w:rsidRPr="00C56A40">
              <w:rPr>
                <w:rFonts w:ascii="Arial" w:hAnsi="Arial" w:cs="Arial"/>
                <w:color w:val="000000" w:themeColor="text1"/>
              </w:rPr>
              <w:t xml:space="preserve"> the timer</w:t>
            </w:r>
            <w:r w:rsidR="00D909A4">
              <w:rPr>
                <w:rFonts w:ascii="Arial" w:hAnsi="Arial" w:cs="Arial"/>
                <w:color w:val="000000" w:themeColor="text1"/>
              </w:rPr>
              <w:t>. When</w:t>
            </w:r>
            <w:r w:rsidR="00D909A4" w:rsidRPr="00C56A40">
              <w:rPr>
                <w:rFonts w:ascii="Arial" w:hAnsi="Arial" w:cs="Arial"/>
                <w:color w:val="000000" w:themeColor="text1"/>
              </w:rPr>
              <w:t xml:space="preserve"> the timer reached 60 s, another thermal image was captured, </w:t>
            </w:r>
            <w:r w:rsidR="00D909A4">
              <w:rPr>
                <w:rFonts w:ascii="Arial" w:hAnsi="Arial" w:cs="Arial"/>
                <w:color w:val="000000" w:themeColor="text1"/>
              </w:rPr>
              <w:t xml:space="preserve">and </w:t>
            </w:r>
            <w:r w:rsidR="00D909A4" w:rsidRPr="00C56A40">
              <w:rPr>
                <w:rFonts w:ascii="Arial" w:hAnsi="Arial" w:cs="Arial"/>
                <w:color w:val="000000" w:themeColor="text1"/>
              </w:rPr>
              <w:t>the RF was turned off.</w:t>
            </w:r>
            <w:r w:rsidR="00D909A4">
              <w:rPr>
                <w:rFonts w:ascii="Arial" w:hAnsi="Arial" w:cs="Arial"/>
                <w:color w:val="000000" w:themeColor="text1"/>
              </w:rPr>
              <w:t xml:space="preserve"> </w:t>
            </w:r>
            <w:r w:rsidR="00D909A4" w:rsidRPr="00C56A40">
              <w:rPr>
                <w:rFonts w:ascii="Arial" w:hAnsi="Arial" w:cs="Arial"/>
                <w:color w:val="000000" w:themeColor="text1"/>
              </w:rPr>
              <w:t xml:space="preserve">Statistical Analysis: </w:t>
            </w:r>
            <w:r w:rsidR="00D909A4">
              <w:rPr>
                <w:rFonts w:ascii="Arial" w:hAnsi="Arial" w:cs="Arial"/>
                <w:color w:val="000000" w:themeColor="text1"/>
              </w:rPr>
              <w:t>o</w:t>
            </w:r>
            <w:r w:rsidR="00D909A4" w:rsidRPr="00C56A40">
              <w:rPr>
                <w:rFonts w:ascii="Arial" w:hAnsi="Arial" w:cs="Arial"/>
                <w:color w:val="000000" w:themeColor="text1"/>
              </w:rPr>
              <w:t>rdinary one-way ANOVA with Tukey's Multiple Comparison Test, which compares the mean of each group with the mean of every other group</w:t>
            </w:r>
            <w:r w:rsidR="00D909A4">
              <w:rPr>
                <w:rFonts w:ascii="Arial" w:hAnsi="Arial" w:cs="Arial"/>
                <w:color w:val="000000" w:themeColor="text1"/>
              </w:rPr>
              <w:t xml:space="preserve"> (n = 5). </w:t>
            </w:r>
            <w:r w:rsidR="00D909A4" w:rsidRPr="00C56A40">
              <w:rPr>
                <w:rFonts w:ascii="Arial" w:hAnsi="Arial" w:cs="Arial"/>
                <w:color w:val="000000" w:themeColor="text1"/>
              </w:rPr>
              <w:t>Every pair was considered significant with p</w:t>
            </w:r>
            <w:r w:rsidR="00D909A4">
              <w:rPr>
                <w:rFonts w:ascii="Arial" w:hAnsi="Arial" w:cs="Arial"/>
                <w:color w:val="000000" w:themeColor="text1"/>
              </w:rPr>
              <w:t> </w:t>
            </w:r>
            <w:r w:rsidR="00D909A4" w:rsidRPr="00C56A40">
              <w:rPr>
                <w:rFonts w:ascii="Arial" w:hAnsi="Arial" w:cs="Arial"/>
                <w:color w:val="000000" w:themeColor="text1"/>
              </w:rPr>
              <w:t>&lt;</w:t>
            </w:r>
            <w:r w:rsidR="00D909A4">
              <w:rPr>
                <w:rFonts w:ascii="Arial" w:hAnsi="Arial" w:cs="Arial"/>
                <w:color w:val="000000" w:themeColor="text1"/>
              </w:rPr>
              <w:t> </w:t>
            </w:r>
            <w:r w:rsidR="00D909A4" w:rsidRPr="00C56A40">
              <w:rPr>
                <w:rFonts w:ascii="Arial" w:hAnsi="Arial" w:cs="Arial"/>
                <w:color w:val="000000" w:themeColor="text1"/>
              </w:rPr>
              <w:t>0.0001</w:t>
            </w:r>
            <w:r w:rsidR="00D909A4">
              <w:rPr>
                <w:rFonts w:ascii="Arial" w:hAnsi="Arial" w:cs="Arial"/>
                <w:color w:val="000000" w:themeColor="text1"/>
              </w:rPr>
              <w:t xml:space="preserve">, even though significancy to PEGylated SWCNT was the only one depicted in the figure to avoid </w:t>
            </w:r>
            <w:r w:rsidR="00E3009E">
              <w:rPr>
                <w:rFonts w:ascii="Arial" w:hAnsi="Arial" w:cs="Arial"/>
                <w:color w:val="000000" w:themeColor="text1"/>
              </w:rPr>
              <w:t>overcrowding of data on the graph</w:t>
            </w:r>
            <w:r w:rsidR="00D909A4">
              <w:rPr>
                <w:rFonts w:ascii="Arial" w:hAnsi="Arial" w:cs="Arial"/>
                <w:color w:val="000000" w:themeColor="text1"/>
              </w:rPr>
              <w:t>.</w:t>
            </w:r>
            <w:bookmarkEnd w:id="164"/>
          </w:p>
        </w:tc>
      </w:tr>
    </w:tbl>
    <w:p w14:paraId="1EE34B49" w14:textId="22B18511" w:rsidR="00471BFF" w:rsidRDefault="00471BFF" w:rsidP="00D50330">
      <w:pPr>
        <w:rPr>
          <w:rFonts w:ascii="Arial" w:hAnsi="Arial" w:cs="Arial"/>
          <w:color w:val="000000" w:themeColor="text1"/>
          <w:sz w:val="20"/>
          <w:szCs w:val="20"/>
        </w:rPr>
      </w:pPr>
    </w:p>
    <w:p w14:paraId="0F4A9C45" w14:textId="77777777" w:rsidR="00471BFF" w:rsidRPr="00D74025" w:rsidRDefault="00471BFF" w:rsidP="00D50330">
      <w:pPr>
        <w:rPr>
          <w:rFonts w:ascii="Arial" w:hAnsi="Arial" w:cs="Arial"/>
          <w:color w:val="000000" w:themeColor="text1"/>
          <w:sz w:val="20"/>
          <w:szCs w:val="20"/>
        </w:rPr>
      </w:pPr>
    </w:p>
    <w:p w14:paraId="26D2BE4C" w14:textId="760E21B5" w:rsidR="003546C7" w:rsidRPr="00D74025" w:rsidRDefault="003546C7" w:rsidP="003546C7">
      <w:pPr>
        <w:spacing w:line="360" w:lineRule="auto"/>
        <w:ind w:firstLine="1440"/>
        <w:jc w:val="both"/>
        <w:rPr>
          <w:rFonts w:ascii="Arial" w:hAnsi="Arial" w:cs="Arial"/>
          <w:color w:val="000000" w:themeColor="text1"/>
          <w:sz w:val="20"/>
          <w:szCs w:val="20"/>
        </w:rPr>
      </w:pPr>
      <w:bookmarkStart w:id="165" w:name="_Toc87466653"/>
      <w:r w:rsidRPr="00291851">
        <w:rPr>
          <w:rFonts w:ascii="Arial" w:hAnsi="Arial" w:cs="Arial"/>
          <w:b/>
          <w:bCs/>
          <w:color w:val="000000" w:themeColor="text1"/>
        </w:rPr>
        <w:t xml:space="preserve">Figure </w:t>
      </w:r>
      <w:r w:rsidR="00291851" w:rsidRPr="00291851">
        <w:rPr>
          <w:rFonts w:ascii="Arial" w:hAnsi="Arial" w:cs="Arial"/>
          <w:b/>
          <w:bCs/>
          <w:color w:val="000000" w:themeColor="text1"/>
        </w:rPr>
        <w:t>58</w:t>
      </w:r>
      <w:r>
        <w:rPr>
          <w:rFonts w:ascii="Arial" w:hAnsi="Arial" w:cs="Arial"/>
          <w:color w:val="000000" w:themeColor="text1"/>
        </w:rPr>
        <w:t xml:space="preserve"> shows that using a more advanced temperature measurement system generated results with lower standard deviations, which ultimately resulted in a </w:t>
      </w:r>
      <w:r>
        <w:rPr>
          <w:rFonts w:ascii="Arial" w:hAnsi="Arial" w:cs="Arial"/>
          <w:color w:val="000000" w:themeColor="text1"/>
        </w:rPr>
        <w:lastRenderedPageBreak/>
        <w:t xml:space="preserve">more robust statistical analysis. Even though </w:t>
      </w:r>
      <w:r w:rsidRPr="00C56A40">
        <w:rPr>
          <w:rFonts w:ascii="Arial" w:hAnsi="Arial" w:cs="Arial"/>
          <w:color w:val="000000" w:themeColor="text1"/>
        </w:rPr>
        <w:t xml:space="preserve">the temperature of the glass vial is not </w:t>
      </w:r>
      <w:r>
        <w:rPr>
          <w:rFonts w:ascii="Arial" w:hAnsi="Arial" w:cs="Arial"/>
          <w:color w:val="000000" w:themeColor="text1"/>
        </w:rPr>
        <w:t>precisely</w:t>
      </w:r>
      <w:r w:rsidRPr="00C56A40">
        <w:rPr>
          <w:rFonts w:ascii="Arial" w:hAnsi="Arial" w:cs="Arial"/>
          <w:color w:val="000000" w:themeColor="text1"/>
        </w:rPr>
        <w:t xml:space="preserve"> the temperature of the sample inside the vial,</w:t>
      </w:r>
      <w:r>
        <w:rPr>
          <w:rFonts w:ascii="Arial" w:hAnsi="Arial" w:cs="Arial"/>
          <w:color w:val="000000" w:themeColor="text1"/>
        </w:rPr>
        <w:t xml:space="preserve"> if more accurate results are necessary, that internal temperature can be</w:t>
      </w:r>
      <w:r w:rsidRPr="00C56A40">
        <w:rPr>
          <w:rFonts w:ascii="Arial" w:hAnsi="Arial" w:cs="Arial"/>
          <w:color w:val="000000" w:themeColor="text1"/>
        </w:rPr>
        <w:t xml:space="preserve"> estimate</w:t>
      </w:r>
      <w:r>
        <w:rPr>
          <w:rFonts w:ascii="Arial" w:hAnsi="Arial" w:cs="Arial"/>
          <w:color w:val="000000" w:themeColor="text1"/>
        </w:rPr>
        <w:t xml:space="preserve">d mathematically. </w:t>
      </w:r>
      <w:r w:rsidRPr="00C56A40">
        <w:rPr>
          <w:rFonts w:ascii="Arial" w:hAnsi="Arial" w:cs="Arial"/>
          <w:color w:val="000000" w:themeColor="text1"/>
        </w:rPr>
        <w:t xml:space="preserve">The use of the thermal camera allowed minimization of </w:t>
      </w:r>
      <w:r>
        <w:rPr>
          <w:rFonts w:ascii="Arial" w:hAnsi="Arial" w:cs="Arial"/>
          <w:color w:val="000000" w:themeColor="text1"/>
        </w:rPr>
        <w:t>errors</w:t>
      </w:r>
      <w:r w:rsidRPr="00C56A40">
        <w:rPr>
          <w:rFonts w:ascii="Arial" w:hAnsi="Arial" w:cs="Arial"/>
          <w:color w:val="000000" w:themeColor="text1"/>
        </w:rPr>
        <w:t xml:space="preserve"> </w:t>
      </w:r>
      <w:r>
        <w:rPr>
          <w:rFonts w:ascii="Arial" w:hAnsi="Arial" w:cs="Arial"/>
          <w:color w:val="000000" w:themeColor="text1"/>
        </w:rPr>
        <w:t>in</w:t>
      </w:r>
      <w:r w:rsidRPr="00C56A40">
        <w:rPr>
          <w:rFonts w:ascii="Arial" w:hAnsi="Arial" w:cs="Arial"/>
          <w:color w:val="000000" w:themeColor="text1"/>
        </w:rPr>
        <w:t xml:space="preserve"> the measurement. Even the SDS (</w:t>
      </w:r>
      <w:r>
        <w:rPr>
          <w:rFonts w:ascii="Arial" w:hAnsi="Arial" w:cs="Arial"/>
          <w:color w:val="000000" w:themeColor="text1"/>
        </w:rPr>
        <w:t>1</w:t>
      </w:r>
      <w:r w:rsidRPr="00C56A40">
        <w:rPr>
          <w:rFonts w:ascii="Arial" w:hAnsi="Arial" w:cs="Arial"/>
          <w:color w:val="000000" w:themeColor="text1"/>
        </w:rPr>
        <w:t xml:space="preserve">%) and CNT were statistically </w:t>
      </w:r>
      <w:r>
        <w:rPr>
          <w:rFonts w:ascii="Arial" w:hAnsi="Arial" w:cs="Arial"/>
          <w:color w:val="000000" w:themeColor="text1"/>
        </w:rPr>
        <w:t>significantly</w:t>
      </w:r>
      <w:r w:rsidRPr="00C56A40">
        <w:rPr>
          <w:rFonts w:ascii="Arial" w:hAnsi="Arial" w:cs="Arial"/>
          <w:color w:val="000000" w:themeColor="text1"/>
        </w:rPr>
        <w:t xml:space="preserve"> different</w:t>
      </w:r>
      <w:r>
        <w:rPr>
          <w:rFonts w:ascii="Arial" w:hAnsi="Arial" w:cs="Arial"/>
          <w:color w:val="000000" w:themeColor="text1"/>
        </w:rPr>
        <w:t xml:space="preserve"> at 100 W, which was not seen before with thermocouple temperature measurement. Therefore, the design of an RF system that delivers 100 W at various frequencies is supposedly sufficient to define the resonance frequency of (6,5) SWCNT.</w:t>
      </w:r>
    </w:p>
    <w:p w14:paraId="5C053097" w14:textId="0101B4D9" w:rsidR="00D50330" w:rsidRDefault="003B610C" w:rsidP="003B610C">
      <w:pPr>
        <w:pStyle w:val="Heading3"/>
        <w:rPr>
          <w:rFonts w:ascii="Arial" w:hAnsi="Arial" w:cs="Arial"/>
          <w:b/>
          <w:bCs/>
          <w:color w:val="000000" w:themeColor="text1"/>
        </w:rPr>
      </w:pPr>
      <w:bookmarkStart w:id="166" w:name="_Toc121217288"/>
      <w:r>
        <w:rPr>
          <w:rFonts w:ascii="Arial" w:hAnsi="Arial" w:cs="Arial"/>
          <w:b/>
          <w:bCs/>
          <w:color w:val="000000" w:themeColor="text1"/>
        </w:rPr>
        <w:t>3.3.2</w:t>
      </w:r>
      <w:r w:rsidR="00D50330" w:rsidRPr="003D4C83">
        <w:rPr>
          <w:rFonts w:ascii="Arial" w:hAnsi="Arial" w:cs="Arial"/>
          <w:b/>
          <w:bCs/>
          <w:color w:val="000000" w:themeColor="text1"/>
        </w:rPr>
        <w:t xml:space="preserve"> </w:t>
      </w:r>
      <w:r w:rsidR="0059642F">
        <w:rPr>
          <w:rFonts w:ascii="Arial" w:hAnsi="Arial" w:cs="Arial"/>
          <w:b/>
          <w:bCs/>
          <w:color w:val="000000" w:themeColor="text1"/>
        </w:rPr>
        <w:t xml:space="preserve">SWCNT-ANXA5-mediated </w:t>
      </w:r>
      <w:r w:rsidR="007B3023">
        <w:rPr>
          <w:rFonts w:ascii="Arial" w:hAnsi="Arial" w:cs="Arial"/>
          <w:b/>
          <w:bCs/>
          <w:color w:val="000000" w:themeColor="text1"/>
        </w:rPr>
        <w:t>radiofrequency ablation</w:t>
      </w:r>
      <w:r w:rsidR="00D50330" w:rsidRPr="003D4C83">
        <w:rPr>
          <w:rFonts w:ascii="Arial" w:hAnsi="Arial" w:cs="Arial"/>
          <w:b/>
          <w:bCs/>
          <w:color w:val="000000" w:themeColor="text1"/>
        </w:rPr>
        <w:t xml:space="preserve"> in biological system</w:t>
      </w:r>
      <w:bookmarkEnd w:id="165"/>
      <w:bookmarkEnd w:id="166"/>
    </w:p>
    <w:p w14:paraId="14C15BBF" w14:textId="4DF2DE9C" w:rsidR="00040EED" w:rsidRDefault="00040EED" w:rsidP="00040EED">
      <w:pPr>
        <w:spacing w:line="360" w:lineRule="auto"/>
        <w:ind w:firstLine="1440"/>
        <w:jc w:val="both"/>
        <w:rPr>
          <w:rFonts w:ascii="Arial" w:hAnsi="Arial" w:cs="Arial"/>
        </w:rPr>
      </w:pPr>
      <w:r>
        <w:rPr>
          <w:rFonts w:ascii="Arial" w:hAnsi="Arial" w:cs="Arial"/>
        </w:rPr>
        <w:t>Attempts to apply the SWCNT-ANXA5-mediated radiofrequency ablation in biological systems were performed. First, EMT6 cells were plate</w:t>
      </w:r>
      <w:r w:rsidR="00EF4A3F">
        <w:rPr>
          <w:rFonts w:ascii="Arial" w:hAnsi="Arial" w:cs="Arial"/>
        </w:rPr>
        <w:t>d</w:t>
      </w:r>
      <w:r>
        <w:rPr>
          <w:rFonts w:ascii="Arial" w:hAnsi="Arial" w:cs="Arial"/>
        </w:rPr>
        <w:t xml:space="preserve"> in 35-mm Petri dishes and incubated for </w:t>
      </w:r>
      <w:r w:rsidR="00EF4A3F">
        <w:rPr>
          <w:rFonts w:ascii="Arial" w:hAnsi="Arial" w:cs="Arial"/>
        </w:rPr>
        <w:t>2</w:t>
      </w:r>
      <w:r>
        <w:rPr>
          <w:rFonts w:ascii="Arial" w:hAnsi="Arial" w:cs="Arial"/>
        </w:rPr>
        <w:t xml:space="preserve"> hours with SWCNT-ANXA5. After washing with PBS, dishes were irradiated with 13.56 MHz in </w:t>
      </w:r>
      <w:proofErr w:type="spellStart"/>
      <w:r>
        <w:rPr>
          <w:rFonts w:ascii="Arial" w:hAnsi="Arial" w:cs="Arial"/>
        </w:rPr>
        <w:t>Comdel</w:t>
      </w:r>
      <w:proofErr w:type="spellEnd"/>
      <w:r>
        <w:rPr>
          <w:rFonts w:ascii="Arial" w:hAnsi="Arial" w:cs="Arial"/>
        </w:rPr>
        <w:t xml:space="preserve"> System at 600 W for different durations. </w:t>
      </w:r>
      <w:r w:rsidR="00EF4A3F">
        <w:rPr>
          <w:rFonts w:ascii="Arial" w:hAnsi="Arial" w:cs="Arial"/>
        </w:rPr>
        <w:t xml:space="preserve">The </w:t>
      </w:r>
      <w:proofErr w:type="spellStart"/>
      <w:r>
        <w:rPr>
          <w:rFonts w:ascii="Arial" w:hAnsi="Arial" w:cs="Arial"/>
        </w:rPr>
        <w:t>Alamar</w:t>
      </w:r>
      <w:proofErr w:type="spellEnd"/>
      <w:r>
        <w:rPr>
          <w:rFonts w:ascii="Arial" w:hAnsi="Arial" w:cs="Arial"/>
        </w:rPr>
        <w:t xml:space="preserve"> Blue assay was used to assess cell viability. Cells that were not incubated with conjugate were used as control. The results are shown in </w:t>
      </w:r>
      <w:r w:rsidRPr="00291851">
        <w:rPr>
          <w:rFonts w:ascii="Arial" w:hAnsi="Arial" w:cs="Arial"/>
          <w:b/>
          <w:bCs/>
        </w:rPr>
        <w:t xml:space="preserve">Figure </w:t>
      </w:r>
      <w:r w:rsidR="00291851" w:rsidRPr="00291851">
        <w:rPr>
          <w:rFonts w:ascii="Arial" w:hAnsi="Arial" w:cs="Arial"/>
          <w:b/>
          <w:bCs/>
        </w:rPr>
        <w:t>59</w:t>
      </w:r>
      <w:r>
        <w:rPr>
          <w:rFonts w:ascii="Arial" w:hAnsi="Arial" w:cs="Arial"/>
        </w:rPr>
        <w:t>.</w:t>
      </w:r>
    </w:p>
    <w:p w14:paraId="51F9A43A" w14:textId="77777777" w:rsidR="00BF1BF0" w:rsidRDefault="00BF1BF0" w:rsidP="00BF1BF0">
      <w:pPr>
        <w:spacing w:line="360" w:lineRule="auto"/>
        <w:ind w:firstLine="1440"/>
        <w:jc w:val="both"/>
        <w:rPr>
          <w:rFonts w:ascii="Arial" w:hAnsi="Arial" w:cs="Arial"/>
        </w:rPr>
      </w:pPr>
    </w:p>
    <w:tbl>
      <w:tblPr>
        <w:tblStyle w:val="TableGrid"/>
        <w:tblW w:w="0" w:type="auto"/>
        <w:tblLook w:val="04A0" w:firstRow="1" w:lastRow="0" w:firstColumn="1" w:lastColumn="0" w:noHBand="0" w:noVBand="1"/>
      </w:tblPr>
      <w:tblGrid>
        <w:gridCol w:w="9350"/>
      </w:tblGrid>
      <w:tr w:rsidR="00BF1BF0" w14:paraId="014F3EAB" w14:textId="77777777" w:rsidTr="00BF1BF0">
        <w:tc>
          <w:tcPr>
            <w:tcW w:w="9350" w:type="dxa"/>
          </w:tcPr>
          <w:p w14:paraId="771BD1DF" w14:textId="329A48F8" w:rsidR="00BF1BF0" w:rsidRDefault="00BF1BF0" w:rsidP="000D71A7">
            <w:pPr>
              <w:spacing w:beforeAutospacing="0" w:line="360" w:lineRule="auto"/>
              <w:ind w:firstLine="0"/>
              <w:rPr>
                <w:rFonts w:ascii="Arial" w:hAnsi="Arial" w:cs="Arial"/>
              </w:rPr>
            </w:pPr>
            <w:r w:rsidRPr="00BF1BF0">
              <w:rPr>
                <w:rFonts w:ascii="Arial" w:hAnsi="Arial" w:cs="Arial"/>
                <w:noProof/>
              </w:rPr>
              <w:drawing>
                <wp:inline distT="0" distB="0" distL="0" distR="0" wp14:anchorId="63EE1D65" wp14:editId="181E24F9">
                  <wp:extent cx="5817675" cy="2503714"/>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l="3516" b="2933"/>
                          <a:stretch/>
                        </pic:blipFill>
                        <pic:spPr bwMode="auto">
                          <a:xfrm>
                            <a:off x="0" y="0"/>
                            <a:ext cx="5839555" cy="2513130"/>
                          </a:xfrm>
                          <a:prstGeom prst="rect">
                            <a:avLst/>
                          </a:prstGeom>
                          <a:ln>
                            <a:noFill/>
                          </a:ln>
                          <a:extLst>
                            <a:ext uri="{53640926-AAD7-44D8-BBD7-CCE9431645EC}">
                              <a14:shadowObscured xmlns:a14="http://schemas.microsoft.com/office/drawing/2010/main"/>
                            </a:ext>
                          </a:extLst>
                        </pic:spPr>
                      </pic:pic>
                    </a:graphicData>
                  </a:graphic>
                </wp:inline>
              </w:drawing>
            </w:r>
          </w:p>
        </w:tc>
      </w:tr>
      <w:tr w:rsidR="00BF1BF0" w14:paraId="71851E15" w14:textId="77777777" w:rsidTr="00BF1BF0">
        <w:tc>
          <w:tcPr>
            <w:tcW w:w="9350" w:type="dxa"/>
          </w:tcPr>
          <w:p w14:paraId="5823D3E7" w14:textId="0993313D" w:rsidR="00277373" w:rsidRPr="00277373" w:rsidRDefault="00471BFF" w:rsidP="00316AD1">
            <w:pPr>
              <w:spacing w:line="360" w:lineRule="auto"/>
              <w:ind w:firstLine="0"/>
              <w:rPr>
                <w:rFonts w:ascii="Arial" w:hAnsi="Arial" w:cs="Arial"/>
                <w:color w:val="000000" w:themeColor="text1"/>
              </w:rPr>
            </w:pPr>
            <w:bookmarkStart w:id="167" w:name="_Toc121217381"/>
            <w:r w:rsidRPr="00471BFF">
              <w:rPr>
                <w:rFonts w:ascii="Arial" w:hAnsi="Arial" w:cs="Arial"/>
                <w:b/>
                <w:bCs/>
              </w:rPr>
              <w:t xml:space="preserve">Figure </w:t>
            </w:r>
            <w:r w:rsidRPr="00471BFF">
              <w:rPr>
                <w:rFonts w:ascii="Arial" w:hAnsi="Arial" w:cs="Arial"/>
                <w:b/>
                <w:bCs/>
              </w:rPr>
              <w:fldChar w:fldCharType="begin"/>
            </w:r>
            <w:r w:rsidRPr="00471BFF">
              <w:rPr>
                <w:rFonts w:ascii="Arial" w:hAnsi="Arial" w:cs="Arial"/>
                <w:b/>
                <w:bCs/>
              </w:rPr>
              <w:instrText xml:space="preserve"> SEQ Figure \* ARABIC </w:instrText>
            </w:r>
            <w:r w:rsidRPr="00471BFF">
              <w:rPr>
                <w:rFonts w:ascii="Arial" w:hAnsi="Arial" w:cs="Arial"/>
                <w:b/>
                <w:bCs/>
              </w:rPr>
              <w:fldChar w:fldCharType="separate"/>
            </w:r>
            <w:r w:rsidR="002C4B25">
              <w:rPr>
                <w:rFonts w:ascii="Arial" w:hAnsi="Arial" w:cs="Arial"/>
                <w:b/>
                <w:bCs/>
                <w:noProof/>
              </w:rPr>
              <w:t>59</w:t>
            </w:r>
            <w:r w:rsidRPr="00471BFF">
              <w:rPr>
                <w:rFonts w:ascii="Arial" w:hAnsi="Arial" w:cs="Arial"/>
                <w:b/>
                <w:bCs/>
              </w:rPr>
              <w:fldChar w:fldCharType="end"/>
            </w:r>
            <w:r w:rsidR="00316AD1" w:rsidRPr="00277373">
              <w:rPr>
                <w:rFonts w:ascii="Arial" w:hAnsi="Arial" w:cs="Arial"/>
                <w:b/>
                <w:bCs/>
              </w:rPr>
              <w:t>: EMT6 cells in Petri dishes treated with 13.56 MHz RF field at 600 W</w:t>
            </w:r>
            <w:r w:rsidR="00316AD1">
              <w:rPr>
                <w:rFonts w:ascii="Arial" w:hAnsi="Arial" w:cs="Arial"/>
              </w:rPr>
              <w:t>. EMT6 cells were seeded at 3 </w:t>
            </w:r>
            <w:r w:rsidR="00316AD1">
              <w:rPr>
                <w:rFonts w:ascii="Arial" w:hAnsi="Arial" w:cs="Arial"/>
              </w:rPr>
              <w:sym w:font="Symbol" w:char="F0B4"/>
            </w:r>
            <w:r w:rsidR="00316AD1">
              <w:rPr>
                <w:rFonts w:ascii="Arial" w:hAnsi="Arial" w:cs="Arial"/>
              </w:rPr>
              <w:t> 10</w:t>
            </w:r>
            <w:r w:rsidR="00316AD1">
              <w:rPr>
                <w:rFonts w:ascii="Arial" w:hAnsi="Arial" w:cs="Arial"/>
                <w:vertAlign w:val="superscript"/>
              </w:rPr>
              <w:t>5</w:t>
            </w:r>
            <w:r w:rsidR="00316AD1">
              <w:rPr>
                <w:rFonts w:ascii="Arial" w:hAnsi="Arial" w:cs="Arial"/>
              </w:rPr>
              <w:t xml:space="preserve"> in Petri dishes. Twenty-four hours later, cells were incubated for 2 h with SWCNT-ANXA5 conjugate (6 mg/L). After washing, dishes were </w:t>
            </w:r>
            <w:r w:rsidR="00316AD1">
              <w:rPr>
                <w:rFonts w:ascii="Arial" w:hAnsi="Arial" w:cs="Arial"/>
              </w:rPr>
              <w:lastRenderedPageBreak/>
              <w:t xml:space="preserve">irradiated with 13.56 MHz RF at 600 W for different durations. </w:t>
            </w:r>
            <w:proofErr w:type="spellStart"/>
            <w:r w:rsidR="00316AD1">
              <w:rPr>
                <w:rFonts w:ascii="Arial" w:hAnsi="Arial" w:cs="Arial"/>
              </w:rPr>
              <w:t>Alamar</w:t>
            </w:r>
            <w:proofErr w:type="spellEnd"/>
            <w:r w:rsidR="00316AD1">
              <w:rPr>
                <w:rFonts w:ascii="Arial" w:hAnsi="Arial" w:cs="Arial"/>
              </w:rPr>
              <w:t xml:space="preserve"> Blue assay assessed the cell viability after treatment. Statistical </w:t>
            </w:r>
            <w:r w:rsidR="00EF4A3F">
              <w:rPr>
                <w:rFonts w:ascii="Arial" w:hAnsi="Arial" w:cs="Arial"/>
              </w:rPr>
              <w:t>a</w:t>
            </w:r>
            <w:r w:rsidR="00316AD1">
              <w:rPr>
                <w:rFonts w:ascii="Arial" w:hAnsi="Arial" w:cs="Arial"/>
              </w:rPr>
              <w:t xml:space="preserve">nalysis was performed with an </w:t>
            </w:r>
            <w:r w:rsidR="00316AD1" w:rsidRPr="0043760A">
              <w:rPr>
                <w:rFonts w:ascii="Arial" w:hAnsi="Arial" w:cs="Arial"/>
                <w:color w:val="000000" w:themeColor="text1"/>
              </w:rPr>
              <w:t xml:space="preserve">unpaired </w:t>
            </w:r>
            <w:r w:rsidR="00316AD1">
              <w:rPr>
                <w:rFonts w:ascii="Arial" w:hAnsi="Arial" w:cs="Arial"/>
                <w:color w:val="000000" w:themeColor="text1"/>
              </w:rPr>
              <w:t>t-test</w:t>
            </w:r>
            <w:r w:rsidR="00316AD1" w:rsidRPr="0043760A">
              <w:rPr>
                <w:rFonts w:ascii="Arial" w:hAnsi="Arial" w:cs="Arial"/>
                <w:color w:val="000000" w:themeColor="text1"/>
              </w:rPr>
              <w:t xml:space="preserve"> with Welch’s correction for assumed unequal variances (n = 3).</w:t>
            </w:r>
            <w:r w:rsidR="00316AD1">
              <w:rPr>
                <w:rFonts w:ascii="Arial" w:hAnsi="Arial" w:cs="Arial"/>
                <w:color w:val="000000" w:themeColor="text1"/>
              </w:rPr>
              <w:t xml:space="preserve"> No statistical significance was found between SWCNT-ANXA5 and </w:t>
            </w:r>
            <w:r w:rsidR="00E6562D">
              <w:rPr>
                <w:rFonts w:ascii="Arial" w:hAnsi="Arial" w:cs="Arial"/>
                <w:color w:val="000000" w:themeColor="text1"/>
              </w:rPr>
              <w:t>c</w:t>
            </w:r>
            <w:r w:rsidR="00316AD1">
              <w:rPr>
                <w:rFonts w:ascii="Arial" w:hAnsi="Arial" w:cs="Arial"/>
                <w:color w:val="000000" w:themeColor="text1"/>
              </w:rPr>
              <w:t>ontrol groups at any irradiation time.</w:t>
            </w:r>
            <w:bookmarkEnd w:id="167"/>
          </w:p>
        </w:tc>
      </w:tr>
    </w:tbl>
    <w:p w14:paraId="5866880C" w14:textId="77777777" w:rsidR="00471BFF" w:rsidRPr="0059642F" w:rsidRDefault="00471BFF" w:rsidP="00BF1BF0">
      <w:pPr>
        <w:spacing w:line="360" w:lineRule="auto"/>
        <w:rPr>
          <w:rFonts w:ascii="Arial" w:hAnsi="Arial" w:cs="Arial"/>
        </w:rPr>
      </w:pPr>
    </w:p>
    <w:p w14:paraId="358075CE" w14:textId="708938F6" w:rsidR="000341C4" w:rsidRDefault="000341C4" w:rsidP="000341C4">
      <w:pPr>
        <w:spacing w:line="360" w:lineRule="auto"/>
        <w:ind w:firstLine="1440"/>
        <w:jc w:val="both"/>
        <w:rPr>
          <w:rFonts w:ascii="Arial" w:hAnsi="Arial" w:cs="Arial"/>
          <w:color w:val="000000" w:themeColor="text1"/>
        </w:rPr>
      </w:pPr>
      <w:r w:rsidRPr="00E6562D">
        <w:rPr>
          <w:rFonts w:ascii="Arial" w:hAnsi="Arial" w:cs="Arial"/>
          <w:b/>
          <w:bCs/>
          <w:color w:val="000000" w:themeColor="text1"/>
        </w:rPr>
        <w:t>Figure</w:t>
      </w:r>
      <w:r w:rsidR="00291851" w:rsidRPr="00E6562D">
        <w:rPr>
          <w:rFonts w:ascii="Arial" w:hAnsi="Arial" w:cs="Arial"/>
          <w:b/>
          <w:bCs/>
          <w:color w:val="000000" w:themeColor="text1"/>
        </w:rPr>
        <w:t xml:space="preserve"> 5</w:t>
      </w:r>
      <w:r w:rsidR="00291851" w:rsidRPr="00291851">
        <w:rPr>
          <w:rFonts w:ascii="Arial" w:hAnsi="Arial" w:cs="Arial"/>
          <w:b/>
          <w:bCs/>
          <w:color w:val="000000" w:themeColor="text1"/>
        </w:rPr>
        <w:t>9</w:t>
      </w:r>
      <w:r>
        <w:rPr>
          <w:rFonts w:ascii="Arial" w:hAnsi="Arial" w:cs="Arial"/>
          <w:color w:val="000000" w:themeColor="text1"/>
        </w:rPr>
        <w:t xml:space="preserve"> shows that the RF irradiation of cells in Petri dishes did not induce a significant decrease in viability, neither for the cells incubated with SWCNT-ANXA5 nor for the ones in the control group. Even though the irradiation of SWCNT suspensions and SWCNT-ANXA5 have shown impressive results in terms of heating rate in the RF field, those results were not translated into a cytotoxic effect on cells in Petri dishes. We believe that similarly to the impact of geometry observed in this work for the irradiation of SWCNT suspensions (</w:t>
      </w:r>
      <w:r w:rsidRPr="00025BAA">
        <w:rPr>
          <w:rFonts w:ascii="Arial" w:hAnsi="Arial" w:cs="Arial"/>
          <w:b/>
          <w:bCs/>
          <w:color w:val="000000" w:themeColor="text1"/>
        </w:rPr>
        <w:t xml:space="preserve">Figure </w:t>
      </w:r>
      <w:r w:rsidR="00025BAA" w:rsidRPr="00025BAA">
        <w:rPr>
          <w:rFonts w:ascii="Arial" w:hAnsi="Arial" w:cs="Arial"/>
          <w:b/>
          <w:bCs/>
          <w:color w:val="000000" w:themeColor="text1"/>
        </w:rPr>
        <w:t>54</w:t>
      </w:r>
      <w:r>
        <w:rPr>
          <w:rFonts w:ascii="Arial" w:hAnsi="Arial" w:cs="Arial"/>
          <w:color w:val="000000" w:themeColor="text1"/>
        </w:rPr>
        <w:t xml:space="preserve"> and </w:t>
      </w:r>
      <w:r w:rsidR="00025BAA" w:rsidRPr="00025BAA">
        <w:rPr>
          <w:rFonts w:ascii="Arial" w:hAnsi="Arial" w:cs="Arial"/>
          <w:b/>
          <w:bCs/>
          <w:color w:val="000000" w:themeColor="text1"/>
        </w:rPr>
        <w:t>Figure 55</w:t>
      </w:r>
      <w:r>
        <w:rPr>
          <w:rFonts w:ascii="Arial" w:hAnsi="Arial" w:cs="Arial"/>
          <w:color w:val="000000" w:themeColor="text1"/>
        </w:rPr>
        <w:t xml:space="preserve">), the positioning of the RF field perpendicularly to the monolayer of cells induces a minimal effect on the system. Those results can also be correlated to the evidence shown in Li </w:t>
      </w:r>
      <w:r>
        <w:rPr>
          <w:rFonts w:ascii="Arial" w:hAnsi="Arial" w:cs="Arial"/>
          <w:i/>
          <w:iCs/>
          <w:color w:val="000000" w:themeColor="text1"/>
        </w:rPr>
        <w:t>et al.</w:t>
      </w:r>
      <w:r>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{"citationID":"ThQ4JgUM","properties":{"formattedCitation":"\\super 286\\nosupersub{}","plainCitation":"286","noteIndex":0},"citationItems":[{"id":195,"uris":["http://zotero.org/users/7661987/items/3E7SIZYH"],"itemData":{"id":195,"type":"article-journal","abstract":"Electromagnetic absorption and subsequent heating of nanoparticle solutions and simple NaCl ionic solutions is examined for biomedical applications in the radiofrequency range at 13.56 MHz. It is shown via both theory and experiment that for in vitro measurements the shape of the solution container plays a major role in absorption and heating.","container-title":"IEEE Transactions on Biomedical Engineering","DOI":"10.1109/TBME.2012.2219049","ISSN":"0018-9294, 1558-2531","issue":"12","journalAbbreviation":"IEEE Trans. Biomed. Eng.","language":"en","page":"3468-3474","source":"DOI.org (Crossref)","title":"The Effect of Sample Holder Geometry on Electromagnetic Heating of Nanoparticle and NaCl Solutions at 13.56 MHz","volume":"59","author":[{"family":"Li","given":"Dongxiao"},{"family":"Jung","given":"Yun Suk"},{"family":"Kim","given":"Hong Koo"},{"family":"Chen","given":"Junda"},{"family":"Geller","given":"David A."},{"family":"Shuba","given":"Mikhail V."},{"family":"Maksimenko","given":"Sergey A."},{"family":"Patch","given":"Sarah"},{"family":"Forati","given":"Ebrahim"},{"family":"Hanson","given":"George W."}],"issued":{"date-parts":[["2012",12]]}}}],"schema":"https://github.com/citation-style-language/schema/raw/master/csl-citation.json"} </w:instrText>
      </w:r>
      <w:r>
        <w:rPr>
          <w:rFonts w:ascii="Arial" w:hAnsi="Arial" w:cs="Arial"/>
          <w:color w:val="000000" w:themeColor="text1"/>
        </w:rPr>
        <w:fldChar w:fldCharType="separate"/>
      </w:r>
      <w:r w:rsidR="000F4F53" w:rsidRPr="000F4F53">
        <w:rPr>
          <w:rFonts w:ascii="Arial" w:hAnsi="Arial" w:cs="Arial"/>
          <w:color w:val="000000"/>
          <w:vertAlign w:val="superscript"/>
        </w:rPr>
        <w:t>286</w:t>
      </w:r>
      <w:r>
        <w:rPr>
          <w:rFonts w:ascii="Arial" w:hAnsi="Arial" w:cs="Arial"/>
          <w:color w:val="000000" w:themeColor="text1"/>
        </w:rPr>
        <w:fldChar w:fldCharType="end"/>
      </w:r>
      <w:r>
        <w:rPr>
          <w:rFonts w:ascii="Arial" w:hAnsi="Arial" w:cs="Arial"/>
          <w:color w:val="000000" w:themeColor="text1"/>
        </w:rPr>
        <w:t>, in which a dish with a shape similar to the Petri dish holding saline solution had a non-detectable heating rate in a vertical field of 13.56 MHz RF irradiation. In contrast, a vertical tube containing the same amount of saline had a substantial temperature rise in the same field. Therefore, we believe that the monolayer of cells should be aligned to the RF</w:t>
      </w:r>
      <w:r w:rsidRPr="006E33FD">
        <w:rPr>
          <w:rFonts w:ascii="Arial" w:hAnsi="Arial" w:cs="Arial"/>
          <w:color w:val="000000" w:themeColor="text1"/>
        </w:rPr>
        <w:t xml:space="preserve"> </w:t>
      </w:r>
      <w:r>
        <w:rPr>
          <w:rFonts w:ascii="Arial" w:hAnsi="Arial" w:cs="Arial"/>
          <w:color w:val="000000" w:themeColor="text1"/>
        </w:rPr>
        <w:t xml:space="preserve">to induce a cytotoxic effect. The </w:t>
      </w:r>
      <w:proofErr w:type="spellStart"/>
      <w:r>
        <w:rPr>
          <w:rFonts w:ascii="Arial" w:hAnsi="Arial" w:cs="Arial"/>
          <w:color w:val="000000" w:themeColor="text1"/>
        </w:rPr>
        <w:t>Comdel</w:t>
      </w:r>
      <w:proofErr w:type="spellEnd"/>
      <w:r>
        <w:rPr>
          <w:rFonts w:ascii="Arial" w:hAnsi="Arial" w:cs="Arial"/>
          <w:color w:val="000000" w:themeColor="text1"/>
        </w:rPr>
        <w:t xml:space="preserve"> device lacks the flexibility of rotating the position of the plates in between which the field is generated. For this reason, we were precluded from testing that hypothesis since the rotation of the Petri dishes to align to the field would induce cell media spill and compromise the sterility of the experiment. Indeed, when Gannon </w:t>
      </w:r>
      <w:r>
        <w:rPr>
          <w:rFonts w:ascii="Arial" w:hAnsi="Arial" w:cs="Arial"/>
          <w:i/>
          <w:iCs/>
          <w:color w:val="000000" w:themeColor="text1"/>
        </w:rPr>
        <w:t>et al.</w:t>
      </w:r>
      <w:r>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{"citationID":"ajokpvepv3","properties":{"formattedCitation":"\\super 258\\nosupersub{}","plainCitation":"258","noteIndex":0},"citationItems":[{"id":329,"uris":["http://zotero.org/users/7661987/items/BATPHAHI"],"itemData":{"id":329,"type":"article-journal","abstract":"BACKGROUND. Single-walled carbon nanotubes (SWNTs) have remarkable physicochemical properties that may have several medical applications. The authors have discovered a novel property of SWNTs—heat release in a radiofrequency (RF) field—that they hypothesized may be used to produce thermal cytotoxicity in malignant cells.\nMETHODS. Functionalized, water-soluble SWNTs were exposed to a noninvasive, 13.56-megahertz RF field, and heating characteristics were measured with infrared thermography. Three human cancer cell lines were incubated with various concentrations of SWNTs and then treated in the RF field. Cytotoxicity was measured by fluorescence-activated cell sorting. Hepatic VX2 tumors in rabbits were injected with SWNTs or with control solutions and were treated in the RF field. Tumors were harvested 48 hours later to assess viability.\nRESULTS. The RF field induced efficient heating of aqueous suspensions of SWNTs. This phenomenon was used to produce a noninvasive, selective, and SWNT concentration-dependent thermal destruction in vitro of human cancer cells that contained internalized SWNTs. Direct intratumoral injection of SWNTs in vivo followed by immediate RF field treatment was tolerated well by rabbits bearing hepatic VX2 tumors. At 48 hours, all SWNT-treated tumors demonstrated complete necrosis, whereas control tumors that were treated with RF without SWNTs remained completely viable. Tumors that were injected with SWNTs but were not treated with RF also were viable.\nCONCLUSIONS. The current results suggested that SWNTs targeted to cancer cells may allow noninvasive RF field treatments to produce lethal thermal injury to the malignant cells. Now, the authors are developing SWNTs coupled with cancer celltargeting agents to enhance SWNT uptake by cancer cells while limiting uptake by normal cells. Cancer 2007;110:2654–65. Ó 2007 American Cancer Society.","container-title":"Cancer","DOI":"10.1002/cncr.23155","ISSN":"0008543X","issue":"12","journalAbbreviation":"Cancer","language":"en","page":"2654-2665","source":"DOI.org (Crossref)","title":"Carbon nanotube-enhanced thermal destruction of cancer cells in a noninvasive radiofrequency field: Nanotube Heating Kills Cancer Cells","title-short":"Carbon nanotube-enhanced thermal destruction of cancer cells in a noninvasive radiofrequency field","volume":"110","author":[{"family":"Gannon","given":"Christopher J."},{"family":"Cherukuri","given":"Paul"},{"family":"Yakobson","given":"Boris I."},{"family":"Cognet","given":"Laurent"},{"family":"Kanzius","given":"John S."},{"family":"Kittrell","given":"Carter"},{"family":"Weisman","given":"R. Bruce"},{"family":"Pasquali","given":"Matteo"},{"family":"Schmidt","given":"Howard K."},{"family":"Smalley","given":"Richard E."},{"family":"Curley","given":"Steven A."}],"issued":{"date-parts":[["2007",12,15]]}}}],"schema":"https://github.com/citation-style-language/schema/raw/master/csl-citation.json"} </w:instrText>
      </w:r>
      <w:r>
        <w:rPr>
          <w:rFonts w:ascii="Arial" w:hAnsi="Arial" w:cs="Arial"/>
          <w:color w:val="000000" w:themeColor="text1"/>
        </w:rPr>
        <w:fldChar w:fldCharType="separate"/>
      </w:r>
      <w:r w:rsidR="000F4F53" w:rsidRPr="000F4F53">
        <w:rPr>
          <w:rFonts w:ascii="Arial" w:hAnsi="Arial" w:cs="Arial"/>
          <w:color w:val="000000"/>
          <w:vertAlign w:val="superscript"/>
        </w:rPr>
        <w:t>258</w:t>
      </w:r>
      <w:r>
        <w:rPr>
          <w:rFonts w:ascii="Arial" w:hAnsi="Arial" w:cs="Arial"/>
          <w:color w:val="000000" w:themeColor="text1"/>
        </w:rPr>
        <w:fldChar w:fldCharType="end"/>
      </w:r>
      <w:r>
        <w:rPr>
          <w:rFonts w:ascii="Arial" w:hAnsi="Arial" w:cs="Arial"/>
          <w:color w:val="000000" w:themeColor="text1"/>
        </w:rPr>
        <w:t xml:space="preserve"> have shown evidence of cell death </w:t>
      </w:r>
      <w:r>
        <w:rPr>
          <w:rFonts w:ascii="Arial" w:hAnsi="Arial" w:cs="Arial"/>
          <w:i/>
          <w:iCs/>
          <w:color w:val="000000" w:themeColor="text1"/>
        </w:rPr>
        <w:t>in vitro</w:t>
      </w:r>
      <w:r>
        <w:rPr>
          <w:rFonts w:ascii="Arial" w:hAnsi="Arial" w:cs="Arial"/>
          <w:color w:val="000000" w:themeColor="text1"/>
        </w:rPr>
        <w:t xml:space="preserve"> with the 13.56 MHz irradiation cells pretreated with SWCNT, it is mentioned that the monolayer of cells is aligned to the RF field. In conclusion, design changes in the </w:t>
      </w:r>
      <w:proofErr w:type="spellStart"/>
      <w:r>
        <w:rPr>
          <w:rFonts w:ascii="Arial" w:hAnsi="Arial" w:cs="Arial"/>
          <w:color w:val="000000" w:themeColor="text1"/>
        </w:rPr>
        <w:t>Comdel</w:t>
      </w:r>
      <w:proofErr w:type="spellEnd"/>
      <w:r>
        <w:rPr>
          <w:rFonts w:ascii="Arial" w:hAnsi="Arial" w:cs="Arial"/>
          <w:color w:val="000000" w:themeColor="text1"/>
        </w:rPr>
        <w:t xml:space="preserve"> system to generate a horizontal field are necessary to test the </w:t>
      </w:r>
      <w:r>
        <w:rPr>
          <w:rFonts w:ascii="Arial" w:hAnsi="Arial" w:cs="Arial"/>
          <w:i/>
          <w:iCs/>
          <w:color w:val="000000" w:themeColor="text1"/>
        </w:rPr>
        <w:t xml:space="preserve">in vitro </w:t>
      </w:r>
      <w:r>
        <w:rPr>
          <w:rFonts w:ascii="Arial" w:hAnsi="Arial" w:cs="Arial"/>
          <w:color w:val="000000" w:themeColor="text1"/>
        </w:rPr>
        <w:t>cytotoxic effect of SWCNT-ANXA5-mediated RFA.</w:t>
      </w:r>
    </w:p>
    <w:p w14:paraId="4FDB88B2" w14:textId="523CC8F3" w:rsidR="002126D2" w:rsidRDefault="002126D2" w:rsidP="002126D2">
      <w:pPr>
        <w:spacing w:line="360" w:lineRule="auto"/>
        <w:ind w:firstLine="1440"/>
        <w:jc w:val="both"/>
        <w:rPr>
          <w:rFonts w:ascii="Arial" w:hAnsi="Arial" w:cs="Arial"/>
          <w:color w:val="000000" w:themeColor="text1"/>
        </w:rPr>
      </w:pPr>
      <w:r>
        <w:rPr>
          <w:rFonts w:ascii="Arial" w:hAnsi="Arial" w:cs="Arial"/>
          <w:color w:val="000000" w:themeColor="text1"/>
        </w:rPr>
        <w:t xml:space="preserve">Despite a lack of cytotoxic effect seen with </w:t>
      </w:r>
      <w:r>
        <w:rPr>
          <w:rFonts w:ascii="Arial" w:hAnsi="Arial" w:cs="Arial"/>
          <w:i/>
          <w:iCs/>
          <w:color w:val="000000" w:themeColor="text1"/>
        </w:rPr>
        <w:t>in vitro</w:t>
      </w:r>
      <w:r>
        <w:rPr>
          <w:rFonts w:ascii="Arial" w:hAnsi="Arial" w:cs="Arial"/>
          <w:color w:val="000000" w:themeColor="text1"/>
        </w:rPr>
        <w:t xml:space="preserve"> experiments, </w:t>
      </w:r>
      <w:r>
        <w:rPr>
          <w:rFonts w:ascii="Arial" w:hAnsi="Arial" w:cs="Arial"/>
          <w:i/>
          <w:iCs/>
          <w:color w:val="000000" w:themeColor="text1"/>
        </w:rPr>
        <w:t xml:space="preserve">in vivo </w:t>
      </w:r>
      <w:r>
        <w:rPr>
          <w:rFonts w:ascii="Arial" w:hAnsi="Arial" w:cs="Arial"/>
          <w:color w:val="000000" w:themeColor="text1"/>
        </w:rPr>
        <w:t xml:space="preserve">studies were performed to test the SWCNT-mediated </w:t>
      </w:r>
      <w:r w:rsidR="00D87B34">
        <w:rPr>
          <w:rFonts w:ascii="Arial" w:hAnsi="Arial" w:cs="Arial"/>
          <w:color w:val="000000" w:themeColor="text1"/>
        </w:rPr>
        <w:t>radiofrequency ablation (</w:t>
      </w:r>
      <w:r>
        <w:rPr>
          <w:rFonts w:ascii="Arial" w:hAnsi="Arial" w:cs="Arial"/>
          <w:color w:val="000000" w:themeColor="text1"/>
        </w:rPr>
        <w:t>RFA</w:t>
      </w:r>
      <w:r w:rsidR="00D87B34">
        <w:rPr>
          <w:rFonts w:ascii="Arial" w:hAnsi="Arial" w:cs="Arial"/>
          <w:color w:val="000000" w:themeColor="text1"/>
        </w:rPr>
        <w:t>)</w:t>
      </w:r>
      <w:r>
        <w:rPr>
          <w:rFonts w:ascii="Arial" w:hAnsi="Arial" w:cs="Arial"/>
          <w:color w:val="000000" w:themeColor="text1"/>
        </w:rPr>
        <w:t xml:space="preserve">. The reasoning behind that decision was that the inherent three-dimensional structure of a tumor in a mouse would offset the geometric limitations of the two-dimensional </w:t>
      </w:r>
      <w:r>
        <w:rPr>
          <w:rFonts w:ascii="Arial" w:hAnsi="Arial" w:cs="Arial"/>
          <w:color w:val="000000" w:themeColor="text1"/>
        </w:rPr>
        <w:lastRenderedPageBreak/>
        <w:t xml:space="preserve">arrangement of cells grown in Petri dishes. Thus, we first tested 13.56 MHz irradiation of euthanized mice. </w:t>
      </w:r>
      <w:r w:rsidRPr="00277373">
        <w:rPr>
          <w:rFonts w:ascii="Arial" w:hAnsi="Arial" w:cs="Arial"/>
          <w:color w:val="000000" w:themeColor="text1"/>
        </w:rPr>
        <w:t xml:space="preserve">Euthanized mice were subjected to RF irradiation at 400 W. Surface temperature distribution was assessed with </w:t>
      </w:r>
      <w:r>
        <w:rPr>
          <w:rFonts w:ascii="Arial" w:hAnsi="Arial" w:cs="Arial"/>
          <w:color w:val="000000" w:themeColor="text1"/>
        </w:rPr>
        <w:t xml:space="preserve">a </w:t>
      </w:r>
      <w:r w:rsidRPr="00277373">
        <w:rPr>
          <w:rFonts w:ascii="Arial" w:hAnsi="Arial" w:cs="Arial"/>
          <w:color w:val="000000" w:themeColor="text1"/>
        </w:rPr>
        <w:t xml:space="preserve">thermal camera. The results are shown in </w:t>
      </w:r>
      <w:r w:rsidR="00291851" w:rsidRPr="00291851">
        <w:rPr>
          <w:rFonts w:ascii="Arial" w:hAnsi="Arial" w:cs="Arial"/>
          <w:b/>
          <w:bCs/>
          <w:color w:val="000000" w:themeColor="text1"/>
        </w:rPr>
        <w:t>F</w:t>
      </w:r>
      <w:r w:rsidRPr="00291851">
        <w:rPr>
          <w:rFonts w:ascii="Arial" w:hAnsi="Arial" w:cs="Arial"/>
          <w:b/>
          <w:bCs/>
          <w:color w:val="000000" w:themeColor="text1"/>
        </w:rPr>
        <w:t xml:space="preserve">igure </w:t>
      </w:r>
      <w:r w:rsidR="00291851" w:rsidRPr="00291851">
        <w:rPr>
          <w:rFonts w:ascii="Arial" w:hAnsi="Arial" w:cs="Arial"/>
          <w:b/>
          <w:bCs/>
          <w:color w:val="000000" w:themeColor="text1"/>
        </w:rPr>
        <w:t>60</w:t>
      </w:r>
      <w:r w:rsidRPr="00277373">
        <w:rPr>
          <w:rFonts w:ascii="Arial" w:hAnsi="Arial" w:cs="Arial"/>
          <w:color w:val="000000" w:themeColor="text1"/>
        </w:rPr>
        <w:t>.</w:t>
      </w:r>
    </w:p>
    <w:p w14:paraId="75543F0A" w14:textId="77777777" w:rsidR="002126D2" w:rsidRDefault="002126D2" w:rsidP="002126D2">
      <w:pPr>
        <w:spacing w:line="360" w:lineRule="auto"/>
        <w:ind w:firstLine="1440"/>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A611CE" w14:paraId="6A1FBFE7" w14:textId="77777777" w:rsidTr="00A611CE">
        <w:tc>
          <w:tcPr>
            <w:tcW w:w="9350" w:type="dxa"/>
          </w:tcPr>
          <w:p w14:paraId="455F0A6D" w14:textId="1FC9EF52" w:rsidR="00A611CE" w:rsidRDefault="00A611CE" w:rsidP="000D71A7">
            <w:pPr>
              <w:spacing w:beforeAutospacing="0" w:line="360" w:lineRule="auto"/>
              <w:ind w:firstLine="0"/>
              <w:rPr>
                <w:rFonts w:ascii="Arial" w:hAnsi="Arial" w:cs="Arial"/>
                <w:color w:val="000000" w:themeColor="text1"/>
              </w:rPr>
            </w:pPr>
            <w:r w:rsidRPr="00D74025">
              <w:rPr>
                <w:rFonts w:ascii="Arial" w:hAnsi="Arial" w:cs="Arial"/>
                <w:noProof/>
                <w:color w:val="000000" w:themeColor="text1"/>
                <w:sz w:val="20"/>
                <w:szCs w:val="20"/>
              </w:rPr>
              <w:drawing>
                <wp:inline distT="0" distB="0" distL="0" distR="0" wp14:anchorId="20EEF0F0" wp14:editId="7C430104">
                  <wp:extent cx="5825067" cy="2210538"/>
                  <wp:effectExtent l="0" t="0" r="4445" b="0"/>
                  <wp:docPr id="237" name="Picture 23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Graphical user interface&#10;&#10;Description automatically generated"/>
                          <pic:cNvPicPr/>
                        </pic:nvPicPr>
                        <pic:blipFill>
                          <a:blip r:embed="rId80"/>
                          <a:stretch>
                            <a:fillRect/>
                          </a:stretch>
                        </pic:blipFill>
                        <pic:spPr>
                          <a:xfrm>
                            <a:off x="0" y="0"/>
                            <a:ext cx="5833134" cy="2213599"/>
                          </a:xfrm>
                          <a:prstGeom prst="rect">
                            <a:avLst/>
                          </a:prstGeom>
                        </pic:spPr>
                      </pic:pic>
                    </a:graphicData>
                  </a:graphic>
                </wp:inline>
              </w:drawing>
            </w:r>
          </w:p>
        </w:tc>
      </w:tr>
      <w:tr w:rsidR="00A611CE" w14:paraId="4CA2E365" w14:textId="77777777" w:rsidTr="00A611CE">
        <w:tc>
          <w:tcPr>
            <w:tcW w:w="9350" w:type="dxa"/>
          </w:tcPr>
          <w:p w14:paraId="5F11E59F" w14:textId="28E456BF" w:rsidR="00A611CE" w:rsidRPr="00A611CE" w:rsidRDefault="00471BFF" w:rsidP="00A611CE">
            <w:pPr>
              <w:spacing w:line="360" w:lineRule="auto"/>
              <w:ind w:firstLine="0"/>
              <w:contextualSpacing/>
              <w:rPr>
                <w:rFonts w:ascii="Arial" w:hAnsi="Arial" w:cs="Arial"/>
                <w:color w:val="000000" w:themeColor="text1"/>
              </w:rPr>
            </w:pPr>
            <w:bookmarkStart w:id="168" w:name="_Toc121217382"/>
            <w:r w:rsidRPr="00471BFF">
              <w:rPr>
                <w:rFonts w:ascii="Arial" w:hAnsi="Arial" w:cs="Arial"/>
                <w:b/>
                <w:bCs/>
                <w:color w:val="000000" w:themeColor="text1"/>
              </w:rPr>
              <w:t xml:space="preserve">Figure </w:t>
            </w:r>
            <w:r w:rsidRPr="00471BFF">
              <w:rPr>
                <w:rFonts w:ascii="Arial" w:hAnsi="Arial" w:cs="Arial"/>
                <w:b/>
                <w:bCs/>
                <w:color w:val="000000" w:themeColor="text1"/>
              </w:rPr>
              <w:fldChar w:fldCharType="begin"/>
            </w:r>
            <w:r w:rsidRPr="00471BFF">
              <w:rPr>
                <w:rFonts w:ascii="Arial" w:hAnsi="Arial" w:cs="Arial"/>
                <w:b/>
                <w:bCs/>
                <w:color w:val="000000" w:themeColor="text1"/>
              </w:rPr>
              <w:instrText xml:space="preserve"> SEQ Figure \* ARABIC </w:instrText>
            </w:r>
            <w:r w:rsidRPr="00471BFF">
              <w:rPr>
                <w:rFonts w:ascii="Arial" w:hAnsi="Arial" w:cs="Arial"/>
                <w:b/>
                <w:bCs/>
                <w:color w:val="000000" w:themeColor="text1"/>
              </w:rPr>
              <w:fldChar w:fldCharType="separate"/>
            </w:r>
            <w:r w:rsidR="002C4B25">
              <w:rPr>
                <w:rFonts w:ascii="Arial" w:hAnsi="Arial" w:cs="Arial"/>
                <w:b/>
                <w:bCs/>
                <w:noProof/>
                <w:color w:val="000000" w:themeColor="text1"/>
              </w:rPr>
              <w:t>60</w:t>
            </w:r>
            <w:r w:rsidRPr="00471BFF">
              <w:rPr>
                <w:rFonts w:ascii="Arial" w:hAnsi="Arial" w:cs="Arial"/>
                <w:b/>
                <w:bCs/>
                <w:color w:val="000000" w:themeColor="text1"/>
              </w:rPr>
              <w:fldChar w:fldCharType="end"/>
            </w:r>
            <w:r w:rsidR="00E03290" w:rsidRPr="00A611CE">
              <w:rPr>
                <w:rFonts w:ascii="Arial" w:hAnsi="Arial" w:cs="Arial"/>
                <w:b/>
                <w:bCs/>
                <w:color w:val="000000" w:themeColor="text1"/>
              </w:rPr>
              <w:t>: RF irradiation of euthanized mice at 400 W</w:t>
            </w:r>
            <w:r w:rsidR="00E03290" w:rsidRPr="00A611CE">
              <w:rPr>
                <w:rFonts w:ascii="Arial" w:hAnsi="Arial" w:cs="Arial"/>
                <w:color w:val="000000" w:themeColor="text1"/>
              </w:rPr>
              <w:t>. Left panel: temperature distribution before irradiation; Right panel: temperature distribution after irradiation. Very high heating is observed in point</w:t>
            </w:r>
            <w:r w:rsidR="00D87B34">
              <w:rPr>
                <w:rFonts w:ascii="Arial" w:hAnsi="Arial" w:cs="Arial"/>
                <w:color w:val="000000" w:themeColor="text1"/>
              </w:rPr>
              <w:t>ed</w:t>
            </w:r>
            <w:r w:rsidR="00E03290" w:rsidRPr="00A611CE">
              <w:rPr>
                <w:rFonts w:ascii="Arial" w:hAnsi="Arial" w:cs="Arial"/>
                <w:color w:val="000000" w:themeColor="text1"/>
              </w:rPr>
              <w:t xml:space="preserve"> parts of the mouse, especially </w:t>
            </w:r>
            <w:r w:rsidR="00E03290">
              <w:rPr>
                <w:rFonts w:ascii="Arial" w:hAnsi="Arial" w:cs="Arial"/>
                <w:color w:val="000000" w:themeColor="text1"/>
              </w:rPr>
              <w:t xml:space="preserve">the </w:t>
            </w:r>
            <w:r w:rsidR="00E03290" w:rsidRPr="00A611CE">
              <w:rPr>
                <w:rFonts w:ascii="Arial" w:hAnsi="Arial" w:cs="Arial"/>
                <w:color w:val="000000" w:themeColor="text1"/>
              </w:rPr>
              <w:t xml:space="preserve">tail and ears. </w:t>
            </w:r>
            <w:r w:rsidR="00E03290">
              <w:rPr>
                <w:rFonts w:ascii="Arial" w:hAnsi="Arial" w:cs="Arial"/>
                <w:color w:val="000000" w:themeColor="text1"/>
              </w:rPr>
              <w:t>The temperature</w:t>
            </w:r>
            <w:r w:rsidR="00E03290" w:rsidRPr="00A611CE">
              <w:rPr>
                <w:rFonts w:ascii="Arial" w:hAnsi="Arial" w:cs="Arial"/>
                <w:color w:val="000000" w:themeColor="text1"/>
              </w:rPr>
              <w:t xml:space="preserve"> in those areas reached around 95º C.</w:t>
            </w:r>
            <w:bookmarkEnd w:id="168"/>
          </w:p>
        </w:tc>
      </w:tr>
    </w:tbl>
    <w:p w14:paraId="20F41177" w14:textId="6BD9DB96" w:rsidR="00D50330" w:rsidRPr="00D74025" w:rsidRDefault="00D50330" w:rsidP="00D50330">
      <w:pPr>
        <w:contextualSpacing/>
        <w:rPr>
          <w:rFonts w:ascii="Arial" w:hAnsi="Arial" w:cs="Arial"/>
          <w:color w:val="000000" w:themeColor="text1"/>
          <w:sz w:val="20"/>
          <w:szCs w:val="20"/>
        </w:rPr>
      </w:pPr>
    </w:p>
    <w:p w14:paraId="4043E865" w14:textId="77777777" w:rsidR="00D50330" w:rsidRPr="00D74025" w:rsidRDefault="00D50330" w:rsidP="00D50330">
      <w:pPr>
        <w:contextualSpacing/>
        <w:rPr>
          <w:rFonts w:ascii="Times" w:hAnsi="Times" w:cs="Arial"/>
          <w:color w:val="000000" w:themeColor="text1"/>
          <w:sz w:val="20"/>
          <w:szCs w:val="20"/>
        </w:rPr>
      </w:pPr>
    </w:p>
    <w:p w14:paraId="08374775" w14:textId="77777777" w:rsidR="00D50330" w:rsidRPr="00D74025" w:rsidRDefault="00D50330" w:rsidP="00D50330">
      <w:pPr>
        <w:contextualSpacing/>
        <w:rPr>
          <w:rFonts w:ascii="Times" w:hAnsi="Times" w:cs="Arial"/>
          <w:color w:val="000000" w:themeColor="text1"/>
          <w:sz w:val="20"/>
          <w:szCs w:val="20"/>
        </w:rPr>
      </w:pPr>
    </w:p>
    <w:p w14:paraId="4DF1CB6E" w14:textId="2A02907E" w:rsidR="00A01AFF" w:rsidRDefault="00A01AFF" w:rsidP="00A01AFF">
      <w:pPr>
        <w:spacing w:line="360" w:lineRule="auto"/>
        <w:ind w:firstLine="1440"/>
        <w:contextualSpacing/>
        <w:jc w:val="both"/>
        <w:rPr>
          <w:rFonts w:ascii="Arial" w:hAnsi="Arial" w:cs="Arial"/>
          <w:color w:val="000000" w:themeColor="text1"/>
        </w:rPr>
      </w:pPr>
      <w:r w:rsidRPr="00A611CE">
        <w:rPr>
          <w:rFonts w:ascii="Arial" w:hAnsi="Arial" w:cs="Arial"/>
          <w:color w:val="000000" w:themeColor="text1"/>
        </w:rPr>
        <w:t xml:space="preserve">In </w:t>
      </w:r>
      <w:r w:rsidR="00291851" w:rsidRPr="00291851">
        <w:rPr>
          <w:rFonts w:ascii="Arial" w:hAnsi="Arial" w:cs="Arial"/>
          <w:b/>
          <w:bCs/>
          <w:color w:val="000000" w:themeColor="text1"/>
        </w:rPr>
        <w:t>F</w:t>
      </w:r>
      <w:r w:rsidRPr="00291851">
        <w:rPr>
          <w:rFonts w:ascii="Arial" w:hAnsi="Arial" w:cs="Arial"/>
          <w:b/>
          <w:bCs/>
          <w:color w:val="000000" w:themeColor="text1"/>
        </w:rPr>
        <w:t xml:space="preserve">igure </w:t>
      </w:r>
      <w:r w:rsidR="00291851" w:rsidRPr="00291851">
        <w:rPr>
          <w:rFonts w:ascii="Arial" w:hAnsi="Arial" w:cs="Arial"/>
          <w:b/>
          <w:bCs/>
          <w:color w:val="000000" w:themeColor="text1"/>
        </w:rPr>
        <w:t>60</w:t>
      </w:r>
      <w:r w:rsidRPr="00A611CE">
        <w:rPr>
          <w:rFonts w:ascii="Arial" w:hAnsi="Arial" w:cs="Arial"/>
          <w:color w:val="000000" w:themeColor="text1"/>
        </w:rPr>
        <w:t xml:space="preserve">, </w:t>
      </w:r>
      <w:r>
        <w:rPr>
          <w:rFonts w:ascii="Arial" w:hAnsi="Arial" w:cs="Arial"/>
          <w:color w:val="000000" w:themeColor="text1"/>
        </w:rPr>
        <w:t xml:space="preserve">the </w:t>
      </w:r>
      <w:r w:rsidRPr="00A611CE">
        <w:rPr>
          <w:rFonts w:ascii="Arial" w:hAnsi="Arial" w:cs="Arial"/>
          <w:color w:val="000000" w:themeColor="text1"/>
        </w:rPr>
        <w:t>point</w:t>
      </w:r>
      <w:r w:rsidR="00D87B34">
        <w:rPr>
          <w:rFonts w:ascii="Arial" w:hAnsi="Arial" w:cs="Arial"/>
          <w:color w:val="000000" w:themeColor="text1"/>
        </w:rPr>
        <w:t>ed</w:t>
      </w:r>
      <w:r w:rsidRPr="00A611CE">
        <w:rPr>
          <w:rFonts w:ascii="Arial" w:hAnsi="Arial" w:cs="Arial"/>
          <w:color w:val="000000" w:themeColor="text1"/>
        </w:rPr>
        <w:t xml:space="preserve"> parts of the mouse </w:t>
      </w:r>
      <w:r w:rsidR="004B1599">
        <w:rPr>
          <w:rFonts w:ascii="Arial" w:hAnsi="Arial" w:cs="Arial"/>
          <w:color w:val="000000" w:themeColor="text1"/>
        </w:rPr>
        <w:t>received</w:t>
      </w:r>
      <w:r w:rsidRPr="00A611CE">
        <w:rPr>
          <w:rFonts w:ascii="Arial" w:hAnsi="Arial" w:cs="Arial"/>
          <w:color w:val="000000" w:themeColor="text1"/>
        </w:rPr>
        <w:t xml:space="preserve"> exceedingly high heating. It</w:t>
      </w:r>
      <w:r w:rsidR="004B1599">
        <w:rPr>
          <w:rFonts w:ascii="Arial" w:hAnsi="Arial" w:cs="Arial"/>
          <w:color w:val="000000" w:themeColor="text1"/>
        </w:rPr>
        <w:t xml:space="preserve"> i</w:t>
      </w:r>
      <w:r w:rsidRPr="00A611CE">
        <w:rPr>
          <w:rFonts w:ascii="Arial" w:hAnsi="Arial" w:cs="Arial"/>
          <w:color w:val="000000" w:themeColor="text1"/>
        </w:rPr>
        <w:t xml:space="preserve">s important to point out that SWCNT </w:t>
      </w:r>
      <w:r>
        <w:rPr>
          <w:rFonts w:ascii="Arial" w:hAnsi="Arial" w:cs="Arial"/>
          <w:color w:val="000000" w:themeColor="text1"/>
        </w:rPr>
        <w:t>was</w:t>
      </w:r>
      <w:r w:rsidR="004B1599">
        <w:rPr>
          <w:rFonts w:ascii="Arial" w:hAnsi="Arial" w:cs="Arial"/>
          <w:color w:val="000000" w:themeColor="text1"/>
        </w:rPr>
        <w:t xml:space="preserve"> not</w:t>
      </w:r>
      <w:r w:rsidRPr="00A611CE">
        <w:rPr>
          <w:rFonts w:ascii="Arial" w:hAnsi="Arial" w:cs="Arial"/>
          <w:color w:val="000000" w:themeColor="text1"/>
        </w:rPr>
        <w:t xml:space="preserve"> used in this experiment. Th</w:t>
      </w:r>
      <w:r w:rsidR="004B1599">
        <w:rPr>
          <w:rFonts w:ascii="Arial" w:hAnsi="Arial" w:cs="Arial"/>
          <w:color w:val="000000" w:themeColor="text1"/>
        </w:rPr>
        <w:t>e</w:t>
      </w:r>
      <w:r w:rsidRPr="00A611CE">
        <w:rPr>
          <w:rFonts w:ascii="Arial" w:hAnsi="Arial" w:cs="Arial"/>
          <w:color w:val="000000" w:themeColor="text1"/>
        </w:rPr>
        <w:t xml:space="preserve">se results are </w:t>
      </w:r>
      <w:r>
        <w:rPr>
          <w:rFonts w:ascii="Arial" w:hAnsi="Arial" w:cs="Arial"/>
          <w:color w:val="000000" w:themeColor="text1"/>
        </w:rPr>
        <w:t>essential</w:t>
      </w:r>
      <w:r w:rsidRPr="00A611CE">
        <w:rPr>
          <w:rFonts w:ascii="Arial" w:hAnsi="Arial" w:cs="Arial"/>
          <w:color w:val="000000" w:themeColor="text1"/>
        </w:rPr>
        <w:t xml:space="preserve"> for </w:t>
      </w:r>
      <w:r w:rsidR="004B1599">
        <w:rPr>
          <w:rFonts w:ascii="Arial" w:hAnsi="Arial" w:cs="Arial"/>
          <w:color w:val="000000" w:themeColor="text1"/>
        </w:rPr>
        <w:t>understanding how</w:t>
      </w:r>
      <w:r w:rsidRPr="00A611CE">
        <w:rPr>
          <w:rFonts w:ascii="Arial" w:hAnsi="Arial" w:cs="Arial"/>
          <w:color w:val="000000" w:themeColor="text1"/>
        </w:rPr>
        <w:t xml:space="preserve"> </w:t>
      </w:r>
      <w:r>
        <w:rPr>
          <w:rFonts w:ascii="Arial" w:hAnsi="Arial" w:cs="Arial"/>
          <w:color w:val="000000" w:themeColor="text1"/>
        </w:rPr>
        <w:t xml:space="preserve">the </w:t>
      </w:r>
      <w:r w:rsidRPr="00A611CE">
        <w:rPr>
          <w:rFonts w:ascii="Arial" w:hAnsi="Arial" w:cs="Arial"/>
          <w:color w:val="000000" w:themeColor="text1"/>
        </w:rPr>
        <w:t>geometry of the objects subjected to the RF field influences the heating. It is hypothesized that the point</w:t>
      </w:r>
      <w:r w:rsidR="00463745">
        <w:rPr>
          <w:rFonts w:ascii="Arial" w:hAnsi="Arial" w:cs="Arial"/>
          <w:color w:val="000000" w:themeColor="text1"/>
        </w:rPr>
        <w:t>ed</w:t>
      </w:r>
      <w:r w:rsidRPr="00A611CE">
        <w:rPr>
          <w:rFonts w:ascii="Arial" w:hAnsi="Arial" w:cs="Arial"/>
          <w:color w:val="000000" w:themeColor="text1"/>
        </w:rPr>
        <w:t xml:space="preserve"> areas concentrate charge in the same manner that occurs in the princip</w:t>
      </w:r>
      <w:r w:rsidR="00463745">
        <w:rPr>
          <w:rFonts w:ascii="Arial" w:hAnsi="Arial" w:cs="Arial"/>
          <w:color w:val="000000" w:themeColor="text1"/>
        </w:rPr>
        <w:t>le</w:t>
      </w:r>
      <w:r w:rsidRPr="00A611CE">
        <w:rPr>
          <w:rFonts w:ascii="Arial" w:hAnsi="Arial" w:cs="Arial"/>
          <w:color w:val="000000" w:themeColor="text1"/>
        </w:rPr>
        <w:t xml:space="preserve"> related to the functionality of lightning rods. </w:t>
      </w:r>
      <w:r>
        <w:rPr>
          <w:rFonts w:ascii="Arial" w:hAnsi="Arial" w:cs="Arial"/>
          <w:color w:val="000000" w:themeColor="text1"/>
        </w:rPr>
        <w:t xml:space="preserve">Therefore, we </w:t>
      </w:r>
      <w:r w:rsidR="008470E1">
        <w:rPr>
          <w:rFonts w:ascii="Arial" w:hAnsi="Arial" w:cs="Arial"/>
          <w:color w:val="000000" w:themeColor="text1"/>
        </w:rPr>
        <w:t>conjectured</w:t>
      </w:r>
      <w:r>
        <w:rPr>
          <w:rFonts w:ascii="Arial" w:hAnsi="Arial" w:cs="Arial"/>
          <w:color w:val="000000" w:themeColor="text1"/>
        </w:rPr>
        <w:t xml:space="preserve"> that, by re</w:t>
      </w:r>
      <w:r w:rsidRPr="00A611CE">
        <w:rPr>
          <w:rFonts w:ascii="Arial" w:hAnsi="Arial" w:cs="Arial"/>
          <w:color w:val="000000" w:themeColor="text1"/>
        </w:rPr>
        <w:t xml:space="preserve">engineering the plates </w:t>
      </w:r>
      <w:r>
        <w:rPr>
          <w:rFonts w:ascii="Arial" w:hAnsi="Arial" w:cs="Arial"/>
          <w:color w:val="000000" w:themeColor="text1"/>
        </w:rPr>
        <w:t xml:space="preserve">to smaller dimensions, </w:t>
      </w:r>
      <w:r w:rsidRPr="00A611CE">
        <w:rPr>
          <w:rFonts w:ascii="Arial" w:hAnsi="Arial" w:cs="Arial"/>
          <w:color w:val="000000" w:themeColor="text1"/>
        </w:rPr>
        <w:t>the RF field</w:t>
      </w:r>
      <w:r>
        <w:rPr>
          <w:rFonts w:ascii="Arial" w:hAnsi="Arial" w:cs="Arial"/>
          <w:color w:val="000000" w:themeColor="text1"/>
        </w:rPr>
        <w:t xml:space="preserve"> would be concentrated</w:t>
      </w:r>
      <w:r w:rsidRPr="00A611CE">
        <w:rPr>
          <w:rFonts w:ascii="Arial" w:hAnsi="Arial" w:cs="Arial"/>
          <w:color w:val="000000" w:themeColor="text1"/>
        </w:rPr>
        <w:t xml:space="preserve"> </w:t>
      </w:r>
      <w:r>
        <w:rPr>
          <w:rFonts w:ascii="Arial" w:hAnsi="Arial" w:cs="Arial"/>
          <w:color w:val="000000" w:themeColor="text1"/>
        </w:rPr>
        <w:t>in the abdominal region of the mouse where the tumor is located. With that, irradiating</w:t>
      </w:r>
      <w:r w:rsidRPr="00A611CE">
        <w:rPr>
          <w:rFonts w:ascii="Arial" w:hAnsi="Arial" w:cs="Arial"/>
          <w:color w:val="000000" w:themeColor="text1"/>
        </w:rPr>
        <w:t xml:space="preserve"> the whole mouse body</w:t>
      </w:r>
      <w:r>
        <w:rPr>
          <w:rFonts w:ascii="Arial" w:hAnsi="Arial" w:cs="Arial"/>
          <w:color w:val="000000" w:themeColor="text1"/>
        </w:rPr>
        <w:t xml:space="preserve"> would be </w:t>
      </w:r>
      <w:r w:rsidRPr="00A611CE">
        <w:rPr>
          <w:rFonts w:ascii="Arial" w:hAnsi="Arial" w:cs="Arial"/>
          <w:color w:val="000000" w:themeColor="text1"/>
        </w:rPr>
        <w:t>avoid</w:t>
      </w:r>
      <w:r>
        <w:rPr>
          <w:rFonts w:ascii="Arial" w:hAnsi="Arial" w:cs="Arial"/>
          <w:color w:val="000000" w:themeColor="text1"/>
        </w:rPr>
        <w:t>ed</w:t>
      </w:r>
      <w:r w:rsidRPr="00A611CE">
        <w:rPr>
          <w:rFonts w:ascii="Arial" w:hAnsi="Arial" w:cs="Arial"/>
          <w:color w:val="000000" w:themeColor="text1"/>
        </w:rPr>
        <w:t xml:space="preserve"> prevent</w:t>
      </w:r>
      <w:r>
        <w:rPr>
          <w:rFonts w:ascii="Arial" w:hAnsi="Arial" w:cs="Arial"/>
          <w:color w:val="000000" w:themeColor="text1"/>
        </w:rPr>
        <w:t>ing</w:t>
      </w:r>
      <w:r w:rsidRPr="00A611CE">
        <w:rPr>
          <w:rFonts w:ascii="Arial" w:hAnsi="Arial" w:cs="Arial"/>
          <w:color w:val="000000" w:themeColor="text1"/>
        </w:rPr>
        <w:t xml:space="preserve"> the overheating of the point</w:t>
      </w:r>
      <w:r w:rsidR="005A2DAF">
        <w:rPr>
          <w:rFonts w:ascii="Arial" w:hAnsi="Arial" w:cs="Arial"/>
          <w:color w:val="000000" w:themeColor="text1"/>
        </w:rPr>
        <w:t>ed</w:t>
      </w:r>
      <w:r w:rsidRPr="00A611CE">
        <w:rPr>
          <w:rFonts w:ascii="Arial" w:hAnsi="Arial" w:cs="Arial"/>
          <w:color w:val="000000" w:themeColor="text1"/>
        </w:rPr>
        <w:t xml:space="preserve"> parts.</w:t>
      </w:r>
    </w:p>
    <w:p w14:paraId="37131B7A" w14:textId="314016D7" w:rsidR="00643D1C" w:rsidRDefault="00643D1C" w:rsidP="00643D1C">
      <w:pPr>
        <w:spacing w:line="360" w:lineRule="auto"/>
        <w:ind w:firstLine="1440"/>
        <w:contextualSpacing/>
        <w:jc w:val="both"/>
        <w:rPr>
          <w:rFonts w:ascii="Arial" w:hAnsi="Arial" w:cs="Arial"/>
          <w:color w:val="000000" w:themeColor="text1"/>
        </w:rPr>
      </w:pPr>
      <w:r>
        <w:rPr>
          <w:rFonts w:ascii="Arial" w:hAnsi="Arial" w:cs="Arial"/>
          <w:color w:val="000000" w:themeColor="text1"/>
        </w:rPr>
        <w:t xml:space="preserve">Accordingly, smaller plates were built by Dr. Fulton and connected to the </w:t>
      </w:r>
      <w:proofErr w:type="spellStart"/>
      <w:r>
        <w:rPr>
          <w:rFonts w:ascii="Arial" w:hAnsi="Arial" w:cs="Arial"/>
          <w:color w:val="000000" w:themeColor="text1"/>
        </w:rPr>
        <w:t>Comdel</w:t>
      </w:r>
      <w:proofErr w:type="spellEnd"/>
      <w:r>
        <w:rPr>
          <w:rFonts w:ascii="Arial" w:hAnsi="Arial" w:cs="Arial"/>
          <w:color w:val="000000" w:themeColor="text1"/>
        </w:rPr>
        <w:t xml:space="preserve"> system. The width of the new plates was reduced to </w:t>
      </w:r>
      <w:r w:rsidR="005A2DAF">
        <w:rPr>
          <w:rFonts w:ascii="Arial" w:hAnsi="Arial" w:cs="Arial"/>
          <w:color w:val="000000" w:themeColor="text1"/>
        </w:rPr>
        <w:t>2</w:t>
      </w:r>
      <w:r>
        <w:rPr>
          <w:rFonts w:ascii="Arial" w:hAnsi="Arial" w:cs="Arial"/>
          <w:color w:val="000000" w:themeColor="text1"/>
        </w:rPr>
        <w:t xml:space="preserve"> c</w:t>
      </w:r>
      <w:r w:rsidR="005A2DAF">
        <w:rPr>
          <w:rFonts w:ascii="Arial" w:hAnsi="Arial" w:cs="Arial"/>
          <w:color w:val="000000" w:themeColor="text1"/>
        </w:rPr>
        <w:t>m</w:t>
      </w:r>
      <w:r>
        <w:rPr>
          <w:rFonts w:ascii="Arial" w:hAnsi="Arial" w:cs="Arial"/>
          <w:color w:val="000000" w:themeColor="text1"/>
        </w:rPr>
        <w:t xml:space="preserve">. EMT6-tumor-bearing </w:t>
      </w:r>
      <w:r>
        <w:rPr>
          <w:rFonts w:ascii="Arial" w:hAnsi="Arial" w:cs="Arial"/>
          <w:color w:val="000000" w:themeColor="text1"/>
        </w:rPr>
        <w:lastRenderedPageBreak/>
        <w:t>mice (&gt;</w:t>
      </w:r>
      <w:r w:rsidR="005A2DAF">
        <w:rPr>
          <w:rFonts w:ascii="Arial" w:hAnsi="Arial" w:cs="Arial"/>
          <w:color w:val="000000" w:themeColor="text1"/>
        </w:rPr>
        <w:t xml:space="preserve"> </w:t>
      </w:r>
      <w:r>
        <w:rPr>
          <w:rFonts w:ascii="Arial" w:hAnsi="Arial" w:cs="Arial"/>
          <w:color w:val="000000" w:themeColor="text1"/>
        </w:rPr>
        <w:t xml:space="preserve">5 mm) were separated into SWCNT and no SWCNT, where the former was injected with SWCNT-ANXA5 </w:t>
      </w:r>
      <w:proofErr w:type="gramStart"/>
      <w:r>
        <w:rPr>
          <w:rFonts w:ascii="Arial" w:hAnsi="Arial" w:cs="Arial"/>
          <w:color w:val="000000" w:themeColor="text1"/>
        </w:rPr>
        <w:t>intratumorally</w:t>
      </w:r>
      <w:proofErr w:type="gramEnd"/>
      <w:r>
        <w:rPr>
          <w:rFonts w:ascii="Arial" w:hAnsi="Arial" w:cs="Arial"/>
          <w:color w:val="000000" w:themeColor="text1"/>
        </w:rPr>
        <w:t xml:space="preserve"> and the latter was not. The thermal images of the mice after irradiation are shown in </w:t>
      </w:r>
      <w:r w:rsidR="00E63AD7" w:rsidRPr="00E63AD7">
        <w:rPr>
          <w:rFonts w:ascii="Arial" w:hAnsi="Arial" w:cs="Arial"/>
          <w:b/>
          <w:bCs/>
          <w:color w:val="000000" w:themeColor="text1"/>
        </w:rPr>
        <w:t>F</w:t>
      </w:r>
      <w:r w:rsidRPr="00E63AD7">
        <w:rPr>
          <w:rFonts w:ascii="Arial" w:hAnsi="Arial" w:cs="Arial"/>
          <w:b/>
          <w:bCs/>
          <w:color w:val="000000" w:themeColor="text1"/>
        </w:rPr>
        <w:t xml:space="preserve">igure </w:t>
      </w:r>
      <w:r w:rsidR="00E63AD7" w:rsidRPr="00E63AD7">
        <w:rPr>
          <w:rFonts w:ascii="Arial" w:hAnsi="Arial" w:cs="Arial"/>
          <w:b/>
          <w:bCs/>
          <w:color w:val="000000" w:themeColor="text1"/>
        </w:rPr>
        <w:t>61</w:t>
      </w:r>
      <w:r>
        <w:rPr>
          <w:rFonts w:ascii="Arial" w:hAnsi="Arial" w:cs="Arial"/>
          <w:color w:val="000000" w:themeColor="text1"/>
        </w:rPr>
        <w:t>. Mice were immediately euthanized by CO</w:t>
      </w:r>
      <w:r w:rsidRPr="00FB3839">
        <w:rPr>
          <w:rFonts w:ascii="Arial" w:hAnsi="Arial" w:cs="Arial"/>
          <w:color w:val="000000" w:themeColor="text1"/>
          <w:vertAlign w:val="subscript"/>
        </w:rPr>
        <w:t>2</w:t>
      </w:r>
      <w:r>
        <w:rPr>
          <w:rFonts w:ascii="Arial" w:hAnsi="Arial" w:cs="Arial"/>
          <w:color w:val="000000" w:themeColor="text1"/>
        </w:rPr>
        <w:t xml:space="preserve"> asphyxiation after pictures were taken. Details of the setup are available in </w:t>
      </w:r>
      <w:r w:rsidR="00EA4E71">
        <w:rPr>
          <w:rFonts w:ascii="Arial" w:hAnsi="Arial" w:cs="Arial"/>
          <w:color w:val="000000" w:themeColor="text1"/>
        </w:rPr>
        <w:t>A</w:t>
      </w:r>
      <w:r>
        <w:rPr>
          <w:rFonts w:ascii="Arial" w:hAnsi="Arial" w:cs="Arial"/>
          <w:color w:val="000000" w:themeColor="text1"/>
        </w:rPr>
        <w:t>ppendix A</w:t>
      </w:r>
      <w:r w:rsidR="00EA4E71">
        <w:rPr>
          <w:rFonts w:ascii="Arial" w:hAnsi="Arial" w:cs="Arial"/>
          <w:color w:val="000000" w:themeColor="text1"/>
        </w:rPr>
        <w:t xml:space="preserve"> – </w:t>
      </w:r>
      <w:r w:rsidR="00EA4E71" w:rsidRPr="00EA4E71">
        <w:rPr>
          <w:rFonts w:ascii="Arial" w:hAnsi="Arial" w:cs="Arial"/>
          <w:b/>
          <w:bCs/>
          <w:color w:val="000000" w:themeColor="text1"/>
        </w:rPr>
        <w:t>Figure 81</w:t>
      </w:r>
      <w:r>
        <w:rPr>
          <w:rFonts w:ascii="Arial" w:hAnsi="Arial" w:cs="Arial"/>
          <w:color w:val="000000" w:themeColor="text1"/>
        </w:rPr>
        <w:t>.</w:t>
      </w:r>
    </w:p>
    <w:p w14:paraId="4B778C8A" w14:textId="77777777" w:rsidR="00291851" w:rsidRDefault="00291851" w:rsidP="00643D1C">
      <w:pPr>
        <w:spacing w:line="360" w:lineRule="auto"/>
        <w:ind w:firstLine="1440"/>
        <w:contextualSpacing/>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FB3839" w14:paraId="4EFF4594" w14:textId="77777777" w:rsidTr="00FB3839">
        <w:tc>
          <w:tcPr>
            <w:tcW w:w="9350" w:type="dxa"/>
          </w:tcPr>
          <w:p w14:paraId="2BA40923" w14:textId="7FFB0AF4" w:rsidR="00FB3839" w:rsidRDefault="00832CFD" w:rsidP="000D71A7">
            <w:pPr>
              <w:spacing w:beforeAutospacing="0" w:line="360" w:lineRule="auto"/>
              <w:ind w:firstLine="0"/>
              <w:jc w:val="center"/>
              <w:rPr>
                <w:rFonts w:ascii="Arial" w:hAnsi="Arial" w:cs="Arial"/>
                <w:color w:val="000000" w:themeColor="text1"/>
              </w:rPr>
            </w:pPr>
            <w:r w:rsidRPr="00832CFD">
              <w:rPr>
                <w:rFonts w:ascii="Arial" w:hAnsi="Arial" w:cs="Arial"/>
                <w:noProof/>
                <w:color w:val="000000" w:themeColor="text1"/>
              </w:rPr>
              <w:drawing>
                <wp:inline distT="0" distB="0" distL="0" distR="0" wp14:anchorId="5CE03889" wp14:editId="20E5D064">
                  <wp:extent cx="4381500" cy="643890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381500" cy="6438900"/>
                          </a:xfrm>
                          <a:prstGeom prst="rect">
                            <a:avLst/>
                          </a:prstGeom>
                        </pic:spPr>
                      </pic:pic>
                    </a:graphicData>
                  </a:graphic>
                </wp:inline>
              </w:drawing>
            </w:r>
          </w:p>
        </w:tc>
      </w:tr>
      <w:tr w:rsidR="00FB3839" w14:paraId="1F547A5B" w14:textId="77777777" w:rsidTr="00FB3839">
        <w:tc>
          <w:tcPr>
            <w:tcW w:w="9350" w:type="dxa"/>
          </w:tcPr>
          <w:p w14:paraId="321D0BA5" w14:textId="25537A0D" w:rsidR="00FB3839" w:rsidRDefault="00471BFF" w:rsidP="006E17BE">
            <w:pPr>
              <w:spacing w:before="0" w:beforeAutospacing="0" w:after="0" w:afterAutospacing="0" w:line="360" w:lineRule="auto"/>
              <w:ind w:firstLine="0"/>
              <w:contextualSpacing/>
              <w:rPr>
                <w:rFonts w:ascii="Arial" w:hAnsi="Arial" w:cs="Arial"/>
                <w:color w:val="000000" w:themeColor="text1"/>
              </w:rPr>
            </w:pPr>
            <w:bookmarkStart w:id="169" w:name="_Toc121217383"/>
            <w:r w:rsidRPr="00471BFF">
              <w:rPr>
                <w:rFonts w:ascii="Arial" w:hAnsi="Arial" w:cs="Arial"/>
                <w:b/>
                <w:bCs/>
                <w:color w:val="000000" w:themeColor="text1"/>
              </w:rPr>
              <w:lastRenderedPageBreak/>
              <w:t xml:space="preserve">Figure </w:t>
            </w:r>
            <w:r w:rsidRPr="00471BFF">
              <w:rPr>
                <w:rFonts w:ascii="Arial" w:hAnsi="Arial" w:cs="Arial"/>
                <w:b/>
                <w:bCs/>
                <w:color w:val="000000" w:themeColor="text1"/>
              </w:rPr>
              <w:fldChar w:fldCharType="begin"/>
            </w:r>
            <w:r w:rsidRPr="00471BFF">
              <w:rPr>
                <w:rFonts w:ascii="Arial" w:hAnsi="Arial" w:cs="Arial"/>
                <w:b/>
                <w:bCs/>
                <w:color w:val="000000" w:themeColor="text1"/>
              </w:rPr>
              <w:instrText xml:space="preserve"> SEQ Figure \* ARABIC </w:instrText>
            </w:r>
            <w:r w:rsidRPr="00471BFF">
              <w:rPr>
                <w:rFonts w:ascii="Arial" w:hAnsi="Arial" w:cs="Arial"/>
                <w:b/>
                <w:bCs/>
                <w:color w:val="000000" w:themeColor="text1"/>
              </w:rPr>
              <w:fldChar w:fldCharType="separate"/>
            </w:r>
            <w:r w:rsidR="002C4B25">
              <w:rPr>
                <w:rFonts w:ascii="Arial" w:hAnsi="Arial" w:cs="Arial"/>
                <w:b/>
                <w:bCs/>
                <w:noProof/>
                <w:color w:val="000000" w:themeColor="text1"/>
              </w:rPr>
              <w:t>61</w:t>
            </w:r>
            <w:r w:rsidRPr="00471BFF">
              <w:rPr>
                <w:rFonts w:ascii="Arial" w:hAnsi="Arial" w:cs="Arial"/>
                <w:b/>
                <w:bCs/>
                <w:color w:val="000000" w:themeColor="text1"/>
              </w:rPr>
              <w:fldChar w:fldCharType="end"/>
            </w:r>
            <w:r w:rsidR="006426D6" w:rsidRPr="00A91D63">
              <w:rPr>
                <w:rFonts w:ascii="Arial" w:hAnsi="Arial" w:cs="Arial"/>
                <w:b/>
                <w:bCs/>
                <w:color w:val="000000" w:themeColor="text1"/>
              </w:rPr>
              <w:t xml:space="preserve">: Irradiation of </w:t>
            </w:r>
            <w:r w:rsidR="006426D6">
              <w:rPr>
                <w:rFonts w:ascii="Arial" w:hAnsi="Arial" w:cs="Arial"/>
                <w:b/>
                <w:bCs/>
                <w:color w:val="000000" w:themeColor="text1"/>
              </w:rPr>
              <w:t>tumor-bearing</w:t>
            </w:r>
            <w:r w:rsidR="006426D6" w:rsidRPr="00A91D63">
              <w:rPr>
                <w:rFonts w:ascii="Arial" w:hAnsi="Arial" w:cs="Arial"/>
                <w:b/>
                <w:bCs/>
                <w:color w:val="000000" w:themeColor="text1"/>
              </w:rPr>
              <w:t xml:space="preserve"> mice with 13.56 MHz RF field in small plates</w:t>
            </w:r>
            <w:r w:rsidR="006426D6">
              <w:rPr>
                <w:rFonts w:ascii="Arial" w:hAnsi="Arial" w:cs="Arial"/>
                <w:color w:val="000000" w:themeColor="text1"/>
              </w:rPr>
              <w:t xml:space="preserve">. EMT6 tumor-bearing mice (&gt; 5 mm) were injected with SWCNT-ANXA5 (1.2 mg/mg) intratumorally and treated </w:t>
            </w:r>
            <w:r w:rsidR="006E17BE">
              <w:rPr>
                <w:rFonts w:ascii="Arial" w:hAnsi="Arial" w:cs="Arial"/>
                <w:color w:val="000000" w:themeColor="text1"/>
              </w:rPr>
              <w:t>with</w:t>
            </w:r>
            <w:r w:rsidR="006426D6">
              <w:rPr>
                <w:rFonts w:ascii="Arial" w:hAnsi="Arial" w:cs="Arial"/>
                <w:color w:val="000000" w:themeColor="text1"/>
              </w:rPr>
              <w:t xml:space="preserve"> </w:t>
            </w:r>
            <w:r w:rsidR="0083474D">
              <w:rPr>
                <w:rFonts w:ascii="Arial" w:hAnsi="Arial" w:cs="Arial"/>
                <w:color w:val="000000" w:themeColor="text1"/>
              </w:rPr>
              <w:t xml:space="preserve">a 13.56 MHz </w:t>
            </w:r>
            <w:r w:rsidR="006426D6">
              <w:rPr>
                <w:rFonts w:ascii="Arial" w:hAnsi="Arial" w:cs="Arial"/>
                <w:color w:val="000000" w:themeColor="text1"/>
              </w:rPr>
              <w:t xml:space="preserve">RF </w:t>
            </w:r>
            <w:r w:rsidR="0083474D">
              <w:rPr>
                <w:rFonts w:ascii="Arial" w:hAnsi="Arial" w:cs="Arial"/>
                <w:color w:val="000000" w:themeColor="text1"/>
              </w:rPr>
              <w:t xml:space="preserve">field </w:t>
            </w:r>
            <w:r w:rsidR="006426D6">
              <w:rPr>
                <w:rFonts w:ascii="Arial" w:hAnsi="Arial" w:cs="Arial"/>
                <w:color w:val="000000" w:themeColor="text1"/>
              </w:rPr>
              <w:t xml:space="preserve">at 300 and 100 W. Mice were placed between RF plates with a width of 2 cm to concentrate the RF field to the abdominal area. Mouse temperature was monitored with </w:t>
            </w:r>
            <w:r w:rsidR="006426D6" w:rsidRPr="00A91D63">
              <w:rPr>
                <w:rFonts w:ascii="Arial" w:hAnsi="Arial" w:cs="Arial"/>
                <w:color w:val="000000" w:themeColor="text1"/>
              </w:rPr>
              <w:t>FLIR E5xt</w:t>
            </w:r>
            <w:r w:rsidR="006426D6">
              <w:rPr>
                <w:rFonts w:ascii="Arial" w:hAnsi="Arial" w:cs="Arial"/>
                <w:color w:val="000000" w:themeColor="text1"/>
              </w:rPr>
              <w:t xml:space="preserve"> thermal camera, and the irradiation session ceased when signs of overheating were detected. Thermal pictures were taken after turning off the RF generator. Thermal images on the left and respective photos on the right show the heating of the paws and the tail but no heating of the tumor region, even when the mice were intratumorally injected with conjugate (SWCNT group).</w:t>
            </w:r>
            <w:bookmarkEnd w:id="169"/>
          </w:p>
        </w:tc>
      </w:tr>
    </w:tbl>
    <w:p w14:paraId="6E637CDB" w14:textId="66A0DBD8" w:rsidR="00471BFF" w:rsidRDefault="00471BFF" w:rsidP="00FB3839">
      <w:pPr>
        <w:spacing w:line="360" w:lineRule="auto"/>
        <w:contextualSpacing/>
        <w:jc w:val="both"/>
        <w:rPr>
          <w:rFonts w:ascii="Arial" w:hAnsi="Arial" w:cs="Arial"/>
          <w:color w:val="000000" w:themeColor="text1"/>
        </w:rPr>
      </w:pPr>
    </w:p>
    <w:p w14:paraId="441EE5CE" w14:textId="77777777" w:rsidR="00471BFF" w:rsidRPr="00FB3839" w:rsidRDefault="00471BFF" w:rsidP="00FB3839">
      <w:pPr>
        <w:spacing w:line="360" w:lineRule="auto"/>
        <w:contextualSpacing/>
        <w:jc w:val="both"/>
        <w:rPr>
          <w:rFonts w:ascii="Arial" w:hAnsi="Arial" w:cs="Arial"/>
          <w:color w:val="000000" w:themeColor="text1"/>
        </w:rPr>
      </w:pPr>
    </w:p>
    <w:p w14:paraId="436F7402" w14:textId="296332CA" w:rsidR="00895DD1" w:rsidRDefault="00895DD1" w:rsidP="00895DD1">
      <w:pPr>
        <w:spacing w:line="360" w:lineRule="auto"/>
        <w:ind w:firstLine="1440"/>
        <w:contextualSpacing/>
        <w:jc w:val="both"/>
        <w:rPr>
          <w:rFonts w:ascii="Arial" w:hAnsi="Arial" w:cs="Arial"/>
          <w:color w:val="000000" w:themeColor="text1"/>
        </w:rPr>
      </w:pPr>
      <w:r w:rsidRPr="00E63AD7">
        <w:rPr>
          <w:rFonts w:ascii="Arial" w:hAnsi="Arial" w:cs="Arial"/>
          <w:b/>
          <w:bCs/>
          <w:color w:val="000000" w:themeColor="text1"/>
        </w:rPr>
        <w:t xml:space="preserve">Figure </w:t>
      </w:r>
      <w:r w:rsidR="00E63AD7" w:rsidRPr="00E63AD7">
        <w:rPr>
          <w:rFonts w:ascii="Arial" w:hAnsi="Arial" w:cs="Arial"/>
          <w:b/>
          <w:bCs/>
          <w:color w:val="000000" w:themeColor="text1"/>
        </w:rPr>
        <w:t>61</w:t>
      </w:r>
      <w:r>
        <w:rPr>
          <w:rFonts w:ascii="Arial" w:hAnsi="Arial" w:cs="Arial"/>
          <w:color w:val="000000" w:themeColor="text1"/>
        </w:rPr>
        <w:t xml:space="preserve"> shows the attempt to concentrate the field to the abdominal area of the mice while testing SWCNT-ANXA5 mediated RFA </w:t>
      </w:r>
      <w:r>
        <w:rPr>
          <w:rFonts w:ascii="Arial" w:hAnsi="Arial" w:cs="Arial"/>
          <w:i/>
          <w:iCs/>
          <w:color w:val="000000" w:themeColor="text1"/>
        </w:rPr>
        <w:t>in vivo</w:t>
      </w:r>
      <w:r>
        <w:rPr>
          <w:rFonts w:ascii="Arial" w:hAnsi="Arial" w:cs="Arial"/>
          <w:color w:val="000000" w:themeColor="text1"/>
        </w:rPr>
        <w:t>. Even though the paws, tails, and ears wer</w:t>
      </w:r>
      <w:r w:rsidR="006E17BE">
        <w:rPr>
          <w:rFonts w:ascii="Arial" w:hAnsi="Arial" w:cs="Arial"/>
          <w:color w:val="000000" w:themeColor="text1"/>
        </w:rPr>
        <w:t>e not</w:t>
      </w:r>
      <w:r>
        <w:rPr>
          <w:rFonts w:ascii="Arial" w:hAnsi="Arial" w:cs="Arial"/>
          <w:color w:val="000000" w:themeColor="text1"/>
        </w:rPr>
        <w:t xml:space="preserve"> in between the plates, overheating was observed in those areas, resulting in the irradiation session's ending. It is believed that the mice acted as antennae during irradiation absorbing the RF field more efficiently than the SWCNT. Additionally, live tissue has conductivity; therefore, the absorbed irradiation is concentrated in the paws, tail, and ears of the mouse due to the tendency of charges to build up in pointed objects.</w:t>
      </w:r>
    </w:p>
    <w:p w14:paraId="7174486A" w14:textId="76F0DAB0" w:rsidR="003A05C4" w:rsidRDefault="00D55503" w:rsidP="00D55503">
      <w:pPr>
        <w:spacing w:line="360" w:lineRule="auto"/>
        <w:ind w:firstLine="1440"/>
        <w:contextualSpacing/>
        <w:jc w:val="both"/>
        <w:rPr>
          <w:rFonts w:ascii="Arial" w:hAnsi="Arial" w:cs="Arial"/>
          <w:color w:val="000000" w:themeColor="text1"/>
        </w:rPr>
      </w:pPr>
      <w:r>
        <w:rPr>
          <w:rFonts w:ascii="Arial" w:hAnsi="Arial" w:cs="Arial"/>
          <w:color w:val="000000" w:themeColor="text1"/>
        </w:rPr>
        <w:t xml:space="preserve">Another attempt was made to avoid overheating those areas in the mouse by connecting the mouse extremities to the ground electrode of the RF machine. For that, aluminum stripes were taped on one side around paws, ears, and tails and on the other side to the ground electrode (see </w:t>
      </w:r>
      <w:r w:rsidR="009E69D9" w:rsidRPr="009E69D9">
        <w:rPr>
          <w:rFonts w:ascii="Arial" w:hAnsi="Arial" w:cs="Arial"/>
          <w:b/>
          <w:bCs/>
          <w:color w:val="000000" w:themeColor="text1"/>
        </w:rPr>
        <w:t>F</w:t>
      </w:r>
      <w:r w:rsidRPr="009E69D9">
        <w:rPr>
          <w:rFonts w:ascii="Arial" w:hAnsi="Arial" w:cs="Arial"/>
          <w:b/>
          <w:bCs/>
          <w:color w:val="000000" w:themeColor="text1"/>
        </w:rPr>
        <w:t>igure</w:t>
      </w:r>
      <w:r w:rsidR="009E69D9" w:rsidRPr="009E69D9">
        <w:rPr>
          <w:rFonts w:ascii="Arial" w:hAnsi="Arial" w:cs="Arial"/>
          <w:b/>
          <w:bCs/>
          <w:color w:val="000000" w:themeColor="text1"/>
        </w:rPr>
        <w:t xml:space="preserve"> 82</w:t>
      </w:r>
      <w:r>
        <w:rPr>
          <w:rFonts w:ascii="Arial" w:hAnsi="Arial" w:cs="Arial"/>
          <w:color w:val="000000" w:themeColor="text1"/>
        </w:rPr>
        <w:t xml:space="preserve"> of the setup in </w:t>
      </w:r>
      <w:r w:rsidR="009E69D9">
        <w:rPr>
          <w:rFonts w:ascii="Arial" w:hAnsi="Arial" w:cs="Arial"/>
          <w:color w:val="000000" w:themeColor="text1"/>
        </w:rPr>
        <w:t>A</w:t>
      </w:r>
      <w:r>
        <w:rPr>
          <w:rFonts w:ascii="Arial" w:hAnsi="Arial" w:cs="Arial"/>
          <w:color w:val="000000" w:themeColor="text1"/>
        </w:rPr>
        <w:t xml:space="preserve">ppendix A). The setup was also not effective at avoiding overheating. Additionally, limitations </w:t>
      </w:r>
      <w:r w:rsidR="004E03CF">
        <w:rPr>
          <w:rFonts w:ascii="Arial" w:hAnsi="Arial" w:cs="Arial"/>
          <w:color w:val="000000" w:themeColor="text1"/>
        </w:rPr>
        <w:t xml:space="preserve">were found </w:t>
      </w:r>
      <w:r>
        <w:rPr>
          <w:rFonts w:ascii="Arial" w:hAnsi="Arial" w:cs="Arial"/>
          <w:color w:val="000000" w:themeColor="text1"/>
        </w:rPr>
        <w:t xml:space="preserve">with the grounding of the upper body due to the requirement of nose cone induced burning of the eyes in one mouse that was immediately euthanized. A more efficient grounding technique should be pursued if more experiments are to be performed for the SWCNT-ANXA5 mediated RFA </w:t>
      </w:r>
      <w:r>
        <w:rPr>
          <w:rFonts w:ascii="Arial" w:hAnsi="Arial" w:cs="Arial"/>
          <w:i/>
          <w:iCs/>
          <w:color w:val="000000" w:themeColor="text1"/>
        </w:rPr>
        <w:t>in vivo.</w:t>
      </w:r>
      <w:r>
        <w:rPr>
          <w:rFonts w:ascii="Arial" w:hAnsi="Arial" w:cs="Arial"/>
          <w:color w:val="000000" w:themeColor="text1"/>
        </w:rPr>
        <w:t xml:space="preserve"> Some research groups were able to perform the grounding of mice irradiated with RF field between plates</w:t>
      </w:r>
      <w:r>
        <w:rPr>
          <w:rFonts w:ascii="Arial" w:hAnsi="Arial" w:cs="Arial"/>
          <w:color w:val="000000" w:themeColor="text1"/>
        </w:rPr>
        <w:fldChar w:fldCharType="begin"/>
      </w:r>
      <w:r w:rsidR="000F4F53">
        <w:rPr>
          <w:rFonts w:ascii="Arial" w:hAnsi="Arial" w:cs="Arial"/>
          <w:color w:val="000000" w:themeColor="text1"/>
        </w:rPr>
        <w:instrText xml:space="preserve"> ADDIN ZOTERO_ITEM CSL_CITATION {"citationID":"a1000mkd3no","properties":{"formattedCitation":"\\super 252,333,334\\nosupersub{}","plainCitation":"252,333,334","noteIndex":0},"citationItems":[{"id":1233,"uris":["http://zotero.org/users/7661987/items/YCBJPTCK"],"itemData":{"id":1233,"type":"article-journal","abstract":"Poor biodistribution and accumulation of chemotherapeutics in tumors due to limitations on diffusive transport and high intra-tumoral pressures (Jain RK, Nat Med. 7(9):987–989, 2001) have prompted the investigation of adjunctive therapies to improve treatment outcomes. Hyperthermia has been widely applied in attempts to meet this need, but it is limited in its ability to reach tumors in deeply located body regions. High-intensity radiofrequency (RF) electric fields have the potential to over</w:instrText>
      </w:r>
      <w:r w:rsidR="000F4F53">
        <w:rPr>
          <w:rFonts w:ascii="Cambria Math" w:hAnsi="Cambria Math" w:cs="Cambria Math"/>
          <w:color w:val="000000" w:themeColor="text1"/>
        </w:rPr>
        <w:instrText>‑</w:instrText>
      </w:r>
      <w:r w:rsidR="000F4F53">
        <w:rPr>
          <w:rFonts w:ascii="Arial" w:hAnsi="Arial" w:cs="Arial"/>
          <w:color w:val="000000" w:themeColor="text1"/>
        </w:rPr>
        <w:instrText>come such barriers enhancing delivery and extravasation of chemotherapeutics. However, due to factors, including tumor heterogeneity and lack of kinetic information, there is insufficient understanding of time-resolved interaction between RF fields and tumor vasculature, drug molecules and nanoparticle (NP) vectors. Intravital microscopy (IVM) provides time-resolved high-definition images of specific tumor microenviron</w:instrText>
      </w:r>
      <w:r w:rsidR="000F4F53">
        <w:rPr>
          <w:rFonts w:ascii="Cambria Math" w:hAnsi="Cambria Math" w:cs="Cambria Math"/>
          <w:color w:val="000000" w:themeColor="text1"/>
        </w:rPr>
        <w:instrText>‑</w:instrText>
      </w:r>
      <w:r w:rsidR="000F4F53">
        <w:rPr>
          <w:rFonts w:ascii="Arial" w:hAnsi="Arial" w:cs="Arial"/>
          <w:color w:val="000000" w:themeColor="text1"/>
        </w:rPr>
        <w:instrText>ments, overcoming heterogeneity issues, and can be integrated with a portable RF device to enable detailed observation over time of the effects of the RF field on kinetics and biodistribution at the microvascular level. Herein, we provide a protocol describ</w:instrText>
      </w:r>
      <w:r w:rsidR="000F4F53">
        <w:rPr>
          <w:rFonts w:ascii="Cambria Math" w:hAnsi="Cambria Math" w:cs="Cambria Math"/>
          <w:color w:val="000000" w:themeColor="text1"/>
        </w:rPr>
        <w:instrText>‑</w:instrText>
      </w:r>
      <w:r w:rsidR="000F4F53">
        <w:rPr>
          <w:rFonts w:ascii="Arial" w:hAnsi="Arial" w:cs="Arial"/>
          <w:color w:val="000000" w:themeColor="text1"/>
        </w:rPr>
        <w:instrText xml:space="preserve">ing the safe integration of IVM with a high-powered non-invasive RF field applied to 4T1 orthotopic breast tumors in live mice. Results show increased perfusion of NPs in microvasculature upon RF hyperthermia treatment and increased perfusion, release and spreading of injected reagents preferentially in irregular vessels during RF exposure.","container-title":"Cancer Nanotechnology","DOI":"10.1186/s12645-016-0016-7","ISSN":"1868-6958, 1868-6966","issue":"1","journalAbbreviation":"Cancer Nano","language":"en","page":"5","source":"DOI.org (Crossref)","title":"Intravital microscopy for evaluating tumor perfusion of nanoparticles exposed to non-invasive radiofrequency electric fields","volume":"7","author":[{"family":"Lapin","given":"Norman A."},{"family":"Krzykawska-Serda","given":"Martyna"},{"family":"Ware","given":"Matthew J."},{"family":"Curley","given":"Steven A."},{"family":"Corr","given":"Stuart J."}],"issued":{"date-parts":[["2016",12]]}}},{"id":1234,"uris":["http://zotero.org/users/7661987/items/ZNEETUUP"],"itemData":{"id":1234,"type":"article-journal","container-title":"Journal of Controlled Release","DOI":"10.1016/j.jconrel.2017.05.022","ISSN":"01683659","journalAbbreviation":"Journal of Controlled Release","language":"en","page":"92-99","source":"DOI.org (Crossref)","title":"The effects of non-invasive radiofrequency electric field hyperthermia on biotransport and biodistribution of fluorescent [60]fullerene derivative in a murine orthotopic model of breast adenocarcinoma","volume":"260","author":[{"family":"Lapin","given":"Norman A."},{"family":"Krzykawska-Serda","given":"Martyna"},{"family":"Dilliard","given":"Sean"},{"family":"Mackeyev","given":"Yuri"},{"family":"Serda","given":"Maciej"},{"family":"Wilson","given":"Lon J."},{"family":"Curley","given":"Steven A."},{"family":"Corr","given":"Stuart J."}],"issued":{"date-parts":[["2017",8]]}}},{"id":1235,"uris":["http://zotero.org/users/7661987/items/KKPN8JW8"],"itemData":{"id":1235,"type":"article-journal","abstract":"Purpose: Pancreatic carcinoma is one of the deadliest cancers with few effective treatments. Gold nanoparticles (AuNP) are potentially therapeutic because of the safety demonstrated thus far and their physiochemical characteristics. We used the astounding heating rates of AuNPs in nonionizing radiofrequency (RF) radiation to investigate human pancreatic xenograft destruction in a murine model. Experimental Design: Weekly, Panc-1 and Capan-1 human pancreatic carcinoma xenografts in immunocompromised mice were exposed to an RF field 36 hours after treatment (intraperitoneal) with cetuximab- or PAM4 antibody–conjugated AuNPs, respectively. Tumor sizes were measured weekly, whereas necrosis and cleaved caspase-3 were investigated with hematoxylin–eosin staining and immunofluorescence, respectively. In addition, AuNP internalization and cytotoxicity were investigated in vitro with confocal microscopy and flow cytometry, respectively.\nResults: Panc-1 cells demonstrated increased apoptosis with decreased viability after treatment with cetuximab-conjugated AuNPs and RF field exposure (P ¼ 0.00005). Differences in xenograft volumes were observed within 2 weeks of initiating therapy. Cetuximab- and PAM4-conjugated AuNPs demonstrated RF field–induced destruction of Panc-1 and Capan-1 pancreatic carcinoma xenografts after 6 weeks of weekly treatment (P ¼ 0.004 and P ¼ 0.035, respectively). There was no evidence of injury to murine organs. Cleaved caspase-3 and necrosis were both increased in treated tumors.\nConclusions: This study demonstrates a potentially novel cancer therapy by noninvasively inducing intracellular hyperthermia with targeted AuNPs in an RF field. While the therapy is dependent on the specificity of the targeting antibody, normal tissues were without toxicity despite systemic therapy and whole-body RF field exposure. Clin Cancer Res; 16(23); 5712–21. Ó2010 AACR.","container-title":"Clinical Cancer Research","DOI":"10.1158/1078-0432.CCR-10-2055","ISSN":"1078-0432, 1557-3265","issue":"23","language":"en","page":"5712-5721","source":"DOI.org (Crossref)","title":"Noninvasive Radiofrequency Field Destruction of Pancreatic Adenocarcinoma Xenografts Treated with Targeted Gold Nanoparticles","volume":"16","author":[{"family":"Glazer","given":"Evan S."},{"family":"Zhu","given":"Cihui"},{"family":"Massey","given":"Katheryn L."},{"family":"Thompson","given":"C. Shea"},{"family":"Kaluarachchi","given":"Warna D."},{"family":"Hamir","given":"Amir N."},{"family":"Curley","given":"Steven A."}],"issued":{"date-parts":[["2010",12,1]]}}}],"schema":"https://github.com/citation-style-language/schema/raw/master/csl-citation.json"} </w:instrText>
      </w:r>
      <w:r>
        <w:rPr>
          <w:rFonts w:ascii="Arial" w:hAnsi="Arial" w:cs="Arial"/>
          <w:color w:val="000000" w:themeColor="text1"/>
        </w:rPr>
        <w:fldChar w:fldCharType="separate"/>
      </w:r>
      <w:r w:rsidR="000F4F53" w:rsidRPr="000F4F53">
        <w:rPr>
          <w:rFonts w:ascii="Arial" w:hAnsi="Arial" w:cs="Arial"/>
          <w:color w:val="000000"/>
          <w:vertAlign w:val="superscript"/>
        </w:rPr>
        <w:t>252,333,334</w:t>
      </w:r>
      <w:r>
        <w:rPr>
          <w:rFonts w:ascii="Arial" w:hAnsi="Arial" w:cs="Arial"/>
          <w:color w:val="000000" w:themeColor="text1"/>
        </w:rPr>
        <w:fldChar w:fldCharType="end"/>
      </w:r>
      <w:r>
        <w:rPr>
          <w:rFonts w:ascii="Arial" w:hAnsi="Arial" w:cs="Arial"/>
          <w:color w:val="000000" w:themeColor="text1"/>
        </w:rPr>
        <w:t xml:space="preserve">. Hence, improvements to our setup </w:t>
      </w:r>
      <w:r w:rsidR="00D63406">
        <w:rPr>
          <w:rFonts w:ascii="Arial" w:hAnsi="Arial" w:cs="Arial"/>
          <w:color w:val="000000" w:themeColor="text1"/>
        </w:rPr>
        <w:t>should be able to be</w:t>
      </w:r>
      <w:r>
        <w:rPr>
          <w:rFonts w:ascii="Arial" w:hAnsi="Arial" w:cs="Arial"/>
          <w:color w:val="000000" w:themeColor="text1"/>
        </w:rPr>
        <w:t xml:space="preserve"> made to achieve </w:t>
      </w:r>
      <w:r w:rsidR="00D63406">
        <w:rPr>
          <w:rFonts w:ascii="Arial" w:hAnsi="Arial" w:cs="Arial"/>
          <w:color w:val="000000" w:themeColor="text1"/>
        </w:rPr>
        <w:t>better</w:t>
      </w:r>
      <w:r>
        <w:rPr>
          <w:rFonts w:ascii="Arial" w:hAnsi="Arial" w:cs="Arial"/>
          <w:color w:val="000000" w:themeColor="text1"/>
        </w:rPr>
        <w:t xml:space="preserve"> results.</w:t>
      </w:r>
      <w:r w:rsidR="003A05C4">
        <w:rPr>
          <w:rFonts w:ascii="Arial" w:hAnsi="Arial" w:cs="Arial"/>
          <w:color w:val="000000" w:themeColor="text1"/>
        </w:rPr>
        <w:br w:type="page"/>
      </w:r>
    </w:p>
    <w:p w14:paraId="1A3E93B6" w14:textId="26434774" w:rsidR="00D50330" w:rsidRPr="00D74025" w:rsidRDefault="007D0A71" w:rsidP="00366232">
      <w:pPr>
        <w:pStyle w:val="Heading2"/>
        <w:ind w:firstLine="0"/>
        <w:rPr>
          <w:rFonts w:ascii="Arial" w:hAnsi="Arial" w:cs="Arial"/>
          <w:b/>
          <w:bCs/>
          <w:color w:val="000000" w:themeColor="text1"/>
          <w:sz w:val="28"/>
          <w:szCs w:val="28"/>
        </w:rPr>
      </w:pPr>
      <w:bookmarkStart w:id="170" w:name="_Toc121217289"/>
      <w:r w:rsidRPr="00D74025">
        <w:rPr>
          <w:rFonts w:ascii="Arial" w:hAnsi="Arial" w:cs="Arial"/>
          <w:b/>
          <w:bCs/>
          <w:color w:val="000000" w:themeColor="text1"/>
          <w:sz w:val="28"/>
          <w:szCs w:val="28"/>
        </w:rPr>
        <w:lastRenderedPageBreak/>
        <w:t xml:space="preserve">3.4 </w:t>
      </w:r>
      <w:r w:rsidR="001E03C8" w:rsidRPr="00D74025">
        <w:rPr>
          <w:rFonts w:ascii="Arial" w:hAnsi="Arial" w:cs="Arial"/>
          <w:b/>
          <w:bCs/>
          <w:color w:val="000000" w:themeColor="text1"/>
          <w:sz w:val="28"/>
          <w:szCs w:val="28"/>
        </w:rPr>
        <w:t xml:space="preserve">Gold </w:t>
      </w:r>
      <w:r w:rsidR="00912654">
        <w:rPr>
          <w:rFonts w:ascii="Arial" w:hAnsi="Arial" w:cs="Arial"/>
          <w:b/>
          <w:bCs/>
          <w:color w:val="000000" w:themeColor="text1"/>
          <w:sz w:val="28"/>
          <w:szCs w:val="28"/>
        </w:rPr>
        <w:t>n</w:t>
      </w:r>
      <w:r w:rsidR="001E03C8" w:rsidRPr="00D74025">
        <w:rPr>
          <w:rFonts w:ascii="Arial" w:hAnsi="Arial" w:cs="Arial"/>
          <w:b/>
          <w:bCs/>
          <w:color w:val="000000" w:themeColor="text1"/>
          <w:sz w:val="28"/>
          <w:szCs w:val="28"/>
        </w:rPr>
        <w:t>anoparticle</w:t>
      </w:r>
      <w:r w:rsidR="00DE41A9">
        <w:rPr>
          <w:rFonts w:ascii="Arial" w:hAnsi="Arial" w:cs="Arial"/>
          <w:b/>
          <w:bCs/>
          <w:color w:val="000000" w:themeColor="text1"/>
          <w:sz w:val="28"/>
          <w:szCs w:val="28"/>
        </w:rPr>
        <w:t xml:space="preserve"> –</w:t>
      </w:r>
      <w:r w:rsidR="001E03C8" w:rsidRPr="00D74025">
        <w:rPr>
          <w:rFonts w:ascii="Arial" w:hAnsi="Arial" w:cs="Arial"/>
          <w:b/>
          <w:bCs/>
          <w:color w:val="000000" w:themeColor="text1"/>
          <w:sz w:val="28"/>
          <w:szCs w:val="28"/>
        </w:rPr>
        <w:t xml:space="preserve"> </w:t>
      </w:r>
      <w:r w:rsidR="00912654">
        <w:rPr>
          <w:rFonts w:ascii="Arial" w:hAnsi="Arial" w:cs="Arial"/>
          <w:b/>
          <w:bCs/>
          <w:color w:val="000000" w:themeColor="text1"/>
          <w:sz w:val="28"/>
          <w:szCs w:val="28"/>
        </w:rPr>
        <w:t>a</w:t>
      </w:r>
      <w:r w:rsidR="001E03C8" w:rsidRPr="00D74025">
        <w:rPr>
          <w:rFonts w:ascii="Arial" w:hAnsi="Arial" w:cs="Arial"/>
          <w:b/>
          <w:bCs/>
          <w:color w:val="000000" w:themeColor="text1"/>
          <w:sz w:val="28"/>
          <w:szCs w:val="28"/>
        </w:rPr>
        <w:t xml:space="preserve">nnexin A5 </w:t>
      </w:r>
      <w:r w:rsidR="001D1472">
        <w:rPr>
          <w:rFonts w:ascii="Arial" w:hAnsi="Arial" w:cs="Arial"/>
          <w:b/>
          <w:bCs/>
          <w:color w:val="000000" w:themeColor="text1"/>
          <w:sz w:val="28"/>
          <w:szCs w:val="28"/>
        </w:rPr>
        <w:t>– DM1 conjugate</w:t>
      </w:r>
      <w:bookmarkEnd w:id="170"/>
    </w:p>
    <w:p w14:paraId="41822A5B" w14:textId="293816DC" w:rsidR="00794C9D" w:rsidRDefault="000D45AF" w:rsidP="000822E1">
      <w:pPr>
        <w:spacing w:line="360" w:lineRule="auto"/>
        <w:ind w:firstLine="1440"/>
        <w:jc w:val="both"/>
        <w:rPr>
          <w:rFonts w:ascii="Arial" w:hAnsi="Arial" w:cs="Arial"/>
          <w:color w:val="000000" w:themeColor="text1"/>
        </w:rPr>
      </w:pPr>
      <w:r>
        <w:rPr>
          <w:rFonts w:ascii="Arial" w:hAnsi="Arial" w:cs="Arial"/>
          <w:color w:val="000000" w:themeColor="text1"/>
        </w:rPr>
        <w:t xml:space="preserve">UV-vis spectroscopy was used to </w:t>
      </w:r>
      <w:r w:rsidR="00933560">
        <w:rPr>
          <w:rFonts w:ascii="Arial" w:hAnsi="Arial" w:cs="Arial"/>
          <w:color w:val="000000" w:themeColor="text1"/>
        </w:rPr>
        <w:t xml:space="preserve">confirm the conjugation of DM1 to ANXA5, and the link of ANXA5-DM1 to </w:t>
      </w:r>
      <w:r w:rsidR="00D3794D">
        <w:rPr>
          <w:rFonts w:ascii="Arial" w:hAnsi="Arial" w:cs="Arial"/>
          <w:color w:val="000000" w:themeColor="text1"/>
        </w:rPr>
        <w:t xml:space="preserve">AuNP. First, </w:t>
      </w:r>
      <w:r w:rsidR="00794C9D">
        <w:rPr>
          <w:rFonts w:ascii="Arial" w:hAnsi="Arial" w:cs="Arial"/>
          <w:color w:val="000000" w:themeColor="text1"/>
        </w:rPr>
        <w:t xml:space="preserve">a standard curve for DM1 was </w:t>
      </w:r>
      <w:r w:rsidR="0009451A">
        <w:rPr>
          <w:rFonts w:ascii="Arial" w:hAnsi="Arial" w:cs="Arial"/>
          <w:color w:val="000000" w:themeColor="text1"/>
        </w:rPr>
        <w:t xml:space="preserve">obtained </w:t>
      </w:r>
      <w:r w:rsidR="007C5440">
        <w:rPr>
          <w:rFonts w:ascii="Arial" w:hAnsi="Arial" w:cs="Arial"/>
          <w:color w:val="000000" w:themeColor="text1"/>
        </w:rPr>
        <w:t>by endpoint absorption at 288 nm (</w:t>
      </w:r>
      <w:r w:rsidR="007C5440" w:rsidRPr="00E63AD7">
        <w:rPr>
          <w:rFonts w:ascii="Arial" w:hAnsi="Arial" w:cs="Arial"/>
          <w:b/>
          <w:bCs/>
          <w:color w:val="000000" w:themeColor="text1"/>
        </w:rPr>
        <w:t xml:space="preserve">Figure </w:t>
      </w:r>
      <w:r w:rsidR="00E63AD7" w:rsidRPr="00E63AD7">
        <w:rPr>
          <w:rFonts w:ascii="Arial" w:hAnsi="Arial" w:cs="Arial"/>
          <w:b/>
          <w:bCs/>
          <w:color w:val="000000" w:themeColor="text1"/>
        </w:rPr>
        <w:t>62</w:t>
      </w:r>
      <w:r w:rsidR="007C5440">
        <w:rPr>
          <w:rFonts w:ascii="Arial" w:hAnsi="Arial" w:cs="Arial"/>
          <w:color w:val="000000" w:themeColor="text1"/>
        </w:rPr>
        <w:t>).</w:t>
      </w:r>
    </w:p>
    <w:p w14:paraId="0597FE62" w14:textId="77777777" w:rsidR="007071A3" w:rsidRDefault="007071A3" w:rsidP="007071A3">
      <w:pPr>
        <w:spacing w:line="360" w:lineRule="auto"/>
        <w:ind w:firstLine="1440"/>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7C5440" w14:paraId="64652D5A" w14:textId="77777777" w:rsidTr="007C5440">
        <w:tc>
          <w:tcPr>
            <w:tcW w:w="9350" w:type="dxa"/>
          </w:tcPr>
          <w:p w14:paraId="58FC5C13" w14:textId="60AF3A5F" w:rsidR="007C5440" w:rsidRDefault="00756088" w:rsidP="000D71A7">
            <w:pPr>
              <w:spacing w:beforeAutospacing="0" w:line="360" w:lineRule="auto"/>
              <w:ind w:firstLine="0"/>
              <w:jc w:val="center"/>
              <w:rPr>
                <w:rFonts w:ascii="Arial" w:hAnsi="Arial" w:cs="Arial"/>
                <w:color w:val="000000" w:themeColor="text1"/>
              </w:rPr>
            </w:pPr>
            <w:r w:rsidRPr="00756088">
              <w:rPr>
                <w:rFonts w:ascii="Arial" w:hAnsi="Arial" w:cs="Arial"/>
                <w:noProof/>
                <w:color w:val="000000" w:themeColor="text1"/>
              </w:rPr>
              <w:drawing>
                <wp:inline distT="0" distB="0" distL="0" distR="0" wp14:anchorId="3D5F2FFE" wp14:editId="44976523">
                  <wp:extent cx="5617028" cy="410337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r="1886"/>
                          <a:stretch/>
                        </pic:blipFill>
                        <pic:spPr bwMode="auto">
                          <a:xfrm>
                            <a:off x="0" y="0"/>
                            <a:ext cx="5624978" cy="4109178"/>
                          </a:xfrm>
                          <a:prstGeom prst="rect">
                            <a:avLst/>
                          </a:prstGeom>
                          <a:ln>
                            <a:noFill/>
                          </a:ln>
                          <a:extLst>
                            <a:ext uri="{53640926-AAD7-44D8-BBD7-CCE9431645EC}">
                              <a14:shadowObscured xmlns:a14="http://schemas.microsoft.com/office/drawing/2010/main"/>
                            </a:ext>
                          </a:extLst>
                        </pic:spPr>
                      </pic:pic>
                    </a:graphicData>
                  </a:graphic>
                </wp:inline>
              </w:drawing>
            </w:r>
          </w:p>
        </w:tc>
      </w:tr>
      <w:tr w:rsidR="007C5440" w14:paraId="76509EBB" w14:textId="77777777" w:rsidTr="007C5440">
        <w:tc>
          <w:tcPr>
            <w:tcW w:w="9350" w:type="dxa"/>
          </w:tcPr>
          <w:p w14:paraId="1889B77B" w14:textId="09A97E30" w:rsidR="007C5440" w:rsidRPr="008B3DB0" w:rsidRDefault="00471BFF" w:rsidP="00E56710">
            <w:pPr>
              <w:spacing w:line="360" w:lineRule="auto"/>
              <w:ind w:firstLine="0"/>
              <w:rPr>
                <w:rFonts w:ascii="Arial" w:hAnsi="Arial" w:cs="Arial"/>
                <w:color w:val="000000" w:themeColor="text1"/>
              </w:rPr>
            </w:pPr>
            <w:bookmarkStart w:id="171" w:name="_Toc121217384"/>
            <w:r w:rsidRPr="00471BFF">
              <w:rPr>
                <w:rFonts w:ascii="Arial" w:hAnsi="Arial" w:cs="Arial"/>
                <w:b/>
                <w:bCs/>
                <w:color w:val="000000" w:themeColor="text1"/>
              </w:rPr>
              <w:t xml:space="preserve">Figure </w:t>
            </w:r>
            <w:r w:rsidRPr="00471BFF">
              <w:rPr>
                <w:rFonts w:ascii="Arial" w:hAnsi="Arial" w:cs="Arial"/>
                <w:b/>
                <w:bCs/>
                <w:color w:val="000000" w:themeColor="text1"/>
              </w:rPr>
              <w:fldChar w:fldCharType="begin"/>
            </w:r>
            <w:r w:rsidRPr="00471BFF">
              <w:rPr>
                <w:rFonts w:ascii="Arial" w:hAnsi="Arial" w:cs="Arial"/>
                <w:b/>
                <w:bCs/>
                <w:color w:val="000000" w:themeColor="text1"/>
              </w:rPr>
              <w:instrText xml:space="preserve"> SEQ Figure \* ARABIC </w:instrText>
            </w:r>
            <w:r w:rsidRPr="00471BFF">
              <w:rPr>
                <w:rFonts w:ascii="Arial" w:hAnsi="Arial" w:cs="Arial"/>
                <w:b/>
                <w:bCs/>
                <w:color w:val="000000" w:themeColor="text1"/>
              </w:rPr>
              <w:fldChar w:fldCharType="separate"/>
            </w:r>
            <w:r w:rsidR="002C4B25">
              <w:rPr>
                <w:rFonts w:ascii="Arial" w:hAnsi="Arial" w:cs="Arial"/>
                <w:b/>
                <w:bCs/>
                <w:noProof/>
                <w:color w:val="000000" w:themeColor="text1"/>
              </w:rPr>
              <w:t>62</w:t>
            </w:r>
            <w:r w:rsidRPr="00471BFF">
              <w:rPr>
                <w:rFonts w:ascii="Arial" w:hAnsi="Arial" w:cs="Arial"/>
                <w:b/>
                <w:bCs/>
                <w:color w:val="000000" w:themeColor="text1"/>
              </w:rPr>
              <w:fldChar w:fldCharType="end"/>
            </w:r>
            <w:r w:rsidR="00756088" w:rsidRPr="00E56710">
              <w:rPr>
                <w:rFonts w:ascii="Arial" w:hAnsi="Arial" w:cs="Arial"/>
                <w:b/>
                <w:bCs/>
                <w:color w:val="000000" w:themeColor="text1"/>
              </w:rPr>
              <w:t xml:space="preserve">: DM1 standard curve. </w:t>
            </w:r>
            <w:r w:rsidR="008B3DB0">
              <w:rPr>
                <w:rFonts w:ascii="Arial" w:hAnsi="Arial" w:cs="Arial"/>
                <w:color w:val="000000" w:themeColor="text1"/>
              </w:rPr>
              <w:t xml:space="preserve">For the standard solution of DM1, 3.0 mg of DM1 was dissolved in 1000 </w:t>
            </w:r>
            <w:r w:rsidR="008B3DB0">
              <w:rPr>
                <w:rFonts w:ascii="Arial" w:hAnsi="Arial" w:cs="Arial"/>
                <w:color w:val="000000" w:themeColor="text1"/>
              </w:rPr>
              <w:sym w:font="Symbol" w:char="F06D"/>
            </w:r>
            <w:r w:rsidR="008B3DB0">
              <w:rPr>
                <w:rFonts w:ascii="Arial" w:hAnsi="Arial" w:cs="Arial"/>
                <w:color w:val="000000" w:themeColor="text1"/>
              </w:rPr>
              <w:t xml:space="preserve">L of DMSO. Serial dilutions were performed using DMSO. </w:t>
            </w:r>
            <w:r w:rsidR="00256066">
              <w:rPr>
                <w:rFonts w:ascii="Arial" w:hAnsi="Arial" w:cs="Arial"/>
                <w:color w:val="000000" w:themeColor="text1"/>
              </w:rPr>
              <w:t xml:space="preserve">Samples of 100 </w:t>
            </w:r>
            <w:r w:rsidR="00256066">
              <w:rPr>
                <w:rFonts w:ascii="Arial" w:hAnsi="Arial" w:cs="Arial"/>
                <w:color w:val="000000" w:themeColor="text1"/>
              </w:rPr>
              <w:sym w:font="Symbol" w:char="F06D"/>
            </w:r>
            <w:r w:rsidR="00256066">
              <w:rPr>
                <w:rFonts w:ascii="Arial" w:hAnsi="Arial" w:cs="Arial"/>
                <w:color w:val="000000" w:themeColor="text1"/>
              </w:rPr>
              <w:t>L from different concentrations were placed in 96-well plates. Endpoint absorption at 288 nm was measured using DMSO as blank.</w:t>
            </w:r>
            <w:bookmarkEnd w:id="171"/>
          </w:p>
        </w:tc>
      </w:tr>
    </w:tbl>
    <w:p w14:paraId="51893928" w14:textId="4BCF9B6E" w:rsidR="007C5440" w:rsidRDefault="007C5440" w:rsidP="00471BFF">
      <w:pPr>
        <w:pStyle w:val="Caption"/>
        <w:rPr>
          <w:rFonts w:ascii="Arial" w:hAnsi="Arial" w:cs="Arial"/>
          <w:color w:val="000000" w:themeColor="text1"/>
        </w:rPr>
      </w:pPr>
    </w:p>
    <w:p w14:paraId="4B31747D" w14:textId="06805F63" w:rsidR="006218D7" w:rsidRDefault="006218D7" w:rsidP="006218D7">
      <w:pPr>
        <w:spacing w:line="360" w:lineRule="auto"/>
        <w:ind w:firstLine="1440"/>
        <w:jc w:val="both"/>
        <w:rPr>
          <w:rFonts w:ascii="Arial" w:hAnsi="Arial" w:cs="Arial"/>
          <w:color w:val="000000" w:themeColor="text1"/>
        </w:rPr>
      </w:pPr>
      <w:r>
        <w:rPr>
          <w:rFonts w:ascii="Arial" w:hAnsi="Arial" w:cs="Arial"/>
          <w:color w:val="000000" w:themeColor="text1"/>
        </w:rPr>
        <w:t xml:space="preserve">The contribution of ANXA5 to the 288 nm </w:t>
      </w:r>
      <w:r w:rsidR="0085698D">
        <w:rPr>
          <w:rFonts w:ascii="Arial" w:hAnsi="Arial" w:cs="Arial"/>
          <w:color w:val="000000" w:themeColor="text1"/>
        </w:rPr>
        <w:t>signal was also assessed</w:t>
      </w:r>
      <w:r w:rsidR="00DF2049">
        <w:rPr>
          <w:rFonts w:ascii="Arial" w:hAnsi="Arial" w:cs="Arial"/>
          <w:color w:val="000000" w:themeColor="text1"/>
        </w:rPr>
        <w:t>,</w:t>
      </w:r>
      <w:r w:rsidR="0085698D">
        <w:rPr>
          <w:rFonts w:ascii="Arial" w:hAnsi="Arial" w:cs="Arial"/>
          <w:color w:val="000000" w:themeColor="text1"/>
        </w:rPr>
        <w:t xml:space="preserve"> obtaining a standard curve of ANXA5 in 288 nm, as shown in </w:t>
      </w:r>
      <w:r w:rsidR="00E63AD7" w:rsidRPr="00E63AD7">
        <w:rPr>
          <w:rFonts w:ascii="Arial" w:hAnsi="Arial" w:cs="Arial"/>
          <w:b/>
          <w:bCs/>
          <w:color w:val="000000" w:themeColor="text1"/>
        </w:rPr>
        <w:t>F</w:t>
      </w:r>
      <w:r w:rsidR="0085698D" w:rsidRPr="00E63AD7">
        <w:rPr>
          <w:rFonts w:ascii="Arial" w:hAnsi="Arial" w:cs="Arial"/>
          <w:b/>
          <w:bCs/>
          <w:color w:val="000000" w:themeColor="text1"/>
        </w:rPr>
        <w:t xml:space="preserve">igure </w:t>
      </w:r>
      <w:r w:rsidR="00E63AD7" w:rsidRPr="00E63AD7">
        <w:rPr>
          <w:rFonts w:ascii="Arial" w:hAnsi="Arial" w:cs="Arial"/>
          <w:b/>
          <w:bCs/>
          <w:color w:val="000000" w:themeColor="text1"/>
        </w:rPr>
        <w:t>63</w:t>
      </w:r>
      <w:r w:rsidR="0085698D">
        <w:rPr>
          <w:rFonts w:ascii="Arial" w:hAnsi="Arial" w:cs="Arial"/>
          <w:color w:val="000000" w:themeColor="text1"/>
        </w:rPr>
        <w:t>.</w:t>
      </w:r>
    </w:p>
    <w:tbl>
      <w:tblPr>
        <w:tblStyle w:val="TableGrid"/>
        <w:tblW w:w="0" w:type="auto"/>
        <w:tblLook w:val="04A0" w:firstRow="1" w:lastRow="0" w:firstColumn="1" w:lastColumn="0" w:noHBand="0" w:noVBand="1"/>
      </w:tblPr>
      <w:tblGrid>
        <w:gridCol w:w="9350"/>
      </w:tblGrid>
      <w:tr w:rsidR="009230D0" w14:paraId="6D126B1B" w14:textId="77777777" w:rsidTr="009230D0">
        <w:tc>
          <w:tcPr>
            <w:tcW w:w="9350" w:type="dxa"/>
          </w:tcPr>
          <w:p w14:paraId="374F0227" w14:textId="775D2036" w:rsidR="009230D0" w:rsidRDefault="006627C8" w:rsidP="000D71A7">
            <w:pPr>
              <w:spacing w:beforeAutospacing="0" w:line="360" w:lineRule="auto"/>
              <w:ind w:firstLine="0"/>
              <w:jc w:val="center"/>
              <w:rPr>
                <w:rFonts w:ascii="Arial" w:hAnsi="Arial" w:cs="Arial"/>
                <w:color w:val="000000" w:themeColor="text1"/>
              </w:rPr>
            </w:pPr>
            <w:r w:rsidRPr="006627C8">
              <w:rPr>
                <w:rFonts w:ascii="Arial" w:hAnsi="Arial" w:cs="Arial"/>
                <w:noProof/>
                <w:color w:val="000000" w:themeColor="text1"/>
              </w:rPr>
              <w:lastRenderedPageBreak/>
              <w:drawing>
                <wp:inline distT="0" distB="0" distL="0" distR="0" wp14:anchorId="4AA99EDE" wp14:editId="26708811">
                  <wp:extent cx="5156200" cy="388620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t="2547"/>
                          <a:stretch/>
                        </pic:blipFill>
                        <pic:spPr bwMode="auto">
                          <a:xfrm>
                            <a:off x="0" y="0"/>
                            <a:ext cx="5156200" cy="3886200"/>
                          </a:xfrm>
                          <a:prstGeom prst="rect">
                            <a:avLst/>
                          </a:prstGeom>
                          <a:ln>
                            <a:noFill/>
                          </a:ln>
                          <a:extLst>
                            <a:ext uri="{53640926-AAD7-44D8-BBD7-CCE9431645EC}">
                              <a14:shadowObscured xmlns:a14="http://schemas.microsoft.com/office/drawing/2010/main"/>
                            </a:ext>
                          </a:extLst>
                        </pic:spPr>
                      </pic:pic>
                    </a:graphicData>
                  </a:graphic>
                </wp:inline>
              </w:drawing>
            </w:r>
          </w:p>
        </w:tc>
      </w:tr>
      <w:tr w:rsidR="009230D0" w14:paraId="0739DDE9" w14:textId="77777777" w:rsidTr="009230D0">
        <w:tc>
          <w:tcPr>
            <w:tcW w:w="9350" w:type="dxa"/>
          </w:tcPr>
          <w:p w14:paraId="76A3DBF3" w14:textId="022E9EA0" w:rsidR="009230D0" w:rsidRDefault="00471BFF" w:rsidP="006627C8">
            <w:pPr>
              <w:spacing w:line="360" w:lineRule="auto"/>
              <w:ind w:firstLine="0"/>
              <w:rPr>
                <w:rFonts w:ascii="Arial" w:hAnsi="Arial" w:cs="Arial"/>
                <w:color w:val="000000" w:themeColor="text1"/>
              </w:rPr>
            </w:pPr>
            <w:bookmarkStart w:id="172" w:name="_Toc121217385"/>
            <w:r w:rsidRPr="00471BFF">
              <w:rPr>
                <w:rFonts w:ascii="Arial" w:hAnsi="Arial" w:cs="Arial"/>
                <w:b/>
                <w:bCs/>
                <w:color w:val="000000" w:themeColor="text1"/>
              </w:rPr>
              <w:t xml:space="preserve">Figure </w:t>
            </w:r>
            <w:r w:rsidRPr="00471BFF">
              <w:rPr>
                <w:rFonts w:ascii="Arial" w:hAnsi="Arial" w:cs="Arial"/>
                <w:b/>
                <w:bCs/>
                <w:color w:val="000000" w:themeColor="text1"/>
              </w:rPr>
              <w:fldChar w:fldCharType="begin"/>
            </w:r>
            <w:r w:rsidRPr="00471BFF">
              <w:rPr>
                <w:rFonts w:ascii="Arial" w:hAnsi="Arial" w:cs="Arial"/>
                <w:b/>
                <w:bCs/>
                <w:color w:val="000000" w:themeColor="text1"/>
              </w:rPr>
              <w:instrText xml:space="preserve"> SEQ Figure \* ARABIC </w:instrText>
            </w:r>
            <w:r w:rsidRPr="00471BFF">
              <w:rPr>
                <w:rFonts w:ascii="Arial" w:hAnsi="Arial" w:cs="Arial"/>
                <w:b/>
                <w:bCs/>
                <w:color w:val="000000" w:themeColor="text1"/>
              </w:rPr>
              <w:fldChar w:fldCharType="separate"/>
            </w:r>
            <w:r w:rsidR="002C4B25">
              <w:rPr>
                <w:rFonts w:ascii="Arial" w:hAnsi="Arial" w:cs="Arial"/>
                <w:b/>
                <w:bCs/>
                <w:noProof/>
                <w:color w:val="000000" w:themeColor="text1"/>
              </w:rPr>
              <w:t>63</w:t>
            </w:r>
            <w:r w:rsidRPr="00471BFF">
              <w:rPr>
                <w:rFonts w:ascii="Arial" w:hAnsi="Arial" w:cs="Arial"/>
                <w:b/>
                <w:bCs/>
                <w:color w:val="000000" w:themeColor="text1"/>
              </w:rPr>
              <w:fldChar w:fldCharType="end"/>
            </w:r>
            <w:r w:rsidR="004C3B88" w:rsidRPr="009D4219">
              <w:rPr>
                <w:rFonts w:ascii="Arial" w:hAnsi="Arial" w:cs="Arial"/>
                <w:b/>
                <w:bCs/>
                <w:color w:val="000000" w:themeColor="text1"/>
              </w:rPr>
              <w:t>: Annexin A5 contribution to 288 nm signal</w:t>
            </w:r>
            <w:r w:rsidR="004C3B88">
              <w:rPr>
                <w:rFonts w:ascii="Arial" w:hAnsi="Arial" w:cs="Arial"/>
                <w:color w:val="000000" w:themeColor="text1"/>
              </w:rPr>
              <w:t xml:space="preserve">. A sample of ANXA5 with a known concentration was used as a standard solution. Serial dilutions were performed. </w:t>
            </w:r>
            <w:r w:rsidR="0048294C">
              <w:rPr>
                <w:rFonts w:ascii="Arial" w:hAnsi="Arial" w:cs="Arial"/>
                <w:color w:val="000000" w:themeColor="text1"/>
              </w:rPr>
              <w:t>Sample</w:t>
            </w:r>
            <w:r w:rsidR="00A9088B">
              <w:rPr>
                <w:rFonts w:ascii="Arial" w:hAnsi="Arial" w:cs="Arial"/>
                <w:color w:val="000000" w:themeColor="text1"/>
              </w:rPr>
              <w:t>s</w:t>
            </w:r>
            <w:r w:rsidR="0048294C">
              <w:rPr>
                <w:rFonts w:ascii="Arial" w:hAnsi="Arial" w:cs="Arial"/>
                <w:color w:val="000000" w:themeColor="text1"/>
              </w:rPr>
              <w:t xml:space="preserve"> (100 </w:t>
            </w:r>
            <w:r w:rsidR="0048294C">
              <w:rPr>
                <w:rFonts w:ascii="Arial" w:hAnsi="Arial" w:cs="Arial"/>
                <w:color w:val="000000" w:themeColor="text1"/>
              </w:rPr>
              <w:sym w:font="Symbol" w:char="F06D"/>
            </w:r>
            <w:r w:rsidR="003042F9">
              <w:rPr>
                <w:rFonts w:ascii="Arial" w:hAnsi="Arial" w:cs="Arial"/>
                <w:color w:val="000000" w:themeColor="text1"/>
              </w:rPr>
              <w:t xml:space="preserve">L) </w:t>
            </w:r>
            <w:r w:rsidR="004C3B88">
              <w:rPr>
                <w:rFonts w:ascii="Arial" w:hAnsi="Arial" w:cs="Arial"/>
                <w:color w:val="000000" w:themeColor="text1"/>
              </w:rPr>
              <w:t>were placed in wells in 96-well plates, and endpoint absorption was read at 288 nm using PBS as blank. This protocol is identical to the one used for the DM1 standard curve.</w:t>
            </w:r>
            <w:bookmarkEnd w:id="172"/>
          </w:p>
        </w:tc>
      </w:tr>
    </w:tbl>
    <w:p w14:paraId="7AEC3EBD" w14:textId="35FF083C" w:rsidR="0085698D" w:rsidRDefault="0085698D" w:rsidP="00471BFF">
      <w:pPr>
        <w:pStyle w:val="Caption"/>
        <w:rPr>
          <w:rFonts w:ascii="Arial" w:hAnsi="Arial" w:cs="Arial"/>
          <w:color w:val="000000" w:themeColor="text1"/>
        </w:rPr>
      </w:pPr>
    </w:p>
    <w:p w14:paraId="418A8B01" w14:textId="77777777" w:rsidR="00471BFF" w:rsidRDefault="00471BFF" w:rsidP="009230D0">
      <w:pPr>
        <w:spacing w:line="360" w:lineRule="auto"/>
        <w:jc w:val="both"/>
        <w:rPr>
          <w:rFonts w:ascii="Arial" w:hAnsi="Arial" w:cs="Arial"/>
          <w:color w:val="000000" w:themeColor="text1"/>
        </w:rPr>
      </w:pPr>
    </w:p>
    <w:p w14:paraId="7DBF75BD" w14:textId="1B16BB73" w:rsidR="00E63740" w:rsidRDefault="00E63740" w:rsidP="00E63740">
      <w:pPr>
        <w:spacing w:line="360" w:lineRule="auto"/>
        <w:ind w:firstLine="1440"/>
        <w:jc w:val="both"/>
        <w:rPr>
          <w:rFonts w:ascii="Arial" w:hAnsi="Arial" w:cs="Arial"/>
          <w:color w:val="000000" w:themeColor="text1"/>
        </w:rPr>
      </w:pPr>
      <w:r>
        <w:rPr>
          <w:rFonts w:ascii="Arial" w:hAnsi="Arial" w:cs="Arial"/>
          <w:color w:val="000000" w:themeColor="text1"/>
        </w:rPr>
        <w:t xml:space="preserve">After conjugation, the concentration of ANXA5 in ANXA5-DM1 was assessed with </w:t>
      </w:r>
      <w:r w:rsidR="003042F9">
        <w:rPr>
          <w:rFonts w:ascii="Arial" w:hAnsi="Arial" w:cs="Arial"/>
          <w:color w:val="000000" w:themeColor="text1"/>
        </w:rPr>
        <w:t xml:space="preserve">the </w:t>
      </w:r>
      <w:r>
        <w:rPr>
          <w:rFonts w:ascii="Arial" w:hAnsi="Arial" w:cs="Arial"/>
          <w:color w:val="000000" w:themeColor="text1"/>
        </w:rPr>
        <w:t xml:space="preserve">Bradford assay. The contribution of that ANXA5 concentration to the 288 nm signal was estimated using the standard curve in </w:t>
      </w:r>
      <w:r w:rsidRPr="00E63AD7">
        <w:rPr>
          <w:rFonts w:ascii="Arial" w:hAnsi="Arial" w:cs="Arial"/>
          <w:b/>
          <w:bCs/>
          <w:color w:val="000000" w:themeColor="text1"/>
        </w:rPr>
        <w:t>Figure</w:t>
      </w:r>
      <w:r w:rsidR="00E63AD7" w:rsidRPr="00E63AD7">
        <w:rPr>
          <w:rFonts w:ascii="Arial" w:hAnsi="Arial" w:cs="Arial"/>
          <w:b/>
          <w:bCs/>
          <w:color w:val="000000" w:themeColor="text1"/>
        </w:rPr>
        <w:t xml:space="preserve"> 63</w:t>
      </w:r>
      <w:r>
        <w:rPr>
          <w:rFonts w:ascii="Arial" w:hAnsi="Arial" w:cs="Arial"/>
          <w:color w:val="000000" w:themeColor="text1"/>
        </w:rPr>
        <w:t xml:space="preserve">. Then, the conjugate endpoint absorption at 288 nm was measured. The concentration of DM1 in the ANXA5-DM1 was calculated by subtracting ANXA5 contribution </w:t>
      </w:r>
      <w:r w:rsidR="000D0E34">
        <w:rPr>
          <w:rFonts w:ascii="Arial" w:hAnsi="Arial" w:cs="Arial"/>
          <w:color w:val="000000" w:themeColor="text1"/>
        </w:rPr>
        <w:t>(</w:t>
      </w:r>
      <w:r w:rsidR="000D0E34" w:rsidRPr="000D0E34">
        <w:rPr>
          <w:rFonts w:ascii="Arial" w:hAnsi="Arial" w:cs="Arial"/>
          <w:b/>
          <w:bCs/>
          <w:color w:val="000000" w:themeColor="text1"/>
        </w:rPr>
        <w:t>Figure 63</w:t>
      </w:r>
      <w:r w:rsidR="000D0E34">
        <w:rPr>
          <w:rFonts w:ascii="Arial" w:hAnsi="Arial" w:cs="Arial"/>
          <w:color w:val="000000" w:themeColor="text1"/>
        </w:rPr>
        <w:t xml:space="preserve">) </w:t>
      </w:r>
      <w:r>
        <w:rPr>
          <w:rFonts w:ascii="Arial" w:hAnsi="Arial" w:cs="Arial"/>
          <w:color w:val="000000" w:themeColor="text1"/>
        </w:rPr>
        <w:t xml:space="preserve">from the total conjugate absorption at 288 nm and then comparing the subtracted result to the DM1 standard curve in </w:t>
      </w:r>
      <w:r w:rsidRPr="00D96C6F">
        <w:rPr>
          <w:rFonts w:ascii="Arial" w:hAnsi="Arial" w:cs="Arial"/>
          <w:b/>
          <w:bCs/>
          <w:color w:val="000000" w:themeColor="text1"/>
        </w:rPr>
        <w:t xml:space="preserve">Figure </w:t>
      </w:r>
      <w:r w:rsidR="00D96C6F" w:rsidRPr="00D96C6F">
        <w:rPr>
          <w:rFonts w:ascii="Arial" w:hAnsi="Arial" w:cs="Arial"/>
          <w:b/>
          <w:bCs/>
          <w:color w:val="000000" w:themeColor="text1"/>
        </w:rPr>
        <w:t>62</w:t>
      </w:r>
      <w:r>
        <w:rPr>
          <w:rFonts w:ascii="Arial" w:hAnsi="Arial" w:cs="Arial"/>
          <w:color w:val="000000" w:themeColor="text1"/>
        </w:rPr>
        <w:t xml:space="preserve">. The molar ratio of DM1/ ANXA5 was 9. The fact that there is an increase in the absorbance at 288 nm compared to unconjugated protein at the same concentration is evidence that the conjugation was effective. </w:t>
      </w:r>
    </w:p>
    <w:p w14:paraId="0F7DDBB0" w14:textId="0572C538" w:rsidR="00054601" w:rsidRDefault="00F404C0" w:rsidP="000822E1">
      <w:pPr>
        <w:spacing w:line="360" w:lineRule="auto"/>
        <w:ind w:firstLine="1440"/>
        <w:jc w:val="both"/>
        <w:rPr>
          <w:rFonts w:ascii="Arial" w:hAnsi="Arial" w:cs="Arial"/>
          <w:b/>
          <w:bCs/>
          <w:color w:val="000000" w:themeColor="text1"/>
        </w:rPr>
      </w:pPr>
      <w:r>
        <w:rPr>
          <w:rFonts w:ascii="Arial" w:hAnsi="Arial" w:cs="Arial"/>
          <w:color w:val="000000" w:themeColor="text1"/>
        </w:rPr>
        <w:lastRenderedPageBreak/>
        <w:t xml:space="preserve">Second, </w:t>
      </w:r>
      <w:r w:rsidR="000F44FF">
        <w:rPr>
          <w:rFonts w:ascii="Arial" w:hAnsi="Arial" w:cs="Arial"/>
          <w:color w:val="000000" w:themeColor="text1"/>
          <w:lang w:val="en"/>
        </w:rPr>
        <w:t>t</w:t>
      </w:r>
      <w:r w:rsidR="000F44FF" w:rsidRPr="000F44FF">
        <w:rPr>
          <w:rFonts w:ascii="Arial" w:hAnsi="Arial" w:cs="Arial"/>
          <w:color w:val="000000" w:themeColor="text1"/>
          <w:lang w:val="en"/>
        </w:rPr>
        <w:t>he ANXA5-DM1 conjugate was analyzed by SDS-PAGE on a 4-20% gradient denaturing gel</w:t>
      </w:r>
      <w:r>
        <w:rPr>
          <w:rFonts w:ascii="Arial" w:hAnsi="Arial" w:cs="Arial"/>
          <w:color w:val="000000" w:themeColor="text1"/>
        </w:rPr>
        <w:t xml:space="preserve">, as shown in </w:t>
      </w:r>
      <w:r>
        <w:rPr>
          <w:rFonts w:ascii="Arial" w:hAnsi="Arial" w:cs="Arial"/>
          <w:b/>
          <w:bCs/>
          <w:color w:val="000000" w:themeColor="text1"/>
        </w:rPr>
        <w:t xml:space="preserve">Figure </w:t>
      </w:r>
      <w:r w:rsidR="00E63AD7">
        <w:rPr>
          <w:rFonts w:ascii="Arial" w:hAnsi="Arial" w:cs="Arial"/>
          <w:b/>
          <w:bCs/>
          <w:color w:val="000000" w:themeColor="text1"/>
        </w:rPr>
        <w:t>64</w:t>
      </w:r>
      <w:r>
        <w:rPr>
          <w:rFonts w:ascii="Arial" w:hAnsi="Arial" w:cs="Arial"/>
          <w:b/>
          <w:bCs/>
          <w:color w:val="000000" w:themeColor="text1"/>
        </w:rPr>
        <w:t>.</w:t>
      </w:r>
    </w:p>
    <w:p w14:paraId="733961AC" w14:textId="77777777" w:rsidR="00E63AD7" w:rsidRDefault="00E63AD7" w:rsidP="000822E1">
      <w:pPr>
        <w:spacing w:line="360" w:lineRule="auto"/>
        <w:ind w:firstLine="1440"/>
        <w:jc w:val="both"/>
        <w:rPr>
          <w:rFonts w:ascii="Arial" w:hAnsi="Arial" w:cs="Arial"/>
          <w:b/>
          <w:bCs/>
          <w:color w:val="000000" w:themeColor="text1"/>
        </w:rPr>
      </w:pPr>
    </w:p>
    <w:tbl>
      <w:tblPr>
        <w:tblStyle w:val="TableGrid"/>
        <w:tblW w:w="0" w:type="auto"/>
        <w:tblLook w:val="04A0" w:firstRow="1" w:lastRow="0" w:firstColumn="1" w:lastColumn="0" w:noHBand="0" w:noVBand="1"/>
      </w:tblPr>
      <w:tblGrid>
        <w:gridCol w:w="9350"/>
      </w:tblGrid>
      <w:tr w:rsidR="00F404C0" w14:paraId="450F6F5A" w14:textId="77777777" w:rsidTr="00F404C0">
        <w:tc>
          <w:tcPr>
            <w:tcW w:w="9350" w:type="dxa"/>
          </w:tcPr>
          <w:p w14:paraId="32D8DFD3" w14:textId="7EC3199C" w:rsidR="00F404C0" w:rsidRDefault="00644710" w:rsidP="00AA1AFF">
            <w:pPr>
              <w:spacing w:beforeAutospacing="0" w:line="360" w:lineRule="auto"/>
              <w:ind w:firstLine="0"/>
              <w:rPr>
                <w:rFonts w:ascii="Arial" w:hAnsi="Arial" w:cs="Arial"/>
                <w:b/>
                <w:bCs/>
                <w:color w:val="000000" w:themeColor="text1"/>
              </w:rPr>
            </w:pPr>
            <w:r w:rsidRPr="00644710">
              <w:rPr>
                <w:rFonts w:ascii="Arial" w:hAnsi="Arial" w:cs="Arial"/>
                <w:b/>
                <w:bCs/>
                <w:noProof/>
                <w:color w:val="000000" w:themeColor="text1"/>
              </w:rPr>
              <w:drawing>
                <wp:inline distT="0" distB="0" distL="0" distR="0" wp14:anchorId="1DBA689D" wp14:editId="543FAF08">
                  <wp:extent cx="5918200" cy="4775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BEBA8EAE-BF5A-486C-A8C5-ECC9F3942E4B}">
                                <a14:imgProps xmlns:a14="http://schemas.microsoft.com/office/drawing/2010/main">
                                  <a14:imgLayer r:embed="rId85">
                                    <a14:imgEffect>
                                      <a14:colorTemperature colorTemp="7200"/>
                                    </a14:imgEffect>
                                    <a14:imgEffect>
                                      <a14:brightnessContrast bright="40000" contrast="-20000"/>
                                    </a14:imgEffect>
                                  </a14:imgLayer>
                                </a14:imgProps>
                              </a:ext>
                            </a:extLst>
                          </a:blip>
                          <a:stretch>
                            <a:fillRect/>
                          </a:stretch>
                        </pic:blipFill>
                        <pic:spPr>
                          <a:xfrm>
                            <a:off x="0" y="0"/>
                            <a:ext cx="5918200" cy="4775200"/>
                          </a:xfrm>
                          <a:prstGeom prst="rect">
                            <a:avLst/>
                          </a:prstGeom>
                        </pic:spPr>
                      </pic:pic>
                    </a:graphicData>
                  </a:graphic>
                </wp:inline>
              </w:drawing>
            </w:r>
          </w:p>
        </w:tc>
      </w:tr>
      <w:tr w:rsidR="00F404C0" w14:paraId="4D9B8684" w14:textId="77777777" w:rsidTr="00F404C0">
        <w:tc>
          <w:tcPr>
            <w:tcW w:w="9350" w:type="dxa"/>
          </w:tcPr>
          <w:p w14:paraId="7C2FB765" w14:textId="69666862" w:rsidR="00F404C0" w:rsidRPr="00E56710" w:rsidRDefault="00471BFF" w:rsidP="002C541F">
            <w:pPr>
              <w:spacing w:before="0" w:beforeAutospacing="0" w:after="0" w:afterAutospacing="0" w:line="360" w:lineRule="auto"/>
              <w:ind w:firstLine="0"/>
              <w:rPr>
                <w:rFonts w:ascii="Arial" w:hAnsi="Arial" w:cs="Arial"/>
                <w:b/>
                <w:bCs/>
                <w:color w:val="000000" w:themeColor="text1"/>
                <w:lang w:val="en"/>
              </w:rPr>
            </w:pPr>
            <w:bookmarkStart w:id="173" w:name="_Toc121217386"/>
            <w:r w:rsidRPr="00471BFF">
              <w:rPr>
                <w:rFonts w:ascii="Arial" w:hAnsi="Arial" w:cs="Arial"/>
                <w:b/>
                <w:bCs/>
                <w:color w:val="000000" w:themeColor="text1"/>
              </w:rPr>
              <w:t xml:space="preserve">Figure </w:t>
            </w:r>
            <w:r w:rsidRPr="00471BFF">
              <w:rPr>
                <w:rFonts w:ascii="Arial" w:hAnsi="Arial" w:cs="Arial"/>
                <w:b/>
                <w:bCs/>
                <w:color w:val="000000" w:themeColor="text1"/>
              </w:rPr>
              <w:fldChar w:fldCharType="begin"/>
            </w:r>
            <w:r w:rsidRPr="00471BFF">
              <w:rPr>
                <w:rFonts w:ascii="Arial" w:hAnsi="Arial" w:cs="Arial"/>
                <w:b/>
                <w:bCs/>
                <w:color w:val="000000" w:themeColor="text1"/>
              </w:rPr>
              <w:instrText xml:space="preserve"> SEQ Figure \* ARABIC </w:instrText>
            </w:r>
            <w:r w:rsidRPr="00471BFF">
              <w:rPr>
                <w:rFonts w:ascii="Arial" w:hAnsi="Arial" w:cs="Arial"/>
                <w:b/>
                <w:bCs/>
                <w:color w:val="000000" w:themeColor="text1"/>
              </w:rPr>
              <w:fldChar w:fldCharType="separate"/>
            </w:r>
            <w:r w:rsidR="002C4B25">
              <w:rPr>
                <w:rFonts w:ascii="Arial" w:hAnsi="Arial" w:cs="Arial"/>
                <w:b/>
                <w:bCs/>
                <w:noProof/>
                <w:color w:val="000000" w:themeColor="text1"/>
              </w:rPr>
              <w:t>64</w:t>
            </w:r>
            <w:r w:rsidRPr="00471BFF">
              <w:rPr>
                <w:rFonts w:ascii="Arial" w:hAnsi="Arial" w:cs="Arial"/>
                <w:b/>
                <w:bCs/>
                <w:color w:val="000000" w:themeColor="text1"/>
                <w:lang w:val="en"/>
              </w:rPr>
              <w:fldChar w:fldCharType="end"/>
            </w:r>
            <w:r w:rsidR="002C541F">
              <w:rPr>
                <w:rFonts w:ascii="Arial" w:hAnsi="Arial" w:cs="Arial"/>
                <w:b/>
                <w:bCs/>
                <w:color w:val="000000" w:themeColor="text1"/>
                <w:lang w:val="en"/>
              </w:rPr>
              <w:t xml:space="preserve">: </w:t>
            </w:r>
            <w:r w:rsidR="002C541F" w:rsidRPr="005165CA">
              <w:rPr>
                <w:rFonts w:ascii="Arial" w:hAnsi="Arial" w:cs="Arial"/>
                <w:b/>
                <w:bCs/>
                <w:color w:val="000000" w:themeColor="text1"/>
                <w:lang w:val="en"/>
              </w:rPr>
              <w:t>SDS-PAGE gel</w:t>
            </w:r>
            <w:r w:rsidR="002C541F">
              <w:rPr>
                <w:rFonts w:ascii="Arial" w:hAnsi="Arial" w:cs="Arial"/>
                <w:b/>
                <w:bCs/>
                <w:color w:val="000000" w:themeColor="text1"/>
                <w:lang w:val="en"/>
              </w:rPr>
              <w:t xml:space="preserve"> of ANXA5 and ANXA5-DM1.</w:t>
            </w:r>
            <w:r w:rsidR="002C541F" w:rsidRPr="005165CA">
              <w:rPr>
                <w:rFonts w:ascii="Arial" w:hAnsi="Arial" w:cs="Arial"/>
                <w:b/>
                <w:bCs/>
                <w:color w:val="000000" w:themeColor="text1"/>
                <w:lang w:val="en"/>
              </w:rPr>
              <w:t xml:space="preserve"> </w:t>
            </w:r>
            <w:r w:rsidR="002C541F">
              <w:rPr>
                <w:rFonts w:ascii="Arial" w:hAnsi="Arial" w:cs="Arial"/>
                <w:color w:val="000000" w:themeColor="text1"/>
                <w:lang w:val="en"/>
              </w:rPr>
              <w:t xml:space="preserve">Samples of </w:t>
            </w:r>
            <w:r w:rsidR="002C541F" w:rsidRPr="00E56710">
              <w:rPr>
                <w:rFonts w:ascii="Arial" w:hAnsi="Arial" w:cs="Arial"/>
                <w:color w:val="000000" w:themeColor="text1"/>
                <w:lang w:val="en"/>
              </w:rPr>
              <w:t xml:space="preserve">5 </w:t>
            </w:r>
            <w:r w:rsidR="002C541F" w:rsidRPr="00E56710">
              <w:rPr>
                <w:rFonts w:ascii="Arial" w:hAnsi="Arial" w:cs="Arial"/>
                <w:color w:val="000000" w:themeColor="text1"/>
                <w:lang w:val="en"/>
              </w:rPr>
              <w:sym w:font="Symbol" w:char="F06D"/>
            </w:r>
            <w:r w:rsidR="002C541F" w:rsidRPr="00E56710">
              <w:rPr>
                <w:rFonts w:ascii="Arial" w:hAnsi="Arial" w:cs="Arial"/>
                <w:color w:val="000000" w:themeColor="text1"/>
                <w:lang w:val="en"/>
              </w:rPr>
              <w:t xml:space="preserve">L of each </w:t>
            </w:r>
            <w:r w:rsidR="002C541F">
              <w:rPr>
                <w:rFonts w:ascii="Arial" w:hAnsi="Arial" w:cs="Arial"/>
                <w:color w:val="000000" w:themeColor="text1"/>
                <w:lang w:val="en"/>
              </w:rPr>
              <w:t xml:space="preserve">of </w:t>
            </w:r>
            <w:r w:rsidR="002C541F" w:rsidRPr="00E56710">
              <w:rPr>
                <w:rFonts w:ascii="Arial" w:hAnsi="Arial" w:cs="Arial"/>
                <w:color w:val="000000" w:themeColor="text1"/>
                <w:lang w:val="en"/>
              </w:rPr>
              <w:t>the A</w:t>
            </w:r>
            <w:r w:rsidR="002C541F">
              <w:rPr>
                <w:rFonts w:ascii="Arial" w:hAnsi="Arial" w:cs="Arial"/>
                <w:color w:val="000000" w:themeColor="text1"/>
                <w:lang w:val="en"/>
              </w:rPr>
              <w:t>NXA5</w:t>
            </w:r>
            <w:r w:rsidR="002C541F" w:rsidRPr="00E56710">
              <w:rPr>
                <w:rFonts w:ascii="Arial" w:hAnsi="Arial" w:cs="Arial"/>
                <w:color w:val="000000" w:themeColor="text1"/>
                <w:lang w:val="en"/>
              </w:rPr>
              <w:t xml:space="preserve"> protein (0.4 mg/mL) and A</w:t>
            </w:r>
            <w:r w:rsidR="002C541F">
              <w:rPr>
                <w:rFonts w:ascii="Arial" w:hAnsi="Arial" w:cs="Arial"/>
                <w:color w:val="000000" w:themeColor="text1"/>
                <w:lang w:val="en"/>
              </w:rPr>
              <w:t>NXA5</w:t>
            </w:r>
            <w:r w:rsidR="002C541F" w:rsidRPr="00E56710">
              <w:rPr>
                <w:rFonts w:ascii="Arial" w:hAnsi="Arial" w:cs="Arial"/>
                <w:color w:val="000000" w:themeColor="text1"/>
                <w:lang w:val="en"/>
              </w:rPr>
              <w:t>-DM1 conjugate (0.4 mg/mL) w</w:t>
            </w:r>
            <w:r w:rsidR="002C541F">
              <w:rPr>
                <w:rFonts w:ascii="Arial" w:hAnsi="Arial" w:cs="Arial"/>
                <w:color w:val="000000" w:themeColor="text1"/>
                <w:lang w:val="en"/>
              </w:rPr>
              <w:t>ere</w:t>
            </w:r>
            <w:r w:rsidR="002C541F" w:rsidRPr="00E56710">
              <w:rPr>
                <w:rFonts w:ascii="Arial" w:hAnsi="Arial" w:cs="Arial"/>
                <w:color w:val="000000" w:themeColor="text1"/>
                <w:lang w:val="en"/>
              </w:rPr>
              <w:t xml:space="preserve"> denatured by boiling with 5 </w:t>
            </w:r>
            <w:r w:rsidR="00FF588A">
              <w:rPr>
                <w:rFonts w:ascii="Arial" w:hAnsi="Arial" w:cs="Arial"/>
                <w:color w:val="000000" w:themeColor="text1"/>
                <w:lang w:val="en"/>
              </w:rPr>
              <w:sym w:font="Symbol" w:char="F06D"/>
            </w:r>
            <w:r w:rsidR="002C541F" w:rsidRPr="00E56710">
              <w:rPr>
                <w:rFonts w:ascii="Arial" w:hAnsi="Arial" w:cs="Arial"/>
                <w:color w:val="000000" w:themeColor="text1"/>
                <w:lang w:val="en"/>
              </w:rPr>
              <w:t xml:space="preserve">L </w:t>
            </w:r>
            <w:proofErr w:type="spellStart"/>
            <w:r w:rsidR="002C541F" w:rsidRPr="00E56710">
              <w:rPr>
                <w:rFonts w:ascii="Arial" w:hAnsi="Arial" w:cs="Arial"/>
                <w:color w:val="000000" w:themeColor="text1"/>
                <w:lang w:val="en"/>
              </w:rPr>
              <w:t>Laemmli</w:t>
            </w:r>
            <w:proofErr w:type="spellEnd"/>
            <w:r w:rsidR="002C541F" w:rsidRPr="00E56710">
              <w:rPr>
                <w:rFonts w:ascii="Arial" w:hAnsi="Arial" w:cs="Arial"/>
                <w:color w:val="000000" w:themeColor="text1"/>
                <w:lang w:val="en"/>
              </w:rPr>
              <w:t xml:space="preserve"> sample buffer. </w:t>
            </w:r>
            <w:r w:rsidR="002C541F">
              <w:rPr>
                <w:rFonts w:ascii="Arial" w:hAnsi="Arial" w:cs="Arial"/>
                <w:color w:val="000000" w:themeColor="text1"/>
                <w:lang w:val="en"/>
              </w:rPr>
              <w:t>The l</w:t>
            </w:r>
            <w:r w:rsidR="002C541F" w:rsidRPr="00E56710">
              <w:rPr>
                <w:rFonts w:ascii="Arial" w:hAnsi="Arial" w:cs="Arial"/>
                <w:color w:val="000000" w:themeColor="text1"/>
                <w:lang w:val="en"/>
              </w:rPr>
              <w:t>adder</w:t>
            </w:r>
            <w:r w:rsidR="002C541F" w:rsidRPr="00E33807">
              <w:rPr>
                <w:rFonts w:ascii="Arial" w:hAnsi="Arial" w:cs="Arial"/>
                <w:color w:val="000000" w:themeColor="text1"/>
                <w:lang w:val="en"/>
              </w:rPr>
              <w:t xml:space="preserve"> </w:t>
            </w:r>
            <w:r w:rsidR="002C541F" w:rsidRPr="00E56710">
              <w:rPr>
                <w:rFonts w:ascii="Arial" w:hAnsi="Arial" w:cs="Arial"/>
                <w:color w:val="000000" w:themeColor="text1"/>
                <w:lang w:val="en"/>
              </w:rPr>
              <w:t>provide</w:t>
            </w:r>
            <w:r w:rsidR="002C541F">
              <w:rPr>
                <w:rFonts w:ascii="Arial" w:hAnsi="Arial" w:cs="Arial"/>
                <w:color w:val="000000" w:themeColor="text1"/>
                <w:lang w:val="en"/>
              </w:rPr>
              <w:t>s</w:t>
            </w:r>
            <w:r w:rsidR="002C541F" w:rsidRPr="00E56710">
              <w:rPr>
                <w:rFonts w:ascii="Arial" w:hAnsi="Arial" w:cs="Arial"/>
                <w:color w:val="000000" w:themeColor="text1"/>
                <w:lang w:val="en"/>
              </w:rPr>
              <w:t xml:space="preserve"> molecular weight standards to estimate the size of proteins separated by gel electrophoresis</w:t>
            </w:r>
            <w:r w:rsidR="002C541F">
              <w:rPr>
                <w:rFonts w:ascii="Arial" w:hAnsi="Arial" w:cs="Arial"/>
                <w:color w:val="000000" w:themeColor="text1"/>
                <w:lang w:val="en"/>
              </w:rPr>
              <w:t>. 1,5) Molecular ladder; 2,4) unconjugated ANXA5; 3) ANXA5-DM1 conjugate. The increase in molecular weight compared to unconjugated ANXA5 is evidence of successful conjugation.</w:t>
            </w:r>
            <w:bookmarkEnd w:id="173"/>
          </w:p>
        </w:tc>
      </w:tr>
    </w:tbl>
    <w:p w14:paraId="780BDCE2" w14:textId="77777777" w:rsidR="00471BFF" w:rsidRDefault="00471BFF" w:rsidP="008A58E9">
      <w:pPr>
        <w:spacing w:line="360" w:lineRule="auto"/>
        <w:ind w:firstLine="1440"/>
        <w:jc w:val="both"/>
        <w:rPr>
          <w:rFonts w:ascii="Arial" w:hAnsi="Arial" w:cs="Arial"/>
          <w:color w:val="000000" w:themeColor="text1"/>
          <w:lang w:val="en"/>
        </w:rPr>
      </w:pPr>
    </w:p>
    <w:p w14:paraId="14BB1C16" w14:textId="77777777" w:rsidR="00471BFF" w:rsidRDefault="00471BFF" w:rsidP="008A58E9">
      <w:pPr>
        <w:spacing w:line="360" w:lineRule="auto"/>
        <w:ind w:firstLine="1440"/>
        <w:jc w:val="both"/>
        <w:rPr>
          <w:rFonts w:ascii="Arial" w:hAnsi="Arial" w:cs="Arial"/>
          <w:color w:val="000000" w:themeColor="text1"/>
          <w:lang w:val="en"/>
        </w:rPr>
      </w:pPr>
    </w:p>
    <w:p w14:paraId="6B39C4E1" w14:textId="28F3A97F" w:rsidR="008A58E9" w:rsidRDefault="008A58E9" w:rsidP="008A58E9">
      <w:pPr>
        <w:spacing w:line="360" w:lineRule="auto"/>
        <w:ind w:firstLine="1440"/>
        <w:jc w:val="both"/>
        <w:rPr>
          <w:rFonts w:ascii="Arial" w:hAnsi="Arial" w:cs="Arial"/>
          <w:color w:val="000000" w:themeColor="text1"/>
        </w:rPr>
      </w:pPr>
      <w:r w:rsidRPr="00210F61">
        <w:rPr>
          <w:rFonts w:ascii="Arial" w:hAnsi="Arial" w:cs="Arial"/>
          <w:color w:val="000000" w:themeColor="text1"/>
          <w:lang w:val="en"/>
        </w:rPr>
        <w:lastRenderedPageBreak/>
        <w:t xml:space="preserve">SDS-PAGE </w:t>
      </w:r>
      <w:r>
        <w:rPr>
          <w:rFonts w:ascii="Arial" w:hAnsi="Arial" w:cs="Arial"/>
          <w:color w:val="000000" w:themeColor="text1"/>
          <w:lang w:val="en"/>
        </w:rPr>
        <w:t xml:space="preserve">electrophoresis </w:t>
      </w:r>
      <w:r w:rsidRPr="00210F61">
        <w:rPr>
          <w:rFonts w:ascii="Arial" w:hAnsi="Arial" w:cs="Arial"/>
          <w:color w:val="000000" w:themeColor="text1"/>
          <w:lang w:val="en"/>
        </w:rPr>
        <w:t>separates proteins based on size. An electric potential is applied to the gel</w:t>
      </w:r>
      <w:r>
        <w:rPr>
          <w:rFonts w:ascii="Arial" w:hAnsi="Arial" w:cs="Arial"/>
          <w:color w:val="000000" w:themeColor="text1"/>
          <w:lang w:val="en"/>
        </w:rPr>
        <w:t>,</w:t>
      </w:r>
      <w:r w:rsidRPr="00210F61">
        <w:rPr>
          <w:rFonts w:ascii="Arial" w:hAnsi="Arial" w:cs="Arial"/>
          <w:color w:val="000000" w:themeColor="text1"/>
          <w:lang w:val="en"/>
        </w:rPr>
        <w:t xml:space="preserve"> causing proteins to migrate through the gel. Larger proteins are </w:t>
      </w:r>
      <w:r>
        <w:rPr>
          <w:rFonts w:ascii="Arial" w:hAnsi="Arial" w:cs="Arial"/>
          <w:color w:val="000000" w:themeColor="text1"/>
          <w:lang w:val="en"/>
        </w:rPr>
        <w:t xml:space="preserve">more </w:t>
      </w:r>
      <w:r w:rsidRPr="00210F61">
        <w:rPr>
          <w:rFonts w:ascii="Arial" w:hAnsi="Arial" w:cs="Arial"/>
          <w:color w:val="000000" w:themeColor="text1"/>
          <w:lang w:val="en"/>
        </w:rPr>
        <w:t xml:space="preserve">impeded </w:t>
      </w:r>
      <w:r>
        <w:rPr>
          <w:rFonts w:ascii="Arial" w:hAnsi="Arial" w:cs="Arial"/>
          <w:color w:val="000000" w:themeColor="text1"/>
          <w:lang w:val="en"/>
        </w:rPr>
        <w:t>from moving through the gel than</w:t>
      </w:r>
      <w:r w:rsidRPr="00210F61">
        <w:rPr>
          <w:rFonts w:ascii="Arial" w:hAnsi="Arial" w:cs="Arial"/>
          <w:color w:val="000000" w:themeColor="text1"/>
          <w:lang w:val="en"/>
        </w:rPr>
        <w:t xml:space="preserve"> smaller or unconjugated proteins.</w:t>
      </w:r>
      <w:r>
        <w:rPr>
          <w:rFonts w:ascii="Arial" w:hAnsi="Arial" w:cs="Arial"/>
          <w:color w:val="000000" w:themeColor="text1"/>
          <w:lang w:val="en"/>
        </w:rPr>
        <w:t xml:space="preserve"> </w:t>
      </w:r>
      <w:r w:rsidRPr="005D5FAA">
        <w:rPr>
          <w:rFonts w:ascii="Arial" w:hAnsi="Arial" w:cs="Arial"/>
          <w:b/>
          <w:bCs/>
          <w:color w:val="000000" w:themeColor="text1"/>
          <w:lang w:val="en"/>
        </w:rPr>
        <w:t xml:space="preserve">Figure </w:t>
      </w:r>
      <w:r w:rsidR="005D5FAA" w:rsidRPr="005D5FAA">
        <w:rPr>
          <w:rFonts w:ascii="Arial" w:hAnsi="Arial" w:cs="Arial"/>
          <w:b/>
          <w:bCs/>
          <w:color w:val="000000" w:themeColor="text1"/>
          <w:lang w:val="en"/>
        </w:rPr>
        <w:t>64</w:t>
      </w:r>
      <w:r>
        <w:rPr>
          <w:rFonts w:ascii="Arial" w:hAnsi="Arial" w:cs="Arial"/>
          <w:color w:val="000000" w:themeColor="text1"/>
          <w:lang w:val="en"/>
        </w:rPr>
        <w:t xml:space="preserve"> shows that the unconjugated protein in lanes </w:t>
      </w:r>
      <w:r w:rsidR="009B4720">
        <w:rPr>
          <w:rFonts w:ascii="Arial" w:hAnsi="Arial" w:cs="Arial"/>
          <w:color w:val="000000" w:themeColor="text1"/>
          <w:lang w:val="en"/>
        </w:rPr>
        <w:t>two</w:t>
      </w:r>
      <w:r>
        <w:rPr>
          <w:rFonts w:ascii="Arial" w:hAnsi="Arial" w:cs="Arial"/>
          <w:color w:val="000000" w:themeColor="text1"/>
          <w:lang w:val="en"/>
        </w:rPr>
        <w:t xml:space="preserve"> and </w:t>
      </w:r>
      <w:r w:rsidR="009B4720">
        <w:rPr>
          <w:rFonts w:ascii="Arial" w:hAnsi="Arial" w:cs="Arial"/>
          <w:color w:val="000000" w:themeColor="text1"/>
          <w:lang w:val="en"/>
        </w:rPr>
        <w:t>four</w:t>
      </w:r>
      <w:r>
        <w:rPr>
          <w:rFonts w:ascii="Arial" w:hAnsi="Arial" w:cs="Arial"/>
          <w:color w:val="000000" w:themeColor="text1"/>
          <w:lang w:val="en"/>
        </w:rPr>
        <w:t xml:space="preserve"> migrated farther than ANXA5-DM1. Additionally, the absence of other protein bands confirms the purity of both ANXA5 and ANXA5-DM1 and the lack of protein-protein linkage during conjugation.</w:t>
      </w:r>
    </w:p>
    <w:p w14:paraId="0F35E995" w14:textId="77B522CF" w:rsidR="00BE108B" w:rsidRPr="00682638" w:rsidRDefault="00BE108B" w:rsidP="00BE108B">
      <w:pPr>
        <w:spacing w:line="360" w:lineRule="auto"/>
        <w:ind w:firstLine="1440"/>
        <w:jc w:val="both"/>
        <w:rPr>
          <w:color w:val="000000" w:themeColor="text1"/>
        </w:rPr>
      </w:pPr>
      <w:r>
        <w:rPr>
          <w:rFonts w:ascii="Arial" w:hAnsi="Arial" w:cs="Arial"/>
          <w:color w:val="000000" w:themeColor="text1"/>
        </w:rPr>
        <w:t xml:space="preserve">UV-vis spectroscopy was also used to prove the linkage of ANXA5-DM1 to AuNP. First, the contribution of AuNP to Bradford Assay at various concentrations of AuNP was used to create a standard curve at 595 nm. Bradford reagent </w:t>
      </w:r>
      <w:r w:rsidR="005952EB">
        <w:rPr>
          <w:rFonts w:ascii="Arial" w:hAnsi="Arial" w:cs="Arial"/>
          <w:color w:val="000000" w:themeColor="text1"/>
        </w:rPr>
        <w:t xml:space="preserve">(250 </w:t>
      </w:r>
      <w:r w:rsidR="003E3412">
        <w:rPr>
          <w:rFonts w:ascii="Arial" w:hAnsi="Arial" w:cs="Arial"/>
          <w:color w:val="000000" w:themeColor="text1"/>
        </w:rPr>
        <w:sym w:font="Symbol" w:char="F06D"/>
      </w:r>
      <w:r w:rsidR="003E3412">
        <w:rPr>
          <w:rFonts w:ascii="Arial" w:hAnsi="Arial" w:cs="Arial"/>
          <w:color w:val="000000" w:themeColor="text1"/>
        </w:rPr>
        <w:t xml:space="preserve">L) </w:t>
      </w:r>
      <w:r>
        <w:rPr>
          <w:rFonts w:ascii="Arial" w:hAnsi="Arial" w:cs="Arial"/>
          <w:color w:val="000000" w:themeColor="text1"/>
        </w:rPr>
        <w:t>w</w:t>
      </w:r>
      <w:r w:rsidR="003E3412">
        <w:rPr>
          <w:rFonts w:ascii="Arial" w:hAnsi="Arial" w:cs="Arial"/>
          <w:color w:val="000000" w:themeColor="text1"/>
        </w:rPr>
        <w:t>as</w:t>
      </w:r>
      <w:r>
        <w:rPr>
          <w:rFonts w:ascii="Arial" w:hAnsi="Arial" w:cs="Arial"/>
          <w:color w:val="000000" w:themeColor="text1"/>
        </w:rPr>
        <w:t xml:space="preserve"> added to wells in 96-well plates. AuNP samples</w:t>
      </w:r>
      <w:r w:rsidR="003E3412">
        <w:rPr>
          <w:rFonts w:ascii="Arial" w:hAnsi="Arial" w:cs="Arial"/>
          <w:color w:val="000000" w:themeColor="text1"/>
        </w:rPr>
        <w:t xml:space="preserve"> (5 </w:t>
      </w:r>
      <w:r w:rsidR="003E3412">
        <w:rPr>
          <w:rFonts w:ascii="Arial" w:hAnsi="Arial" w:cs="Arial"/>
          <w:color w:val="000000" w:themeColor="text1"/>
        </w:rPr>
        <w:sym w:font="Symbol" w:char="F06D"/>
      </w:r>
      <w:r w:rsidR="003E3412">
        <w:rPr>
          <w:rFonts w:ascii="Arial" w:hAnsi="Arial" w:cs="Arial"/>
          <w:color w:val="000000" w:themeColor="text1"/>
        </w:rPr>
        <w:t>L)</w:t>
      </w:r>
      <w:r>
        <w:rPr>
          <w:rFonts w:ascii="Arial" w:hAnsi="Arial" w:cs="Arial"/>
          <w:color w:val="000000" w:themeColor="text1"/>
        </w:rPr>
        <w:t xml:space="preserve"> with known concentrations were added to the Bradford reagent samples. Endpoint absorbance at 595 nm was measured to obtain a standard curve for the contribution of AuNP to </w:t>
      </w:r>
      <w:r w:rsidR="00525CD9">
        <w:rPr>
          <w:rFonts w:ascii="Arial" w:hAnsi="Arial" w:cs="Arial"/>
          <w:color w:val="000000" w:themeColor="text1"/>
        </w:rPr>
        <w:t xml:space="preserve">the </w:t>
      </w:r>
      <w:r>
        <w:rPr>
          <w:rFonts w:ascii="Arial" w:hAnsi="Arial" w:cs="Arial"/>
          <w:color w:val="000000" w:themeColor="text1"/>
        </w:rPr>
        <w:t xml:space="preserve">Bradford assay, as shown in </w:t>
      </w:r>
      <w:r w:rsidRPr="00E63E65">
        <w:rPr>
          <w:rFonts w:ascii="Arial" w:hAnsi="Arial" w:cs="Arial"/>
          <w:b/>
          <w:bCs/>
          <w:color w:val="000000" w:themeColor="text1"/>
        </w:rPr>
        <w:t xml:space="preserve">Figure </w:t>
      </w:r>
      <w:r w:rsidR="00E63E65" w:rsidRPr="00E63E65">
        <w:rPr>
          <w:rFonts w:ascii="Arial" w:hAnsi="Arial" w:cs="Arial"/>
          <w:b/>
          <w:bCs/>
          <w:color w:val="000000" w:themeColor="text1"/>
        </w:rPr>
        <w:t>65</w:t>
      </w:r>
      <w:r>
        <w:rPr>
          <w:rFonts w:ascii="Arial" w:hAnsi="Arial" w:cs="Arial"/>
          <w:color w:val="000000" w:themeColor="text1"/>
        </w:rPr>
        <w:t>.</w:t>
      </w:r>
    </w:p>
    <w:p w14:paraId="63FC653B" w14:textId="5D375015" w:rsidR="00D50330" w:rsidRPr="00D74025" w:rsidRDefault="00D50330" w:rsidP="00E56710">
      <w:pPr>
        <w:spacing w:line="360" w:lineRule="auto"/>
        <w:jc w:val="both"/>
        <w:rPr>
          <w:color w:val="000000" w:themeColor="text1"/>
        </w:rPr>
      </w:pPr>
    </w:p>
    <w:tbl>
      <w:tblPr>
        <w:tblStyle w:val="TableGrid"/>
        <w:tblW w:w="0" w:type="auto"/>
        <w:tblLook w:val="04A0" w:firstRow="1" w:lastRow="0" w:firstColumn="1" w:lastColumn="0" w:noHBand="0" w:noVBand="1"/>
      </w:tblPr>
      <w:tblGrid>
        <w:gridCol w:w="9350"/>
      </w:tblGrid>
      <w:tr w:rsidR="00977308" w14:paraId="726F4D7C" w14:textId="77777777" w:rsidTr="00977308">
        <w:tc>
          <w:tcPr>
            <w:tcW w:w="9350" w:type="dxa"/>
          </w:tcPr>
          <w:p w14:paraId="2E00DEC7" w14:textId="17A78BBC" w:rsidR="00977308" w:rsidRDefault="00B07FD3" w:rsidP="00AA1AFF">
            <w:pPr>
              <w:spacing w:beforeAutospacing="0"/>
              <w:ind w:firstLine="0"/>
              <w:jc w:val="center"/>
              <w:rPr>
                <w:color w:val="000000" w:themeColor="text1"/>
              </w:rPr>
            </w:pPr>
            <w:r w:rsidRPr="00B07FD3">
              <w:rPr>
                <w:noProof/>
                <w:color w:val="000000" w:themeColor="text1"/>
              </w:rPr>
              <w:drawing>
                <wp:inline distT="0" distB="0" distL="0" distR="0" wp14:anchorId="11A86D03" wp14:editId="056ACB09">
                  <wp:extent cx="5156200" cy="36957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156200" cy="3695700"/>
                          </a:xfrm>
                          <a:prstGeom prst="rect">
                            <a:avLst/>
                          </a:prstGeom>
                        </pic:spPr>
                      </pic:pic>
                    </a:graphicData>
                  </a:graphic>
                </wp:inline>
              </w:drawing>
            </w:r>
          </w:p>
        </w:tc>
      </w:tr>
      <w:tr w:rsidR="00977308" w14:paraId="1B2F7E5A" w14:textId="77777777" w:rsidTr="00977308">
        <w:tc>
          <w:tcPr>
            <w:tcW w:w="9350" w:type="dxa"/>
          </w:tcPr>
          <w:p w14:paraId="32FC7C0B" w14:textId="70B864D8" w:rsidR="00977308" w:rsidRPr="00E56710" w:rsidRDefault="00471BFF" w:rsidP="005D16BD">
            <w:pPr>
              <w:spacing w:before="0" w:beforeAutospacing="0" w:after="0" w:afterAutospacing="0" w:line="360" w:lineRule="auto"/>
              <w:ind w:firstLine="0"/>
              <w:rPr>
                <w:rFonts w:ascii="Arial" w:hAnsi="Arial" w:cs="Arial"/>
                <w:color w:val="000000" w:themeColor="text1"/>
              </w:rPr>
            </w:pPr>
            <w:bookmarkStart w:id="174" w:name="_Toc121217387"/>
            <w:r w:rsidRPr="00471BFF">
              <w:rPr>
                <w:rFonts w:ascii="Arial" w:hAnsi="Arial" w:cs="Arial"/>
                <w:b/>
                <w:bCs/>
                <w:color w:val="000000" w:themeColor="text1"/>
              </w:rPr>
              <w:t xml:space="preserve">Figure </w:t>
            </w:r>
            <w:r w:rsidRPr="00471BFF">
              <w:rPr>
                <w:rFonts w:ascii="Arial" w:hAnsi="Arial" w:cs="Arial"/>
                <w:b/>
                <w:bCs/>
                <w:color w:val="000000" w:themeColor="text1"/>
              </w:rPr>
              <w:fldChar w:fldCharType="begin"/>
            </w:r>
            <w:r w:rsidRPr="00471BFF">
              <w:rPr>
                <w:rFonts w:ascii="Arial" w:hAnsi="Arial" w:cs="Arial"/>
                <w:b/>
                <w:bCs/>
                <w:color w:val="000000" w:themeColor="text1"/>
              </w:rPr>
              <w:instrText xml:space="preserve"> SEQ Figure \* ARABIC </w:instrText>
            </w:r>
            <w:r w:rsidRPr="00471BFF">
              <w:rPr>
                <w:rFonts w:ascii="Arial" w:hAnsi="Arial" w:cs="Arial"/>
                <w:b/>
                <w:bCs/>
                <w:color w:val="000000" w:themeColor="text1"/>
              </w:rPr>
              <w:fldChar w:fldCharType="separate"/>
            </w:r>
            <w:r w:rsidR="002C4B25">
              <w:rPr>
                <w:rFonts w:ascii="Arial" w:hAnsi="Arial" w:cs="Arial"/>
                <w:b/>
                <w:bCs/>
                <w:noProof/>
                <w:color w:val="000000" w:themeColor="text1"/>
              </w:rPr>
              <w:t>65</w:t>
            </w:r>
            <w:r w:rsidRPr="00471BFF">
              <w:rPr>
                <w:rFonts w:ascii="Arial" w:hAnsi="Arial" w:cs="Arial"/>
                <w:b/>
                <w:bCs/>
                <w:color w:val="000000" w:themeColor="text1"/>
              </w:rPr>
              <w:fldChar w:fldCharType="end"/>
            </w:r>
            <w:r w:rsidR="005D16BD" w:rsidRPr="00E56710">
              <w:rPr>
                <w:rFonts w:ascii="Arial" w:hAnsi="Arial" w:cs="Arial"/>
                <w:b/>
                <w:bCs/>
                <w:color w:val="000000" w:themeColor="text1"/>
              </w:rPr>
              <w:t>: Contribution of AuNP to Bradford assay.</w:t>
            </w:r>
            <w:r w:rsidR="005D16BD">
              <w:rPr>
                <w:rFonts w:ascii="Arial" w:hAnsi="Arial" w:cs="Arial"/>
                <w:color w:val="000000" w:themeColor="text1"/>
              </w:rPr>
              <w:t xml:space="preserve"> A standard curve for AuNP in Bradford Reagent was obtained by adding 5 </w:t>
            </w:r>
            <w:r w:rsidR="005D16BD">
              <w:rPr>
                <w:rFonts w:ascii="Arial" w:hAnsi="Arial" w:cs="Arial"/>
                <w:color w:val="000000" w:themeColor="text1"/>
              </w:rPr>
              <w:sym w:font="Symbol" w:char="F06D"/>
            </w:r>
            <w:r w:rsidR="005D16BD">
              <w:rPr>
                <w:rFonts w:ascii="Arial" w:hAnsi="Arial" w:cs="Arial"/>
                <w:color w:val="000000" w:themeColor="text1"/>
              </w:rPr>
              <w:t xml:space="preserve">L of AuNP samples with a known </w:t>
            </w:r>
            <w:r w:rsidR="005D16BD">
              <w:rPr>
                <w:rFonts w:ascii="Arial" w:hAnsi="Arial" w:cs="Arial"/>
                <w:color w:val="000000" w:themeColor="text1"/>
              </w:rPr>
              <w:lastRenderedPageBreak/>
              <w:t xml:space="preserve">concentration in 250 </w:t>
            </w:r>
            <w:r w:rsidR="005D16BD">
              <w:rPr>
                <w:rFonts w:ascii="Arial" w:hAnsi="Arial" w:cs="Arial"/>
                <w:color w:val="000000" w:themeColor="text1"/>
              </w:rPr>
              <w:sym w:font="Symbol" w:char="F06D"/>
            </w:r>
            <w:r w:rsidR="005D16BD">
              <w:rPr>
                <w:rFonts w:ascii="Arial" w:hAnsi="Arial" w:cs="Arial"/>
                <w:color w:val="000000" w:themeColor="text1"/>
              </w:rPr>
              <w:t xml:space="preserve">L of Bradford reagent. The endpoint absorbance was read at 595 nm. Blank was 5 </w:t>
            </w:r>
            <w:r w:rsidR="005D16BD">
              <w:rPr>
                <w:rFonts w:ascii="Arial" w:hAnsi="Arial" w:cs="Arial"/>
                <w:color w:val="000000" w:themeColor="text1"/>
              </w:rPr>
              <w:sym w:font="Symbol" w:char="F06D"/>
            </w:r>
            <w:r w:rsidR="005D16BD">
              <w:rPr>
                <w:rFonts w:ascii="Arial" w:hAnsi="Arial" w:cs="Arial"/>
                <w:color w:val="000000" w:themeColor="text1"/>
              </w:rPr>
              <w:t xml:space="preserve">L of PBS + 250 </w:t>
            </w:r>
            <w:r w:rsidR="005D16BD">
              <w:rPr>
                <w:rFonts w:ascii="Arial" w:hAnsi="Arial" w:cs="Arial"/>
                <w:color w:val="000000" w:themeColor="text1"/>
              </w:rPr>
              <w:sym w:font="Symbol" w:char="F06D"/>
            </w:r>
            <w:r w:rsidR="005D16BD">
              <w:rPr>
                <w:rFonts w:ascii="Arial" w:hAnsi="Arial" w:cs="Arial"/>
                <w:color w:val="000000" w:themeColor="text1"/>
              </w:rPr>
              <w:t>L of Bradford reagent. This protocol is identical to the one used for the Bradford assay to measure protein concentration.</w:t>
            </w:r>
            <w:bookmarkEnd w:id="174"/>
          </w:p>
        </w:tc>
      </w:tr>
    </w:tbl>
    <w:p w14:paraId="1FAADD44" w14:textId="5E54BF56" w:rsidR="00471BFF" w:rsidRDefault="00471BFF" w:rsidP="00476142">
      <w:pPr>
        <w:rPr>
          <w:color w:val="000000" w:themeColor="text1"/>
        </w:rPr>
      </w:pPr>
    </w:p>
    <w:p w14:paraId="743D1CB5" w14:textId="77777777" w:rsidR="00471BFF" w:rsidRPr="00D74025" w:rsidRDefault="00471BFF" w:rsidP="00476142">
      <w:pPr>
        <w:rPr>
          <w:color w:val="000000" w:themeColor="text1"/>
        </w:rPr>
      </w:pPr>
    </w:p>
    <w:p w14:paraId="1A84A512" w14:textId="161C4F58" w:rsidR="00981306" w:rsidRDefault="00981306" w:rsidP="00981306">
      <w:pPr>
        <w:spacing w:line="360" w:lineRule="auto"/>
        <w:ind w:firstLine="1440"/>
        <w:jc w:val="both"/>
        <w:rPr>
          <w:rFonts w:ascii="Arial" w:hAnsi="Arial" w:cs="Arial"/>
          <w:color w:val="000000" w:themeColor="text1"/>
        </w:rPr>
      </w:pPr>
      <w:r>
        <w:rPr>
          <w:rFonts w:ascii="Arial" w:hAnsi="Arial" w:cs="Arial"/>
          <w:color w:val="000000" w:themeColor="text1"/>
        </w:rPr>
        <w:t xml:space="preserve">After the linkage of AuNP to ANXA5-DM1, </w:t>
      </w:r>
      <w:r w:rsidRPr="002F6657">
        <w:rPr>
          <w:rFonts w:ascii="Arial" w:hAnsi="Arial" w:cs="Arial"/>
          <w:color w:val="000000" w:themeColor="text1"/>
        </w:rPr>
        <w:t xml:space="preserve">the concentration of AuNP was assessed using absorbance at 520 nm and compared to </w:t>
      </w:r>
      <w:r>
        <w:rPr>
          <w:rFonts w:ascii="Arial" w:hAnsi="Arial" w:cs="Arial"/>
          <w:color w:val="000000" w:themeColor="text1"/>
        </w:rPr>
        <w:t xml:space="preserve">the </w:t>
      </w:r>
      <w:r w:rsidRPr="002F6657">
        <w:rPr>
          <w:rFonts w:ascii="Arial" w:hAnsi="Arial" w:cs="Arial"/>
          <w:color w:val="000000" w:themeColor="text1"/>
        </w:rPr>
        <w:t xml:space="preserve">standard curve previously obtained (available in </w:t>
      </w:r>
      <w:r w:rsidR="00525CD9">
        <w:rPr>
          <w:rFonts w:ascii="Arial" w:hAnsi="Arial" w:cs="Arial"/>
          <w:color w:val="000000" w:themeColor="text1"/>
        </w:rPr>
        <w:t>A</w:t>
      </w:r>
      <w:r w:rsidRPr="002F6657">
        <w:rPr>
          <w:rFonts w:ascii="Arial" w:hAnsi="Arial" w:cs="Arial"/>
          <w:color w:val="000000" w:themeColor="text1"/>
        </w:rPr>
        <w:t>ppendix A</w:t>
      </w:r>
      <w:r w:rsidR="00E63E65">
        <w:rPr>
          <w:rFonts w:ascii="Arial" w:hAnsi="Arial" w:cs="Arial"/>
          <w:color w:val="000000" w:themeColor="text1"/>
        </w:rPr>
        <w:t xml:space="preserve"> – </w:t>
      </w:r>
      <w:r w:rsidR="00E63E65" w:rsidRPr="00E63E65">
        <w:rPr>
          <w:rFonts w:ascii="Arial" w:hAnsi="Arial" w:cs="Arial"/>
          <w:b/>
          <w:bCs/>
          <w:color w:val="000000" w:themeColor="text1"/>
        </w:rPr>
        <w:t>Figure 82</w:t>
      </w:r>
      <w:r w:rsidRPr="002F6657">
        <w:rPr>
          <w:rFonts w:ascii="Arial" w:hAnsi="Arial" w:cs="Arial"/>
          <w:color w:val="000000" w:themeColor="text1"/>
        </w:rPr>
        <w:t>).</w:t>
      </w:r>
      <w:r>
        <w:rPr>
          <w:rFonts w:ascii="Arial" w:hAnsi="Arial" w:cs="Arial"/>
          <w:color w:val="000000" w:themeColor="text1"/>
        </w:rPr>
        <w:t xml:space="preserve"> The contribution of the measured AuNP concentration to </w:t>
      </w:r>
      <w:r w:rsidR="00CB0EA4">
        <w:rPr>
          <w:rFonts w:ascii="Arial" w:hAnsi="Arial" w:cs="Arial"/>
          <w:color w:val="000000" w:themeColor="text1"/>
        </w:rPr>
        <w:t xml:space="preserve">the </w:t>
      </w:r>
      <w:r>
        <w:rPr>
          <w:rFonts w:ascii="Arial" w:hAnsi="Arial" w:cs="Arial"/>
          <w:color w:val="000000" w:themeColor="text1"/>
        </w:rPr>
        <w:t xml:space="preserve">Bradford </w:t>
      </w:r>
      <w:r w:rsidR="00CB0EA4">
        <w:rPr>
          <w:rFonts w:ascii="Arial" w:hAnsi="Arial" w:cs="Arial"/>
          <w:color w:val="000000" w:themeColor="text1"/>
        </w:rPr>
        <w:t>a</w:t>
      </w:r>
      <w:r>
        <w:rPr>
          <w:rFonts w:ascii="Arial" w:hAnsi="Arial" w:cs="Arial"/>
          <w:color w:val="000000" w:themeColor="text1"/>
        </w:rPr>
        <w:t xml:space="preserve">ssay in the AuNP-ANXA5-DM1 was estimated using the standard in </w:t>
      </w:r>
      <w:r w:rsidRPr="00E63E65">
        <w:rPr>
          <w:rFonts w:ascii="Arial" w:hAnsi="Arial" w:cs="Arial"/>
          <w:b/>
          <w:bCs/>
          <w:color w:val="000000" w:themeColor="text1"/>
        </w:rPr>
        <w:t xml:space="preserve">Figure </w:t>
      </w:r>
      <w:r w:rsidR="00E63E65" w:rsidRPr="00E63E65">
        <w:rPr>
          <w:rFonts w:ascii="Arial" w:hAnsi="Arial" w:cs="Arial"/>
          <w:b/>
          <w:bCs/>
          <w:color w:val="000000" w:themeColor="text1"/>
        </w:rPr>
        <w:t>65</w:t>
      </w:r>
      <w:r>
        <w:rPr>
          <w:rFonts w:ascii="Arial" w:hAnsi="Arial" w:cs="Arial"/>
          <w:color w:val="000000" w:themeColor="text1"/>
        </w:rPr>
        <w:t>. Then, a Bradford assay was performed with the conjugate. The signal obtained from the AuNP was subtracted from the signal obtained from the conjugate in the Bradford assay. The concentration of protein in the AuNP-ANXA5-DM1 was determined using the adjusted signal and compared to the protein concentration standard curve. The presence of protein in AuNP-ANXA5-DM1 assessed by Bradford assay is evidence that the link between AuNP and ANXA5-DM1 was successful.</w:t>
      </w:r>
    </w:p>
    <w:p w14:paraId="7E9E1424" w14:textId="04ABB56A" w:rsidR="00AC4231" w:rsidRDefault="00AC4231" w:rsidP="00AC4231">
      <w:pPr>
        <w:spacing w:line="360" w:lineRule="auto"/>
        <w:ind w:firstLine="1440"/>
        <w:jc w:val="both"/>
        <w:rPr>
          <w:rFonts w:ascii="Arial" w:hAnsi="Arial" w:cs="Arial"/>
          <w:color w:val="000000" w:themeColor="text1"/>
        </w:rPr>
      </w:pPr>
      <w:r>
        <w:rPr>
          <w:rFonts w:ascii="Arial" w:hAnsi="Arial" w:cs="Arial"/>
          <w:color w:val="000000" w:themeColor="text1"/>
        </w:rPr>
        <w:t xml:space="preserve">Additionally, AuNP and AuNP-ANXA5-DM1 were assayed in a horizontal agarose gel electrophoresis. The results are shown in </w:t>
      </w:r>
      <w:r w:rsidRPr="00CB0EA4">
        <w:rPr>
          <w:rFonts w:ascii="Arial" w:hAnsi="Arial" w:cs="Arial"/>
          <w:b/>
          <w:bCs/>
          <w:color w:val="000000" w:themeColor="text1"/>
        </w:rPr>
        <w:t xml:space="preserve">Figure </w:t>
      </w:r>
      <w:r w:rsidR="00CB0EA4" w:rsidRPr="00CB0EA4">
        <w:rPr>
          <w:rFonts w:ascii="Arial" w:hAnsi="Arial" w:cs="Arial"/>
          <w:b/>
          <w:bCs/>
          <w:color w:val="000000" w:themeColor="text1"/>
        </w:rPr>
        <w:t>66</w:t>
      </w:r>
      <w:r>
        <w:rPr>
          <w:rFonts w:ascii="Arial" w:hAnsi="Arial" w:cs="Arial"/>
          <w:color w:val="000000" w:themeColor="text1"/>
        </w:rPr>
        <w:t>.</w:t>
      </w:r>
    </w:p>
    <w:p w14:paraId="480D9596" w14:textId="6F2203C6" w:rsidR="0006629B" w:rsidRDefault="0006629B" w:rsidP="0006629B">
      <w:pPr>
        <w:spacing w:line="360" w:lineRule="auto"/>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06629B" w14:paraId="5A69154D" w14:textId="77777777" w:rsidTr="0006629B">
        <w:tc>
          <w:tcPr>
            <w:tcW w:w="9350" w:type="dxa"/>
          </w:tcPr>
          <w:p w14:paraId="50E41E3E" w14:textId="7D0EB8C2" w:rsidR="0006629B" w:rsidRDefault="005E6A22" w:rsidP="00AA1AFF">
            <w:pPr>
              <w:spacing w:beforeAutospacing="0" w:line="360" w:lineRule="auto"/>
              <w:ind w:firstLine="0"/>
              <w:jc w:val="center"/>
              <w:rPr>
                <w:rFonts w:ascii="Arial" w:hAnsi="Arial" w:cs="Arial"/>
                <w:color w:val="000000" w:themeColor="text1"/>
              </w:rPr>
            </w:pPr>
            <w:r w:rsidRPr="005E6A22">
              <w:rPr>
                <w:rFonts w:ascii="Arial" w:hAnsi="Arial" w:cs="Arial"/>
                <w:noProof/>
                <w:color w:val="000000" w:themeColor="text1"/>
              </w:rPr>
              <w:drawing>
                <wp:inline distT="0" distB="0" distL="0" distR="0" wp14:anchorId="38D2D9BF" wp14:editId="0BF84430">
                  <wp:extent cx="3784600" cy="190500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784600" cy="1905000"/>
                          </a:xfrm>
                          <a:prstGeom prst="rect">
                            <a:avLst/>
                          </a:prstGeom>
                        </pic:spPr>
                      </pic:pic>
                    </a:graphicData>
                  </a:graphic>
                </wp:inline>
              </w:drawing>
            </w:r>
          </w:p>
        </w:tc>
      </w:tr>
      <w:tr w:rsidR="0006629B" w:rsidRPr="004575A6" w14:paraId="4F7FBCEE" w14:textId="77777777" w:rsidTr="0006629B">
        <w:tc>
          <w:tcPr>
            <w:tcW w:w="9350" w:type="dxa"/>
          </w:tcPr>
          <w:p w14:paraId="0C631094" w14:textId="1B0E19C2" w:rsidR="0006629B" w:rsidRPr="004575A6" w:rsidRDefault="00471BFF" w:rsidP="00C57A15">
            <w:pPr>
              <w:spacing w:before="0" w:beforeAutospacing="0" w:after="0" w:afterAutospacing="0" w:line="360" w:lineRule="auto"/>
              <w:ind w:firstLine="0"/>
              <w:rPr>
                <w:rFonts w:ascii="Arial" w:hAnsi="Arial" w:cs="Arial"/>
                <w:color w:val="000000" w:themeColor="text1"/>
              </w:rPr>
            </w:pPr>
            <w:bookmarkStart w:id="175" w:name="_Toc121217388"/>
            <w:r w:rsidRPr="00471BFF">
              <w:rPr>
                <w:rFonts w:ascii="Arial" w:hAnsi="Arial" w:cs="Arial"/>
                <w:b/>
                <w:bCs/>
                <w:color w:val="000000" w:themeColor="text1"/>
              </w:rPr>
              <w:t xml:space="preserve">Figure </w:t>
            </w:r>
            <w:r w:rsidRPr="00471BFF">
              <w:rPr>
                <w:rFonts w:ascii="Arial" w:hAnsi="Arial" w:cs="Arial"/>
                <w:b/>
                <w:bCs/>
                <w:color w:val="000000" w:themeColor="text1"/>
              </w:rPr>
              <w:fldChar w:fldCharType="begin"/>
            </w:r>
            <w:r w:rsidRPr="00471BFF">
              <w:rPr>
                <w:rFonts w:ascii="Arial" w:hAnsi="Arial" w:cs="Arial"/>
                <w:b/>
                <w:bCs/>
                <w:color w:val="000000" w:themeColor="text1"/>
              </w:rPr>
              <w:instrText xml:space="preserve"> SEQ Figure \* ARABIC </w:instrText>
            </w:r>
            <w:r w:rsidRPr="00471BFF">
              <w:rPr>
                <w:rFonts w:ascii="Arial" w:hAnsi="Arial" w:cs="Arial"/>
                <w:b/>
                <w:bCs/>
                <w:color w:val="000000" w:themeColor="text1"/>
              </w:rPr>
              <w:fldChar w:fldCharType="separate"/>
            </w:r>
            <w:r w:rsidR="002C4B25">
              <w:rPr>
                <w:rFonts w:ascii="Arial" w:hAnsi="Arial" w:cs="Arial"/>
                <w:b/>
                <w:bCs/>
                <w:noProof/>
                <w:color w:val="000000" w:themeColor="text1"/>
              </w:rPr>
              <w:t>66</w:t>
            </w:r>
            <w:r w:rsidRPr="00471BFF">
              <w:rPr>
                <w:rFonts w:ascii="Arial" w:hAnsi="Arial" w:cs="Arial"/>
                <w:b/>
                <w:bCs/>
                <w:color w:val="000000" w:themeColor="text1"/>
              </w:rPr>
              <w:fldChar w:fldCharType="end"/>
            </w:r>
            <w:r w:rsidR="00C57A15" w:rsidRPr="00C57A15">
              <w:rPr>
                <w:rFonts w:ascii="Arial" w:hAnsi="Arial" w:cs="Arial"/>
                <w:b/>
                <w:bCs/>
                <w:color w:val="000000" w:themeColor="text1"/>
              </w:rPr>
              <w:t>: Agarose gel electrophoresis of AuNP and AuNP-ANXA5-DM1 conjugate</w:t>
            </w:r>
            <w:r w:rsidR="00C57A15">
              <w:rPr>
                <w:rFonts w:ascii="Arial" w:hAnsi="Arial" w:cs="Arial"/>
                <w:color w:val="000000" w:themeColor="text1"/>
              </w:rPr>
              <w:t xml:space="preserve">. Agarose gel was cast with TAE buffer and 1 % agarose. Samples were loaded into the wells at a concentration of ~2 mg/ml with 10% glycerol. Samples were run in a horizontal electrophoresis chamber at 80 V for 10 min. A) free AuNP. B) AuNP-ANXA5-DM1. </w:t>
            </w:r>
            <w:r w:rsidR="00C57A15" w:rsidRPr="005D7C93">
              <w:rPr>
                <w:rFonts w:ascii="Arial" w:hAnsi="Arial" w:cs="Arial"/>
                <w:color w:val="000000" w:themeColor="text1"/>
                <w:lang w:bidi="en-US"/>
              </w:rPr>
              <w:t xml:space="preserve">Smaller particles, such as AuNP, move further and fast through the gel, </w:t>
            </w:r>
            <w:r w:rsidR="00C57A15" w:rsidRPr="005D7C93">
              <w:rPr>
                <w:rFonts w:ascii="Arial" w:hAnsi="Arial" w:cs="Arial"/>
                <w:color w:val="000000" w:themeColor="text1"/>
                <w:lang w:bidi="en-US"/>
              </w:rPr>
              <w:lastRenderedPageBreak/>
              <w:t>while larger particles, such as AuNP-ANXA5</w:t>
            </w:r>
            <w:r w:rsidR="00C57A15">
              <w:rPr>
                <w:rFonts w:ascii="Arial" w:hAnsi="Arial" w:cs="Arial"/>
                <w:color w:val="000000" w:themeColor="text1"/>
                <w:lang w:bidi="en-US"/>
              </w:rPr>
              <w:t>-DM1</w:t>
            </w:r>
            <w:r w:rsidR="00C57A15" w:rsidRPr="005D7C93">
              <w:rPr>
                <w:rFonts w:ascii="Arial" w:hAnsi="Arial" w:cs="Arial"/>
                <w:color w:val="000000" w:themeColor="text1"/>
                <w:lang w:bidi="en-US"/>
              </w:rPr>
              <w:t>, slower down the gel</w:t>
            </w:r>
            <w:r w:rsidR="00C57A15">
              <w:rPr>
                <w:rFonts w:ascii="Arial" w:hAnsi="Arial" w:cs="Arial"/>
                <w:color w:val="000000" w:themeColor="text1"/>
                <w:lang w:bidi="en-US"/>
              </w:rPr>
              <w:t>, which confirms conjugation.</w:t>
            </w:r>
            <w:bookmarkEnd w:id="175"/>
          </w:p>
        </w:tc>
      </w:tr>
    </w:tbl>
    <w:p w14:paraId="71FD8401" w14:textId="77777777" w:rsidR="00471BFF" w:rsidRDefault="00471BFF" w:rsidP="00632209">
      <w:pPr>
        <w:spacing w:line="360" w:lineRule="auto"/>
        <w:ind w:firstLine="1440"/>
        <w:jc w:val="both"/>
        <w:rPr>
          <w:rFonts w:ascii="Arial" w:hAnsi="Arial" w:cs="Arial"/>
          <w:color w:val="000000" w:themeColor="text1"/>
          <w:lang w:bidi="en-US"/>
        </w:rPr>
      </w:pPr>
    </w:p>
    <w:p w14:paraId="0C59C9B5" w14:textId="65500F55" w:rsidR="00632209" w:rsidRDefault="00632209" w:rsidP="00632209">
      <w:pPr>
        <w:spacing w:line="360" w:lineRule="auto"/>
        <w:ind w:firstLine="1440"/>
        <w:jc w:val="both"/>
        <w:rPr>
          <w:rFonts w:ascii="Arial" w:hAnsi="Arial" w:cs="Arial"/>
          <w:color w:val="000000" w:themeColor="text1"/>
          <w:lang w:bidi="en-US"/>
        </w:rPr>
      </w:pPr>
      <w:r w:rsidRPr="00A871E3">
        <w:rPr>
          <w:rFonts w:ascii="Arial" w:hAnsi="Arial" w:cs="Arial"/>
          <w:color w:val="000000" w:themeColor="text1"/>
          <w:lang w:bidi="en-US"/>
        </w:rPr>
        <w:t>An agarose gel allows nanomaterials to move through a</w:t>
      </w:r>
      <w:r>
        <w:rPr>
          <w:rFonts w:ascii="Arial" w:hAnsi="Arial" w:cs="Arial"/>
          <w:color w:val="000000" w:themeColor="text1"/>
          <w:lang w:bidi="en-US"/>
        </w:rPr>
        <w:t>n</w:t>
      </w:r>
      <w:r w:rsidRPr="00A871E3">
        <w:rPr>
          <w:rFonts w:ascii="Arial" w:hAnsi="Arial" w:cs="Arial"/>
          <w:color w:val="000000" w:themeColor="text1"/>
          <w:lang w:bidi="en-US"/>
        </w:rPr>
        <w:t xml:space="preserve"> </w:t>
      </w:r>
      <w:r>
        <w:rPr>
          <w:rFonts w:ascii="Arial" w:hAnsi="Arial" w:cs="Arial"/>
          <w:color w:val="000000" w:themeColor="text1"/>
          <w:lang w:bidi="en-US"/>
        </w:rPr>
        <w:t>electric field</w:t>
      </w:r>
      <w:r w:rsidRPr="00A871E3">
        <w:rPr>
          <w:rFonts w:ascii="Arial" w:hAnsi="Arial" w:cs="Arial"/>
          <w:color w:val="000000" w:themeColor="text1"/>
          <w:lang w:bidi="en-US"/>
        </w:rPr>
        <w:t xml:space="preserve"> based on size. Smaller particles, such as AuNP, travel further down the gel</w:t>
      </w:r>
      <w:r>
        <w:rPr>
          <w:rFonts w:ascii="Arial" w:hAnsi="Arial" w:cs="Arial"/>
          <w:color w:val="000000" w:themeColor="text1"/>
          <w:lang w:bidi="en-US"/>
        </w:rPr>
        <w:t>,</w:t>
      </w:r>
      <w:r w:rsidRPr="00A871E3">
        <w:rPr>
          <w:rFonts w:ascii="Arial" w:hAnsi="Arial" w:cs="Arial"/>
          <w:color w:val="000000" w:themeColor="text1"/>
          <w:lang w:bidi="en-US"/>
        </w:rPr>
        <w:t xml:space="preserve"> while larger </w:t>
      </w:r>
      <w:r>
        <w:rPr>
          <w:rFonts w:ascii="Arial" w:hAnsi="Arial" w:cs="Arial"/>
          <w:color w:val="000000" w:themeColor="text1"/>
          <w:lang w:bidi="en-US"/>
        </w:rPr>
        <w:t>particles</w:t>
      </w:r>
      <w:r w:rsidRPr="00A871E3">
        <w:rPr>
          <w:rFonts w:ascii="Arial" w:hAnsi="Arial" w:cs="Arial"/>
          <w:color w:val="000000" w:themeColor="text1"/>
          <w:lang w:bidi="en-US"/>
        </w:rPr>
        <w:t>, such as AuNP-ANXA5</w:t>
      </w:r>
      <w:r>
        <w:rPr>
          <w:rFonts w:ascii="Arial" w:hAnsi="Arial" w:cs="Arial"/>
          <w:color w:val="000000" w:themeColor="text1"/>
          <w:lang w:bidi="en-US"/>
        </w:rPr>
        <w:t>-DM1</w:t>
      </w:r>
      <w:r w:rsidRPr="00A871E3">
        <w:rPr>
          <w:rFonts w:ascii="Arial" w:hAnsi="Arial" w:cs="Arial"/>
          <w:color w:val="000000" w:themeColor="text1"/>
          <w:lang w:bidi="en-US"/>
        </w:rPr>
        <w:t xml:space="preserve">, travel slower. As seen in </w:t>
      </w:r>
      <w:r w:rsidR="00DF000E" w:rsidRPr="00DF000E">
        <w:rPr>
          <w:rFonts w:ascii="Arial" w:hAnsi="Arial" w:cs="Arial"/>
          <w:b/>
          <w:bCs/>
          <w:color w:val="000000" w:themeColor="text1"/>
          <w:lang w:bidi="en-US"/>
        </w:rPr>
        <w:t>F</w:t>
      </w:r>
      <w:r w:rsidRPr="00DF000E">
        <w:rPr>
          <w:rFonts w:ascii="Arial" w:hAnsi="Arial" w:cs="Arial"/>
          <w:b/>
          <w:bCs/>
          <w:color w:val="000000" w:themeColor="text1"/>
          <w:lang w:bidi="en-US"/>
        </w:rPr>
        <w:t xml:space="preserve">igure </w:t>
      </w:r>
      <w:r w:rsidR="00DF000E" w:rsidRPr="00DF000E">
        <w:rPr>
          <w:rFonts w:ascii="Arial" w:hAnsi="Arial" w:cs="Arial"/>
          <w:b/>
          <w:bCs/>
          <w:color w:val="000000" w:themeColor="text1"/>
          <w:lang w:bidi="en-US"/>
        </w:rPr>
        <w:t>66</w:t>
      </w:r>
      <w:r w:rsidRPr="00A871E3">
        <w:rPr>
          <w:rFonts w:ascii="Arial" w:hAnsi="Arial" w:cs="Arial"/>
          <w:color w:val="000000" w:themeColor="text1"/>
          <w:lang w:bidi="en-US"/>
        </w:rPr>
        <w:t>, AuNP moved the furthest</w:t>
      </w:r>
      <w:r>
        <w:rPr>
          <w:rFonts w:ascii="Arial" w:hAnsi="Arial" w:cs="Arial"/>
          <w:color w:val="000000" w:themeColor="text1"/>
          <w:lang w:bidi="en-US"/>
        </w:rPr>
        <w:t xml:space="preserve"> (</w:t>
      </w:r>
      <w:r w:rsidRPr="00803FE0">
        <w:rPr>
          <w:rFonts w:ascii="Arial" w:hAnsi="Arial" w:cs="Arial"/>
          <w:b/>
          <w:bCs/>
          <w:color w:val="000000" w:themeColor="text1"/>
          <w:lang w:bidi="en-US"/>
        </w:rPr>
        <w:t xml:space="preserve">Figure </w:t>
      </w:r>
      <w:r w:rsidR="00803FE0" w:rsidRPr="00803FE0">
        <w:rPr>
          <w:rFonts w:ascii="Arial" w:hAnsi="Arial" w:cs="Arial"/>
          <w:b/>
          <w:bCs/>
          <w:color w:val="000000" w:themeColor="text1"/>
          <w:lang w:bidi="en-US"/>
        </w:rPr>
        <w:t>66</w:t>
      </w:r>
      <w:r w:rsidRPr="00803FE0">
        <w:rPr>
          <w:rFonts w:ascii="Arial" w:hAnsi="Arial" w:cs="Arial"/>
          <w:b/>
          <w:bCs/>
          <w:color w:val="000000" w:themeColor="text1"/>
          <w:lang w:bidi="en-US"/>
        </w:rPr>
        <w:t>A</w:t>
      </w:r>
      <w:r>
        <w:rPr>
          <w:rFonts w:ascii="Arial" w:hAnsi="Arial" w:cs="Arial"/>
          <w:color w:val="000000" w:themeColor="text1"/>
          <w:lang w:bidi="en-US"/>
        </w:rPr>
        <w:t xml:space="preserve">), while </w:t>
      </w:r>
      <w:r w:rsidRPr="00A871E3">
        <w:rPr>
          <w:rFonts w:ascii="Arial" w:hAnsi="Arial" w:cs="Arial"/>
          <w:color w:val="000000" w:themeColor="text1"/>
          <w:lang w:bidi="en-US"/>
        </w:rPr>
        <w:t>AuNP-ANXA</w:t>
      </w:r>
      <w:r>
        <w:rPr>
          <w:rFonts w:ascii="Arial" w:hAnsi="Arial" w:cs="Arial"/>
          <w:color w:val="000000" w:themeColor="text1"/>
          <w:lang w:bidi="en-US"/>
        </w:rPr>
        <w:t>5-DM1 did not move for the duration of the assay (</w:t>
      </w:r>
      <w:r w:rsidRPr="00803FE0">
        <w:rPr>
          <w:rFonts w:ascii="Arial" w:hAnsi="Arial" w:cs="Arial"/>
          <w:b/>
          <w:bCs/>
          <w:color w:val="000000" w:themeColor="text1"/>
          <w:lang w:bidi="en-US"/>
        </w:rPr>
        <w:t xml:space="preserve">Figure </w:t>
      </w:r>
      <w:r w:rsidR="00803FE0" w:rsidRPr="00803FE0">
        <w:rPr>
          <w:rFonts w:ascii="Arial" w:hAnsi="Arial" w:cs="Arial"/>
          <w:b/>
          <w:bCs/>
          <w:color w:val="000000" w:themeColor="text1"/>
          <w:lang w:bidi="en-US"/>
        </w:rPr>
        <w:t>66</w:t>
      </w:r>
      <w:r w:rsidRPr="00803FE0">
        <w:rPr>
          <w:rFonts w:ascii="Arial" w:hAnsi="Arial" w:cs="Arial"/>
          <w:b/>
          <w:bCs/>
          <w:color w:val="000000" w:themeColor="text1"/>
          <w:lang w:bidi="en-US"/>
        </w:rPr>
        <w:t>B</w:t>
      </w:r>
      <w:r>
        <w:rPr>
          <w:rFonts w:ascii="Arial" w:hAnsi="Arial" w:cs="Arial"/>
          <w:color w:val="000000" w:themeColor="text1"/>
          <w:lang w:bidi="en-US"/>
        </w:rPr>
        <w:t>). This is evidence that the conjugation of ANXA5-DM1 to AuNP</w:t>
      </w:r>
      <w:r w:rsidR="002017DB">
        <w:rPr>
          <w:rFonts w:ascii="Arial" w:hAnsi="Arial" w:cs="Arial"/>
          <w:color w:val="000000" w:themeColor="text1"/>
          <w:lang w:bidi="en-US"/>
        </w:rPr>
        <w:t>.</w:t>
      </w:r>
    </w:p>
    <w:p w14:paraId="6B9BE723" w14:textId="77777777" w:rsidR="00632209" w:rsidRDefault="00632209" w:rsidP="00632209">
      <w:pPr>
        <w:spacing w:line="360" w:lineRule="auto"/>
        <w:ind w:firstLine="1440"/>
        <w:jc w:val="both"/>
        <w:rPr>
          <w:rFonts w:ascii="Arial" w:hAnsi="Arial" w:cs="Arial"/>
          <w:color w:val="000000" w:themeColor="text1"/>
        </w:rPr>
      </w:pPr>
      <w:r>
        <w:rPr>
          <w:rFonts w:ascii="Arial" w:hAnsi="Arial" w:cs="Arial"/>
          <w:color w:val="000000" w:themeColor="text1"/>
        </w:rPr>
        <w:t>The concentration of DM1 in AuNP-ANXA5-DM1 was inferred from the concentration of ANXA5 in the conjugate. For that, it was assumed that the molar ratio of DM1/ANXA5 before and after the linkage to AuNP did not change.</w:t>
      </w:r>
    </w:p>
    <w:p w14:paraId="25926D17" w14:textId="260B6502" w:rsidR="00F36CB9" w:rsidRDefault="00F36CB9" w:rsidP="00F36CB9">
      <w:pPr>
        <w:spacing w:line="360" w:lineRule="auto"/>
        <w:ind w:firstLine="1440"/>
        <w:jc w:val="both"/>
        <w:rPr>
          <w:rFonts w:ascii="Arial" w:hAnsi="Arial" w:cs="Arial"/>
          <w:color w:val="000000" w:themeColor="text1"/>
        </w:rPr>
      </w:pPr>
      <w:r>
        <w:rPr>
          <w:rFonts w:ascii="Arial" w:hAnsi="Arial" w:cs="Arial"/>
          <w:color w:val="000000" w:themeColor="text1"/>
        </w:rPr>
        <w:t xml:space="preserve">After confirming the conjugation, a cytotoxicity assay was performed to compare the </w:t>
      </w:r>
      <w:r w:rsidR="00DA05F2">
        <w:rPr>
          <w:rFonts w:ascii="Arial" w:hAnsi="Arial" w:cs="Arial"/>
          <w:color w:val="000000" w:themeColor="text1"/>
        </w:rPr>
        <w:t xml:space="preserve">toxicity of </w:t>
      </w:r>
      <w:r w:rsidR="00DA1A3C">
        <w:rPr>
          <w:rFonts w:ascii="Arial" w:hAnsi="Arial" w:cs="Arial"/>
          <w:color w:val="000000" w:themeColor="text1"/>
        </w:rPr>
        <w:t>AuNP-ANXA5-DM1 to ANXA5-DM1</w:t>
      </w:r>
      <w:r w:rsidR="004C2219">
        <w:rPr>
          <w:rFonts w:ascii="Arial" w:hAnsi="Arial" w:cs="Arial"/>
          <w:color w:val="000000" w:themeColor="text1"/>
        </w:rPr>
        <w:t xml:space="preserve"> and free D</w:t>
      </w:r>
      <w:r w:rsidR="00C85BD5">
        <w:rPr>
          <w:rFonts w:ascii="Arial" w:hAnsi="Arial" w:cs="Arial"/>
          <w:color w:val="000000" w:themeColor="text1"/>
        </w:rPr>
        <w:t>M1. EMT6 cells were treated with different concentrations of DM1</w:t>
      </w:r>
      <w:r w:rsidR="004137F0">
        <w:rPr>
          <w:rFonts w:ascii="Arial" w:hAnsi="Arial" w:cs="Arial"/>
          <w:color w:val="000000" w:themeColor="text1"/>
        </w:rPr>
        <w:t xml:space="preserve"> in both conjugates and DM1 alone. After 72 h, </w:t>
      </w:r>
      <w:r w:rsidR="00090EAC">
        <w:rPr>
          <w:rFonts w:ascii="Arial" w:hAnsi="Arial" w:cs="Arial"/>
          <w:color w:val="000000" w:themeColor="text1"/>
        </w:rPr>
        <w:t xml:space="preserve">cell viability was assessed using </w:t>
      </w:r>
      <w:r w:rsidR="002017DB">
        <w:rPr>
          <w:rFonts w:ascii="Arial" w:hAnsi="Arial" w:cs="Arial"/>
          <w:color w:val="000000" w:themeColor="text1"/>
        </w:rPr>
        <w:t xml:space="preserve">the </w:t>
      </w:r>
      <w:proofErr w:type="spellStart"/>
      <w:r w:rsidR="00090EAC">
        <w:rPr>
          <w:rFonts w:ascii="Arial" w:hAnsi="Arial" w:cs="Arial"/>
          <w:color w:val="000000" w:themeColor="text1"/>
        </w:rPr>
        <w:t>Alamar</w:t>
      </w:r>
      <w:proofErr w:type="spellEnd"/>
      <w:r w:rsidR="00090EAC">
        <w:rPr>
          <w:rFonts w:ascii="Arial" w:hAnsi="Arial" w:cs="Arial"/>
          <w:color w:val="000000" w:themeColor="text1"/>
        </w:rPr>
        <w:t xml:space="preserve"> Blue assay. The results can be seen in </w:t>
      </w:r>
      <w:r w:rsidR="00090EAC" w:rsidRPr="00803FE0">
        <w:rPr>
          <w:rFonts w:ascii="Arial" w:hAnsi="Arial" w:cs="Arial"/>
          <w:b/>
          <w:bCs/>
          <w:color w:val="000000" w:themeColor="text1"/>
        </w:rPr>
        <w:t xml:space="preserve">Figure </w:t>
      </w:r>
      <w:r w:rsidR="00803FE0" w:rsidRPr="00803FE0">
        <w:rPr>
          <w:rFonts w:ascii="Arial" w:hAnsi="Arial" w:cs="Arial"/>
          <w:b/>
          <w:bCs/>
          <w:color w:val="000000" w:themeColor="text1"/>
        </w:rPr>
        <w:t>67</w:t>
      </w:r>
      <w:r w:rsidR="00090EAC">
        <w:rPr>
          <w:rFonts w:ascii="Arial" w:hAnsi="Arial" w:cs="Arial"/>
          <w:color w:val="000000" w:themeColor="text1"/>
        </w:rPr>
        <w:t>.</w:t>
      </w:r>
    </w:p>
    <w:p w14:paraId="07C36D39" w14:textId="77777777" w:rsidR="00471BFF" w:rsidRDefault="00471BFF" w:rsidP="00F36CB9">
      <w:pPr>
        <w:spacing w:line="360" w:lineRule="auto"/>
        <w:ind w:firstLine="1440"/>
        <w:jc w:val="both"/>
        <w:rPr>
          <w:rFonts w:ascii="Arial" w:hAnsi="Arial" w:cs="Arial"/>
          <w:color w:val="000000" w:themeColor="text1"/>
        </w:rPr>
      </w:pPr>
    </w:p>
    <w:tbl>
      <w:tblPr>
        <w:tblStyle w:val="TableGrid"/>
        <w:tblW w:w="0" w:type="auto"/>
        <w:tblLook w:val="04A0" w:firstRow="1" w:lastRow="0" w:firstColumn="1" w:lastColumn="0" w:noHBand="0" w:noVBand="1"/>
      </w:tblPr>
      <w:tblGrid>
        <w:gridCol w:w="9350"/>
      </w:tblGrid>
      <w:tr w:rsidR="00090EAC" w14:paraId="793F6A67" w14:textId="77777777" w:rsidTr="00090EAC">
        <w:tc>
          <w:tcPr>
            <w:tcW w:w="9350" w:type="dxa"/>
          </w:tcPr>
          <w:p w14:paraId="7BBF6981" w14:textId="0CABBD2F" w:rsidR="00090EAC" w:rsidRDefault="0047784D" w:rsidP="00AA1AFF">
            <w:pPr>
              <w:spacing w:beforeAutospacing="0" w:line="360" w:lineRule="auto"/>
              <w:ind w:firstLine="0"/>
              <w:rPr>
                <w:rFonts w:ascii="Arial" w:hAnsi="Arial" w:cs="Arial"/>
                <w:color w:val="000000" w:themeColor="text1"/>
              </w:rPr>
            </w:pPr>
            <w:r w:rsidRPr="0047784D">
              <w:rPr>
                <w:rFonts w:ascii="Arial" w:hAnsi="Arial" w:cs="Arial"/>
                <w:noProof/>
                <w:color w:val="000000" w:themeColor="text1"/>
              </w:rPr>
              <w:lastRenderedPageBreak/>
              <w:drawing>
                <wp:inline distT="0" distB="0" distL="0" distR="0" wp14:anchorId="33855E2F" wp14:editId="5C761B9D">
                  <wp:extent cx="5770880" cy="3603101"/>
                  <wp:effectExtent l="0" t="0" r="0" b="381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773198" cy="3604548"/>
                          </a:xfrm>
                          <a:prstGeom prst="rect">
                            <a:avLst/>
                          </a:prstGeom>
                        </pic:spPr>
                      </pic:pic>
                    </a:graphicData>
                  </a:graphic>
                </wp:inline>
              </w:drawing>
            </w:r>
          </w:p>
        </w:tc>
      </w:tr>
      <w:tr w:rsidR="00090EAC" w14:paraId="46023DE4" w14:textId="77777777" w:rsidTr="00090EAC">
        <w:tc>
          <w:tcPr>
            <w:tcW w:w="9350" w:type="dxa"/>
          </w:tcPr>
          <w:p w14:paraId="10E1EB08" w14:textId="4EC99004" w:rsidR="00090EAC" w:rsidRPr="002D431A" w:rsidRDefault="00471BFF" w:rsidP="002D431A">
            <w:pPr>
              <w:spacing w:line="360" w:lineRule="auto"/>
              <w:ind w:firstLine="0"/>
            </w:pPr>
            <w:bookmarkStart w:id="176" w:name="_Toc121217389"/>
            <w:r w:rsidRPr="00471BFF">
              <w:rPr>
                <w:rFonts w:ascii="Arial" w:hAnsi="Arial" w:cs="Arial"/>
                <w:b/>
                <w:bCs/>
                <w:color w:val="000000" w:themeColor="text1"/>
              </w:rPr>
              <w:t xml:space="preserve">Figure </w:t>
            </w:r>
            <w:r w:rsidRPr="00471BFF">
              <w:rPr>
                <w:rFonts w:ascii="Arial" w:hAnsi="Arial" w:cs="Arial"/>
                <w:b/>
                <w:bCs/>
                <w:color w:val="000000" w:themeColor="text1"/>
              </w:rPr>
              <w:fldChar w:fldCharType="begin"/>
            </w:r>
            <w:r w:rsidRPr="00471BFF">
              <w:rPr>
                <w:rFonts w:ascii="Arial" w:hAnsi="Arial" w:cs="Arial"/>
                <w:b/>
                <w:bCs/>
                <w:color w:val="000000" w:themeColor="text1"/>
              </w:rPr>
              <w:instrText xml:space="preserve"> SEQ Figure \* ARABIC </w:instrText>
            </w:r>
            <w:r w:rsidRPr="00471BFF">
              <w:rPr>
                <w:rFonts w:ascii="Arial" w:hAnsi="Arial" w:cs="Arial"/>
                <w:b/>
                <w:bCs/>
                <w:color w:val="000000" w:themeColor="text1"/>
              </w:rPr>
              <w:fldChar w:fldCharType="separate"/>
            </w:r>
            <w:r w:rsidR="002C4B25">
              <w:rPr>
                <w:rFonts w:ascii="Arial" w:hAnsi="Arial" w:cs="Arial"/>
                <w:b/>
                <w:bCs/>
                <w:noProof/>
                <w:color w:val="000000" w:themeColor="text1"/>
              </w:rPr>
              <w:t>67</w:t>
            </w:r>
            <w:r w:rsidRPr="00471BFF">
              <w:rPr>
                <w:rFonts w:ascii="Arial" w:hAnsi="Arial" w:cs="Arial"/>
                <w:b/>
                <w:bCs/>
                <w:color w:val="000000" w:themeColor="text1"/>
              </w:rPr>
              <w:fldChar w:fldCharType="end"/>
            </w:r>
            <w:r w:rsidR="002D431A" w:rsidRPr="002D431A">
              <w:rPr>
                <w:rFonts w:ascii="Arial" w:hAnsi="Arial" w:cs="Arial"/>
                <w:b/>
                <w:bCs/>
                <w:color w:val="000000" w:themeColor="text1"/>
              </w:rPr>
              <w:t>: Cell viability of EMT6 cells treated with free DM1 and DM1 conjugates.</w:t>
            </w:r>
            <w:r w:rsidR="002D431A">
              <w:rPr>
                <w:rFonts w:ascii="Arial" w:hAnsi="Arial" w:cs="Arial"/>
                <w:color w:val="000000" w:themeColor="text1"/>
              </w:rPr>
              <w:t xml:space="preserve"> EMT6 cells were treated for 72 h with free DM1 (black), ANXA5-DM1 (blue), and AuNP-ANXA5-DM1 (red). After treatment, the </w:t>
            </w:r>
            <w:proofErr w:type="spellStart"/>
            <w:r w:rsidR="002D431A">
              <w:rPr>
                <w:rFonts w:ascii="Arial" w:hAnsi="Arial" w:cs="Arial"/>
                <w:color w:val="000000" w:themeColor="text1"/>
              </w:rPr>
              <w:t>Alamar</w:t>
            </w:r>
            <w:proofErr w:type="spellEnd"/>
            <w:r w:rsidR="002D431A">
              <w:rPr>
                <w:rFonts w:ascii="Arial" w:hAnsi="Arial" w:cs="Arial"/>
                <w:color w:val="000000" w:themeColor="text1"/>
              </w:rPr>
              <w:t xml:space="preserve"> Blue assay was performed to assess cell viability.</w:t>
            </w:r>
            <w:bookmarkEnd w:id="176"/>
          </w:p>
        </w:tc>
      </w:tr>
    </w:tbl>
    <w:p w14:paraId="7DB1D8B1" w14:textId="2AF827AF" w:rsidR="00090EAC" w:rsidRDefault="00090EAC" w:rsidP="00471BFF">
      <w:pPr>
        <w:pStyle w:val="Caption"/>
        <w:rPr>
          <w:rFonts w:ascii="Arial" w:hAnsi="Arial" w:cs="Arial"/>
          <w:color w:val="000000" w:themeColor="text1"/>
        </w:rPr>
      </w:pPr>
    </w:p>
    <w:p w14:paraId="4DE0011D" w14:textId="77777777" w:rsidR="00471BFF" w:rsidRDefault="00471BFF" w:rsidP="00090EAC">
      <w:pPr>
        <w:spacing w:line="360" w:lineRule="auto"/>
        <w:jc w:val="both"/>
        <w:rPr>
          <w:rFonts w:ascii="Arial" w:hAnsi="Arial" w:cs="Arial"/>
          <w:color w:val="000000" w:themeColor="text1"/>
        </w:rPr>
      </w:pPr>
    </w:p>
    <w:p w14:paraId="24BD669F" w14:textId="2BD80E94" w:rsidR="00500A9B" w:rsidRDefault="00500A9B" w:rsidP="00500A9B">
      <w:pPr>
        <w:spacing w:line="360" w:lineRule="auto"/>
        <w:ind w:firstLine="1440"/>
        <w:jc w:val="both"/>
        <w:rPr>
          <w:rFonts w:ascii="Arial" w:hAnsi="Arial" w:cs="Arial"/>
          <w:color w:val="000000" w:themeColor="text1"/>
        </w:rPr>
      </w:pPr>
      <w:r w:rsidRPr="00803FE0">
        <w:rPr>
          <w:rFonts w:ascii="Arial" w:hAnsi="Arial" w:cs="Arial"/>
          <w:b/>
          <w:bCs/>
          <w:color w:val="000000" w:themeColor="text1"/>
        </w:rPr>
        <w:t xml:space="preserve">Figure </w:t>
      </w:r>
      <w:r w:rsidR="00803FE0" w:rsidRPr="00803FE0">
        <w:rPr>
          <w:rFonts w:ascii="Arial" w:hAnsi="Arial" w:cs="Arial"/>
          <w:b/>
          <w:bCs/>
          <w:color w:val="000000" w:themeColor="text1"/>
        </w:rPr>
        <w:t>67</w:t>
      </w:r>
      <w:r>
        <w:rPr>
          <w:rFonts w:ascii="Arial" w:hAnsi="Arial" w:cs="Arial"/>
          <w:color w:val="000000" w:themeColor="text1"/>
        </w:rPr>
        <w:t xml:space="preserve"> shows the comparative cytotoxicity of free DM1, ANXA5-DM1, and AuNP-ANXA5-DM1. </w:t>
      </w:r>
      <w:r>
        <w:rPr>
          <w:rFonts w:ascii="Arial" w:hAnsi="Arial" w:cs="Arial"/>
          <w:color w:val="000000" w:themeColor="text1"/>
          <w:lang w:val="en"/>
        </w:rPr>
        <w:t>H</w:t>
      </w:r>
      <w:r w:rsidRPr="002A4D25">
        <w:rPr>
          <w:rFonts w:ascii="Arial" w:hAnsi="Arial" w:cs="Arial"/>
          <w:color w:val="000000" w:themeColor="text1"/>
          <w:lang w:val="en"/>
        </w:rPr>
        <w:t>alf maximal effective concentration (</w:t>
      </w:r>
      <w:r>
        <w:rPr>
          <w:rFonts w:ascii="Arial" w:hAnsi="Arial" w:cs="Arial"/>
          <w:color w:val="000000" w:themeColor="text1"/>
        </w:rPr>
        <w:t>EC50) is the parameter used to compare cytotoxicity curves and indicates the</w:t>
      </w:r>
      <w:r w:rsidRPr="007F5F33">
        <w:rPr>
          <w:rFonts w:ascii="Arial" w:hAnsi="Arial" w:cs="Arial"/>
          <w:color w:val="000000" w:themeColor="text1"/>
        </w:rPr>
        <w:t xml:space="preserve"> </w:t>
      </w:r>
      <w:r>
        <w:rPr>
          <w:rFonts w:ascii="Arial" w:hAnsi="Arial" w:cs="Arial"/>
          <w:color w:val="000000" w:themeColor="text1"/>
        </w:rPr>
        <w:t xml:space="preserve">concentration of the drug that induces the killing of 50% of the cells. In this assay, the EC50 of free DM1 was ~0.2 </w:t>
      </w:r>
      <w:r>
        <w:rPr>
          <w:rFonts w:ascii="Arial" w:hAnsi="Arial" w:cs="Arial"/>
          <w:color w:val="000000" w:themeColor="text1"/>
        </w:rPr>
        <w:sym w:font="Symbol" w:char="F06D"/>
      </w:r>
      <w:r>
        <w:rPr>
          <w:rFonts w:ascii="Arial" w:hAnsi="Arial" w:cs="Arial"/>
          <w:color w:val="000000" w:themeColor="text1"/>
        </w:rPr>
        <w:t xml:space="preserve">M, AuNP-ANXA5-DM1 was ~0.02 </w:t>
      </w:r>
      <w:r>
        <w:rPr>
          <w:rFonts w:ascii="Arial" w:hAnsi="Arial" w:cs="Arial"/>
          <w:color w:val="000000" w:themeColor="text1"/>
        </w:rPr>
        <w:sym w:font="Symbol" w:char="F06D"/>
      </w:r>
      <w:r>
        <w:rPr>
          <w:rFonts w:ascii="Arial" w:hAnsi="Arial" w:cs="Arial"/>
          <w:color w:val="000000" w:themeColor="text1"/>
        </w:rPr>
        <w:t>M</w:t>
      </w:r>
      <w:r w:rsidR="00611C88">
        <w:rPr>
          <w:rFonts w:ascii="Arial" w:hAnsi="Arial" w:cs="Arial"/>
          <w:color w:val="000000" w:themeColor="text1"/>
        </w:rPr>
        <w:t>,</w:t>
      </w:r>
      <w:r>
        <w:rPr>
          <w:rFonts w:ascii="Arial" w:hAnsi="Arial" w:cs="Arial"/>
          <w:color w:val="000000" w:themeColor="text1"/>
        </w:rPr>
        <w:t xml:space="preserve"> and ANXA5-DM1 w</w:t>
      </w:r>
      <w:r w:rsidR="003B265C">
        <w:rPr>
          <w:rFonts w:ascii="Arial" w:hAnsi="Arial" w:cs="Arial"/>
          <w:color w:val="000000" w:themeColor="text1"/>
        </w:rPr>
        <w:t>as</w:t>
      </w:r>
      <w:r>
        <w:rPr>
          <w:rFonts w:ascii="Arial" w:hAnsi="Arial" w:cs="Arial"/>
          <w:color w:val="000000" w:themeColor="text1"/>
        </w:rPr>
        <w:t xml:space="preserve"> ~0.0004 </w:t>
      </w:r>
      <w:r>
        <w:rPr>
          <w:rFonts w:ascii="Arial" w:hAnsi="Arial" w:cs="Arial"/>
          <w:color w:val="000000" w:themeColor="text1"/>
        </w:rPr>
        <w:sym w:font="Symbol" w:char="F06D"/>
      </w:r>
      <w:r>
        <w:rPr>
          <w:rFonts w:ascii="Arial" w:hAnsi="Arial" w:cs="Arial"/>
          <w:color w:val="000000" w:themeColor="text1"/>
        </w:rPr>
        <w:t xml:space="preserve">M. Previous students in this lab have reported similar results for free DM1 and ANXA5-DM1, which validates the results found in this work. </w:t>
      </w:r>
      <w:r w:rsidR="00E256EE">
        <w:rPr>
          <w:rFonts w:ascii="Arial" w:hAnsi="Arial" w:cs="Arial"/>
          <w:color w:val="000000" w:themeColor="text1"/>
        </w:rPr>
        <w:t>The</w:t>
      </w:r>
      <w:r>
        <w:rPr>
          <w:rFonts w:ascii="Arial" w:hAnsi="Arial" w:cs="Arial"/>
          <w:color w:val="000000" w:themeColor="text1"/>
        </w:rPr>
        <w:t xml:space="preserve"> conjugation of DM1 to ANXA5 improves the effectiveness of the drug 500 times, </w:t>
      </w:r>
      <w:r w:rsidR="00E256EE">
        <w:rPr>
          <w:rFonts w:ascii="Arial" w:hAnsi="Arial" w:cs="Arial"/>
          <w:color w:val="000000" w:themeColor="text1"/>
        </w:rPr>
        <w:t xml:space="preserve">while </w:t>
      </w:r>
      <w:r>
        <w:rPr>
          <w:rFonts w:ascii="Arial" w:hAnsi="Arial" w:cs="Arial"/>
          <w:color w:val="000000" w:themeColor="text1"/>
        </w:rPr>
        <w:t xml:space="preserve">the conjugation </w:t>
      </w:r>
      <w:r w:rsidR="00E256EE">
        <w:rPr>
          <w:rFonts w:ascii="Arial" w:hAnsi="Arial" w:cs="Arial"/>
          <w:color w:val="000000" w:themeColor="text1"/>
        </w:rPr>
        <w:t>of ANXA5-DM1 to</w:t>
      </w:r>
      <w:r>
        <w:rPr>
          <w:rFonts w:ascii="Arial" w:hAnsi="Arial" w:cs="Arial"/>
          <w:color w:val="000000" w:themeColor="text1"/>
        </w:rPr>
        <w:t xml:space="preserve"> AuNP limited the increase of cytotoxic effect to only ten times </w:t>
      </w:r>
      <w:r>
        <w:rPr>
          <w:rFonts w:ascii="Arial" w:hAnsi="Arial" w:cs="Arial"/>
          <w:i/>
          <w:iCs/>
          <w:color w:val="000000" w:themeColor="text1"/>
        </w:rPr>
        <w:t>in vitro</w:t>
      </w:r>
      <w:r>
        <w:rPr>
          <w:rFonts w:ascii="Arial" w:hAnsi="Arial" w:cs="Arial"/>
          <w:color w:val="000000" w:themeColor="text1"/>
        </w:rPr>
        <w:t xml:space="preserve">. </w:t>
      </w:r>
    </w:p>
    <w:p w14:paraId="4939F7B1" w14:textId="605F286E" w:rsidR="006C48D7" w:rsidRDefault="006C48D7" w:rsidP="006C48D7">
      <w:pPr>
        <w:spacing w:line="360" w:lineRule="auto"/>
        <w:ind w:firstLine="1440"/>
        <w:jc w:val="both"/>
        <w:rPr>
          <w:rFonts w:ascii="Arial" w:hAnsi="Arial" w:cs="Arial"/>
          <w:color w:val="000000" w:themeColor="text1"/>
        </w:rPr>
      </w:pPr>
      <w:r>
        <w:rPr>
          <w:rFonts w:ascii="Arial" w:hAnsi="Arial" w:cs="Arial"/>
          <w:color w:val="000000" w:themeColor="text1"/>
        </w:rPr>
        <w:t xml:space="preserve">From those results, it is hypothesized that AuNP-ANXA5-DM1 has a limited internalization rate compared to ANXA5-DM1. Various parameters might cause that </w:t>
      </w:r>
      <w:r>
        <w:rPr>
          <w:rFonts w:ascii="Arial" w:hAnsi="Arial" w:cs="Arial"/>
          <w:color w:val="000000" w:themeColor="text1"/>
        </w:rPr>
        <w:lastRenderedPageBreak/>
        <w:t xml:space="preserve">limitation. Diffusion is a possible cause of this decrease in effectiveness since the attachment of ANXA5-DM1 to a much larger particle limits the rate of diffusion of the species in solution, thus decreasing the collisions between particle and cell surface. Another explanation might be related to the mechanism of internalization of ANXA5. It is believed that ANXA5 induces non-receptor-mediated internalization due to the formation of a convex crystal lattice from trimers of the protein (as shown </w:t>
      </w:r>
      <w:r w:rsidRPr="002749F5">
        <w:rPr>
          <w:rFonts w:ascii="Arial" w:hAnsi="Arial" w:cs="Arial"/>
          <w:color w:val="000000" w:themeColor="text1"/>
        </w:rPr>
        <w:t xml:space="preserve">in </w:t>
      </w:r>
      <w:r w:rsidRPr="002749F5">
        <w:rPr>
          <w:rFonts w:ascii="Arial" w:hAnsi="Arial" w:cs="Arial"/>
          <w:b/>
          <w:bCs/>
          <w:color w:val="000000" w:themeColor="text1"/>
        </w:rPr>
        <w:t>Figure</w:t>
      </w:r>
      <w:r w:rsidR="002749F5" w:rsidRPr="002749F5">
        <w:rPr>
          <w:rFonts w:ascii="Arial" w:hAnsi="Arial" w:cs="Arial"/>
          <w:b/>
          <w:bCs/>
          <w:color w:val="000000" w:themeColor="text1"/>
        </w:rPr>
        <w:t xml:space="preserve"> 10</w:t>
      </w:r>
      <w:r w:rsidR="002749F5" w:rsidRPr="002749F5">
        <w:rPr>
          <w:rFonts w:ascii="Arial" w:hAnsi="Arial" w:cs="Arial"/>
          <w:color w:val="000000" w:themeColor="text1"/>
        </w:rPr>
        <w:t xml:space="preserve"> and </w:t>
      </w:r>
      <w:r w:rsidR="002749F5" w:rsidRPr="002749F5">
        <w:rPr>
          <w:rFonts w:ascii="Arial" w:hAnsi="Arial" w:cs="Arial"/>
          <w:b/>
          <w:bCs/>
          <w:color w:val="000000" w:themeColor="text1"/>
        </w:rPr>
        <w:t>Figure 11</w:t>
      </w:r>
      <w:r w:rsidRPr="002749F5">
        <w:rPr>
          <w:rFonts w:ascii="Arial" w:hAnsi="Arial" w:cs="Arial"/>
          <w:color w:val="000000" w:themeColor="text1"/>
        </w:rPr>
        <w:t>).</w:t>
      </w:r>
      <w:r>
        <w:rPr>
          <w:rFonts w:ascii="Arial" w:hAnsi="Arial" w:cs="Arial"/>
          <w:color w:val="000000" w:themeColor="text1"/>
        </w:rPr>
        <w:t xml:space="preserve"> A particular 3D orientation characterizes crystal lattices. By linking ANXA5-DM1 to AuNP, the protein loses degrees of freedom, which might hinder the possibility of orienting itself to the other neighboring proteins to form the trimer that induces the internalization.</w:t>
      </w:r>
    </w:p>
    <w:p w14:paraId="49BEC966" w14:textId="60C74EB5" w:rsidR="00DB0531" w:rsidRDefault="00EC5201" w:rsidP="00EC5201">
      <w:pPr>
        <w:spacing w:line="360" w:lineRule="auto"/>
        <w:ind w:firstLine="1440"/>
        <w:jc w:val="both"/>
        <w:rPr>
          <w:rFonts w:ascii="Arial" w:hAnsi="Arial" w:cs="Arial"/>
          <w:color w:val="000000" w:themeColor="text1"/>
        </w:rPr>
      </w:pPr>
      <w:r>
        <w:rPr>
          <w:rFonts w:ascii="Arial" w:hAnsi="Arial" w:cs="Arial"/>
          <w:color w:val="000000" w:themeColor="text1"/>
        </w:rPr>
        <w:t xml:space="preserve">Although those results are not as encouraging as expected, linking ANXA5-DM1 to AuNP might have therapeutic advantages </w:t>
      </w:r>
      <w:r>
        <w:rPr>
          <w:rFonts w:ascii="Arial" w:hAnsi="Arial" w:cs="Arial"/>
          <w:i/>
          <w:iCs/>
          <w:color w:val="000000" w:themeColor="text1"/>
        </w:rPr>
        <w:t>in vivo.</w:t>
      </w:r>
      <w:r>
        <w:rPr>
          <w:rFonts w:ascii="Arial" w:hAnsi="Arial" w:cs="Arial"/>
          <w:color w:val="000000" w:themeColor="text1"/>
        </w:rPr>
        <w:t xml:space="preserve"> Because of the limited diffusion of AuNP-ANXA5-DM1, AuNP might be able to lock the conjugate in the site of injection in the case of </w:t>
      </w:r>
      <w:proofErr w:type="spellStart"/>
      <w:r>
        <w:rPr>
          <w:rFonts w:ascii="Arial" w:hAnsi="Arial" w:cs="Arial"/>
          <w:color w:val="000000" w:themeColor="text1"/>
        </w:rPr>
        <w:t>intratumoral</w:t>
      </w:r>
      <w:proofErr w:type="spellEnd"/>
      <w:r>
        <w:rPr>
          <w:rFonts w:ascii="Arial" w:hAnsi="Arial" w:cs="Arial"/>
          <w:color w:val="000000" w:themeColor="text1"/>
        </w:rPr>
        <w:t xml:space="preserve"> injections. DM1 is a highly toxic drug that induces systemic toxicity and cannot be administered in humans as a free drug. Therefore, hindering the drug diffusion from a site of </w:t>
      </w:r>
      <w:proofErr w:type="spellStart"/>
      <w:r>
        <w:rPr>
          <w:rFonts w:ascii="Arial" w:hAnsi="Arial" w:cs="Arial"/>
          <w:color w:val="000000" w:themeColor="text1"/>
        </w:rPr>
        <w:t>intratumoral</w:t>
      </w:r>
      <w:proofErr w:type="spellEnd"/>
      <w:r>
        <w:rPr>
          <w:rFonts w:ascii="Arial" w:hAnsi="Arial" w:cs="Arial"/>
          <w:color w:val="000000" w:themeColor="text1"/>
        </w:rPr>
        <w:t xml:space="preserve"> injection to the system might prevent side effects from the protein-drug conjugation. Additionally, our lab has started the experiments </w:t>
      </w:r>
      <w:r>
        <w:rPr>
          <w:rFonts w:ascii="Arial" w:hAnsi="Arial" w:cs="Arial"/>
          <w:i/>
          <w:iCs/>
          <w:color w:val="000000" w:themeColor="text1"/>
        </w:rPr>
        <w:t xml:space="preserve">in vivo </w:t>
      </w:r>
      <w:r>
        <w:rPr>
          <w:rFonts w:ascii="Arial" w:hAnsi="Arial" w:cs="Arial"/>
          <w:color w:val="000000" w:themeColor="text1"/>
        </w:rPr>
        <w:t>with the administration of ANXA5-DM1 intratumorally. One relevant limitation was the immediate release of part of the injected volume outside of the tumor, due to the toughness of the tumors. We believe that the link to AuNP would prevent that phenomenon during injections.</w:t>
      </w:r>
      <w:r w:rsidR="00DB0531">
        <w:rPr>
          <w:rFonts w:ascii="Arial" w:hAnsi="Arial" w:cs="Arial"/>
          <w:color w:val="000000" w:themeColor="text1"/>
        </w:rPr>
        <w:br w:type="page"/>
      </w:r>
    </w:p>
    <w:p w14:paraId="1B514CD9" w14:textId="77777777" w:rsidR="00471BFF" w:rsidRDefault="00471BFF" w:rsidP="00471BFF">
      <w:pPr>
        <w:rPr>
          <w:rFonts w:ascii="Arial" w:hAnsi="Arial" w:cs="Arial"/>
          <w:color w:val="000000" w:themeColor="text1"/>
        </w:rPr>
      </w:pPr>
    </w:p>
    <w:p w14:paraId="5C119484" w14:textId="500CC13B" w:rsidR="00471BFF" w:rsidRDefault="00471BFF" w:rsidP="00471BFF">
      <w:pPr>
        <w:rPr>
          <w:rFonts w:ascii="Arial" w:hAnsi="Arial" w:cs="Arial"/>
          <w:color w:val="000000" w:themeColor="text1"/>
        </w:rPr>
      </w:pPr>
    </w:p>
    <w:p w14:paraId="145DE31B" w14:textId="70DE4125" w:rsidR="00471BFF" w:rsidRDefault="00471BFF" w:rsidP="00471BFF">
      <w:pPr>
        <w:rPr>
          <w:rFonts w:ascii="Arial" w:hAnsi="Arial" w:cs="Arial"/>
          <w:color w:val="000000" w:themeColor="text1"/>
        </w:rPr>
      </w:pPr>
    </w:p>
    <w:p w14:paraId="19762D71" w14:textId="65BA0B69" w:rsidR="00471BFF" w:rsidRDefault="00471BFF" w:rsidP="00471BFF">
      <w:pPr>
        <w:rPr>
          <w:rFonts w:ascii="Arial" w:hAnsi="Arial" w:cs="Arial"/>
          <w:color w:val="000000" w:themeColor="text1"/>
        </w:rPr>
      </w:pPr>
    </w:p>
    <w:p w14:paraId="2D54A04D" w14:textId="229665B1" w:rsidR="00471BFF" w:rsidRDefault="00471BFF" w:rsidP="00471BFF">
      <w:pPr>
        <w:rPr>
          <w:rFonts w:ascii="Arial" w:hAnsi="Arial" w:cs="Arial"/>
          <w:color w:val="000000" w:themeColor="text1"/>
        </w:rPr>
      </w:pPr>
    </w:p>
    <w:p w14:paraId="7EC80838" w14:textId="5AF05323" w:rsidR="00471BFF" w:rsidRDefault="00471BFF" w:rsidP="00471BFF">
      <w:pPr>
        <w:rPr>
          <w:rFonts w:ascii="Arial" w:hAnsi="Arial" w:cs="Arial"/>
          <w:color w:val="000000" w:themeColor="text1"/>
        </w:rPr>
      </w:pPr>
    </w:p>
    <w:p w14:paraId="50B25D3A" w14:textId="65AF490B" w:rsidR="00471BFF" w:rsidRDefault="00471BFF" w:rsidP="00471BFF">
      <w:pPr>
        <w:rPr>
          <w:rFonts w:ascii="Arial" w:hAnsi="Arial" w:cs="Arial"/>
          <w:color w:val="000000" w:themeColor="text1"/>
        </w:rPr>
      </w:pPr>
    </w:p>
    <w:p w14:paraId="10921612" w14:textId="4F6579AB" w:rsidR="00471BFF" w:rsidRDefault="00471BFF" w:rsidP="00471BFF">
      <w:pPr>
        <w:rPr>
          <w:rFonts w:ascii="Arial" w:hAnsi="Arial" w:cs="Arial"/>
          <w:color w:val="000000" w:themeColor="text1"/>
        </w:rPr>
      </w:pPr>
    </w:p>
    <w:p w14:paraId="02F979C1" w14:textId="2C53BAD6" w:rsidR="00471BFF" w:rsidRDefault="00471BFF" w:rsidP="00471BFF">
      <w:pPr>
        <w:rPr>
          <w:rFonts w:ascii="Arial" w:hAnsi="Arial" w:cs="Arial"/>
          <w:color w:val="000000" w:themeColor="text1"/>
        </w:rPr>
      </w:pPr>
    </w:p>
    <w:p w14:paraId="23336216" w14:textId="05469E44" w:rsidR="000535EB" w:rsidRDefault="000535EB" w:rsidP="00471BFF">
      <w:pPr>
        <w:rPr>
          <w:rFonts w:ascii="Arial" w:hAnsi="Arial" w:cs="Arial"/>
          <w:color w:val="000000" w:themeColor="text1"/>
        </w:rPr>
      </w:pPr>
    </w:p>
    <w:p w14:paraId="013259FE" w14:textId="77777777" w:rsidR="000535EB" w:rsidRDefault="000535EB" w:rsidP="00471BFF">
      <w:pPr>
        <w:rPr>
          <w:rFonts w:ascii="Arial" w:hAnsi="Arial" w:cs="Arial"/>
          <w:color w:val="000000" w:themeColor="text1"/>
        </w:rPr>
      </w:pPr>
    </w:p>
    <w:p w14:paraId="71BDDA47" w14:textId="1B6BCA9C" w:rsidR="00471BFF" w:rsidRDefault="00471BFF" w:rsidP="00471BFF">
      <w:pPr>
        <w:rPr>
          <w:rFonts w:ascii="Arial" w:hAnsi="Arial" w:cs="Arial"/>
          <w:color w:val="000000" w:themeColor="text1"/>
        </w:rPr>
      </w:pPr>
    </w:p>
    <w:p w14:paraId="11487D0B" w14:textId="77777777" w:rsidR="00471BFF" w:rsidRDefault="00471BFF" w:rsidP="00471BFF">
      <w:pPr>
        <w:rPr>
          <w:rFonts w:ascii="Arial" w:hAnsi="Arial" w:cs="Arial"/>
          <w:color w:val="000000" w:themeColor="text1"/>
        </w:rPr>
      </w:pPr>
    </w:p>
    <w:p w14:paraId="02555C5F" w14:textId="24F1D595" w:rsidR="00471BFF" w:rsidRDefault="00471BFF" w:rsidP="00471BFF">
      <w:pPr>
        <w:rPr>
          <w:rFonts w:ascii="Arial" w:hAnsi="Arial" w:cs="Arial"/>
          <w:color w:val="000000" w:themeColor="text1"/>
        </w:rPr>
      </w:pPr>
    </w:p>
    <w:p w14:paraId="6C9B6CA6" w14:textId="21A40D00" w:rsidR="00471BFF" w:rsidRDefault="00471BFF" w:rsidP="00471BFF">
      <w:pPr>
        <w:rPr>
          <w:rFonts w:ascii="Arial" w:hAnsi="Arial" w:cs="Arial"/>
          <w:color w:val="000000" w:themeColor="text1"/>
        </w:rPr>
      </w:pPr>
    </w:p>
    <w:p w14:paraId="2D9373AC" w14:textId="0CC94995" w:rsidR="00471BFF" w:rsidRDefault="00471BFF" w:rsidP="00471BFF">
      <w:pPr>
        <w:rPr>
          <w:rFonts w:ascii="Arial" w:hAnsi="Arial" w:cs="Arial"/>
          <w:color w:val="000000" w:themeColor="text1"/>
        </w:rPr>
      </w:pPr>
    </w:p>
    <w:p w14:paraId="2118802B" w14:textId="43F9BD73" w:rsidR="00471BFF" w:rsidRDefault="00471BFF" w:rsidP="00471BFF">
      <w:pPr>
        <w:rPr>
          <w:rFonts w:ascii="Arial" w:hAnsi="Arial" w:cs="Arial"/>
          <w:color w:val="000000" w:themeColor="text1"/>
        </w:rPr>
      </w:pPr>
    </w:p>
    <w:p w14:paraId="5EE5B7B9" w14:textId="77777777" w:rsidR="00471BFF" w:rsidRDefault="00471BFF" w:rsidP="00471BFF">
      <w:pPr>
        <w:rPr>
          <w:rFonts w:ascii="Arial" w:hAnsi="Arial" w:cs="Arial"/>
          <w:color w:val="000000" w:themeColor="text1"/>
        </w:rPr>
      </w:pPr>
    </w:p>
    <w:p w14:paraId="20BD62F2" w14:textId="3A1B6E41" w:rsidR="00017375" w:rsidRDefault="00017375" w:rsidP="009A05B6">
      <w:pPr>
        <w:pStyle w:val="Heading1"/>
        <w:jc w:val="center"/>
        <w:rPr>
          <w:rFonts w:ascii="Arial" w:hAnsi="Arial" w:cs="Arial"/>
          <w:color w:val="000000" w:themeColor="text1"/>
        </w:rPr>
      </w:pPr>
      <w:bookmarkStart w:id="177" w:name="_Toc121217290"/>
      <w:r w:rsidRPr="00D74025">
        <w:rPr>
          <w:rFonts w:ascii="Arial" w:hAnsi="Arial" w:cs="Arial"/>
          <w:color w:val="000000" w:themeColor="text1"/>
        </w:rPr>
        <w:t>CHAPTER 4 – CONCLUSION</w:t>
      </w:r>
      <w:r w:rsidR="009A05B6" w:rsidRPr="00D74025">
        <w:rPr>
          <w:rFonts w:ascii="Arial" w:hAnsi="Arial" w:cs="Arial"/>
          <w:color w:val="000000" w:themeColor="text1"/>
        </w:rPr>
        <w:t>S</w:t>
      </w:r>
      <w:r w:rsidRPr="00D74025">
        <w:rPr>
          <w:rFonts w:ascii="Arial" w:hAnsi="Arial" w:cs="Arial"/>
          <w:color w:val="000000" w:themeColor="text1"/>
        </w:rPr>
        <w:t xml:space="preserve"> AND FUTURE DIRECTIONS</w:t>
      </w:r>
      <w:bookmarkEnd w:id="177"/>
    </w:p>
    <w:p w14:paraId="49617A0C" w14:textId="352A1F45" w:rsidR="00AE03AA" w:rsidRDefault="00AE03AA" w:rsidP="00AE03AA">
      <w:r>
        <w:br w:type="page"/>
      </w:r>
    </w:p>
    <w:p w14:paraId="6495A7BF" w14:textId="722D4ECB" w:rsidR="00437856" w:rsidRPr="00CE7109" w:rsidRDefault="00185B37" w:rsidP="00437856">
      <w:pPr>
        <w:spacing w:line="360" w:lineRule="auto"/>
        <w:ind w:firstLine="1440"/>
        <w:jc w:val="both"/>
        <w:rPr>
          <w:rFonts w:ascii="Arial" w:hAnsi="Arial" w:cs="Arial"/>
        </w:rPr>
      </w:pPr>
      <w:r>
        <w:rPr>
          <w:rFonts w:ascii="Calibri" w:hAnsi="Calibri" w:cs="Calibri"/>
        </w:rPr>
        <w:lastRenderedPageBreak/>
        <w:t>﻿</w:t>
      </w:r>
      <w:r w:rsidRPr="00CE7109">
        <w:rPr>
          <w:rFonts w:ascii="Arial" w:hAnsi="Arial" w:cs="Arial"/>
        </w:rPr>
        <w:t>Here, we demonstrate a novel combinatorial treatment modality where we obtain a high survival rate in mice with aggressive metastatic breast cancer, the EMT6 tumor model, using SWCNT-ANXA5-med</w:t>
      </w:r>
      <w:r w:rsidR="00BD3EC2">
        <w:rPr>
          <w:rFonts w:ascii="Arial" w:hAnsi="Arial" w:cs="Arial"/>
        </w:rPr>
        <w:t>ia</w:t>
      </w:r>
      <w:r w:rsidRPr="00CE7109">
        <w:rPr>
          <w:rFonts w:ascii="Arial" w:hAnsi="Arial" w:cs="Arial"/>
        </w:rPr>
        <w:t xml:space="preserve">ted photothermal therapy at lower temperature </w:t>
      </w:r>
      <w:r w:rsidR="004D1A6E">
        <w:rPr>
          <w:rFonts w:ascii="Arial" w:hAnsi="Arial" w:cs="Arial"/>
        </w:rPr>
        <w:t xml:space="preserve">combined with </w:t>
      </w:r>
      <w:r w:rsidRPr="00CE7109">
        <w:rPr>
          <w:rFonts w:ascii="Arial" w:hAnsi="Arial" w:cs="Arial"/>
        </w:rPr>
        <w:t>anti-PD-1-based checkpoint inhibition</w:t>
      </w:r>
      <w:r w:rsidR="00437856">
        <w:rPr>
          <w:rFonts w:ascii="Arial" w:hAnsi="Arial" w:cs="Arial"/>
        </w:rPr>
        <w:t xml:space="preserve">. </w:t>
      </w:r>
      <w:r w:rsidR="00495237" w:rsidRPr="00CE7109">
        <w:rPr>
          <w:rFonts w:ascii="Arial" w:hAnsi="Arial" w:cs="Arial"/>
        </w:rPr>
        <w:t xml:space="preserve">The study of </w:t>
      </w:r>
      <w:r w:rsidR="00495237">
        <w:rPr>
          <w:rFonts w:ascii="Arial" w:hAnsi="Arial" w:cs="Arial"/>
        </w:rPr>
        <w:t xml:space="preserve">the </w:t>
      </w:r>
      <w:r w:rsidR="00495237" w:rsidRPr="00CE7109">
        <w:rPr>
          <w:rFonts w:ascii="Arial" w:hAnsi="Arial" w:cs="Arial"/>
        </w:rPr>
        <w:t xml:space="preserve">temperature of photothermal therapy </w:t>
      </w:r>
      <w:r w:rsidR="00495237">
        <w:rPr>
          <w:rFonts w:ascii="Arial" w:hAnsi="Arial" w:cs="Arial"/>
        </w:rPr>
        <w:t>is</w:t>
      </w:r>
      <w:r w:rsidR="00495237" w:rsidRPr="00CE7109">
        <w:rPr>
          <w:rFonts w:ascii="Arial" w:hAnsi="Arial" w:cs="Arial"/>
        </w:rPr>
        <w:t xml:space="preserve"> crucial for the safety of the treatment and the potential translation to clinical trials. A lower PTT temperature in a relatively immunogenic tumor would be enough to generate a systemic immune response when combined with checkpoint inhibition.</w:t>
      </w:r>
      <w:r w:rsidR="00495237">
        <w:rPr>
          <w:rFonts w:ascii="Arial" w:hAnsi="Arial" w:cs="Arial"/>
        </w:rPr>
        <w:t xml:space="preserve"> </w:t>
      </w:r>
      <w:r w:rsidR="00495237" w:rsidRPr="00CE7109">
        <w:rPr>
          <w:rFonts w:ascii="Arial" w:hAnsi="Arial" w:cs="Arial"/>
        </w:rPr>
        <w:t xml:space="preserve">Additionally, the transition from intravenous to </w:t>
      </w:r>
      <w:proofErr w:type="spellStart"/>
      <w:r w:rsidR="00495237" w:rsidRPr="00CE7109">
        <w:rPr>
          <w:rFonts w:ascii="Arial" w:hAnsi="Arial" w:cs="Arial"/>
        </w:rPr>
        <w:t>intratumoral</w:t>
      </w:r>
      <w:proofErr w:type="spellEnd"/>
      <w:r w:rsidR="00495237" w:rsidRPr="00CE7109">
        <w:rPr>
          <w:rFonts w:ascii="Arial" w:hAnsi="Arial" w:cs="Arial"/>
        </w:rPr>
        <w:t xml:space="preserve"> injection improved immune activation and prevented the accumulation of the SWCNT in major organs.</w:t>
      </w:r>
      <w:r w:rsidR="00437856">
        <w:rPr>
          <w:rFonts w:ascii="Arial" w:hAnsi="Arial" w:cs="Arial"/>
        </w:rPr>
        <w:t xml:space="preserve"> </w:t>
      </w:r>
      <w:r w:rsidR="00437856" w:rsidRPr="00CE7109">
        <w:rPr>
          <w:rFonts w:ascii="Arial" w:hAnsi="Arial" w:cs="Arial"/>
        </w:rPr>
        <w:t>Even though just the original tumor was given radiation treatment, it is interesting to note that mice with metastatic cancer that received combinatorial therapy lived longer.</w:t>
      </w:r>
      <w:r w:rsidR="00437856">
        <w:rPr>
          <w:rFonts w:ascii="Arial" w:hAnsi="Arial" w:cs="Arial"/>
        </w:rPr>
        <w:t xml:space="preserve"> </w:t>
      </w:r>
      <w:r w:rsidR="00437856" w:rsidRPr="00CE7109">
        <w:rPr>
          <w:rFonts w:ascii="Arial" w:hAnsi="Arial" w:cs="Arial"/>
        </w:rPr>
        <w:t>Only the combination of both treatment modalities enhanced the amount of CD4+ helper and CD8+ cytotoxic T cells in the EMT6 tumor model</w:t>
      </w:r>
      <w:r w:rsidR="00437856">
        <w:rPr>
          <w:rFonts w:ascii="Arial" w:hAnsi="Arial" w:cs="Arial"/>
        </w:rPr>
        <w:t>,</w:t>
      </w:r>
      <w:r w:rsidR="00437856" w:rsidRPr="00CE7109">
        <w:rPr>
          <w:rFonts w:ascii="Arial" w:hAnsi="Arial" w:cs="Arial"/>
        </w:rPr>
        <w:t xml:space="preserve"> according to a mechanistic investigation that quantified the splenic antitumor effector cells. According to our hypothesis, this rise in T cells </w:t>
      </w:r>
      <w:r w:rsidR="00437856">
        <w:rPr>
          <w:rFonts w:ascii="Arial" w:hAnsi="Arial" w:cs="Arial"/>
        </w:rPr>
        <w:t>results from</w:t>
      </w:r>
      <w:r w:rsidR="00437856" w:rsidRPr="00CE7109">
        <w:rPr>
          <w:rFonts w:ascii="Arial" w:hAnsi="Arial" w:cs="Arial"/>
        </w:rPr>
        <w:t xml:space="preserve"> an abscopal response, in which antitumoral effector cells </w:t>
      </w:r>
      <w:r w:rsidR="00437856">
        <w:rPr>
          <w:rFonts w:ascii="Arial" w:hAnsi="Arial" w:cs="Arial"/>
        </w:rPr>
        <w:t>prevent</w:t>
      </w:r>
      <w:r w:rsidR="00437856" w:rsidRPr="00CE7109">
        <w:rPr>
          <w:rFonts w:ascii="Arial" w:hAnsi="Arial" w:cs="Arial"/>
        </w:rPr>
        <w:t xml:space="preserve"> tumor spread.</w:t>
      </w:r>
    </w:p>
    <w:p w14:paraId="73228EA1" w14:textId="4670053E" w:rsidR="00185B37" w:rsidRDefault="00185B37" w:rsidP="00185B37">
      <w:pPr>
        <w:spacing w:line="360" w:lineRule="auto"/>
        <w:ind w:firstLine="1440"/>
        <w:jc w:val="both"/>
        <w:rPr>
          <w:rFonts w:ascii="Arial" w:hAnsi="Arial" w:cs="Arial"/>
        </w:rPr>
      </w:pPr>
      <w:r w:rsidRPr="00CE7109">
        <w:rPr>
          <w:rFonts w:ascii="Arial" w:hAnsi="Arial" w:cs="Arial"/>
        </w:rPr>
        <w:t>In this work we could compare the response of different tumor models, EMT6 and 4T1, to the combinatorial treatment of anti-PD-1 and SWCNT-ANXA5-mediated PTT.</w:t>
      </w:r>
      <w:r>
        <w:rPr>
          <w:rFonts w:ascii="Arial" w:hAnsi="Arial" w:cs="Arial"/>
        </w:rPr>
        <w:t xml:space="preserve"> The aggressiveness and non-immunogenicity of 4T1 required a more a belligerent approach to treat this tumor model. </w:t>
      </w:r>
      <w:r w:rsidR="00116A88">
        <w:rPr>
          <w:rFonts w:ascii="Arial" w:hAnsi="Arial" w:cs="Arial"/>
        </w:rPr>
        <w:t xml:space="preserve">The </w:t>
      </w:r>
      <w:r>
        <w:rPr>
          <w:rFonts w:ascii="Arial" w:hAnsi="Arial" w:cs="Arial"/>
        </w:rPr>
        <w:t>PTT temperature was raised to 55</w:t>
      </w:r>
      <w:r>
        <w:rPr>
          <w:rFonts w:ascii="Arial" w:hAnsi="Arial" w:cs="Arial"/>
        </w:rPr>
        <w:sym w:font="Symbol" w:char="F0B0"/>
      </w:r>
      <w:r>
        <w:rPr>
          <w:rFonts w:ascii="Arial" w:hAnsi="Arial" w:cs="Arial"/>
        </w:rPr>
        <w:t>C and we added the immunoadjuvant IMQ to attract immune cells to the tumor microenvironment. Here, we presented a novel combination therapy of immunoadjuvant, anti-PD-1 checkpoint inhibition, SWCNT-ANXA5-mediated PTT to treat non-immunogenic and metastatic triple negative breast cancer. This therapy was able to increase survival compared to any other treatment. Markers of systemic immune response was also found in this treatment strategy, confirming the hypothesis an abscopal response after the local irradiation of tumor, which combated metastasis.</w:t>
      </w:r>
    </w:p>
    <w:p w14:paraId="0FC6A9CE" w14:textId="35DEE01D" w:rsidR="00185B37" w:rsidRDefault="00185B37" w:rsidP="00185B37">
      <w:pPr>
        <w:spacing w:line="360" w:lineRule="auto"/>
        <w:ind w:firstLine="1440"/>
        <w:jc w:val="both"/>
        <w:rPr>
          <w:rFonts w:ascii="Arial" w:hAnsi="Arial" w:cs="Arial"/>
        </w:rPr>
      </w:pPr>
      <w:r>
        <w:rPr>
          <w:rFonts w:ascii="Arial" w:hAnsi="Arial" w:cs="Arial"/>
        </w:rPr>
        <w:t xml:space="preserve">Future work can be done studying a lower dose of intratumorally injected SWCNT-ANXA5. Here we used a dose previously optimized for the systemic administration of the conjugate. Due to the very high bioavailability of the SWCNT in the tumor, which in 100% of the injection dose is confined to the injection site, a lower dose </w:t>
      </w:r>
      <w:r>
        <w:rPr>
          <w:rFonts w:ascii="Arial" w:hAnsi="Arial" w:cs="Arial"/>
        </w:rPr>
        <w:lastRenderedPageBreak/>
        <w:t xml:space="preserve">of SWCNT-ANXA5 </w:t>
      </w:r>
      <w:r w:rsidR="00F53BB2">
        <w:rPr>
          <w:rFonts w:ascii="Arial" w:hAnsi="Arial" w:cs="Arial"/>
        </w:rPr>
        <w:t>could</w:t>
      </w:r>
      <w:r>
        <w:rPr>
          <w:rFonts w:ascii="Arial" w:hAnsi="Arial" w:cs="Arial"/>
        </w:rPr>
        <w:t xml:space="preserve"> be efficient at inducing the ablation and promoting favorable thermal kinetics. Additionally, other cancer types that are considered non-immunogenic can be tested for the treatment that was successful at treating 4T1 tumors. ANXA5 is a biomarker in many cancer types, which allows the translation of this strategy to other models.</w:t>
      </w:r>
    </w:p>
    <w:p w14:paraId="5275EBF1" w14:textId="77777777" w:rsidR="008F21D2" w:rsidRDefault="00185B37" w:rsidP="008F21D2">
      <w:pPr>
        <w:spacing w:line="360" w:lineRule="auto"/>
        <w:ind w:firstLine="1440"/>
        <w:jc w:val="both"/>
        <w:rPr>
          <w:rFonts w:ascii="Arial" w:hAnsi="Arial" w:cs="Arial"/>
        </w:rPr>
      </w:pPr>
      <w:r>
        <w:rPr>
          <w:rFonts w:ascii="Arial" w:hAnsi="Arial" w:cs="Arial"/>
        </w:rPr>
        <w:t xml:space="preserve">Here we also demonstrated the responsiveness of SWCNT to the radiofrequency field. Even though the complexity of this response is greater than the NIR-irradiation, there is enough evidence to attribute a highly effective heating of SWCNT in response to the RF field. Design changes in the RF generator, such as flexibility in the orientation of the field generated between plates, </w:t>
      </w:r>
      <w:r w:rsidR="00564616">
        <w:rPr>
          <w:rFonts w:ascii="Arial" w:hAnsi="Arial" w:cs="Arial"/>
        </w:rPr>
        <w:t>could possibly give</w:t>
      </w:r>
      <w:r>
        <w:rPr>
          <w:rFonts w:ascii="Arial" w:hAnsi="Arial" w:cs="Arial"/>
        </w:rPr>
        <w:t xml:space="preserve"> positive results in biological systems. Additionally, the use of needle-like electrodes for a more localized RF field generated </w:t>
      </w:r>
      <w:r w:rsidRPr="00C0212E">
        <w:rPr>
          <w:rFonts w:ascii="Arial" w:hAnsi="Arial" w:cs="Arial"/>
          <w:i/>
          <w:iCs/>
        </w:rPr>
        <w:t>in vivo</w:t>
      </w:r>
      <w:r>
        <w:rPr>
          <w:rFonts w:ascii="Arial" w:hAnsi="Arial" w:cs="Arial"/>
        </w:rPr>
        <w:t>, such as the devices currently used in the clinics for RFA, might be avoid the negative results seen in the irradiation of mice between plates. Furthermore, the use of devices that are already approved for humans might facilitate the translation of a CNT-mediated RFA to clinical settings.</w:t>
      </w:r>
    </w:p>
    <w:p w14:paraId="197D6587" w14:textId="5B77EE12" w:rsidR="00185B37" w:rsidRDefault="00185B37" w:rsidP="00185B37">
      <w:pPr>
        <w:spacing w:line="360" w:lineRule="auto"/>
        <w:ind w:firstLine="1440"/>
        <w:jc w:val="both"/>
        <w:rPr>
          <w:rFonts w:ascii="Arial" w:hAnsi="Arial" w:cs="Arial"/>
        </w:rPr>
      </w:pPr>
      <w:r>
        <w:rPr>
          <w:rFonts w:ascii="Arial" w:hAnsi="Arial" w:cs="Arial"/>
        </w:rPr>
        <w:t xml:space="preserve">In this work, a novel </w:t>
      </w:r>
      <w:proofErr w:type="spellStart"/>
      <w:r>
        <w:rPr>
          <w:rFonts w:ascii="Arial" w:hAnsi="Arial" w:cs="Arial"/>
        </w:rPr>
        <w:t>theranostic</w:t>
      </w:r>
      <w:proofErr w:type="spellEnd"/>
      <w:r>
        <w:rPr>
          <w:rFonts w:ascii="Arial" w:hAnsi="Arial" w:cs="Arial"/>
        </w:rPr>
        <w:t xml:space="preserve"> agent comprised of gold nanoparticles (AuNP), the targeting protein annexin A5 (ANXA5) and the chemotherapeutic agent </w:t>
      </w:r>
      <w:proofErr w:type="spellStart"/>
      <w:r>
        <w:rPr>
          <w:rFonts w:ascii="Arial" w:hAnsi="Arial" w:cs="Arial"/>
        </w:rPr>
        <w:t>mertansine</w:t>
      </w:r>
      <w:proofErr w:type="spellEnd"/>
      <w:r>
        <w:rPr>
          <w:rFonts w:ascii="Arial" w:hAnsi="Arial" w:cs="Arial"/>
        </w:rPr>
        <w:t xml:space="preserve"> (DM1) was developed. </w:t>
      </w:r>
      <w:r w:rsidR="0040252B" w:rsidRPr="0040252B">
        <w:rPr>
          <w:rFonts w:ascii="Arial" w:hAnsi="Arial" w:cs="Arial"/>
        </w:rPr>
        <w:t xml:space="preserve">Previously published evidence shows increased </w:t>
      </w:r>
      <w:r w:rsidR="0040252B" w:rsidRPr="0040252B">
        <w:rPr>
          <w:rFonts w:ascii="Calibri" w:hAnsi="Calibri" w:cs="Calibri"/>
        </w:rPr>
        <w:t>﻿</w:t>
      </w:r>
      <w:r w:rsidR="0040252B" w:rsidRPr="0040252B">
        <w:rPr>
          <w:rFonts w:ascii="Arial" w:hAnsi="Arial" w:cs="Arial"/>
        </w:rPr>
        <w:t>detection of breast tumors with ANXA5 targeted versus untargeted gold nanoparticles in microCT</w:t>
      </w:r>
      <w:r w:rsidR="0040252B" w:rsidRPr="0040252B">
        <w:rPr>
          <w:rFonts w:ascii="Arial" w:hAnsi="Arial" w:cs="Arial"/>
        </w:rPr>
        <w:fldChar w:fldCharType="begin"/>
      </w:r>
      <w:r w:rsidR="000F4F53">
        <w:rPr>
          <w:rFonts w:ascii="Arial" w:hAnsi="Arial" w:cs="Arial"/>
        </w:rPr>
        <w:instrText xml:space="preserve"> ADDIN ZOTERO_ITEM CSL_CITATION {"citationID":"2B0mdmlI","properties":{"formattedCitation":"\\super 281\\nosupersub{}","plainCitation":"281","noteIndex":0},"citationItems":[{"id":1199,"uris":["http://zotero.org/users/7661987/items/EJHTL6A5"],"itemData":{"id":1199,"type":"article-journal","abstract":"Breast cancer has one of the highest mortality rates usually due to metastatic development. Mammograms are the current standard of diagnosis; however due to the low sensitivity and high rate of misdiagnosis, patients either experience false positives or negatives leading to overdiagnosis and overtreatment. One of key disadvantages of mammograms is their failed ability to differentiate between a dense breast and a tumor, usually leading to more mammograms and more expensive diagnostic tools. In order to provide a widely available imaging tool, targeted gold nanoparticles have been developed. Gold nanoparticles have been designed with annexin V surface modiﬁcation to speciﬁcally bind phosphatidylserine expressing tumor cells and tumor vasculature. In vitro and in vivo studies showed a signiﬁcant increase in contrast with targeted nanoparticles. Tumors as small as 4 mm were detectable 4 h post-injection, providing evidence of a promising, sensitive tool for early breast cancer diagnosis.","container-title":"Biomedical Physics &amp; Engineering Express","DOI":"10.1088/2057-1976/ab4d9b","ISSN":"2057-1976","issue":"6","journalAbbreviation":"Biomed. Phys. Eng. Express","language":"en","page":"065019","source":"DOI.org (Crossref)","title":"Enhanced computed tomography imaging of breast cancer via phosphatidylserine targeted gold nanoparticles","volume":"5","author":[{"family":"Virani","given":"Needa A"},{"family":"Hendrick","given":"Andria"},{"family":"Wu","given":"Di"},{"family":"Southard","given":"Ben"},{"family":"Babb","given":"Jael"},{"family":"Liu","given":"Hong"},{"family":"Awasthi","given":"Vibhudutta"},{"family":"Harrison","given":"Roger G"}],"issued":{"date-parts":[["2019",10,24]]}}}],"schema":"https://github.com/citation-style-language/schema/raw/master/csl-citation.json"} </w:instrText>
      </w:r>
      <w:r w:rsidR="0040252B" w:rsidRPr="0040252B">
        <w:rPr>
          <w:rFonts w:ascii="Arial" w:hAnsi="Arial" w:cs="Arial"/>
        </w:rPr>
        <w:fldChar w:fldCharType="separate"/>
      </w:r>
      <w:r w:rsidR="000F4F53" w:rsidRPr="000F4F53">
        <w:rPr>
          <w:rFonts w:ascii="Arial" w:hAnsi="Arial" w:cs="Arial"/>
          <w:vertAlign w:val="superscript"/>
        </w:rPr>
        <w:t>281</w:t>
      </w:r>
      <w:r w:rsidR="0040252B" w:rsidRPr="0040252B">
        <w:rPr>
          <w:rFonts w:ascii="Arial" w:hAnsi="Arial" w:cs="Arial"/>
        </w:rPr>
        <w:fldChar w:fldCharType="end"/>
      </w:r>
      <w:r w:rsidR="0040252B" w:rsidRPr="0040252B">
        <w:rPr>
          <w:rFonts w:ascii="Arial" w:hAnsi="Arial" w:cs="Arial"/>
        </w:rPr>
        <w:t>. Additionally, here we showed results of the cytotoxic effect of the conjugate. Therefore, we have developed a multi-modal nanoparticle for the detection and therapy of breast cancer, which can deliver DM1 to tumors while improving the detection of breast cancer.</w:t>
      </w:r>
      <w:r>
        <w:rPr>
          <w:rFonts w:ascii="Arial" w:hAnsi="Arial" w:cs="Arial"/>
        </w:rPr>
        <w:t xml:space="preserve"> Future work would include the study of the conjugate </w:t>
      </w:r>
      <w:r w:rsidRPr="0052561E">
        <w:rPr>
          <w:rFonts w:ascii="Arial" w:hAnsi="Arial" w:cs="Arial"/>
          <w:i/>
          <w:iCs/>
        </w:rPr>
        <w:t>in vivo</w:t>
      </w:r>
      <w:r>
        <w:rPr>
          <w:rFonts w:ascii="Arial" w:hAnsi="Arial" w:cs="Arial"/>
        </w:rPr>
        <w:t xml:space="preserve"> to determine if the limitations of the </w:t>
      </w:r>
      <w:proofErr w:type="spellStart"/>
      <w:r>
        <w:rPr>
          <w:rFonts w:ascii="Arial" w:hAnsi="Arial" w:cs="Arial"/>
        </w:rPr>
        <w:t>intratumoral</w:t>
      </w:r>
      <w:proofErr w:type="spellEnd"/>
      <w:r>
        <w:rPr>
          <w:rFonts w:ascii="Arial" w:hAnsi="Arial" w:cs="Arial"/>
        </w:rPr>
        <w:t xml:space="preserve"> injection of ANXA5-DM1 are surpassed by the link to the AuNP. Additionally, the combination of chemotherapy to PTT would be feasible with the irradiation of tumors similarly to the PTT here studied using the AuNP-ANXA5-DM1 conjugate. Nonetheless, adjustments of laser wavelength to 800 nm (AuNP peak absorbance) requires the acquisition of another laser generator device.</w:t>
      </w:r>
    </w:p>
    <w:p w14:paraId="5C49F8A2" w14:textId="05535411" w:rsidR="0029377A" w:rsidRDefault="00185B37" w:rsidP="0029377A">
      <w:pPr>
        <w:spacing w:line="360" w:lineRule="auto"/>
        <w:ind w:firstLine="1440"/>
        <w:jc w:val="both"/>
        <w:rPr>
          <w:rFonts w:ascii="Arial" w:hAnsi="Arial" w:cs="Arial"/>
        </w:rPr>
      </w:pPr>
      <w:r>
        <w:rPr>
          <w:rFonts w:ascii="Arial" w:hAnsi="Arial" w:cs="Arial"/>
        </w:rPr>
        <w:t>Breast cancer is still a challenge worldwide and the development of novel treatment strategies is necessary. This dissertation introduces valuable knowledge that can be used in the translation of pre-clinical research into humans.</w:t>
      </w:r>
      <w:r w:rsidR="0029377A">
        <w:rPr>
          <w:rFonts w:ascii="Arial" w:hAnsi="Arial" w:cs="Arial"/>
        </w:rPr>
        <w:br w:type="page"/>
      </w:r>
    </w:p>
    <w:p w14:paraId="384C1D7F" w14:textId="174B8FAE" w:rsidR="0012067F" w:rsidRPr="00722C74" w:rsidRDefault="00173BA5" w:rsidP="00173BA5">
      <w:pPr>
        <w:pStyle w:val="Heading1"/>
        <w:jc w:val="center"/>
        <w:rPr>
          <w:rFonts w:ascii="Arial" w:hAnsi="Arial" w:cs="Arial"/>
          <w:b/>
          <w:bCs/>
          <w:color w:val="000000" w:themeColor="text1"/>
        </w:rPr>
      </w:pPr>
      <w:bookmarkStart w:id="178" w:name="_Toc121217291"/>
      <w:r w:rsidRPr="00722C74">
        <w:rPr>
          <w:rFonts w:ascii="Arial" w:hAnsi="Arial" w:cs="Arial"/>
          <w:b/>
          <w:bCs/>
          <w:color w:val="000000" w:themeColor="text1"/>
        </w:rPr>
        <w:lastRenderedPageBreak/>
        <w:t>REFERENCES</w:t>
      </w:r>
      <w:bookmarkEnd w:id="178"/>
    </w:p>
    <w:p w14:paraId="48D3C766" w14:textId="7F956EF0" w:rsidR="00173BA5" w:rsidRPr="007565D9" w:rsidRDefault="00173BA5" w:rsidP="00173BA5">
      <w:pPr>
        <w:rPr>
          <w:color w:val="000000" w:themeColor="text1"/>
          <w:sz w:val="22"/>
          <w:szCs w:val="22"/>
        </w:rPr>
      </w:pPr>
    </w:p>
    <w:p w14:paraId="35A203E5" w14:textId="77777777" w:rsidR="000F4F53" w:rsidRPr="007926AE" w:rsidRDefault="00AB2CFB" w:rsidP="000F4F53">
      <w:pPr>
        <w:pStyle w:val="Bibliography"/>
        <w:spacing w:line="360" w:lineRule="auto"/>
        <w:rPr>
          <w:rFonts w:ascii="Arial" w:hAnsi="Arial" w:cs="Arial"/>
          <w:color w:val="000000"/>
          <w:sz w:val="22"/>
          <w:szCs w:val="22"/>
        </w:rPr>
      </w:pPr>
      <w:r w:rsidRPr="007926AE">
        <w:rPr>
          <w:rFonts w:ascii="Arial" w:hAnsi="Arial" w:cs="Arial"/>
          <w:color w:val="000000" w:themeColor="text1"/>
          <w:sz w:val="22"/>
          <w:szCs w:val="22"/>
        </w:rPr>
        <w:fldChar w:fldCharType="begin"/>
      </w:r>
      <w:r w:rsidR="000F4F53" w:rsidRPr="007926AE">
        <w:rPr>
          <w:rFonts w:ascii="Arial" w:hAnsi="Arial" w:cs="Arial"/>
          <w:color w:val="000000" w:themeColor="text1"/>
          <w:sz w:val="22"/>
          <w:szCs w:val="22"/>
        </w:rPr>
        <w:instrText xml:space="preserve"> ADDIN ZOTERO_BIBL {"uncited":[],"omitted":[],"custom":[]} CSL_BIBLIOGRAPHY </w:instrText>
      </w:r>
      <w:r w:rsidRPr="007926AE">
        <w:rPr>
          <w:rFonts w:ascii="Arial" w:hAnsi="Arial" w:cs="Arial"/>
          <w:color w:val="000000" w:themeColor="text1"/>
          <w:sz w:val="22"/>
          <w:szCs w:val="22"/>
        </w:rPr>
        <w:fldChar w:fldCharType="separate"/>
      </w:r>
      <w:r w:rsidR="000F4F53" w:rsidRPr="007926AE">
        <w:rPr>
          <w:rFonts w:ascii="Arial" w:hAnsi="Arial" w:cs="Arial"/>
          <w:color w:val="000000"/>
          <w:sz w:val="22"/>
          <w:szCs w:val="22"/>
        </w:rPr>
        <w:t>1.</w:t>
      </w:r>
      <w:r w:rsidR="000F4F53" w:rsidRPr="007926AE">
        <w:rPr>
          <w:rFonts w:ascii="Arial" w:hAnsi="Arial" w:cs="Arial"/>
          <w:color w:val="000000"/>
          <w:sz w:val="22"/>
          <w:szCs w:val="22"/>
        </w:rPr>
        <w:tab/>
        <w:t xml:space="preserve">Ribatti, D. An historical note on the cell theory. </w:t>
      </w:r>
      <w:r w:rsidR="000F4F53" w:rsidRPr="007926AE">
        <w:rPr>
          <w:rFonts w:ascii="Arial" w:hAnsi="Arial" w:cs="Arial"/>
          <w:i/>
          <w:iCs/>
          <w:color w:val="000000"/>
          <w:sz w:val="22"/>
          <w:szCs w:val="22"/>
        </w:rPr>
        <w:t>Experimental Cell Research</w:t>
      </w:r>
      <w:r w:rsidR="000F4F53" w:rsidRPr="007926AE">
        <w:rPr>
          <w:rFonts w:ascii="Arial" w:hAnsi="Arial" w:cs="Arial"/>
          <w:color w:val="000000"/>
          <w:sz w:val="22"/>
          <w:szCs w:val="22"/>
        </w:rPr>
        <w:t xml:space="preserve"> </w:t>
      </w:r>
      <w:r w:rsidR="000F4F53" w:rsidRPr="007926AE">
        <w:rPr>
          <w:rFonts w:ascii="Arial" w:hAnsi="Arial" w:cs="Arial"/>
          <w:b/>
          <w:bCs/>
          <w:color w:val="000000"/>
          <w:sz w:val="22"/>
          <w:szCs w:val="22"/>
        </w:rPr>
        <w:t>364</w:t>
      </w:r>
      <w:r w:rsidR="000F4F53" w:rsidRPr="007926AE">
        <w:rPr>
          <w:rFonts w:ascii="Arial" w:hAnsi="Arial" w:cs="Arial"/>
          <w:color w:val="000000"/>
          <w:sz w:val="22"/>
          <w:szCs w:val="22"/>
        </w:rPr>
        <w:t>, 1–4 (2018).</w:t>
      </w:r>
    </w:p>
    <w:p w14:paraId="237C373E"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w:t>
      </w:r>
      <w:r w:rsidRPr="007926AE">
        <w:rPr>
          <w:rFonts w:ascii="Arial" w:hAnsi="Arial" w:cs="Arial"/>
          <w:color w:val="000000"/>
          <w:sz w:val="22"/>
          <w:szCs w:val="22"/>
        </w:rPr>
        <w:tab/>
        <w:t xml:space="preserve">Cooper, G. M. </w:t>
      </w:r>
      <w:r w:rsidRPr="007926AE">
        <w:rPr>
          <w:rFonts w:ascii="Arial" w:hAnsi="Arial" w:cs="Arial"/>
          <w:i/>
          <w:iCs/>
          <w:color w:val="000000"/>
          <w:sz w:val="22"/>
          <w:szCs w:val="22"/>
        </w:rPr>
        <w:t>The cell: a molecular approach</w:t>
      </w:r>
      <w:r w:rsidRPr="007926AE">
        <w:rPr>
          <w:rFonts w:ascii="Arial" w:hAnsi="Arial" w:cs="Arial"/>
          <w:color w:val="000000"/>
          <w:sz w:val="22"/>
          <w:szCs w:val="22"/>
        </w:rPr>
        <w:t>. (Sinauer Associates, an imprint of Oxford University Press, 2019).</w:t>
      </w:r>
    </w:p>
    <w:p w14:paraId="6F60113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w:t>
      </w:r>
      <w:r w:rsidRPr="007926AE">
        <w:rPr>
          <w:rFonts w:ascii="Arial" w:hAnsi="Arial" w:cs="Arial"/>
          <w:color w:val="000000"/>
          <w:sz w:val="22"/>
          <w:szCs w:val="22"/>
        </w:rPr>
        <w:tab/>
        <w:t xml:space="preserve">Rees, D. C., Johnson, E. &amp; Lewinson, O. ABC transporters: the power to change. </w:t>
      </w:r>
      <w:r w:rsidRPr="007926AE">
        <w:rPr>
          <w:rFonts w:ascii="Arial" w:hAnsi="Arial" w:cs="Arial"/>
          <w:i/>
          <w:iCs/>
          <w:color w:val="000000"/>
          <w:sz w:val="22"/>
          <w:szCs w:val="22"/>
        </w:rPr>
        <w:t>Nat Rev Mol Cell Biol</w:t>
      </w:r>
      <w:r w:rsidRPr="007926AE">
        <w:rPr>
          <w:rFonts w:ascii="Arial" w:hAnsi="Arial" w:cs="Arial"/>
          <w:color w:val="000000"/>
          <w:sz w:val="22"/>
          <w:szCs w:val="22"/>
        </w:rPr>
        <w:t xml:space="preserve"> </w:t>
      </w:r>
      <w:r w:rsidRPr="007926AE">
        <w:rPr>
          <w:rFonts w:ascii="Arial" w:hAnsi="Arial" w:cs="Arial"/>
          <w:b/>
          <w:bCs/>
          <w:color w:val="000000"/>
          <w:sz w:val="22"/>
          <w:szCs w:val="22"/>
        </w:rPr>
        <w:t>10</w:t>
      </w:r>
      <w:r w:rsidRPr="007926AE">
        <w:rPr>
          <w:rFonts w:ascii="Arial" w:hAnsi="Arial" w:cs="Arial"/>
          <w:color w:val="000000"/>
          <w:sz w:val="22"/>
          <w:szCs w:val="22"/>
        </w:rPr>
        <w:t>, 218–227 (2009).</w:t>
      </w:r>
    </w:p>
    <w:p w14:paraId="5380BCE6"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4.</w:t>
      </w:r>
      <w:r w:rsidRPr="007926AE">
        <w:rPr>
          <w:rFonts w:ascii="Arial" w:hAnsi="Arial" w:cs="Arial"/>
          <w:color w:val="000000"/>
          <w:sz w:val="22"/>
          <w:szCs w:val="22"/>
        </w:rPr>
        <w:tab/>
        <w:t xml:space="preserve">Catterall, W. A. Ion Channel Voltage Sensors: Structure, Function, and Pathophysiology. </w:t>
      </w:r>
      <w:r w:rsidRPr="007926AE">
        <w:rPr>
          <w:rFonts w:ascii="Arial" w:hAnsi="Arial" w:cs="Arial"/>
          <w:i/>
          <w:iCs/>
          <w:color w:val="000000"/>
          <w:sz w:val="22"/>
          <w:szCs w:val="22"/>
        </w:rPr>
        <w:t>Neuron</w:t>
      </w:r>
      <w:r w:rsidRPr="007926AE">
        <w:rPr>
          <w:rFonts w:ascii="Arial" w:hAnsi="Arial" w:cs="Arial"/>
          <w:color w:val="000000"/>
          <w:sz w:val="22"/>
          <w:szCs w:val="22"/>
        </w:rPr>
        <w:t xml:space="preserve"> </w:t>
      </w:r>
      <w:r w:rsidRPr="007926AE">
        <w:rPr>
          <w:rFonts w:ascii="Arial" w:hAnsi="Arial" w:cs="Arial"/>
          <w:b/>
          <w:bCs/>
          <w:color w:val="000000"/>
          <w:sz w:val="22"/>
          <w:szCs w:val="22"/>
        </w:rPr>
        <w:t>67</w:t>
      </w:r>
      <w:r w:rsidRPr="007926AE">
        <w:rPr>
          <w:rFonts w:ascii="Arial" w:hAnsi="Arial" w:cs="Arial"/>
          <w:color w:val="000000"/>
          <w:sz w:val="22"/>
          <w:szCs w:val="22"/>
        </w:rPr>
        <w:t>, 915–928 (2010).</w:t>
      </w:r>
    </w:p>
    <w:p w14:paraId="0CDBA8A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5.</w:t>
      </w:r>
      <w:r w:rsidRPr="007926AE">
        <w:rPr>
          <w:rFonts w:ascii="Arial" w:hAnsi="Arial" w:cs="Arial"/>
          <w:color w:val="000000"/>
          <w:sz w:val="22"/>
          <w:szCs w:val="22"/>
        </w:rPr>
        <w:tab/>
        <w:t xml:space="preserve">Singer, S. J. &amp; Nicolson, G. L. The Fluid Mosaic Model of the Structure of Cell Membranes. </w:t>
      </w:r>
      <w:r w:rsidRPr="007926AE">
        <w:rPr>
          <w:rFonts w:ascii="Arial" w:hAnsi="Arial" w:cs="Arial"/>
          <w:i/>
          <w:iCs/>
          <w:color w:val="000000"/>
          <w:sz w:val="22"/>
          <w:szCs w:val="22"/>
        </w:rPr>
        <w:t>Science</w:t>
      </w:r>
      <w:r w:rsidRPr="007926AE">
        <w:rPr>
          <w:rFonts w:ascii="Arial" w:hAnsi="Arial" w:cs="Arial"/>
          <w:color w:val="000000"/>
          <w:sz w:val="22"/>
          <w:szCs w:val="22"/>
        </w:rPr>
        <w:t xml:space="preserve"> </w:t>
      </w:r>
      <w:r w:rsidRPr="007926AE">
        <w:rPr>
          <w:rFonts w:ascii="Arial" w:hAnsi="Arial" w:cs="Arial"/>
          <w:b/>
          <w:bCs/>
          <w:color w:val="000000"/>
          <w:sz w:val="22"/>
          <w:szCs w:val="22"/>
        </w:rPr>
        <w:t>175</w:t>
      </w:r>
      <w:r w:rsidRPr="007926AE">
        <w:rPr>
          <w:rFonts w:ascii="Arial" w:hAnsi="Arial" w:cs="Arial"/>
          <w:color w:val="000000"/>
          <w:sz w:val="22"/>
          <w:szCs w:val="22"/>
        </w:rPr>
        <w:t>, 720–731 (1972).</w:t>
      </w:r>
    </w:p>
    <w:p w14:paraId="61E129F6"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6.</w:t>
      </w:r>
      <w:r w:rsidRPr="007926AE">
        <w:rPr>
          <w:rFonts w:ascii="Arial" w:hAnsi="Arial" w:cs="Arial"/>
          <w:color w:val="000000"/>
          <w:sz w:val="22"/>
          <w:szCs w:val="22"/>
        </w:rPr>
        <w:tab/>
        <w:t xml:space="preserve">Nicolson, G. L. The Fluid—Mosaic Model of Membrane Structure: Still relevant to understanding the structure, function and dynamics of biological membranes after more than 40years. </w:t>
      </w:r>
      <w:r w:rsidRPr="007926AE">
        <w:rPr>
          <w:rFonts w:ascii="Arial" w:hAnsi="Arial" w:cs="Arial"/>
          <w:i/>
          <w:iCs/>
          <w:color w:val="000000"/>
          <w:sz w:val="22"/>
          <w:szCs w:val="22"/>
        </w:rPr>
        <w:t>Biochimica et Biophysica Acta (BBA) - Biomembranes</w:t>
      </w:r>
      <w:r w:rsidRPr="007926AE">
        <w:rPr>
          <w:rFonts w:ascii="Arial" w:hAnsi="Arial" w:cs="Arial"/>
          <w:color w:val="000000"/>
          <w:sz w:val="22"/>
          <w:szCs w:val="22"/>
        </w:rPr>
        <w:t xml:space="preserve"> </w:t>
      </w:r>
      <w:r w:rsidRPr="007926AE">
        <w:rPr>
          <w:rFonts w:ascii="Arial" w:hAnsi="Arial" w:cs="Arial"/>
          <w:b/>
          <w:bCs/>
          <w:color w:val="000000"/>
          <w:sz w:val="22"/>
          <w:szCs w:val="22"/>
        </w:rPr>
        <w:t>1838</w:t>
      </w:r>
      <w:r w:rsidRPr="007926AE">
        <w:rPr>
          <w:rFonts w:ascii="Arial" w:hAnsi="Arial" w:cs="Arial"/>
          <w:color w:val="000000"/>
          <w:sz w:val="22"/>
          <w:szCs w:val="22"/>
        </w:rPr>
        <w:t>, 1451–1466 (2014).</w:t>
      </w:r>
    </w:p>
    <w:p w14:paraId="1613BDC7"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7.</w:t>
      </w:r>
      <w:r w:rsidRPr="007926AE">
        <w:rPr>
          <w:rFonts w:ascii="Arial" w:hAnsi="Arial" w:cs="Arial"/>
          <w:color w:val="000000"/>
          <w:sz w:val="22"/>
          <w:szCs w:val="22"/>
        </w:rPr>
        <w:tab/>
        <w:t xml:space="preserve">Kalappurakkal, J. M., Sil, P. &amp; Mayor, S. Toward a new picture of the living plasma membrane. </w:t>
      </w:r>
      <w:r w:rsidRPr="007926AE">
        <w:rPr>
          <w:rFonts w:ascii="Arial" w:hAnsi="Arial" w:cs="Arial"/>
          <w:i/>
          <w:iCs/>
          <w:color w:val="000000"/>
          <w:sz w:val="22"/>
          <w:szCs w:val="22"/>
        </w:rPr>
        <w:t>Protein Science</w:t>
      </w:r>
      <w:r w:rsidRPr="007926AE">
        <w:rPr>
          <w:rFonts w:ascii="Arial" w:hAnsi="Arial" w:cs="Arial"/>
          <w:color w:val="000000"/>
          <w:sz w:val="22"/>
          <w:szCs w:val="22"/>
        </w:rPr>
        <w:t xml:space="preserve"> </w:t>
      </w:r>
      <w:r w:rsidRPr="007926AE">
        <w:rPr>
          <w:rFonts w:ascii="Arial" w:hAnsi="Arial" w:cs="Arial"/>
          <w:b/>
          <w:bCs/>
          <w:color w:val="000000"/>
          <w:sz w:val="22"/>
          <w:szCs w:val="22"/>
        </w:rPr>
        <w:t>29</w:t>
      </w:r>
      <w:r w:rsidRPr="007926AE">
        <w:rPr>
          <w:rFonts w:ascii="Arial" w:hAnsi="Arial" w:cs="Arial"/>
          <w:color w:val="000000"/>
          <w:sz w:val="22"/>
          <w:szCs w:val="22"/>
        </w:rPr>
        <w:t>, 1355–1365 (2020).</w:t>
      </w:r>
    </w:p>
    <w:p w14:paraId="0E6434FE"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8.</w:t>
      </w:r>
      <w:r w:rsidRPr="007926AE">
        <w:rPr>
          <w:rFonts w:ascii="Arial" w:hAnsi="Arial" w:cs="Arial"/>
          <w:color w:val="000000"/>
          <w:sz w:val="22"/>
          <w:szCs w:val="22"/>
        </w:rPr>
        <w:tab/>
        <w:t xml:space="preserve">Murate, M. </w:t>
      </w:r>
      <w:r w:rsidRPr="007926AE">
        <w:rPr>
          <w:rFonts w:ascii="Arial" w:hAnsi="Arial" w:cs="Arial"/>
          <w:i/>
          <w:iCs/>
          <w:color w:val="000000"/>
          <w:sz w:val="22"/>
          <w:szCs w:val="22"/>
        </w:rPr>
        <w:t>et al.</w:t>
      </w:r>
      <w:r w:rsidRPr="007926AE">
        <w:rPr>
          <w:rFonts w:ascii="Arial" w:hAnsi="Arial" w:cs="Arial"/>
          <w:color w:val="000000"/>
          <w:sz w:val="22"/>
          <w:szCs w:val="22"/>
        </w:rPr>
        <w:t xml:space="preserve"> Transbilayer lipid distribution in nano scale. </w:t>
      </w:r>
      <w:r w:rsidRPr="007926AE">
        <w:rPr>
          <w:rFonts w:ascii="Arial" w:hAnsi="Arial" w:cs="Arial"/>
          <w:i/>
          <w:iCs/>
          <w:color w:val="000000"/>
          <w:sz w:val="22"/>
          <w:szCs w:val="22"/>
        </w:rPr>
        <w:t>Journal of Cell Science</w:t>
      </w:r>
      <w:r w:rsidRPr="007926AE">
        <w:rPr>
          <w:rFonts w:ascii="Arial" w:hAnsi="Arial" w:cs="Arial"/>
          <w:color w:val="000000"/>
          <w:sz w:val="22"/>
          <w:szCs w:val="22"/>
        </w:rPr>
        <w:t xml:space="preserve"> jcs.163105 (2015) doi:10.1242/jcs.163105.</w:t>
      </w:r>
    </w:p>
    <w:p w14:paraId="3551A28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9.</w:t>
      </w:r>
      <w:r w:rsidRPr="007926AE">
        <w:rPr>
          <w:rFonts w:ascii="Arial" w:hAnsi="Arial" w:cs="Arial"/>
          <w:color w:val="000000"/>
          <w:sz w:val="22"/>
          <w:szCs w:val="22"/>
        </w:rPr>
        <w:tab/>
        <w:t xml:space="preserve">van Meer, G., Voelker, D. R. &amp; Feigenson, G. W. Membrane lipids: where they are and how they behave. </w:t>
      </w:r>
      <w:r w:rsidRPr="007926AE">
        <w:rPr>
          <w:rFonts w:ascii="Arial" w:hAnsi="Arial" w:cs="Arial"/>
          <w:i/>
          <w:iCs/>
          <w:color w:val="000000"/>
          <w:sz w:val="22"/>
          <w:szCs w:val="22"/>
        </w:rPr>
        <w:t>Nat Rev Mol Cell Biol</w:t>
      </w:r>
      <w:r w:rsidRPr="007926AE">
        <w:rPr>
          <w:rFonts w:ascii="Arial" w:hAnsi="Arial" w:cs="Arial"/>
          <w:color w:val="000000"/>
          <w:sz w:val="22"/>
          <w:szCs w:val="22"/>
        </w:rPr>
        <w:t xml:space="preserve"> </w:t>
      </w:r>
      <w:r w:rsidRPr="007926AE">
        <w:rPr>
          <w:rFonts w:ascii="Arial" w:hAnsi="Arial" w:cs="Arial"/>
          <w:b/>
          <w:bCs/>
          <w:color w:val="000000"/>
          <w:sz w:val="22"/>
          <w:szCs w:val="22"/>
        </w:rPr>
        <w:t>9</w:t>
      </w:r>
      <w:r w:rsidRPr="007926AE">
        <w:rPr>
          <w:rFonts w:ascii="Arial" w:hAnsi="Arial" w:cs="Arial"/>
          <w:color w:val="000000"/>
          <w:sz w:val="22"/>
          <w:szCs w:val="22"/>
        </w:rPr>
        <w:t>, 112–124 (2008).</w:t>
      </w:r>
    </w:p>
    <w:p w14:paraId="17D40B7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10.</w:t>
      </w:r>
      <w:r w:rsidRPr="007926AE">
        <w:rPr>
          <w:rFonts w:ascii="Arial" w:hAnsi="Arial" w:cs="Arial"/>
          <w:color w:val="000000"/>
          <w:sz w:val="22"/>
          <w:szCs w:val="22"/>
        </w:rPr>
        <w:tab/>
        <w:t xml:space="preserve">Bretscher, M. S. Asymmetrical Lipid Bilayer Structure for Biological Membranes. </w:t>
      </w:r>
      <w:r w:rsidRPr="007926AE">
        <w:rPr>
          <w:rFonts w:ascii="Arial" w:hAnsi="Arial" w:cs="Arial"/>
          <w:i/>
          <w:iCs/>
          <w:color w:val="000000"/>
          <w:sz w:val="22"/>
          <w:szCs w:val="22"/>
        </w:rPr>
        <w:t>Nature New Biology</w:t>
      </w:r>
      <w:r w:rsidRPr="007926AE">
        <w:rPr>
          <w:rFonts w:ascii="Arial" w:hAnsi="Arial" w:cs="Arial"/>
          <w:color w:val="000000"/>
          <w:sz w:val="22"/>
          <w:szCs w:val="22"/>
        </w:rPr>
        <w:t xml:space="preserve"> </w:t>
      </w:r>
      <w:r w:rsidRPr="007926AE">
        <w:rPr>
          <w:rFonts w:ascii="Arial" w:hAnsi="Arial" w:cs="Arial"/>
          <w:b/>
          <w:bCs/>
          <w:color w:val="000000"/>
          <w:sz w:val="22"/>
          <w:szCs w:val="22"/>
        </w:rPr>
        <w:t>236</w:t>
      </w:r>
      <w:r w:rsidRPr="007926AE">
        <w:rPr>
          <w:rFonts w:ascii="Arial" w:hAnsi="Arial" w:cs="Arial"/>
          <w:color w:val="000000"/>
          <w:sz w:val="22"/>
          <w:szCs w:val="22"/>
        </w:rPr>
        <w:t>, 11–12 (1972).</w:t>
      </w:r>
    </w:p>
    <w:p w14:paraId="3CC90E47"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11.</w:t>
      </w:r>
      <w:r w:rsidRPr="007926AE">
        <w:rPr>
          <w:rFonts w:ascii="Arial" w:hAnsi="Arial" w:cs="Arial"/>
          <w:color w:val="000000"/>
          <w:sz w:val="22"/>
          <w:szCs w:val="22"/>
        </w:rPr>
        <w:tab/>
        <w:t>Verkleij, A. J., Zwaal, R. F. A., Roelofsen, B., Comfurius, P. &amp; Kastelijn, D. THE ASYMMETRIC DISTR1BUTIONOF PHOSPHOLIPIDS IN THE HUMAN RED CELL MEMBRANE. 16.</w:t>
      </w:r>
    </w:p>
    <w:p w14:paraId="08359429"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12.</w:t>
      </w:r>
      <w:r w:rsidRPr="007926AE">
        <w:rPr>
          <w:rFonts w:ascii="Arial" w:hAnsi="Arial" w:cs="Arial"/>
          <w:color w:val="000000"/>
          <w:sz w:val="22"/>
          <w:szCs w:val="22"/>
        </w:rPr>
        <w:tab/>
        <w:t xml:space="preserve">Op den Kamp, J. A. F. Lipid Asymmetry in Membranes. </w:t>
      </w:r>
      <w:r w:rsidRPr="007926AE">
        <w:rPr>
          <w:rFonts w:ascii="Arial" w:hAnsi="Arial" w:cs="Arial"/>
          <w:i/>
          <w:iCs/>
          <w:color w:val="000000"/>
          <w:sz w:val="22"/>
          <w:szCs w:val="22"/>
        </w:rPr>
        <w:t>Annu. Rev. Biochem.</w:t>
      </w:r>
      <w:r w:rsidRPr="007926AE">
        <w:rPr>
          <w:rFonts w:ascii="Arial" w:hAnsi="Arial" w:cs="Arial"/>
          <w:color w:val="000000"/>
          <w:sz w:val="22"/>
          <w:szCs w:val="22"/>
        </w:rPr>
        <w:t xml:space="preserve"> </w:t>
      </w:r>
      <w:r w:rsidRPr="007926AE">
        <w:rPr>
          <w:rFonts w:ascii="Arial" w:hAnsi="Arial" w:cs="Arial"/>
          <w:b/>
          <w:bCs/>
          <w:color w:val="000000"/>
          <w:sz w:val="22"/>
          <w:szCs w:val="22"/>
        </w:rPr>
        <w:t>48</w:t>
      </w:r>
      <w:r w:rsidRPr="007926AE">
        <w:rPr>
          <w:rFonts w:ascii="Arial" w:hAnsi="Arial" w:cs="Arial"/>
          <w:color w:val="000000"/>
          <w:sz w:val="22"/>
          <w:szCs w:val="22"/>
        </w:rPr>
        <w:t>, 47–71 (1979).</w:t>
      </w:r>
    </w:p>
    <w:p w14:paraId="0A819E9F"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13.</w:t>
      </w:r>
      <w:r w:rsidRPr="007926AE">
        <w:rPr>
          <w:rFonts w:ascii="Arial" w:hAnsi="Arial" w:cs="Arial"/>
          <w:color w:val="000000"/>
          <w:sz w:val="22"/>
          <w:szCs w:val="22"/>
        </w:rPr>
        <w:tab/>
        <w:t xml:space="preserve">Devaux, P. F. &amp; Morris, R. Transmembrane Asymmetry and Lateral Domains in Biological Membranes: Rafts and Transmembrane Asymmetry. </w:t>
      </w:r>
      <w:r w:rsidRPr="007926AE">
        <w:rPr>
          <w:rFonts w:ascii="Arial" w:hAnsi="Arial" w:cs="Arial"/>
          <w:i/>
          <w:iCs/>
          <w:color w:val="000000"/>
          <w:sz w:val="22"/>
          <w:szCs w:val="22"/>
        </w:rPr>
        <w:t>Traffic</w:t>
      </w:r>
      <w:r w:rsidRPr="007926AE">
        <w:rPr>
          <w:rFonts w:ascii="Arial" w:hAnsi="Arial" w:cs="Arial"/>
          <w:color w:val="000000"/>
          <w:sz w:val="22"/>
          <w:szCs w:val="22"/>
        </w:rPr>
        <w:t xml:space="preserve"> </w:t>
      </w:r>
      <w:r w:rsidRPr="007926AE">
        <w:rPr>
          <w:rFonts w:ascii="Arial" w:hAnsi="Arial" w:cs="Arial"/>
          <w:b/>
          <w:bCs/>
          <w:color w:val="000000"/>
          <w:sz w:val="22"/>
          <w:szCs w:val="22"/>
        </w:rPr>
        <w:t>5</w:t>
      </w:r>
      <w:r w:rsidRPr="007926AE">
        <w:rPr>
          <w:rFonts w:ascii="Arial" w:hAnsi="Arial" w:cs="Arial"/>
          <w:color w:val="000000"/>
          <w:sz w:val="22"/>
          <w:szCs w:val="22"/>
        </w:rPr>
        <w:t>, 241–246 (2004).</w:t>
      </w:r>
    </w:p>
    <w:p w14:paraId="29AEF64E"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14.</w:t>
      </w:r>
      <w:r w:rsidRPr="007926AE">
        <w:rPr>
          <w:rFonts w:ascii="Arial" w:hAnsi="Arial" w:cs="Arial"/>
          <w:color w:val="000000"/>
          <w:sz w:val="22"/>
          <w:szCs w:val="22"/>
        </w:rPr>
        <w:tab/>
        <w:t xml:space="preserve">Son, M. &amp; London, E. The dependence of lipid asymmetry upon polar headgroup structure. </w:t>
      </w:r>
      <w:r w:rsidRPr="007926AE">
        <w:rPr>
          <w:rFonts w:ascii="Arial" w:hAnsi="Arial" w:cs="Arial"/>
          <w:i/>
          <w:iCs/>
          <w:color w:val="000000"/>
          <w:sz w:val="22"/>
          <w:szCs w:val="22"/>
        </w:rPr>
        <w:t>Journal of Lipid Research</w:t>
      </w:r>
      <w:r w:rsidRPr="007926AE">
        <w:rPr>
          <w:rFonts w:ascii="Arial" w:hAnsi="Arial" w:cs="Arial"/>
          <w:color w:val="000000"/>
          <w:sz w:val="22"/>
          <w:szCs w:val="22"/>
        </w:rPr>
        <w:t xml:space="preserve"> </w:t>
      </w:r>
      <w:r w:rsidRPr="007926AE">
        <w:rPr>
          <w:rFonts w:ascii="Arial" w:hAnsi="Arial" w:cs="Arial"/>
          <w:b/>
          <w:bCs/>
          <w:color w:val="000000"/>
          <w:sz w:val="22"/>
          <w:szCs w:val="22"/>
        </w:rPr>
        <w:t>54</w:t>
      </w:r>
      <w:r w:rsidRPr="007926AE">
        <w:rPr>
          <w:rFonts w:ascii="Arial" w:hAnsi="Arial" w:cs="Arial"/>
          <w:color w:val="000000"/>
          <w:sz w:val="22"/>
          <w:szCs w:val="22"/>
        </w:rPr>
        <w:t>, 3385–3393 (2013).</w:t>
      </w:r>
    </w:p>
    <w:p w14:paraId="382BDF2F"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15.</w:t>
      </w:r>
      <w:r w:rsidRPr="007926AE">
        <w:rPr>
          <w:rFonts w:ascii="Arial" w:hAnsi="Arial" w:cs="Arial"/>
          <w:color w:val="000000"/>
          <w:sz w:val="22"/>
          <w:szCs w:val="22"/>
        </w:rPr>
        <w:tab/>
        <w:t>Shin, H.-W. &amp; Takatsu, H. Substrates of P4</w:t>
      </w:r>
      <w:r w:rsidRPr="007926AE">
        <w:rPr>
          <w:rFonts w:ascii="Cambria Math" w:hAnsi="Cambria Math" w:cs="Cambria Math"/>
          <w:color w:val="000000"/>
          <w:sz w:val="22"/>
          <w:szCs w:val="22"/>
        </w:rPr>
        <w:t>‐</w:t>
      </w:r>
      <w:r w:rsidRPr="007926AE">
        <w:rPr>
          <w:rFonts w:ascii="Arial" w:hAnsi="Arial" w:cs="Arial"/>
          <w:color w:val="000000"/>
          <w:sz w:val="22"/>
          <w:szCs w:val="22"/>
        </w:rPr>
        <w:t xml:space="preserve">ATPases: beyond aminophospholipids (phosphatidylserine and phosphatidylethanolamine). </w:t>
      </w:r>
      <w:r w:rsidRPr="007926AE">
        <w:rPr>
          <w:rFonts w:ascii="Arial" w:hAnsi="Arial" w:cs="Arial"/>
          <w:i/>
          <w:iCs/>
          <w:color w:val="000000"/>
          <w:sz w:val="22"/>
          <w:szCs w:val="22"/>
        </w:rPr>
        <w:t>FASEB j.</w:t>
      </w:r>
      <w:r w:rsidRPr="007926AE">
        <w:rPr>
          <w:rFonts w:ascii="Arial" w:hAnsi="Arial" w:cs="Arial"/>
          <w:color w:val="000000"/>
          <w:sz w:val="22"/>
          <w:szCs w:val="22"/>
        </w:rPr>
        <w:t xml:space="preserve"> </w:t>
      </w:r>
      <w:r w:rsidRPr="007926AE">
        <w:rPr>
          <w:rFonts w:ascii="Arial" w:hAnsi="Arial" w:cs="Arial"/>
          <w:b/>
          <w:bCs/>
          <w:color w:val="000000"/>
          <w:sz w:val="22"/>
          <w:szCs w:val="22"/>
        </w:rPr>
        <w:t>33</w:t>
      </w:r>
      <w:r w:rsidRPr="007926AE">
        <w:rPr>
          <w:rFonts w:ascii="Arial" w:hAnsi="Arial" w:cs="Arial"/>
          <w:color w:val="000000"/>
          <w:sz w:val="22"/>
          <w:szCs w:val="22"/>
        </w:rPr>
        <w:t>, 3087–3096 (2019).</w:t>
      </w:r>
    </w:p>
    <w:p w14:paraId="061DE78B"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16.</w:t>
      </w:r>
      <w:r w:rsidRPr="007926AE">
        <w:rPr>
          <w:rFonts w:ascii="Arial" w:hAnsi="Arial" w:cs="Arial"/>
          <w:color w:val="000000"/>
          <w:sz w:val="22"/>
          <w:szCs w:val="22"/>
        </w:rPr>
        <w:tab/>
        <w:t xml:space="preserve">Murate, M. &amp; Kobayashi, T. Revisiting transbilayer distribution of lipids in the plasma membrane. </w:t>
      </w:r>
      <w:r w:rsidRPr="007926AE">
        <w:rPr>
          <w:rFonts w:ascii="Arial" w:hAnsi="Arial" w:cs="Arial"/>
          <w:i/>
          <w:iCs/>
          <w:color w:val="000000"/>
          <w:sz w:val="22"/>
          <w:szCs w:val="22"/>
        </w:rPr>
        <w:t>Chemistry and Physics of Lipids</w:t>
      </w:r>
      <w:r w:rsidRPr="007926AE">
        <w:rPr>
          <w:rFonts w:ascii="Arial" w:hAnsi="Arial" w:cs="Arial"/>
          <w:color w:val="000000"/>
          <w:sz w:val="22"/>
          <w:szCs w:val="22"/>
        </w:rPr>
        <w:t xml:space="preserve"> </w:t>
      </w:r>
      <w:r w:rsidRPr="007926AE">
        <w:rPr>
          <w:rFonts w:ascii="Arial" w:hAnsi="Arial" w:cs="Arial"/>
          <w:b/>
          <w:bCs/>
          <w:color w:val="000000"/>
          <w:sz w:val="22"/>
          <w:szCs w:val="22"/>
        </w:rPr>
        <w:t>194</w:t>
      </w:r>
      <w:r w:rsidRPr="007926AE">
        <w:rPr>
          <w:rFonts w:ascii="Arial" w:hAnsi="Arial" w:cs="Arial"/>
          <w:color w:val="000000"/>
          <w:sz w:val="22"/>
          <w:szCs w:val="22"/>
        </w:rPr>
        <w:t>, 58–71 (2016).</w:t>
      </w:r>
    </w:p>
    <w:p w14:paraId="44486E5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17.</w:t>
      </w:r>
      <w:r w:rsidRPr="007926AE">
        <w:rPr>
          <w:rFonts w:ascii="Arial" w:hAnsi="Arial" w:cs="Arial"/>
          <w:color w:val="000000"/>
          <w:sz w:val="22"/>
          <w:szCs w:val="22"/>
        </w:rPr>
        <w:tab/>
        <w:t xml:space="preserve">Clarke, R. J., Hossain, K. R. &amp; Cao, K. Physiological roles of transverse lipid asymmetry of animal membranes. </w:t>
      </w:r>
      <w:r w:rsidRPr="007926AE">
        <w:rPr>
          <w:rFonts w:ascii="Arial" w:hAnsi="Arial" w:cs="Arial"/>
          <w:i/>
          <w:iCs/>
          <w:color w:val="000000"/>
          <w:sz w:val="22"/>
          <w:szCs w:val="22"/>
        </w:rPr>
        <w:t>Biochimica et Biophysica Acta (BBA) - Biomembranes</w:t>
      </w:r>
      <w:r w:rsidRPr="007926AE">
        <w:rPr>
          <w:rFonts w:ascii="Arial" w:hAnsi="Arial" w:cs="Arial"/>
          <w:color w:val="000000"/>
          <w:sz w:val="22"/>
          <w:szCs w:val="22"/>
        </w:rPr>
        <w:t xml:space="preserve"> </w:t>
      </w:r>
      <w:r w:rsidRPr="007926AE">
        <w:rPr>
          <w:rFonts w:ascii="Arial" w:hAnsi="Arial" w:cs="Arial"/>
          <w:b/>
          <w:bCs/>
          <w:color w:val="000000"/>
          <w:sz w:val="22"/>
          <w:szCs w:val="22"/>
        </w:rPr>
        <w:t>1862</w:t>
      </w:r>
      <w:r w:rsidRPr="007926AE">
        <w:rPr>
          <w:rFonts w:ascii="Arial" w:hAnsi="Arial" w:cs="Arial"/>
          <w:color w:val="000000"/>
          <w:sz w:val="22"/>
          <w:szCs w:val="22"/>
        </w:rPr>
        <w:t>, 183382 (2020).</w:t>
      </w:r>
    </w:p>
    <w:p w14:paraId="29BD5426"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18.</w:t>
      </w:r>
      <w:r w:rsidRPr="007926AE">
        <w:rPr>
          <w:rFonts w:ascii="Arial" w:hAnsi="Arial" w:cs="Arial"/>
          <w:color w:val="000000"/>
          <w:sz w:val="22"/>
          <w:szCs w:val="22"/>
        </w:rPr>
        <w:tab/>
        <w:t xml:space="preserve">Zachowski, A. Phospholipids in animal eukaryotic membranes: transverse asymmetry and movement. </w:t>
      </w:r>
      <w:r w:rsidRPr="007926AE">
        <w:rPr>
          <w:rFonts w:ascii="Arial" w:hAnsi="Arial" w:cs="Arial"/>
          <w:i/>
          <w:iCs/>
          <w:color w:val="000000"/>
          <w:sz w:val="22"/>
          <w:szCs w:val="22"/>
        </w:rPr>
        <w:t>Biochemical Journal</w:t>
      </w:r>
      <w:r w:rsidRPr="007926AE">
        <w:rPr>
          <w:rFonts w:ascii="Arial" w:hAnsi="Arial" w:cs="Arial"/>
          <w:color w:val="000000"/>
          <w:sz w:val="22"/>
          <w:szCs w:val="22"/>
        </w:rPr>
        <w:t xml:space="preserve"> </w:t>
      </w:r>
      <w:r w:rsidRPr="007926AE">
        <w:rPr>
          <w:rFonts w:ascii="Arial" w:hAnsi="Arial" w:cs="Arial"/>
          <w:b/>
          <w:bCs/>
          <w:color w:val="000000"/>
          <w:sz w:val="22"/>
          <w:szCs w:val="22"/>
        </w:rPr>
        <w:t>294</w:t>
      </w:r>
      <w:r w:rsidRPr="007926AE">
        <w:rPr>
          <w:rFonts w:ascii="Arial" w:hAnsi="Arial" w:cs="Arial"/>
          <w:color w:val="000000"/>
          <w:sz w:val="22"/>
          <w:szCs w:val="22"/>
        </w:rPr>
        <w:t>, 1–14 (1993).</w:t>
      </w:r>
    </w:p>
    <w:p w14:paraId="5F52022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19.</w:t>
      </w:r>
      <w:r w:rsidRPr="007926AE">
        <w:rPr>
          <w:rFonts w:ascii="Arial" w:hAnsi="Arial" w:cs="Arial"/>
          <w:color w:val="000000"/>
          <w:sz w:val="22"/>
          <w:szCs w:val="22"/>
        </w:rPr>
        <w:tab/>
        <w:t xml:space="preserve">McConnell, H. M. &amp; Kornberg, R. D. Inside-outside transitions of phospholipids in vesicle membranes. </w:t>
      </w:r>
      <w:r w:rsidRPr="007926AE">
        <w:rPr>
          <w:rFonts w:ascii="Arial" w:hAnsi="Arial" w:cs="Arial"/>
          <w:i/>
          <w:iCs/>
          <w:color w:val="000000"/>
          <w:sz w:val="22"/>
          <w:szCs w:val="22"/>
        </w:rPr>
        <w:t>Biochemistry</w:t>
      </w:r>
      <w:r w:rsidRPr="007926AE">
        <w:rPr>
          <w:rFonts w:ascii="Arial" w:hAnsi="Arial" w:cs="Arial"/>
          <w:color w:val="000000"/>
          <w:sz w:val="22"/>
          <w:szCs w:val="22"/>
        </w:rPr>
        <w:t xml:space="preserve"> </w:t>
      </w:r>
      <w:r w:rsidRPr="007926AE">
        <w:rPr>
          <w:rFonts w:ascii="Arial" w:hAnsi="Arial" w:cs="Arial"/>
          <w:b/>
          <w:bCs/>
          <w:color w:val="000000"/>
          <w:sz w:val="22"/>
          <w:szCs w:val="22"/>
        </w:rPr>
        <w:t>10</w:t>
      </w:r>
      <w:r w:rsidRPr="007926AE">
        <w:rPr>
          <w:rFonts w:ascii="Arial" w:hAnsi="Arial" w:cs="Arial"/>
          <w:color w:val="000000"/>
          <w:sz w:val="22"/>
          <w:szCs w:val="22"/>
        </w:rPr>
        <w:t>, 1111–1120 (1971).</w:t>
      </w:r>
    </w:p>
    <w:p w14:paraId="682995E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20.</w:t>
      </w:r>
      <w:r w:rsidRPr="007926AE">
        <w:rPr>
          <w:rFonts w:ascii="Arial" w:hAnsi="Arial" w:cs="Arial"/>
          <w:color w:val="000000"/>
          <w:sz w:val="22"/>
          <w:szCs w:val="22"/>
        </w:rPr>
        <w:tab/>
        <w:t xml:space="preserve">Hirata, F. &amp; Axelrod, J. Enzymatic synthesis and rapid translocation of phosphatidylcholine by two methyltransferases in erythrocyte membranes. </w:t>
      </w:r>
      <w:r w:rsidRPr="007926AE">
        <w:rPr>
          <w:rFonts w:ascii="Arial" w:hAnsi="Arial" w:cs="Arial"/>
          <w:i/>
          <w:iCs/>
          <w:color w:val="000000"/>
          <w:sz w:val="22"/>
          <w:szCs w:val="22"/>
        </w:rPr>
        <w:t>Proceedings of the National Academy of Sciences</w:t>
      </w:r>
      <w:r w:rsidRPr="007926AE">
        <w:rPr>
          <w:rFonts w:ascii="Arial" w:hAnsi="Arial" w:cs="Arial"/>
          <w:color w:val="000000"/>
          <w:sz w:val="22"/>
          <w:szCs w:val="22"/>
        </w:rPr>
        <w:t xml:space="preserve"> </w:t>
      </w:r>
      <w:r w:rsidRPr="007926AE">
        <w:rPr>
          <w:rFonts w:ascii="Arial" w:hAnsi="Arial" w:cs="Arial"/>
          <w:b/>
          <w:bCs/>
          <w:color w:val="000000"/>
          <w:sz w:val="22"/>
          <w:szCs w:val="22"/>
        </w:rPr>
        <w:t>75</w:t>
      </w:r>
      <w:r w:rsidRPr="007926AE">
        <w:rPr>
          <w:rFonts w:ascii="Arial" w:hAnsi="Arial" w:cs="Arial"/>
          <w:color w:val="000000"/>
          <w:sz w:val="22"/>
          <w:szCs w:val="22"/>
        </w:rPr>
        <w:t>, 2348–2352 (1978).</w:t>
      </w:r>
    </w:p>
    <w:p w14:paraId="1E68321C" w14:textId="77777777" w:rsidR="000F4F53" w:rsidRPr="007926AE" w:rsidRDefault="000F4F53" w:rsidP="000F4F53">
      <w:pPr>
        <w:pStyle w:val="Bibliography"/>
        <w:spacing w:line="360" w:lineRule="auto"/>
        <w:rPr>
          <w:rFonts w:ascii="Arial" w:hAnsi="Arial" w:cs="Arial"/>
          <w:color w:val="000000"/>
          <w:sz w:val="22"/>
          <w:szCs w:val="22"/>
          <w:lang w:val="pt-BR"/>
        </w:rPr>
      </w:pPr>
      <w:r w:rsidRPr="007926AE">
        <w:rPr>
          <w:rFonts w:ascii="Arial" w:hAnsi="Arial" w:cs="Arial"/>
          <w:color w:val="000000"/>
          <w:sz w:val="22"/>
          <w:szCs w:val="22"/>
        </w:rPr>
        <w:t>21.</w:t>
      </w:r>
      <w:r w:rsidRPr="007926AE">
        <w:rPr>
          <w:rFonts w:ascii="Arial" w:hAnsi="Arial" w:cs="Arial"/>
          <w:color w:val="000000"/>
          <w:sz w:val="22"/>
          <w:szCs w:val="22"/>
        </w:rPr>
        <w:tab/>
        <w:t xml:space="preserve">De Kruijff, B., Van Zoelen, E. J. J. &amp; Van Deenen, L. L. M. Glycophorin facilitates the transbilayer movement of phosphatidylcholine in vesicles. </w:t>
      </w:r>
      <w:r w:rsidRPr="007926AE">
        <w:rPr>
          <w:rFonts w:ascii="Arial" w:hAnsi="Arial" w:cs="Arial"/>
          <w:i/>
          <w:iCs/>
          <w:color w:val="000000"/>
          <w:sz w:val="22"/>
          <w:szCs w:val="22"/>
          <w:lang w:val="pt-BR"/>
        </w:rPr>
        <w:t>Biochimica et Biophysica Acta (BBA) - Biomembranes</w:t>
      </w:r>
      <w:r w:rsidRPr="007926AE">
        <w:rPr>
          <w:rFonts w:ascii="Arial" w:hAnsi="Arial" w:cs="Arial"/>
          <w:color w:val="000000"/>
          <w:sz w:val="22"/>
          <w:szCs w:val="22"/>
          <w:lang w:val="pt-BR"/>
        </w:rPr>
        <w:t xml:space="preserve"> </w:t>
      </w:r>
      <w:r w:rsidRPr="007926AE">
        <w:rPr>
          <w:rFonts w:ascii="Arial" w:hAnsi="Arial" w:cs="Arial"/>
          <w:b/>
          <w:bCs/>
          <w:color w:val="000000"/>
          <w:sz w:val="22"/>
          <w:szCs w:val="22"/>
          <w:lang w:val="pt-BR"/>
        </w:rPr>
        <w:t>509</w:t>
      </w:r>
      <w:r w:rsidRPr="007926AE">
        <w:rPr>
          <w:rFonts w:ascii="Arial" w:hAnsi="Arial" w:cs="Arial"/>
          <w:color w:val="000000"/>
          <w:sz w:val="22"/>
          <w:szCs w:val="22"/>
          <w:lang w:val="pt-BR"/>
        </w:rPr>
        <w:t>, 537–542 (1978).</w:t>
      </w:r>
    </w:p>
    <w:p w14:paraId="1E570D5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lang w:val="pt-BR"/>
        </w:rPr>
        <w:t>22.</w:t>
      </w:r>
      <w:r w:rsidRPr="007926AE">
        <w:rPr>
          <w:rFonts w:ascii="Arial" w:hAnsi="Arial" w:cs="Arial"/>
          <w:color w:val="000000"/>
          <w:sz w:val="22"/>
          <w:szCs w:val="22"/>
          <w:lang w:val="pt-BR"/>
        </w:rPr>
        <w:tab/>
        <w:t xml:space="preserve">Nguyen, M. H. L. </w:t>
      </w:r>
      <w:r w:rsidRPr="007926AE">
        <w:rPr>
          <w:rFonts w:ascii="Arial" w:hAnsi="Arial" w:cs="Arial"/>
          <w:i/>
          <w:iCs/>
          <w:color w:val="000000"/>
          <w:sz w:val="22"/>
          <w:szCs w:val="22"/>
          <w:lang w:val="pt-BR"/>
        </w:rPr>
        <w:t>et al.</w:t>
      </w:r>
      <w:r w:rsidRPr="007926AE">
        <w:rPr>
          <w:rFonts w:ascii="Arial" w:hAnsi="Arial" w:cs="Arial"/>
          <w:color w:val="000000"/>
          <w:sz w:val="22"/>
          <w:szCs w:val="22"/>
          <w:lang w:val="pt-BR"/>
        </w:rPr>
        <w:t xml:space="preserve"> </w:t>
      </w:r>
      <w:r w:rsidRPr="007926AE">
        <w:rPr>
          <w:rFonts w:ascii="Arial" w:hAnsi="Arial" w:cs="Arial"/>
          <w:color w:val="000000"/>
          <w:sz w:val="22"/>
          <w:szCs w:val="22"/>
        </w:rPr>
        <w:t xml:space="preserve">Peptide-Induced Lipid Flip-Flop in Asymmetric Liposomes Measured by Small Angle Neutron Scattering. </w:t>
      </w:r>
      <w:r w:rsidRPr="007926AE">
        <w:rPr>
          <w:rFonts w:ascii="Arial" w:hAnsi="Arial" w:cs="Arial"/>
          <w:i/>
          <w:iCs/>
          <w:color w:val="000000"/>
          <w:sz w:val="22"/>
          <w:szCs w:val="22"/>
        </w:rPr>
        <w:t>Langmuir</w:t>
      </w:r>
      <w:r w:rsidRPr="007926AE">
        <w:rPr>
          <w:rFonts w:ascii="Arial" w:hAnsi="Arial" w:cs="Arial"/>
          <w:color w:val="000000"/>
          <w:sz w:val="22"/>
          <w:szCs w:val="22"/>
        </w:rPr>
        <w:t xml:space="preserve"> </w:t>
      </w:r>
      <w:r w:rsidRPr="007926AE">
        <w:rPr>
          <w:rFonts w:ascii="Arial" w:hAnsi="Arial" w:cs="Arial"/>
          <w:b/>
          <w:bCs/>
          <w:color w:val="000000"/>
          <w:sz w:val="22"/>
          <w:szCs w:val="22"/>
        </w:rPr>
        <w:t>35</w:t>
      </w:r>
      <w:r w:rsidRPr="007926AE">
        <w:rPr>
          <w:rFonts w:ascii="Arial" w:hAnsi="Arial" w:cs="Arial"/>
          <w:color w:val="000000"/>
          <w:sz w:val="22"/>
          <w:szCs w:val="22"/>
        </w:rPr>
        <w:t>, 11735–11744 (2019).</w:t>
      </w:r>
    </w:p>
    <w:p w14:paraId="0CA708FD"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23.</w:t>
      </w:r>
      <w:r w:rsidRPr="007926AE">
        <w:rPr>
          <w:rFonts w:ascii="Arial" w:hAnsi="Arial" w:cs="Arial"/>
          <w:color w:val="000000"/>
          <w:sz w:val="22"/>
          <w:szCs w:val="22"/>
        </w:rPr>
        <w:tab/>
        <w:t>Devaux, P. F. Protein Involvement in Transmembrane Lipid Asymmetry. 25.</w:t>
      </w:r>
    </w:p>
    <w:p w14:paraId="7F10919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24.</w:t>
      </w:r>
      <w:r w:rsidRPr="007926AE">
        <w:rPr>
          <w:rFonts w:ascii="Arial" w:hAnsi="Arial" w:cs="Arial"/>
          <w:color w:val="000000"/>
          <w:sz w:val="22"/>
          <w:szCs w:val="22"/>
        </w:rPr>
        <w:tab/>
        <w:t xml:space="preserve">Doktorova, M., Symons, J. L. &amp; Levental, I. Structural and functional consequences of reversible lipid asymmetry in living membranes. </w:t>
      </w:r>
      <w:r w:rsidRPr="007926AE">
        <w:rPr>
          <w:rFonts w:ascii="Arial" w:hAnsi="Arial" w:cs="Arial"/>
          <w:i/>
          <w:iCs/>
          <w:color w:val="000000"/>
          <w:sz w:val="22"/>
          <w:szCs w:val="22"/>
        </w:rPr>
        <w:t>Nat Chem Biol</w:t>
      </w:r>
      <w:r w:rsidRPr="007926AE">
        <w:rPr>
          <w:rFonts w:ascii="Arial" w:hAnsi="Arial" w:cs="Arial"/>
          <w:color w:val="000000"/>
          <w:sz w:val="22"/>
          <w:szCs w:val="22"/>
        </w:rPr>
        <w:t xml:space="preserve"> </w:t>
      </w:r>
      <w:r w:rsidRPr="007926AE">
        <w:rPr>
          <w:rFonts w:ascii="Arial" w:hAnsi="Arial" w:cs="Arial"/>
          <w:b/>
          <w:bCs/>
          <w:color w:val="000000"/>
          <w:sz w:val="22"/>
          <w:szCs w:val="22"/>
        </w:rPr>
        <w:t>16</w:t>
      </w:r>
      <w:r w:rsidRPr="007926AE">
        <w:rPr>
          <w:rFonts w:ascii="Arial" w:hAnsi="Arial" w:cs="Arial"/>
          <w:color w:val="000000"/>
          <w:sz w:val="22"/>
          <w:szCs w:val="22"/>
        </w:rPr>
        <w:t>, 1321–1330 (2020).</w:t>
      </w:r>
    </w:p>
    <w:p w14:paraId="39AE838F"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25.</w:t>
      </w:r>
      <w:r w:rsidRPr="007926AE">
        <w:rPr>
          <w:rFonts w:ascii="Arial" w:hAnsi="Arial" w:cs="Arial"/>
          <w:color w:val="000000"/>
          <w:sz w:val="22"/>
          <w:szCs w:val="22"/>
        </w:rPr>
        <w:tab/>
        <w:t xml:space="preserve">Ikeda, M., Kihara, A. &amp; Igarashi, Y. Lipid Asymmetry of the Eukaryotic Plasma Membrane: Functions and Related Enzymes. </w:t>
      </w:r>
      <w:r w:rsidRPr="007926AE">
        <w:rPr>
          <w:rFonts w:ascii="Arial" w:hAnsi="Arial" w:cs="Arial"/>
          <w:i/>
          <w:iCs/>
          <w:color w:val="000000"/>
          <w:sz w:val="22"/>
          <w:szCs w:val="22"/>
        </w:rPr>
        <w:t>Biological &amp; Pharmaceutical Bulletin</w:t>
      </w:r>
      <w:r w:rsidRPr="007926AE">
        <w:rPr>
          <w:rFonts w:ascii="Arial" w:hAnsi="Arial" w:cs="Arial"/>
          <w:color w:val="000000"/>
          <w:sz w:val="22"/>
          <w:szCs w:val="22"/>
        </w:rPr>
        <w:t xml:space="preserve"> </w:t>
      </w:r>
      <w:r w:rsidRPr="007926AE">
        <w:rPr>
          <w:rFonts w:ascii="Arial" w:hAnsi="Arial" w:cs="Arial"/>
          <w:b/>
          <w:bCs/>
          <w:color w:val="000000"/>
          <w:sz w:val="22"/>
          <w:szCs w:val="22"/>
        </w:rPr>
        <w:t>29</w:t>
      </w:r>
      <w:r w:rsidRPr="007926AE">
        <w:rPr>
          <w:rFonts w:ascii="Arial" w:hAnsi="Arial" w:cs="Arial"/>
          <w:color w:val="000000"/>
          <w:sz w:val="22"/>
          <w:szCs w:val="22"/>
        </w:rPr>
        <w:t>, 1542–1546 (2006).</w:t>
      </w:r>
    </w:p>
    <w:p w14:paraId="76F9CADB"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26.</w:t>
      </w:r>
      <w:r w:rsidRPr="007926AE">
        <w:rPr>
          <w:rFonts w:ascii="Arial" w:hAnsi="Arial" w:cs="Arial"/>
          <w:color w:val="000000"/>
          <w:sz w:val="22"/>
          <w:szCs w:val="22"/>
        </w:rPr>
        <w:tab/>
        <w:t xml:space="preserve">Kobayashi, T. &amp; Menon, A. K. Transbilayer lipid asymmetry. </w:t>
      </w:r>
      <w:r w:rsidRPr="007926AE">
        <w:rPr>
          <w:rFonts w:ascii="Arial" w:hAnsi="Arial" w:cs="Arial"/>
          <w:i/>
          <w:iCs/>
          <w:color w:val="000000"/>
          <w:sz w:val="22"/>
          <w:szCs w:val="22"/>
        </w:rPr>
        <w:t>Current Biology</w:t>
      </w:r>
      <w:r w:rsidRPr="007926AE">
        <w:rPr>
          <w:rFonts w:ascii="Arial" w:hAnsi="Arial" w:cs="Arial"/>
          <w:color w:val="000000"/>
          <w:sz w:val="22"/>
          <w:szCs w:val="22"/>
        </w:rPr>
        <w:t xml:space="preserve"> </w:t>
      </w:r>
      <w:r w:rsidRPr="007926AE">
        <w:rPr>
          <w:rFonts w:ascii="Arial" w:hAnsi="Arial" w:cs="Arial"/>
          <w:b/>
          <w:bCs/>
          <w:color w:val="000000"/>
          <w:sz w:val="22"/>
          <w:szCs w:val="22"/>
        </w:rPr>
        <w:t>28</w:t>
      </w:r>
      <w:r w:rsidRPr="007926AE">
        <w:rPr>
          <w:rFonts w:ascii="Arial" w:hAnsi="Arial" w:cs="Arial"/>
          <w:color w:val="000000"/>
          <w:sz w:val="22"/>
          <w:szCs w:val="22"/>
        </w:rPr>
        <w:t>, R386–R391 (2018).</w:t>
      </w:r>
    </w:p>
    <w:p w14:paraId="67E81F7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27.</w:t>
      </w:r>
      <w:r w:rsidRPr="007926AE">
        <w:rPr>
          <w:rFonts w:ascii="Arial" w:hAnsi="Arial" w:cs="Arial"/>
          <w:color w:val="000000"/>
          <w:sz w:val="22"/>
          <w:szCs w:val="22"/>
        </w:rPr>
        <w:tab/>
        <w:t xml:space="preserve">Shin, H.-W. &amp; Takatsu, H. Phosphatidylserine exposure in living cells. </w:t>
      </w:r>
      <w:r w:rsidRPr="007926AE">
        <w:rPr>
          <w:rFonts w:ascii="Arial" w:hAnsi="Arial" w:cs="Arial"/>
          <w:i/>
          <w:iCs/>
          <w:color w:val="000000"/>
          <w:sz w:val="22"/>
          <w:szCs w:val="22"/>
        </w:rPr>
        <w:t>Critical Reviews in Biochemistry and Molecular Biology</w:t>
      </w:r>
      <w:r w:rsidRPr="007926AE">
        <w:rPr>
          <w:rFonts w:ascii="Arial" w:hAnsi="Arial" w:cs="Arial"/>
          <w:color w:val="000000"/>
          <w:sz w:val="22"/>
          <w:szCs w:val="22"/>
        </w:rPr>
        <w:t xml:space="preserve"> </w:t>
      </w:r>
      <w:r w:rsidRPr="007926AE">
        <w:rPr>
          <w:rFonts w:ascii="Arial" w:hAnsi="Arial" w:cs="Arial"/>
          <w:b/>
          <w:bCs/>
          <w:color w:val="000000"/>
          <w:sz w:val="22"/>
          <w:szCs w:val="22"/>
        </w:rPr>
        <w:t>55</w:t>
      </w:r>
      <w:r w:rsidRPr="007926AE">
        <w:rPr>
          <w:rFonts w:ascii="Arial" w:hAnsi="Arial" w:cs="Arial"/>
          <w:color w:val="000000"/>
          <w:sz w:val="22"/>
          <w:szCs w:val="22"/>
        </w:rPr>
        <w:t>, 166–178 (2020).</w:t>
      </w:r>
    </w:p>
    <w:p w14:paraId="4F0B948F"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28.</w:t>
      </w:r>
      <w:r w:rsidRPr="007926AE">
        <w:rPr>
          <w:rFonts w:ascii="Arial" w:hAnsi="Arial" w:cs="Arial"/>
          <w:color w:val="000000"/>
          <w:sz w:val="22"/>
          <w:szCs w:val="22"/>
        </w:rPr>
        <w:tab/>
        <w:t xml:space="preserve">Seigneuret, M. &amp; Devaux, P. F. ATP-dependent asymmetric distribution of spin-labeled phospholipids in the erythrocyte membrane: relation to shape changes. </w:t>
      </w:r>
      <w:r w:rsidRPr="007926AE">
        <w:rPr>
          <w:rFonts w:ascii="Arial" w:hAnsi="Arial" w:cs="Arial"/>
          <w:i/>
          <w:iCs/>
          <w:color w:val="000000"/>
          <w:sz w:val="22"/>
          <w:szCs w:val="22"/>
        </w:rPr>
        <w:t>Proceedings of the National Academy of Sciences</w:t>
      </w:r>
      <w:r w:rsidRPr="007926AE">
        <w:rPr>
          <w:rFonts w:ascii="Arial" w:hAnsi="Arial" w:cs="Arial"/>
          <w:color w:val="000000"/>
          <w:sz w:val="22"/>
          <w:szCs w:val="22"/>
        </w:rPr>
        <w:t xml:space="preserve"> </w:t>
      </w:r>
      <w:r w:rsidRPr="007926AE">
        <w:rPr>
          <w:rFonts w:ascii="Arial" w:hAnsi="Arial" w:cs="Arial"/>
          <w:b/>
          <w:bCs/>
          <w:color w:val="000000"/>
          <w:sz w:val="22"/>
          <w:szCs w:val="22"/>
        </w:rPr>
        <w:t>81</w:t>
      </w:r>
      <w:r w:rsidRPr="007926AE">
        <w:rPr>
          <w:rFonts w:ascii="Arial" w:hAnsi="Arial" w:cs="Arial"/>
          <w:color w:val="000000"/>
          <w:sz w:val="22"/>
          <w:szCs w:val="22"/>
        </w:rPr>
        <w:t>, 3751–3755 (1984).</w:t>
      </w:r>
    </w:p>
    <w:p w14:paraId="0A4F0F9D"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29.</w:t>
      </w:r>
      <w:r w:rsidRPr="007926AE">
        <w:rPr>
          <w:rFonts w:ascii="Arial" w:hAnsi="Arial" w:cs="Arial"/>
          <w:color w:val="000000"/>
          <w:sz w:val="22"/>
          <w:szCs w:val="22"/>
        </w:rPr>
        <w:tab/>
        <w:t xml:space="preserve">Morrot, G., Zachowski, A. &amp; Devaux, P. F. Partial purification and characterization of the human erythrocyte Mg </w:t>
      </w:r>
      <w:r w:rsidRPr="007926AE">
        <w:rPr>
          <w:rFonts w:ascii="Arial" w:hAnsi="Arial" w:cs="Arial"/>
          <w:color w:val="000000"/>
          <w:sz w:val="22"/>
          <w:szCs w:val="22"/>
          <w:vertAlign w:val="superscript"/>
        </w:rPr>
        <w:t>2+</w:t>
      </w:r>
      <w:r w:rsidRPr="007926AE">
        <w:rPr>
          <w:rFonts w:ascii="Arial" w:hAnsi="Arial" w:cs="Arial"/>
          <w:color w:val="000000"/>
          <w:sz w:val="22"/>
          <w:szCs w:val="22"/>
        </w:rPr>
        <w:t xml:space="preserve"> -ATPase A candidate aminophospholipid translocase. </w:t>
      </w:r>
      <w:r w:rsidRPr="007926AE">
        <w:rPr>
          <w:rFonts w:ascii="Arial" w:hAnsi="Arial" w:cs="Arial"/>
          <w:i/>
          <w:iCs/>
          <w:color w:val="000000"/>
          <w:sz w:val="22"/>
          <w:szCs w:val="22"/>
        </w:rPr>
        <w:t>FEBS Letters</w:t>
      </w:r>
      <w:r w:rsidRPr="007926AE">
        <w:rPr>
          <w:rFonts w:ascii="Arial" w:hAnsi="Arial" w:cs="Arial"/>
          <w:color w:val="000000"/>
          <w:sz w:val="22"/>
          <w:szCs w:val="22"/>
        </w:rPr>
        <w:t xml:space="preserve"> </w:t>
      </w:r>
      <w:r w:rsidRPr="007926AE">
        <w:rPr>
          <w:rFonts w:ascii="Arial" w:hAnsi="Arial" w:cs="Arial"/>
          <w:b/>
          <w:bCs/>
          <w:color w:val="000000"/>
          <w:sz w:val="22"/>
          <w:szCs w:val="22"/>
        </w:rPr>
        <w:t>266</w:t>
      </w:r>
      <w:r w:rsidRPr="007926AE">
        <w:rPr>
          <w:rFonts w:ascii="Arial" w:hAnsi="Arial" w:cs="Arial"/>
          <w:color w:val="000000"/>
          <w:sz w:val="22"/>
          <w:szCs w:val="22"/>
        </w:rPr>
        <w:t>, 29–32 (1990).</w:t>
      </w:r>
    </w:p>
    <w:p w14:paraId="1616AF76"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30.</w:t>
      </w:r>
      <w:r w:rsidRPr="007926AE">
        <w:rPr>
          <w:rFonts w:ascii="Arial" w:hAnsi="Arial" w:cs="Arial"/>
          <w:color w:val="000000"/>
          <w:sz w:val="22"/>
          <w:szCs w:val="22"/>
        </w:rPr>
        <w:tab/>
        <w:t xml:space="preserve">Tang, X., Halleck, M. S., Schlegel, R. A. &amp; Williamson, P. A Subfamily of P-Type ATPases with Aminophospholipid Transporting Activity. </w:t>
      </w:r>
      <w:r w:rsidRPr="007926AE">
        <w:rPr>
          <w:rFonts w:ascii="Arial" w:hAnsi="Arial" w:cs="Arial"/>
          <w:i/>
          <w:iCs/>
          <w:color w:val="000000"/>
          <w:sz w:val="22"/>
          <w:szCs w:val="22"/>
        </w:rPr>
        <w:t>Science</w:t>
      </w:r>
      <w:r w:rsidRPr="007926AE">
        <w:rPr>
          <w:rFonts w:ascii="Arial" w:hAnsi="Arial" w:cs="Arial"/>
          <w:color w:val="000000"/>
          <w:sz w:val="22"/>
          <w:szCs w:val="22"/>
        </w:rPr>
        <w:t xml:space="preserve"> </w:t>
      </w:r>
      <w:r w:rsidRPr="007926AE">
        <w:rPr>
          <w:rFonts w:ascii="Arial" w:hAnsi="Arial" w:cs="Arial"/>
          <w:b/>
          <w:bCs/>
          <w:color w:val="000000"/>
          <w:sz w:val="22"/>
          <w:szCs w:val="22"/>
        </w:rPr>
        <w:t>272</w:t>
      </w:r>
      <w:r w:rsidRPr="007926AE">
        <w:rPr>
          <w:rFonts w:ascii="Arial" w:hAnsi="Arial" w:cs="Arial"/>
          <w:color w:val="000000"/>
          <w:sz w:val="22"/>
          <w:szCs w:val="22"/>
        </w:rPr>
        <w:t>, 1495–1497 (1996).</w:t>
      </w:r>
    </w:p>
    <w:p w14:paraId="7F5608E5"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31.</w:t>
      </w:r>
      <w:r w:rsidRPr="007926AE">
        <w:rPr>
          <w:rFonts w:ascii="Arial" w:hAnsi="Arial" w:cs="Arial"/>
          <w:color w:val="000000"/>
          <w:sz w:val="22"/>
          <w:szCs w:val="22"/>
        </w:rPr>
        <w:tab/>
        <w:t xml:space="preserve">Quazi, F. &amp; Molday, R. S. Differential Phospholipid Substrates and Directional Transport by ATP-binding Cassette Proteins ABCA1, ABCA7, and ABCA4 and Disease-causing Mutants. </w:t>
      </w:r>
      <w:r w:rsidRPr="007926AE">
        <w:rPr>
          <w:rFonts w:ascii="Arial" w:hAnsi="Arial" w:cs="Arial"/>
          <w:i/>
          <w:iCs/>
          <w:color w:val="000000"/>
          <w:sz w:val="22"/>
          <w:szCs w:val="22"/>
        </w:rPr>
        <w:t>Journal of Biological Chemistry</w:t>
      </w:r>
      <w:r w:rsidRPr="007926AE">
        <w:rPr>
          <w:rFonts w:ascii="Arial" w:hAnsi="Arial" w:cs="Arial"/>
          <w:color w:val="000000"/>
          <w:sz w:val="22"/>
          <w:szCs w:val="22"/>
        </w:rPr>
        <w:t xml:space="preserve"> </w:t>
      </w:r>
      <w:r w:rsidRPr="007926AE">
        <w:rPr>
          <w:rFonts w:ascii="Arial" w:hAnsi="Arial" w:cs="Arial"/>
          <w:b/>
          <w:bCs/>
          <w:color w:val="000000"/>
          <w:sz w:val="22"/>
          <w:szCs w:val="22"/>
        </w:rPr>
        <w:t>288</w:t>
      </w:r>
      <w:r w:rsidRPr="007926AE">
        <w:rPr>
          <w:rFonts w:ascii="Arial" w:hAnsi="Arial" w:cs="Arial"/>
          <w:color w:val="000000"/>
          <w:sz w:val="22"/>
          <w:szCs w:val="22"/>
        </w:rPr>
        <w:t>, 34414–34426 (2013).</w:t>
      </w:r>
    </w:p>
    <w:p w14:paraId="22A040E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32.</w:t>
      </w:r>
      <w:r w:rsidRPr="007926AE">
        <w:rPr>
          <w:rFonts w:ascii="Arial" w:hAnsi="Arial" w:cs="Arial"/>
          <w:color w:val="000000"/>
          <w:sz w:val="22"/>
          <w:szCs w:val="22"/>
        </w:rPr>
        <w:tab/>
        <w:t xml:space="preserve">Neumann, J., Rose-Sperling, D. &amp; Hellmich, U. A. Diverse relations between ABC transporters and lipids: An overview. </w:t>
      </w:r>
      <w:r w:rsidRPr="007926AE">
        <w:rPr>
          <w:rFonts w:ascii="Arial" w:hAnsi="Arial" w:cs="Arial"/>
          <w:i/>
          <w:iCs/>
          <w:color w:val="000000"/>
          <w:sz w:val="22"/>
          <w:szCs w:val="22"/>
        </w:rPr>
        <w:t>Biochimica et Biophysica Acta (BBA) - Biomembranes</w:t>
      </w:r>
      <w:r w:rsidRPr="007926AE">
        <w:rPr>
          <w:rFonts w:ascii="Arial" w:hAnsi="Arial" w:cs="Arial"/>
          <w:color w:val="000000"/>
          <w:sz w:val="22"/>
          <w:szCs w:val="22"/>
        </w:rPr>
        <w:t xml:space="preserve"> </w:t>
      </w:r>
      <w:r w:rsidRPr="007926AE">
        <w:rPr>
          <w:rFonts w:ascii="Arial" w:hAnsi="Arial" w:cs="Arial"/>
          <w:b/>
          <w:bCs/>
          <w:color w:val="000000"/>
          <w:sz w:val="22"/>
          <w:szCs w:val="22"/>
        </w:rPr>
        <w:t>1859</w:t>
      </w:r>
      <w:r w:rsidRPr="007926AE">
        <w:rPr>
          <w:rFonts w:ascii="Arial" w:hAnsi="Arial" w:cs="Arial"/>
          <w:color w:val="000000"/>
          <w:sz w:val="22"/>
          <w:szCs w:val="22"/>
        </w:rPr>
        <w:t>, 605–618 (2017).</w:t>
      </w:r>
    </w:p>
    <w:p w14:paraId="78E61C8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33.</w:t>
      </w:r>
      <w:r w:rsidRPr="007926AE">
        <w:rPr>
          <w:rFonts w:ascii="Arial" w:hAnsi="Arial" w:cs="Arial"/>
          <w:color w:val="000000"/>
          <w:sz w:val="22"/>
          <w:szCs w:val="22"/>
        </w:rPr>
        <w:tab/>
        <w:t xml:space="preserve">Pomorski, T. G. &amp; Menon, A. K. Lipid somersaults: Uncovering the mechanisms of protein-mediated lipid flipping. </w:t>
      </w:r>
      <w:r w:rsidRPr="007926AE">
        <w:rPr>
          <w:rFonts w:ascii="Arial" w:hAnsi="Arial" w:cs="Arial"/>
          <w:i/>
          <w:iCs/>
          <w:color w:val="000000"/>
          <w:sz w:val="22"/>
          <w:szCs w:val="22"/>
        </w:rPr>
        <w:t>Progress in Lipid Research</w:t>
      </w:r>
      <w:r w:rsidRPr="007926AE">
        <w:rPr>
          <w:rFonts w:ascii="Arial" w:hAnsi="Arial" w:cs="Arial"/>
          <w:color w:val="000000"/>
          <w:sz w:val="22"/>
          <w:szCs w:val="22"/>
        </w:rPr>
        <w:t xml:space="preserve"> </w:t>
      </w:r>
      <w:r w:rsidRPr="007926AE">
        <w:rPr>
          <w:rFonts w:ascii="Arial" w:hAnsi="Arial" w:cs="Arial"/>
          <w:b/>
          <w:bCs/>
          <w:color w:val="000000"/>
          <w:sz w:val="22"/>
          <w:szCs w:val="22"/>
        </w:rPr>
        <w:t>64</w:t>
      </w:r>
      <w:r w:rsidRPr="007926AE">
        <w:rPr>
          <w:rFonts w:ascii="Arial" w:hAnsi="Arial" w:cs="Arial"/>
          <w:color w:val="000000"/>
          <w:sz w:val="22"/>
          <w:szCs w:val="22"/>
        </w:rPr>
        <w:t>, 69–84 (2016).</w:t>
      </w:r>
    </w:p>
    <w:p w14:paraId="2EE06B1D"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34.</w:t>
      </w:r>
      <w:r w:rsidRPr="007926AE">
        <w:rPr>
          <w:rFonts w:ascii="Arial" w:hAnsi="Arial" w:cs="Arial"/>
          <w:color w:val="000000"/>
          <w:sz w:val="22"/>
          <w:szCs w:val="22"/>
        </w:rPr>
        <w:tab/>
        <w:t xml:space="preserve">Watanabe, R., Sakuragi, T., Noji, H. &amp; Nagata, S. Single-molecule analysis of phospholipid scrambling by TMEM16F. </w:t>
      </w:r>
      <w:r w:rsidRPr="007926AE">
        <w:rPr>
          <w:rFonts w:ascii="Arial" w:hAnsi="Arial" w:cs="Arial"/>
          <w:i/>
          <w:iCs/>
          <w:color w:val="000000"/>
          <w:sz w:val="22"/>
          <w:szCs w:val="22"/>
        </w:rPr>
        <w:t>Proc Natl Acad Sci USA</w:t>
      </w:r>
      <w:r w:rsidRPr="007926AE">
        <w:rPr>
          <w:rFonts w:ascii="Arial" w:hAnsi="Arial" w:cs="Arial"/>
          <w:color w:val="000000"/>
          <w:sz w:val="22"/>
          <w:szCs w:val="22"/>
        </w:rPr>
        <w:t xml:space="preserve"> </w:t>
      </w:r>
      <w:r w:rsidRPr="007926AE">
        <w:rPr>
          <w:rFonts w:ascii="Arial" w:hAnsi="Arial" w:cs="Arial"/>
          <w:b/>
          <w:bCs/>
          <w:color w:val="000000"/>
          <w:sz w:val="22"/>
          <w:szCs w:val="22"/>
        </w:rPr>
        <w:t>115</w:t>
      </w:r>
      <w:r w:rsidRPr="007926AE">
        <w:rPr>
          <w:rFonts w:ascii="Arial" w:hAnsi="Arial" w:cs="Arial"/>
          <w:color w:val="000000"/>
          <w:sz w:val="22"/>
          <w:szCs w:val="22"/>
        </w:rPr>
        <w:t>, 3066–3071 (2018).</w:t>
      </w:r>
    </w:p>
    <w:p w14:paraId="727A00E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35.</w:t>
      </w:r>
      <w:r w:rsidRPr="007926AE">
        <w:rPr>
          <w:rFonts w:ascii="Arial" w:hAnsi="Arial" w:cs="Arial"/>
          <w:color w:val="000000"/>
          <w:sz w:val="22"/>
          <w:szCs w:val="22"/>
        </w:rPr>
        <w:tab/>
        <w:t xml:space="preserve">Clark, M. R. Flippin’ lipids. </w:t>
      </w:r>
      <w:r w:rsidRPr="007926AE">
        <w:rPr>
          <w:rFonts w:ascii="Arial" w:hAnsi="Arial" w:cs="Arial"/>
          <w:i/>
          <w:iCs/>
          <w:color w:val="000000"/>
          <w:sz w:val="22"/>
          <w:szCs w:val="22"/>
        </w:rPr>
        <w:t>Nat Immunol</w:t>
      </w:r>
      <w:r w:rsidRPr="007926AE">
        <w:rPr>
          <w:rFonts w:ascii="Arial" w:hAnsi="Arial" w:cs="Arial"/>
          <w:color w:val="000000"/>
          <w:sz w:val="22"/>
          <w:szCs w:val="22"/>
        </w:rPr>
        <w:t xml:space="preserve"> </w:t>
      </w:r>
      <w:r w:rsidRPr="007926AE">
        <w:rPr>
          <w:rFonts w:ascii="Arial" w:hAnsi="Arial" w:cs="Arial"/>
          <w:b/>
          <w:bCs/>
          <w:color w:val="000000"/>
          <w:sz w:val="22"/>
          <w:szCs w:val="22"/>
        </w:rPr>
        <w:t>12</w:t>
      </w:r>
      <w:r w:rsidRPr="007926AE">
        <w:rPr>
          <w:rFonts w:ascii="Arial" w:hAnsi="Arial" w:cs="Arial"/>
          <w:color w:val="000000"/>
          <w:sz w:val="22"/>
          <w:szCs w:val="22"/>
        </w:rPr>
        <w:t>, 373–375 (2011).</w:t>
      </w:r>
    </w:p>
    <w:p w14:paraId="4D80FDFF"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36.</w:t>
      </w:r>
      <w:r w:rsidRPr="007926AE">
        <w:rPr>
          <w:rFonts w:ascii="Arial" w:hAnsi="Arial" w:cs="Arial"/>
          <w:color w:val="000000"/>
          <w:sz w:val="22"/>
          <w:szCs w:val="22"/>
        </w:rPr>
        <w:tab/>
        <w:t xml:space="preserve">Bethel, N. P. &amp; Grabe, M. Atomistic insight into lipid translocation by a TMEM16 scramblase. </w:t>
      </w:r>
      <w:r w:rsidRPr="007926AE">
        <w:rPr>
          <w:rFonts w:ascii="Arial" w:hAnsi="Arial" w:cs="Arial"/>
          <w:i/>
          <w:iCs/>
          <w:color w:val="000000"/>
          <w:sz w:val="22"/>
          <w:szCs w:val="22"/>
        </w:rPr>
        <w:t>Proc Natl Acad Sci USA</w:t>
      </w:r>
      <w:r w:rsidRPr="007926AE">
        <w:rPr>
          <w:rFonts w:ascii="Arial" w:hAnsi="Arial" w:cs="Arial"/>
          <w:color w:val="000000"/>
          <w:sz w:val="22"/>
          <w:szCs w:val="22"/>
        </w:rPr>
        <w:t xml:space="preserve"> </w:t>
      </w:r>
      <w:r w:rsidRPr="007926AE">
        <w:rPr>
          <w:rFonts w:ascii="Arial" w:hAnsi="Arial" w:cs="Arial"/>
          <w:b/>
          <w:bCs/>
          <w:color w:val="000000"/>
          <w:sz w:val="22"/>
          <w:szCs w:val="22"/>
        </w:rPr>
        <w:t>113</w:t>
      </w:r>
      <w:r w:rsidRPr="007926AE">
        <w:rPr>
          <w:rFonts w:ascii="Arial" w:hAnsi="Arial" w:cs="Arial"/>
          <w:color w:val="000000"/>
          <w:sz w:val="22"/>
          <w:szCs w:val="22"/>
        </w:rPr>
        <w:t>, 14049–14054 (2016).</w:t>
      </w:r>
    </w:p>
    <w:p w14:paraId="689D117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37.</w:t>
      </w:r>
      <w:r w:rsidRPr="007926AE">
        <w:rPr>
          <w:rFonts w:ascii="Arial" w:hAnsi="Arial" w:cs="Arial"/>
          <w:color w:val="000000"/>
          <w:sz w:val="22"/>
          <w:szCs w:val="22"/>
        </w:rPr>
        <w:tab/>
        <w:t xml:space="preserve">Pomorski, T. &amp; Menon, A. K. Lipid flippases and their biological functions. </w:t>
      </w:r>
      <w:r w:rsidRPr="007926AE">
        <w:rPr>
          <w:rFonts w:ascii="Arial" w:hAnsi="Arial" w:cs="Arial"/>
          <w:i/>
          <w:iCs/>
          <w:color w:val="000000"/>
          <w:sz w:val="22"/>
          <w:szCs w:val="22"/>
        </w:rPr>
        <w:t>Cell. Mol. Life Sci.</w:t>
      </w:r>
      <w:r w:rsidRPr="007926AE">
        <w:rPr>
          <w:rFonts w:ascii="Arial" w:hAnsi="Arial" w:cs="Arial"/>
          <w:color w:val="000000"/>
          <w:sz w:val="22"/>
          <w:szCs w:val="22"/>
        </w:rPr>
        <w:t xml:space="preserve"> </w:t>
      </w:r>
      <w:r w:rsidRPr="007926AE">
        <w:rPr>
          <w:rFonts w:ascii="Arial" w:hAnsi="Arial" w:cs="Arial"/>
          <w:b/>
          <w:bCs/>
          <w:color w:val="000000"/>
          <w:sz w:val="22"/>
          <w:szCs w:val="22"/>
        </w:rPr>
        <w:t>63</w:t>
      </w:r>
      <w:r w:rsidRPr="007926AE">
        <w:rPr>
          <w:rFonts w:ascii="Arial" w:hAnsi="Arial" w:cs="Arial"/>
          <w:color w:val="000000"/>
          <w:sz w:val="22"/>
          <w:szCs w:val="22"/>
        </w:rPr>
        <w:t>, 2908–2921 (2006).</w:t>
      </w:r>
    </w:p>
    <w:p w14:paraId="6CB3659B"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38.</w:t>
      </w:r>
      <w:r w:rsidRPr="007926AE">
        <w:rPr>
          <w:rFonts w:ascii="Arial" w:hAnsi="Arial" w:cs="Arial"/>
          <w:color w:val="000000"/>
          <w:sz w:val="22"/>
          <w:szCs w:val="22"/>
        </w:rPr>
        <w:tab/>
        <w:t xml:space="preserve">Suzuki, J., Umeda, M., Sims, P. J. &amp; Nagata, S. Calcium-dependent phospholipid scrambling by TMEM16F. </w:t>
      </w:r>
      <w:r w:rsidRPr="007926AE">
        <w:rPr>
          <w:rFonts w:ascii="Arial" w:hAnsi="Arial" w:cs="Arial"/>
          <w:i/>
          <w:iCs/>
          <w:color w:val="000000"/>
          <w:sz w:val="22"/>
          <w:szCs w:val="22"/>
        </w:rPr>
        <w:t>Nature</w:t>
      </w:r>
      <w:r w:rsidRPr="007926AE">
        <w:rPr>
          <w:rFonts w:ascii="Arial" w:hAnsi="Arial" w:cs="Arial"/>
          <w:color w:val="000000"/>
          <w:sz w:val="22"/>
          <w:szCs w:val="22"/>
        </w:rPr>
        <w:t xml:space="preserve"> </w:t>
      </w:r>
      <w:r w:rsidRPr="007926AE">
        <w:rPr>
          <w:rFonts w:ascii="Arial" w:hAnsi="Arial" w:cs="Arial"/>
          <w:b/>
          <w:bCs/>
          <w:color w:val="000000"/>
          <w:sz w:val="22"/>
          <w:szCs w:val="22"/>
        </w:rPr>
        <w:t>468</w:t>
      </w:r>
      <w:r w:rsidRPr="007926AE">
        <w:rPr>
          <w:rFonts w:ascii="Arial" w:hAnsi="Arial" w:cs="Arial"/>
          <w:color w:val="000000"/>
          <w:sz w:val="22"/>
          <w:szCs w:val="22"/>
        </w:rPr>
        <w:t>, 834–838 (2010).</w:t>
      </w:r>
    </w:p>
    <w:p w14:paraId="394DDCAD"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39.</w:t>
      </w:r>
      <w:r w:rsidRPr="007926AE">
        <w:rPr>
          <w:rFonts w:ascii="Arial" w:hAnsi="Arial" w:cs="Arial"/>
          <w:color w:val="000000"/>
          <w:sz w:val="22"/>
          <w:szCs w:val="22"/>
        </w:rPr>
        <w:tab/>
        <w:t xml:space="preserve">Varga-Szabo, D., Braun, A. &amp; Nieswandt, B. Calcium signaling in platelets. </w:t>
      </w:r>
      <w:r w:rsidRPr="007926AE">
        <w:rPr>
          <w:rFonts w:ascii="Arial" w:hAnsi="Arial" w:cs="Arial"/>
          <w:i/>
          <w:iCs/>
          <w:color w:val="000000"/>
          <w:sz w:val="22"/>
          <w:szCs w:val="22"/>
        </w:rPr>
        <w:t>Journal of Thrombosis and Haemostasis</w:t>
      </w:r>
      <w:r w:rsidRPr="007926AE">
        <w:rPr>
          <w:rFonts w:ascii="Arial" w:hAnsi="Arial" w:cs="Arial"/>
          <w:color w:val="000000"/>
          <w:sz w:val="22"/>
          <w:szCs w:val="22"/>
        </w:rPr>
        <w:t xml:space="preserve"> </w:t>
      </w:r>
      <w:r w:rsidRPr="007926AE">
        <w:rPr>
          <w:rFonts w:ascii="Arial" w:hAnsi="Arial" w:cs="Arial"/>
          <w:b/>
          <w:bCs/>
          <w:color w:val="000000"/>
          <w:sz w:val="22"/>
          <w:szCs w:val="22"/>
        </w:rPr>
        <w:t>7</w:t>
      </w:r>
      <w:r w:rsidRPr="007926AE">
        <w:rPr>
          <w:rFonts w:ascii="Arial" w:hAnsi="Arial" w:cs="Arial"/>
          <w:color w:val="000000"/>
          <w:sz w:val="22"/>
          <w:szCs w:val="22"/>
        </w:rPr>
        <w:t>, 1057–1066 (2009).</w:t>
      </w:r>
    </w:p>
    <w:p w14:paraId="7B17ABF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40.</w:t>
      </w:r>
      <w:r w:rsidRPr="007926AE">
        <w:rPr>
          <w:rFonts w:ascii="Arial" w:hAnsi="Arial" w:cs="Arial"/>
          <w:color w:val="000000"/>
          <w:sz w:val="22"/>
          <w:szCs w:val="22"/>
        </w:rPr>
        <w:tab/>
        <w:t xml:space="preserve">Bevers, E. M., Comfurius, P., Van Rijn, J. L. M. L. &amp; Hemker, H. C. Generation of Prothrombin-Converting Activity and the Exposure of Phosphatidylserine at the Outer Surface of Platelets. </w:t>
      </w:r>
      <w:r w:rsidRPr="007926AE">
        <w:rPr>
          <w:rFonts w:ascii="Arial" w:hAnsi="Arial" w:cs="Arial"/>
          <w:i/>
          <w:iCs/>
          <w:color w:val="000000"/>
          <w:sz w:val="22"/>
          <w:szCs w:val="22"/>
        </w:rPr>
        <w:t>Eur J Biochem</w:t>
      </w:r>
      <w:r w:rsidRPr="007926AE">
        <w:rPr>
          <w:rFonts w:ascii="Arial" w:hAnsi="Arial" w:cs="Arial"/>
          <w:color w:val="000000"/>
          <w:sz w:val="22"/>
          <w:szCs w:val="22"/>
        </w:rPr>
        <w:t xml:space="preserve"> </w:t>
      </w:r>
      <w:r w:rsidRPr="007926AE">
        <w:rPr>
          <w:rFonts w:ascii="Arial" w:hAnsi="Arial" w:cs="Arial"/>
          <w:b/>
          <w:bCs/>
          <w:color w:val="000000"/>
          <w:sz w:val="22"/>
          <w:szCs w:val="22"/>
        </w:rPr>
        <w:t>122</w:t>
      </w:r>
      <w:r w:rsidRPr="007926AE">
        <w:rPr>
          <w:rFonts w:ascii="Arial" w:hAnsi="Arial" w:cs="Arial"/>
          <w:color w:val="000000"/>
          <w:sz w:val="22"/>
          <w:szCs w:val="22"/>
        </w:rPr>
        <w:t>, 429–436 (1982).</w:t>
      </w:r>
    </w:p>
    <w:p w14:paraId="562C273F"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41.</w:t>
      </w:r>
      <w:r w:rsidRPr="007926AE">
        <w:rPr>
          <w:rFonts w:ascii="Arial" w:hAnsi="Arial" w:cs="Arial"/>
          <w:color w:val="000000"/>
          <w:sz w:val="22"/>
          <w:szCs w:val="22"/>
        </w:rPr>
        <w:tab/>
        <w:t xml:space="preserve">Suzuki, J., Denning, D. P., Imanishi, E., Horvitz, H. R. &amp; Nagata, S. Xk-Related Protein 8 and CED-8 Promote Phosphatidylserine Exposure in Apoptotic Cells. </w:t>
      </w:r>
      <w:r w:rsidRPr="007926AE">
        <w:rPr>
          <w:rFonts w:ascii="Arial" w:hAnsi="Arial" w:cs="Arial"/>
          <w:i/>
          <w:iCs/>
          <w:color w:val="000000"/>
          <w:sz w:val="22"/>
          <w:szCs w:val="22"/>
        </w:rPr>
        <w:t>Science</w:t>
      </w:r>
      <w:r w:rsidRPr="007926AE">
        <w:rPr>
          <w:rFonts w:ascii="Arial" w:hAnsi="Arial" w:cs="Arial"/>
          <w:color w:val="000000"/>
          <w:sz w:val="22"/>
          <w:szCs w:val="22"/>
        </w:rPr>
        <w:t xml:space="preserve"> </w:t>
      </w:r>
      <w:r w:rsidRPr="007926AE">
        <w:rPr>
          <w:rFonts w:ascii="Arial" w:hAnsi="Arial" w:cs="Arial"/>
          <w:b/>
          <w:bCs/>
          <w:color w:val="000000"/>
          <w:sz w:val="22"/>
          <w:szCs w:val="22"/>
        </w:rPr>
        <w:t>341</w:t>
      </w:r>
      <w:r w:rsidRPr="007926AE">
        <w:rPr>
          <w:rFonts w:ascii="Arial" w:hAnsi="Arial" w:cs="Arial"/>
          <w:color w:val="000000"/>
          <w:sz w:val="22"/>
          <w:szCs w:val="22"/>
        </w:rPr>
        <w:t>, 403–406 (2013).</w:t>
      </w:r>
    </w:p>
    <w:p w14:paraId="76EA8EE6"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42.</w:t>
      </w:r>
      <w:r w:rsidRPr="007926AE">
        <w:rPr>
          <w:rFonts w:ascii="Arial" w:hAnsi="Arial" w:cs="Arial"/>
          <w:color w:val="000000"/>
          <w:sz w:val="22"/>
          <w:szCs w:val="22"/>
        </w:rPr>
        <w:tab/>
        <w:t xml:space="preserve">Nagata, S. Apoptosis and Clearance of Apoptotic Cells. </w:t>
      </w:r>
      <w:r w:rsidRPr="007926AE">
        <w:rPr>
          <w:rFonts w:ascii="Arial" w:hAnsi="Arial" w:cs="Arial"/>
          <w:i/>
          <w:iCs/>
          <w:color w:val="000000"/>
          <w:sz w:val="22"/>
          <w:szCs w:val="22"/>
        </w:rPr>
        <w:t>Annu. Rev. Immunol.</w:t>
      </w:r>
      <w:r w:rsidRPr="007926AE">
        <w:rPr>
          <w:rFonts w:ascii="Arial" w:hAnsi="Arial" w:cs="Arial"/>
          <w:color w:val="000000"/>
          <w:sz w:val="22"/>
          <w:szCs w:val="22"/>
        </w:rPr>
        <w:t xml:space="preserve"> </w:t>
      </w:r>
      <w:r w:rsidRPr="007926AE">
        <w:rPr>
          <w:rFonts w:ascii="Arial" w:hAnsi="Arial" w:cs="Arial"/>
          <w:b/>
          <w:bCs/>
          <w:color w:val="000000"/>
          <w:sz w:val="22"/>
          <w:szCs w:val="22"/>
        </w:rPr>
        <w:t>36</w:t>
      </w:r>
      <w:r w:rsidRPr="007926AE">
        <w:rPr>
          <w:rFonts w:ascii="Arial" w:hAnsi="Arial" w:cs="Arial"/>
          <w:color w:val="000000"/>
          <w:sz w:val="22"/>
          <w:szCs w:val="22"/>
        </w:rPr>
        <w:t>, 489–517 (2018).</w:t>
      </w:r>
    </w:p>
    <w:p w14:paraId="1F7906C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43.</w:t>
      </w:r>
      <w:r w:rsidRPr="007926AE">
        <w:rPr>
          <w:rFonts w:ascii="Arial" w:hAnsi="Arial" w:cs="Arial"/>
          <w:color w:val="000000"/>
          <w:sz w:val="22"/>
          <w:szCs w:val="22"/>
        </w:rPr>
        <w:tab/>
        <w:t xml:space="preserve">Savitskaya, M. A. &amp; Onishchenko, G. E. Mechanisms of apoptosis. </w:t>
      </w:r>
      <w:r w:rsidRPr="007926AE">
        <w:rPr>
          <w:rFonts w:ascii="Arial" w:hAnsi="Arial" w:cs="Arial"/>
          <w:i/>
          <w:iCs/>
          <w:color w:val="000000"/>
          <w:sz w:val="22"/>
          <w:szCs w:val="22"/>
        </w:rPr>
        <w:t>Biochemistry Moscow</w:t>
      </w:r>
      <w:r w:rsidRPr="007926AE">
        <w:rPr>
          <w:rFonts w:ascii="Arial" w:hAnsi="Arial" w:cs="Arial"/>
          <w:color w:val="000000"/>
          <w:sz w:val="22"/>
          <w:szCs w:val="22"/>
        </w:rPr>
        <w:t xml:space="preserve"> </w:t>
      </w:r>
      <w:r w:rsidRPr="007926AE">
        <w:rPr>
          <w:rFonts w:ascii="Arial" w:hAnsi="Arial" w:cs="Arial"/>
          <w:b/>
          <w:bCs/>
          <w:color w:val="000000"/>
          <w:sz w:val="22"/>
          <w:szCs w:val="22"/>
        </w:rPr>
        <w:t>80</w:t>
      </w:r>
      <w:r w:rsidRPr="007926AE">
        <w:rPr>
          <w:rFonts w:ascii="Arial" w:hAnsi="Arial" w:cs="Arial"/>
          <w:color w:val="000000"/>
          <w:sz w:val="22"/>
          <w:szCs w:val="22"/>
        </w:rPr>
        <w:t>, 1393–1405 (2015).</w:t>
      </w:r>
    </w:p>
    <w:p w14:paraId="0106495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44.</w:t>
      </w:r>
      <w:r w:rsidRPr="007926AE">
        <w:rPr>
          <w:rFonts w:ascii="Arial" w:hAnsi="Arial" w:cs="Arial"/>
          <w:color w:val="000000"/>
          <w:sz w:val="22"/>
          <w:szCs w:val="22"/>
        </w:rPr>
        <w:tab/>
        <w:t xml:space="preserve">Hankins, H. M., Baldridge, R. D., Xu, P. &amp; Graham, T. R. Role of Flippases, Scramblases and Transfer Proteins in Phosphatidylserine Subcellular Distribution. </w:t>
      </w:r>
      <w:r w:rsidRPr="007926AE">
        <w:rPr>
          <w:rFonts w:ascii="Arial" w:hAnsi="Arial" w:cs="Arial"/>
          <w:i/>
          <w:iCs/>
          <w:color w:val="000000"/>
          <w:sz w:val="22"/>
          <w:szCs w:val="22"/>
        </w:rPr>
        <w:t>Traffic</w:t>
      </w:r>
      <w:r w:rsidRPr="007926AE">
        <w:rPr>
          <w:rFonts w:ascii="Arial" w:hAnsi="Arial" w:cs="Arial"/>
          <w:color w:val="000000"/>
          <w:sz w:val="22"/>
          <w:szCs w:val="22"/>
        </w:rPr>
        <w:t xml:space="preserve"> </w:t>
      </w:r>
      <w:r w:rsidRPr="007926AE">
        <w:rPr>
          <w:rFonts w:ascii="Arial" w:hAnsi="Arial" w:cs="Arial"/>
          <w:b/>
          <w:bCs/>
          <w:color w:val="000000"/>
          <w:sz w:val="22"/>
          <w:szCs w:val="22"/>
        </w:rPr>
        <w:t>16</w:t>
      </w:r>
      <w:r w:rsidRPr="007926AE">
        <w:rPr>
          <w:rFonts w:ascii="Arial" w:hAnsi="Arial" w:cs="Arial"/>
          <w:color w:val="000000"/>
          <w:sz w:val="22"/>
          <w:szCs w:val="22"/>
        </w:rPr>
        <w:t>, 35–47 (2015).</w:t>
      </w:r>
    </w:p>
    <w:p w14:paraId="6937DC1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45.</w:t>
      </w:r>
      <w:r w:rsidRPr="007926AE">
        <w:rPr>
          <w:rFonts w:ascii="Arial" w:hAnsi="Arial" w:cs="Arial"/>
          <w:color w:val="000000"/>
          <w:sz w:val="22"/>
          <w:szCs w:val="22"/>
        </w:rPr>
        <w:tab/>
        <w:t xml:space="preserve">Birge, R. B. </w:t>
      </w:r>
      <w:r w:rsidRPr="007926AE">
        <w:rPr>
          <w:rFonts w:ascii="Arial" w:hAnsi="Arial" w:cs="Arial"/>
          <w:i/>
          <w:iCs/>
          <w:color w:val="000000"/>
          <w:sz w:val="22"/>
          <w:szCs w:val="22"/>
        </w:rPr>
        <w:t>et al.</w:t>
      </w:r>
      <w:r w:rsidRPr="007926AE">
        <w:rPr>
          <w:rFonts w:ascii="Arial" w:hAnsi="Arial" w:cs="Arial"/>
          <w:color w:val="000000"/>
          <w:sz w:val="22"/>
          <w:szCs w:val="22"/>
        </w:rPr>
        <w:t xml:space="preserve"> Phosphatidylserine is a global immunosuppressive signal in efferocytosis, infectious disease, and cancer. </w:t>
      </w:r>
      <w:r w:rsidRPr="007926AE">
        <w:rPr>
          <w:rFonts w:ascii="Arial" w:hAnsi="Arial" w:cs="Arial"/>
          <w:i/>
          <w:iCs/>
          <w:color w:val="000000"/>
          <w:sz w:val="22"/>
          <w:szCs w:val="22"/>
        </w:rPr>
        <w:t>Cell Death Differ</w:t>
      </w:r>
      <w:r w:rsidRPr="007926AE">
        <w:rPr>
          <w:rFonts w:ascii="Arial" w:hAnsi="Arial" w:cs="Arial"/>
          <w:color w:val="000000"/>
          <w:sz w:val="22"/>
          <w:szCs w:val="22"/>
        </w:rPr>
        <w:t xml:space="preserve"> </w:t>
      </w:r>
      <w:r w:rsidRPr="007926AE">
        <w:rPr>
          <w:rFonts w:ascii="Arial" w:hAnsi="Arial" w:cs="Arial"/>
          <w:b/>
          <w:bCs/>
          <w:color w:val="000000"/>
          <w:sz w:val="22"/>
          <w:szCs w:val="22"/>
        </w:rPr>
        <w:t>23</w:t>
      </w:r>
      <w:r w:rsidRPr="007926AE">
        <w:rPr>
          <w:rFonts w:ascii="Arial" w:hAnsi="Arial" w:cs="Arial"/>
          <w:color w:val="000000"/>
          <w:sz w:val="22"/>
          <w:szCs w:val="22"/>
        </w:rPr>
        <w:t>, 962–978 (2016).</w:t>
      </w:r>
    </w:p>
    <w:p w14:paraId="1F03C15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46.</w:t>
      </w:r>
      <w:r w:rsidRPr="007926AE">
        <w:rPr>
          <w:rFonts w:ascii="Arial" w:hAnsi="Arial" w:cs="Arial"/>
          <w:color w:val="000000"/>
          <w:sz w:val="22"/>
          <w:szCs w:val="22"/>
        </w:rPr>
        <w:tab/>
        <w:t xml:space="preserve">Lemke, G. How macrophages deal with death. </w:t>
      </w:r>
      <w:r w:rsidRPr="007926AE">
        <w:rPr>
          <w:rFonts w:ascii="Arial" w:hAnsi="Arial" w:cs="Arial"/>
          <w:i/>
          <w:iCs/>
          <w:color w:val="000000"/>
          <w:sz w:val="22"/>
          <w:szCs w:val="22"/>
        </w:rPr>
        <w:t>Nat Rev Immunol</w:t>
      </w:r>
      <w:r w:rsidRPr="007926AE">
        <w:rPr>
          <w:rFonts w:ascii="Arial" w:hAnsi="Arial" w:cs="Arial"/>
          <w:color w:val="000000"/>
          <w:sz w:val="22"/>
          <w:szCs w:val="22"/>
        </w:rPr>
        <w:t xml:space="preserve"> </w:t>
      </w:r>
      <w:r w:rsidRPr="007926AE">
        <w:rPr>
          <w:rFonts w:ascii="Arial" w:hAnsi="Arial" w:cs="Arial"/>
          <w:b/>
          <w:bCs/>
          <w:color w:val="000000"/>
          <w:sz w:val="22"/>
          <w:szCs w:val="22"/>
        </w:rPr>
        <w:t>19</w:t>
      </w:r>
      <w:r w:rsidRPr="007926AE">
        <w:rPr>
          <w:rFonts w:ascii="Arial" w:hAnsi="Arial" w:cs="Arial"/>
          <w:color w:val="000000"/>
          <w:sz w:val="22"/>
          <w:szCs w:val="22"/>
        </w:rPr>
        <w:t>, 539–549 (2019).</w:t>
      </w:r>
    </w:p>
    <w:p w14:paraId="6E1C06A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47.</w:t>
      </w:r>
      <w:r w:rsidRPr="007926AE">
        <w:rPr>
          <w:rFonts w:ascii="Arial" w:hAnsi="Arial" w:cs="Arial"/>
          <w:color w:val="000000"/>
          <w:sz w:val="22"/>
          <w:szCs w:val="22"/>
        </w:rPr>
        <w:tab/>
        <w:t xml:space="preserve">Sharma, B. &amp; Kanwar, S. S. Phosphatidylserine: A cancer cell targeting biomarker. </w:t>
      </w:r>
      <w:r w:rsidRPr="007926AE">
        <w:rPr>
          <w:rFonts w:ascii="Arial" w:hAnsi="Arial" w:cs="Arial"/>
          <w:i/>
          <w:iCs/>
          <w:color w:val="000000"/>
          <w:sz w:val="22"/>
          <w:szCs w:val="22"/>
        </w:rPr>
        <w:t>Seminars in Cancer Biology</w:t>
      </w:r>
      <w:r w:rsidRPr="007926AE">
        <w:rPr>
          <w:rFonts w:ascii="Arial" w:hAnsi="Arial" w:cs="Arial"/>
          <w:color w:val="000000"/>
          <w:sz w:val="22"/>
          <w:szCs w:val="22"/>
        </w:rPr>
        <w:t xml:space="preserve"> </w:t>
      </w:r>
      <w:r w:rsidRPr="007926AE">
        <w:rPr>
          <w:rFonts w:ascii="Arial" w:hAnsi="Arial" w:cs="Arial"/>
          <w:b/>
          <w:bCs/>
          <w:color w:val="000000"/>
          <w:sz w:val="22"/>
          <w:szCs w:val="22"/>
        </w:rPr>
        <w:t>52</w:t>
      </w:r>
      <w:r w:rsidRPr="007926AE">
        <w:rPr>
          <w:rFonts w:ascii="Arial" w:hAnsi="Arial" w:cs="Arial"/>
          <w:color w:val="000000"/>
          <w:sz w:val="22"/>
          <w:szCs w:val="22"/>
        </w:rPr>
        <w:t>, 17–25 (2018).</w:t>
      </w:r>
    </w:p>
    <w:p w14:paraId="4437564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48.</w:t>
      </w:r>
      <w:r w:rsidRPr="007926AE">
        <w:rPr>
          <w:rFonts w:ascii="Arial" w:hAnsi="Arial" w:cs="Arial"/>
          <w:color w:val="000000"/>
          <w:sz w:val="22"/>
          <w:szCs w:val="22"/>
        </w:rPr>
        <w:tab/>
        <w:t xml:space="preserve">Riedl, S. </w:t>
      </w:r>
      <w:r w:rsidRPr="007926AE">
        <w:rPr>
          <w:rFonts w:ascii="Arial" w:hAnsi="Arial" w:cs="Arial"/>
          <w:i/>
          <w:iCs/>
          <w:color w:val="000000"/>
          <w:sz w:val="22"/>
          <w:szCs w:val="22"/>
        </w:rPr>
        <w:t>et al.</w:t>
      </w:r>
      <w:r w:rsidRPr="007926AE">
        <w:rPr>
          <w:rFonts w:ascii="Arial" w:hAnsi="Arial" w:cs="Arial"/>
          <w:color w:val="000000"/>
          <w:sz w:val="22"/>
          <w:szCs w:val="22"/>
        </w:rPr>
        <w:t xml:space="preserve"> In search of a novel target — Phosphatidylserine exposed by non-apoptotic tumor cells and metastases of malignancies with poor treatment efficacy. </w:t>
      </w:r>
      <w:r w:rsidRPr="007926AE">
        <w:rPr>
          <w:rFonts w:ascii="Arial" w:hAnsi="Arial" w:cs="Arial"/>
          <w:i/>
          <w:iCs/>
          <w:color w:val="000000"/>
          <w:sz w:val="22"/>
          <w:szCs w:val="22"/>
        </w:rPr>
        <w:t>Biochimica et Biophysica Acta (BBA) - Biomembranes</w:t>
      </w:r>
      <w:r w:rsidRPr="007926AE">
        <w:rPr>
          <w:rFonts w:ascii="Arial" w:hAnsi="Arial" w:cs="Arial"/>
          <w:color w:val="000000"/>
          <w:sz w:val="22"/>
          <w:szCs w:val="22"/>
        </w:rPr>
        <w:t xml:space="preserve"> </w:t>
      </w:r>
      <w:r w:rsidRPr="007926AE">
        <w:rPr>
          <w:rFonts w:ascii="Arial" w:hAnsi="Arial" w:cs="Arial"/>
          <w:b/>
          <w:bCs/>
          <w:color w:val="000000"/>
          <w:sz w:val="22"/>
          <w:szCs w:val="22"/>
        </w:rPr>
        <w:t>1808</w:t>
      </w:r>
      <w:r w:rsidRPr="007926AE">
        <w:rPr>
          <w:rFonts w:ascii="Arial" w:hAnsi="Arial" w:cs="Arial"/>
          <w:color w:val="000000"/>
          <w:sz w:val="22"/>
          <w:szCs w:val="22"/>
        </w:rPr>
        <w:t>, 2638–2645 (2011).</w:t>
      </w:r>
    </w:p>
    <w:p w14:paraId="19F500E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49.</w:t>
      </w:r>
      <w:r w:rsidRPr="007926AE">
        <w:rPr>
          <w:rFonts w:ascii="Arial" w:hAnsi="Arial" w:cs="Arial"/>
          <w:color w:val="000000"/>
          <w:sz w:val="22"/>
          <w:szCs w:val="22"/>
        </w:rPr>
        <w:tab/>
        <w:t xml:space="preserve">Schröder-Borm, H., Bakalova, R. &amp; Andrä, J. The NK-lysin derived peptide NK-2 preferentially kills cancer cells with increased surface levels of negatively charged phosphatidylserine. </w:t>
      </w:r>
      <w:r w:rsidRPr="007926AE">
        <w:rPr>
          <w:rFonts w:ascii="Arial" w:hAnsi="Arial" w:cs="Arial"/>
          <w:i/>
          <w:iCs/>
          <w:color w:val="000000"/>
          <w:sz w:val="22"/>
          <w:szCs w:val="22"/>
        </w:rPr>
        <w:t>FEBS Letters</w:t>
      </w:r>
      <w:r w:rsidRPr="007926AE">
        <w:rPr>
          <w:rFonts w:ascii="Arial" w:hAnsi="Arial" w:cs="Arial"/>
          <w:color w:val="000000"/>
          <w:sz w:val="22"/>
          <w:szCs w:val="22"/>
        </w:rPr>
        <w:t xml:space="preserve"> </w:t>
      </w:r>
      <w:r w:rsidRPr="007926AE">
        <w:rPr>
          <w:rFonts w:ascii="Arial" w:hAnsi="Arial" w:cs="Arial"/>
          <w:b/>
          <w:bCs/>
          <w:color w:val="000000"/>
          <w:sz w:val="22"/>
          <w:szCs w:val="22"/>
        </w:rPr>
        <w:t>579</w:t>
      </w:r>
      <w:r w:rsidRPr="007926AE">
        <w:rPr>
          <w:rFonts w:ascii="Arial" w:hAnsi="Arial" w:cs="Arial"/>
          <w:color w:val="000000"/>
          <w:sz w:val="22"/>
          <w:szCs w:val="22"/>
        </w:rPr>
        <w:t>, 6128–6134 (2005).</w:t>
      </w:r>
    </w:p>
    <w:p w14:paraId="6730C9CD"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50.</w:t>
      </w:r>
      <w:r w:rsidRPr="007926AE">
        <w:rPr>
          <w:rFonts w:ascii="Arial" w:hAnsi="Arial" w:cs="Arial"/>
          <w:color w:val="000000"/>
          <w:sz w:val="22"/>
          <w:szCs w:val="22"/>
        </w:rPr>
        <w:tab/>
        <w:t xml:space="preserve">Vallabhapurapu, S. D. </w:t>
      </w:r>
      <w:r w:rsidRPr="007926AE">
        <w:rPr>
          <w:rFonts w:ascii="Arial" w:hAnsi="Arial" w:cs="Arial"/>
          <w:i/>
          <w:iCs/>
          <w:color w:val="000000"/>
          <w:sz w:val="22"/>
          <w:szCs w:val="22"/>
        </w:rPr>
        <w:t>et al.</w:t>
      </w:r>
      <w:r w:rsidRPr="007926AE">
        <w:rPr>
          <w:rFonts w:ascii="Arial" w:hAnsi="Arial" w:cs="Arial"/>
          <w:color w:val="000000"/>
          <w:sz w:val="22"/>
          <w:szCs w:val="22"/>
        </w:rPr>
        <w:t xml:space="preserve"> Variation in human cancer cell external phosphatidylserine is regulated by flippase activity and intracellular calcium. </w:t>
      </w:r>
      <w:r w:rsidRPr="007926AE">
        <w:rPr>
          <w:rFonts w:ascii="Arial" w:hAnsi="Arial" w:cs="Arial"/>
          <w:i/>
          <w:iCs/>
          <w:color w:val="000000"/>
          <w:sz w:val="22"/>
          <w:szCs w:val="22"/>
        </w:rPr>
        <w:t>Oncotarget</w:t>
      </w:r>
      <w:r w:rsidRPr="007926AE">
        <w:rPr>
          <w:rFonts w:ascii="Arial" w:hAnsi="Arial" w:cs="Arial"/>
          <w:color w:val="000000"/>
          <w:sz w:val="22"/>
          <w:szCs w:val="22"/>
        </w:rPr>
        <w:t xml:space="preserve"> </w:t>
      </w:r>
      <w:r w:rsidRPr="007926AE">
        <w:rPr>
          <w:rFonts w:ascii="Arial" w:hAnsi="Arial" w:cs="Arial"/>
          <w:b/>
          <w:bCs/>
          <w:color w:val="000000"/>
          <w:sz w:val="22"/>
          <w:szCs w:val="22"/>
        </w:rPr>
        <w:t>6</w:t>
      </w:r>
      <w:r w:rsidRPr="007926AE">
        <w:rPr>
          <w:rFonts w:ascii="Arial" w:hAnsi="Arial" w:cs="Arial"/>
          <w:color w:val="000000"/>
          <w:sz w:val="22"/>
          <w:szCs w:val="22"/>
        </w:rPr>
        <w:t>, 34375–34388 (2015).</w:t>
      </w:r>
    </w:p>
    <w:p w14:paraId="55BAB189"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51.</w:t>
      </w:r>
      <w:r w:rsidRPr="007926AE">
        <w:rPr>
          <w:rFonts w:ascii="Arial" w:hAnsi="Arial" w:cs="Arial"/>
          <w:color w:val="000000"/>
          <w:sz w:val="22"/>
          <w:szCs w:val="22"/>
        </w:rPr>
        <w:tab/>
        <w:t>Ran, S., Downes, A. &amp; Thorpe, P. E. Increased Exposure of Anionic Phospholipids on the Surface of Tumor Blood Vessels. 10.</w:t>
      </w:r>
    </w:p>
    <w:p w14:paraId="7639BC7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52.</w:t>
      </w:r>
      <w:r w:rsidRPr="007926AE">
        <w:rPr>
          <w:rFonts w:ascii="Arial" w:hAnsi="Arial" w:cs="Arial"/>
          <w:color w:val="000000"/>
          <w:sz w:val="22"/>
          <w:szCs w:val="22"/>
        </w:rPr>
        <w:tab/>
        <w:t xml:space="preserve">Ran, S. &amp; Thorpe, P. E. Phosphatidylserine is a marker of tumor vasculature and a potential target for cancer imaging and therapy. </w:t>
      </w:r>
      <w:r w:rsidRPr="007926AE">
        <w:rPr>
          <w:rFonts w:ascii="Arial" w:hAnsi="Arial" w:cs="Arial"/>
          <w:i/>
          <w:iCs/>
          <w:color w:val="000000"/>
          <w:sz w:val="22"/>
          <w:szCs w:val="22"/>
        </w:rPr>
        <w:t>International Journal of Radiation Oncology*Biology*Physics</w:t>
      </w:r>
      <w:r w:rsidRPr="007926AE">
        <w:rPr>
          <w:rFonts w:ascii="Arial" w:hAnsi="Arial" w:cs="Arial"/>
          <w:color w:val="000000"/>
          <w:sz w:val="22"/>
          <w:szCs w:val="22"/>
        </w:rPr>
        <w:t xml:space="preserve"> </w:t>
      </w:r>
      <w:r w:rsidRPr="007926AE">
        <w:rPr>
          <w:rFonts w:ascii="Arial" w:hAnsi="Arial" w:cs="Arial"/>
          <w:b/>
          <w:bCs/>
          <w:color w:val="000000"/>
          <w:sz w:val="22"/>
          <w:szCs w:val="22"/>
        </w:rPr>
        <w:t>54</w:t>
      </w:r>
      <w:r w:rsidRPr="007926AE">
        <w:rPr>
          <w:rFonts w:ascii="Arial" w:hAnsi="Arial" w:cs="Arial"/>
          <w:color w:val="000000"/>
          <w:sz w:val="22"/>
          <w:szCs w:val="22"/>
        </w:rPr>
        <w:t>, 1479–1484 (2002).</w:t>
      </w:r>
    </w:p>
    <w:p w14:paraId="2000306C"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53.</w:t>
      </w:r>
      <w:r w:rsidRPr="007926AE">
        <w:rPr>
          <w:rFonts w:ascii="Arial" w:hAnsi="Arial" w:cs="Arial"/>
          <w:color w:val="000000"/>
          <w:sz w:val="22"/>
          <w:szCs w:val="22"/>
        </w:rPr>
        <w:tab/>
        <w:t xml:space="preserve">Lima, L. G., Chammas, R., Monteiro, R. Q., Moreira, M. E. C. &amp; Barcinski, M. A. Tumor-derived microvesicles modulate the establishment of metastatic melanoma in a phosphatidylserine-dependent manner. </w:t>
      </w:r>
      <w:r w:rsidRPr="007926AE">
        <w:rPr>
          <w:rFonts w:ascii="Arial" w:hAnsi="Arial" w:cs="Arial"/>
          <w:i/>
          <w:iCs/>
          <w:color w:val="000000"/>
          <w:sz w:val="22"/>
          <w:szCs w:val="22"/>
        </w:rPr>
        <w:t>Cancer Letters</w:t>
      </w:r>
      <w:r w:rsidRPr="007926AE">
        <w:rPr>
          <w:rFonts w:ascii="Arial" w:hAnsi="Arial" w:cs="Arial"/>
          <w:color w:val="000000"/>
          <w:sz w:val="22"/>
          <w:szCs w:val="22"/>
        </w:rPr>
        <w:t xml:space="preserve"> </w:t>
      </w:r>
      <w:r w:rsidRPr="007926AE">
        <w:rPr>
          <w:rFonts w:ascii="Arial" w:hAnsi="Arial" w:cs="Arial"/>
          <w:b/>
          <w:bCs/>
          <w:color w:val="000000"/>
          <w:sz w:val="22"/>
          <w:szCs w:val="22"/>
        </w:rPr>
        <w:t>283</w:t>
      </w:r>
      <w:r w:rsidRPr="007926AE">
        <w:rPr>
          <w:rFonts w:ascii="Arial" w:hAnsi="Arial" w:cs="Arial"/>
          <w:color w:val="000000"/>
          <w:sz w:val="22"/>
          <w:szCs w:val="22"/>
        </w:rPr>
        <w:t>, 168–175 (2009).</w:t>
      </w:r>
    </w:p>
    <w:p w14:paraId="424E5735"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54.</w:t>
      </w:r>
      <w:r w:rsidRPr="007926AE">
        <w:rPr>
          <w:rFonts w:ascii="Arial" w:hAnsi="Arial" w:cs="Arial"/>
          <w:color w:val="000000"/>
          <w:sz w:val="22"/>
          <w:szCs w:val="22"/>
        </w:rPr>
        <w:tab/>
        <w:t xml:space="preserve">Liang, P. &amp; Yang, H. Molecular underpinning of intracellular pH regulation on TMEM16F. </w:t>
      </w:r>
      <w:r w:rsidRPr="007926AE">
        <w:rPr>
          <w:rFonts w:ascii="Arial" w:hAnsi="Arial" w:cs="Arial"/>
          <w:i/>
          <w:iCs/>
          <w:color w:val="000000"/>
          <w:sz w:val="22"/>
          <w:szCs w:val="22"/>
        </w:rPr>
        <w:t>Journal of General Physiology</w:t>
      </w:r>
      <w:r w:rsidRPr="007926AE">
        <w:rPr>
          <w:rFonts w:ascii="Arial" w:hAnsi="Arial" w:cs="Arial"/>
          <w:color w:val="000000"/>
          <w:sz w:val="22"/>
          <w:szCs w:val="22"/>
        </w:rPr>
        <w:t xml:space="preserve"> </w:t>
      </w:r>
      <w:r w:rsidRPr="007926AE">
        <w:rPr>
          <w:rFonts w:ascii="Arial" w:hAnsi="Arial" w:cs="Arial"/>
          <w:b/>
          <w:bCs/>
          <w:color w:val="000000"/>
          <w:sz w:val="22"/>
          <w:szCs w:val="22"/>
        </w:rPr>
        <w:t>153</w:t>
      </w:r>
      <w:r w:rsidRPr="007926AE">
        <w:rPr>
          <w:rFonts w:ascii="Arial" w:hAnsi="Arial" w:cs="Arial"/>
          <w:color w:val="000000"/>
          <w:sz w:val="22"/>
          <w:szCs w:val="22"/>
        </w:rPr>
        <w:t>, e202012704 (2021).</w:t>
      </w:r>
    </w:p>
    <w:p w14:paraId="52745A07"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55.</w:t>
      </w:r>
      <w:r w:rsidRPr="007926AE">
        <w:rPr>
          <w:rFonts w:ascii="Arial" w:hAnsi="Arial" w:cs="Arial"/>
          <w:color w:val="000000"/>
          <w:sz w:val="22"/>
          <w:szCs w:val="22"/>
        </w:rPr>
        <w:tab/>
        <w:t xml:space="preserve">Xu, J. </w:t>
      </w:r>
      <w:r w:rsidRPr="007926AE">
        <w:rPr>
          <w:rFonts w:ascii="Arial" w:hAnsi="Arial" w:cs="Arial"/>
          <w:i/>
          <w:iCs/>
          <w:color w:val="000000"/>
          <w:sz w:val="22"/>
          <w:szCs w:val="22"/>
        </w:rPr>
        <w:t>et al.</w:t>
      </w:r>
      <w:r w:rsidRPr="007926AE">
        <w:rPr>
          <w:rFonts w:ascii="Arial" w:hAnsi="Arial" w:cs="Arial"/>
          <w:color w:val="000000"/>
          <w:sz w:val="22"/>
          <w:szCs w:val="22"/>
        </w:rPr>
        <w:t xml:space="preserve"> ATP11B inhibits breast cancer metastasis in a mouse model by suppressing externalization of nonapoptotic phosphatidylserine. </w:t>
      </w:r>
      <w:r w:rsidRPr="007926AE">
        <w:rPr>
          <w:rFonts w:ascii="Arial" w:hAnsi="Arial" w:cs="Arial"/>
          <w:i/>
          <w:iCs/>
          <w:color w:val="000000"/>
          <w:sz w:val="22"/>
          <w:szCs w:val="22"/>
        </w:rPr>
        <w:t>Journal of Clinical Investigation</w:t>
      </w:r>
      <w:r w:rsidRPr="007926AE">
        <w:rPr>
          <w:rFonts w:ascii="Arial" w:hAnsi="Arial" w:cs="Arial"/>
          <w:color w:val="000000"/>
          <w:sz w:val="22"/>
          <w:szCs w:val="22"/>
        </w:rPr>
        <w:t xml:space="preserve"> </w:t>
      </w:r>
      <w:r w:rsidRPr="007926AE">
        <w:rPr>
          <w:rFonts w:ascii="Arial" w:hAnsi="Arial" w:cs="Arial"/>
          <w:b/>
          <w:bCs/>
          <w:color w:val="000000"/>
          <w:sz w:val="22"/>
          <w:szCs w:val="22"/>
        </w:rPr>
        <w:t>132</w:t>
      </w:r>
      <w:r w:rsidRPr="007926AE">
        <w:rPr>
          <w:rFonts w:ascii="Arial" w:hAnsi="Arial" w:cs="Arial"/>
          <w:color w:val="000000"/>
          <w:sz w:val="22"/>
          <w:szCs w:val="22"/>
        </w:rPr>
        <w:t>, e149473 (2022).</w:t>
      </w:r>
    </w:p>
    <w:p w14:paraId="54AEAD36"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56.</w:t>
      </w:r>
      <w:r w:rsidRPr="007926AE">
        <w:rPr>
          <w:rFonts w:ascii="Arial" w:hAnsi="Arial" w:cs="Arial"/>
          <w:color w:val="000000"/>
          <w:sz w:val="22"/>
          <w:szCs w:val="22"/>
        </w:rPr>
        <w:tab/>
        <w:t>Fadok, V. A., Voelker, D. R., Campbell, P. A., Cohen, J. J. &amp; Henson, P. M. Exposure of phosphatidylserine on the surface of apoptotic lymphocytes triggers specific recognition and removal by macrophages. 11.</w:t>
      </w:r>
    </w:p>
    <w:p w14:paraId="4C37D55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57.</w:t>
      </w:r>
      <w:r w:rsidRPr="007926AE">
        <w:rPr>
          <w:rFonts w:ascii="Arial" w:hAnsi="Arial" w:cs="Arial"/>
          <w:color w:val="000000"/>
          <w:sz w:val="22"/>
          <w:szCs w:val="22"/>
        </w:rPr>
        <w:tab/>
        <w:t xml:space="preserve">Albert, M. L., Sauter, B. &amp; Bhardwaj, N. Dendritic cells acquire antigen from apoptotic cells and induce class I-restricted CTLs. </w:t>
      </w:r>
      <w:r w:rsidRPr="007926AE">
        <w:rPr>
          <w:rFonts w:ascii="Arial" w:hAnsi="Arial" w:cs="Arial"/>
          <w:i/>
          <w:iCs/>
          <w:color w:val="000000"/>
          <w:sz w:val="22"/>
          <w:szCs w:val="22"/>
        </w:rPr>
        <w:t>Nature</w:t>
      </w:r>
      <w:r w:rsidRPr="007926AE">
        <w:rPr>
          <w:rFonts w:ascii="Arial" w:hAnsi="Arial" w:cs="Arial"/>
          <w:color w:val="000000"/>
          <w:sz w:val="22"/>
          <w:szCs w:val="22"/>
        </w:rPr>
        <w:t xml:space="preserve"> </w:t>
      </w:r>
      <w:r w:rsidRPr="007926AE">
        <w:rPr>
          <w:rFonts w:ascii="Arial" w:hAnsi="Arial" w:cs="Arial"/>
          <w:b/>
          <w:bCs/>
          <w:color w:val="000000"/>
          <w:sz w:val="22"/>
          <w:szCs w:val="22"/>
        </w:rPr>
        <w:t>392</w:t>
      </w:r>
      <w:r w:rsidRPr="007926AE">
        <w:rPr>
          <w:rFonts w:ascii="Arial" w:hAnsi="Arial" w:cs="Arial"/>
          <w:color w:val="000000"/>
          <w:sz w:val="22"/>
          <w:szCs w:val="22"/>
        </w:rPr>
        <w:t>, 86–89 (1998).</w:t>
      </w:r>
    </w:p>
    <w:p w14:paraId="14FF896D"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58.</w:t>
      </w:r>
      <w:r w:rsidRPr="007926AE">
        <w:rPr>
          <w:rFonts w:ascii="Arial" w:hAnsi="Arial" w:cs="Arial"/>
          <w:color w:val="000000"/>
          <w:sz w:val="22"/>
          <w:szCs w:val="22"/>
        </w:rPr>
        <w:tab/>
        <w:t xml:space="preserve">Eladl, E. </w:t>
      </w:r>
      <w:r w:rsidRPr="007926AE">
        <w:rPr>
          <w:rFonts w:ascii="Arial" w:hAnsi="Arial" w:cs="Arial"/>
          <w:i/>
          <w:iCs/>
          <w:color w:val="000000"/>
          <w:sz w:val="22"/>
          <w:szCs w:val="22"/>
        </w:rPr>
        <w:t>et al.</w:t>
      </w:r>
      <w:r w:rsidRPr="007926AE">
        <w:rPr>
          <w:rFonts w:ascii="Arial" w:hAnsi="Arial" w:cs="Arial"/>
          <w:color w:val="000000"/>
          <w:sz w:val="22"/>
          <w:szCs w:val="22"/>
        </w:rPr>
        <w:t xml:space="preserve"> Role of CD47 in Hematological Malignancies. </w:t>
      </w:r>
      <w:r w:rsidRPr="007926AE">
        <w:rPr>
          <w:rFonts w:ascii="Arial" w:hAnsi="Arial" w:cs="Arial"/>
          <w:i/>
          <w:iCs/>
          <w:color w:val="000000"/>
          <w:sz w:val="22"/>
          <w:szCs w:val="22"/>
        </w:rPr>
        <w:t>J Hematol Oncol</w:t>
      </w:r>
      <w:r w:rsidRPr="007926AE">
        <w:rPr>
          <w:rFonts w:ascii="Arial" w:hAnsi="Arial" w:cs="Arial"/>
          <w:color w:val="000000"/>
          <w:sz w:val="22"/>
          <w:szCs w:val="22"/>
        </w:rPr>
        <w:t xml:space="preserve"> </w:t>
      </w:r>
      <w:r w:rsidRPr="007926AE">
        <w:rPr>
          <w:rFonts w:ascii="Arial" w:hAnsi="Arial" w:cs="Arial"/>
          <w:b/>
          <w:bCs/>
          <w:color w:val="000000"/>
          <w:sz w:val="22"/>
          <w:szCs w:val="22"/>
        </w:rPr>
        <w:t>13</w:t>
      </w:r>
      <w:r w:rsidRPr="007926AE">
        <w:rPr>
          <w:rFonts w:ascii="Arial" w:hAnsi="Arial" w:cs="Arial"/>
          <w:color w:val="000000"/>
          <w:sz w:val="22"/>
          <w:szCs w:val="22"/>
        </w:rPr>
        <w:t>, 96 (2020).</w:t>
      </w:r>
    </w:p>
    <w:p w14:paraId="2A47DDE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59.</w:t>
      </w:r>
      <w:r w:rsidRPr="007926AE">
        <w:rPr>
          <w:rFonts w:ascii="Arial" w:hAnsi="Arial" w:cs="Arial"/>
          <w:color w:val="000000"/>
          <w:sz w:val="22"/>
          <w:szCs w:val="22"/>
        </w:rPr>
        <w:tab/>
        <w:t xml:space="preserve">Kim, R., Emi, M. &amp; Tanabe, K. Cancer cell immune escape and tumor progression by exploitation of anti-inflammatory and pro-inflammatory responses. </w:t>
      </w:r>
      <w:r w:rsidRPr="007926AE">
        <w:rPr>
          <w:rFonts w:ascii="Arial" w:hAnsi="Arial" w:cs="Arial"/>
          <w:i/>
          <w:iCs/>
          <w:color w:val="000000"/>
          <w:sz w:val="22"/>
          <w:szCs w:val="22"/>
        </w:rPr>
        <w:t>Cancer Biology &amp; Therapy</w:t>
      </w:r>
      <w:r w:rsidRPr="007926AE">
        <w:rPr>
          <w:rFonts w:ascii="Arial" w:hAnsi="Arial" w:cs="Arial"/>
          <w:color w:val="000000"/>
          <w:sz w:val="22"/>
          <w:szCs w:val="22"/>
        </w:rPr>
        <w:t xml:space="preserve"> </w:t>
      </w:r>
      <w:r w:rsidRPr="007926AE">
        <w:rPr>
          <w:rFonts w:ascii="Arial" w:hAnsi="Arial" w:cs="Arial"/>
          <w:b/>
          <w:bCs/>
          <w:color w:val="000000"/>
          <w:sz w:val="22"/>
          <w:szCs w:val="22"/>
        </w:rPr>
        <w:t>4</w:t>
      </w:r>
      <w:r w:rsidRPr="007926AE">
        <w:rPr>
          <w:rFonts w:ascii="Arial" w:hAnsi="Arial" w:cs="Arial"/>
          <w:color w:val="000000"/>
          <w:sz w:val="22"/>
          <w:szCs w:val="22"/>
        </w:rPr>
        <w:t>, 924–933 (2005).</w:t>
      </w:r>
    </w:p>
    <w:p w14:paraId="2218054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60.</w:t>
      </w:r>
      <w:r w:rsidRPr="007926AE">
        <w:rPr>
          <w:rFonts w:ascii="Arial" w:hAnsi="Arial" w:cs="Arial"/>
          <w:color w:val="000000"/>
          <w:sz w:val="22"/>
          <w:szCs w:val="22"/>
        </w:rPr>
        <w:tab/>
        <w:t xml:space="preserve">Taylor, A., Verhagen, J., Blaser, K., Akdis, M. &amp; Akdis, C. A. Mechanisms of immune suppression by interleukin-10 and transforming growth factor-beta: the role of T regulatory cells. </w:t>
      </w:r>
      <w:r w:rsidRPr="007926AE">
        <w:rPr>
          <w:rFonts w:ascii="Arial" w:hAnsi="Arial" w:cs="Arial"/>
          <w:i/>
          <w:iCs/>
          <w:color w:val="000000"/>
          <w:sz w:val="22"/>
          <w:szCs w:val="22"/>
        </w:rPr>
        <w:t>Immunology</w:t>
      </w:r>
      <w:r w:rsidRPr="007926AE">
        <w:rPr>
          <w:rFonts w:ascii="Arial" w:hAnsi="Arial" w:cs="Arial"/>
          <w:color w:val="000000"/>
          <w:sz w:val="22"/>
          <w:szCs w:val="22"/>
        </w:rPr>
        <w:t xml:space="preserve"> </w:t>
      </w:r>
      <w:r w:rsidRPr="007926AE">
        <w:rPr>
          <w:rFonts w:ascii="Arial" w:hAnsi="Arial" w:cs="Arial"/>
          <w:b/>
          <w:bCs/>
          <w:color w:val="000000"/>
          <w:sz w:val="22"/>
          <w:szCs w:val="22"/>
        </w:rPr>
        <w:t>117</w:t>
      </w:r>
      <w:r w:rsidRPr="007926AE">
        <w:rPr>
          <w:rFonts w:ascii="Arial" w:hAnsi="Arial" w:cs="Arial"/>
          <w:color w:val="000000"/>
          <w:sz w:val="22"/>
          <w:szCs w:val="22"/>
        </w:rPr>
        <w:t>, 433–442 (2006).</w:t>
      </w:r>
    </w:p>
    <w:p w14:paraId="0E8FA7B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61.</w:t>
      </w:r>
      <w:r w:rsidRPr="007926AE">
        <w:rPr>
          <w:rFonts w:ascii="Arial" w:hAnsi="Arial" w:cs="Arial"/>
          <w:color w:val="000000"/>
          <w:sz w:val="22"/>
          <w:szCs w:val="22"/>
        </w:rPr>
        <w:tab/>
        <w:t xml:space="preserve">Chang, W., Fa, H., Xiao, D. &amp; Wang, J. Targeting phosphatidylserine for Cancer therapy: prospects and challenges. </w:t>
      </w:r>
      <w:r w:rsidRPr="007926AE">
        <w:rPr>
          <w:rFonts w:ascii="Arial" w:hAnsi="Arial" w:cs="Arial"/>
          <w:i/>
          <w:iCs/>
          <w:color w:val="000000"/>
          <w:sz w:val="22"/>
          <w:szCs w:val="22"/>
        </w:rPr>
        <w:t>Theranostics</w:t>
      </w:r>
      <w:r w:rsidRPr="007926AE">
        <w:rPr>
          <w:rFonts w:ascii="Arial" w:hAnsi="Arial" w:cs="Arial"/>
          <w:color w:val="000000"/>
          <w:sz w:val="22"/>
          <w:szCs w:val="22"/>
        </w:rPr>
        <w:t xml:space="preserve"> </w:t>
      </w:r>
      <w:r w:rsidRPr="007926AE">
        <w:rPr>
          <w:rFonts w:ascii="Arial" w:hAnsi="Arial" w:cs="Arial"/>
          <w:b/>
          <w:bCs/>
          <w:color w:val="000000"/>
          <w:sz w:val="22"/>
          <w:szCs w:val="22"/>
        </w:rPr>
        <w:t>10</w:t>
      </w:r>
      <w:r w:rsidRPr="007926AE">
        <w:rPr>
          <w:rFonts w:ascii="Arial" w:hAnsi="Arial" w:cs="Arial"/>
          <w:color w:val="000000"/>
          <w:sz w:val="22"/>
          <w:szCs w:val="22"/>
        </w:rPr>
        <w:t>, 9214–9229 (2020).</w:t>
      </w:r>
    </w:p>
    <w:p w14:paraId="382234C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62.</w:t>
      </w:r>
      <w:r w:rsidRPr="007926AE">
        <w:rPr>
          <w:rFonts w:ascii="Arial" w:hAnsi="Arial" w:cs="Arial"/>
          <w:color w:val="000000"/>
          <w:sz w:val="22"/>
          <w:szCs w:val="22"/>
        </w:rPr>
        <w:tab/>
        <w:t xml:space="preserve">Kelleher, R. J. </w:t>
      </w:r>
      <w:r w:rsidRPr="007926AE">
        <w:rPr>
          <w:rFonts w:ascii="Arial" w:hAnsi="Arial" w:cs="Arial"/>
          <w:i/>
          <w:iCs/>
          <w:color w:val="000000"/>
          <w:sz w:val="22"/>
          <w:szCs w:val="22"/>
        </w:rPr>
        <w:t>et al.</w:t>
      </w:r>
      <w:r w:rsidRPr="007926AE">
        <w:rPr>
          <w:rFonts w:ascii="Arial" w:hAnsi="Arial" w:cs="Arial"/>
          <w:color w:val="000000"/>
          <w:sz w:val="22"/>
          <w:szCs w:val="22"/>
        </w:rPr>
        <w:t xml:space="preserve"> Extracellular Vesicles Present in Human Ovarian Tumor Microenvironments Induce a Phosphatidylserine-Dependent Arrest in the T-cell Signaling Cascade. </w:t>
      </w:r>
      <w:r w:rsidRPr="007926AE">
        <w:rPr>
          <w:rFonts w:ascii="Arial" w:hAnsi="Arial" w:cs="Arial"/>
          <w:i/>
          <w:iCs/>
          <w:color w:val="000000"/>
          <w:sz w:val="22"/>
          <w:szCs w:val="22"/>
        </w:rPr>
        <w:t>Cancer Immunology Research</w:t>
      </w:r>
      <w:r w:rsidRPr="007926AE">
        <w:rPr>
          <w:rFonts w:ascii="Arial" w:hAnsi="Arial" w:cs="Arial"/>
          <w:color w:val="000000"/>
          <w:sz w:val="22"/>
          <w:szCs w:val="22"/>
        </w:rPr>
        <w:t xml:space="preserve"> </w:t>
      </w:r>
      <w:r w:rsidRPr="007926AE">
        <w:rPr>
          <w:rFonts w:ascii="Arial" w:hAnsi="Arial" w:cs="Arial"/>
          <w:b/>
          <w:bCs/>
          <w:color w:val="000000"/>
          <w:sz w:val="22"/>
          <w:szCs w:val="22"/>
        </w:rPr>
        <w:t>3</w:t>
      </w:r>
      <w:r w:rsidRPr="007926AE">
        <w:rPr>
          <w:rFonts w:ascii="Arial" w:hAnsi="Arial" w:cs="Arial"/>
          <w:color w:val="000000"/>
          <w:sz w:val="22"/>
          <w:szCs w:val="22"/>
        </w:rPr>
        <w:t>, 1269–1278 (2015).</w:t>
      </w:r>
    </w:p>
    <w:p w14:paraId="134EB41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63.</w:t>
      </w:r>
      <w:r w:rsidRPr="007926AE">
        <w:rPr>
          <w:rFonts w:ascii="Arial" w:hAnsi="Arial" w:cs="Arial"/>
          <w:color w:val="000000"/>
          <w:sz w:val="22"/>
          <w:szCs w:val="22"/>
        </w:rPr>
        <w:tab/>
        <w:t>Reutelingsperger, C. P. M., Kop, M. M., Hornstra, G. &amp; Hemker, H. C. Purification and characterization of a novel protein from bovine aorta that inhibits coagulation. 8.</w:t>
      </w:r>
    </w:p>
    <w:p w14:paraId="4D5ED5D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64.</w:t>
      </w:r>
      <w:r w:rsidRPr="007926AE">
        <w:rPr>
          <w:rFonts w:ascii="Arial" w:hAnsi="Arial" w:cs="Arial"/>
          <w:color w:val="000000"/>
          <w:sz w:val="22"/>
          <w:szCs w:val="22"/>
        </w:rPr>
        <w:tab/>
        <w:t xml:space="preserve">Tait, J. F., Gibson, D. &amp; Fujikawa, K. Phospholipid binding properties of human placental anticoagulant protein-I, a member of the lipocortin family. </w:t>
      </w:r>
      <w:r w:rsidRPr="007926AE">
        <w:rPr>
          <w:rFonts w:ascii="Arial" w:hAnsi="Arial" w:cs="Arial"/>
          <w:i/>
          <w:iCs/>
          <w:color w:val="000000"/>
          <w:sz w:val="22"/>
          <w:szCs w:val="22"/>
        </w:rPr>
        <w:t>Journal of Biological Chemistry</w:t>
      </w:r>
      <w:r w:rsidRPr="007926AE">
        <w:rPr>
          <w:rFonts w:ascii="Arial" w:hAnsi="Arial" w:cs="Arial"/>
          <w:color w:val="000000"/>
          <w:sz w:val="22"/>
          <w:szCs w:val="22"/>
        </w:rPr>
        <w:t xml:space="preserve"> </w:t>
      </w:r>
      <w:r w:rsidRPr="007926AE">
        <w:rPr>
          <w:rFonts w:ascii="Arial" w:hAnsi="Arial" w:cs="Arial"/>
          <w:b/>
          <w:bCs/>
          <w:color w:val="000000"/>
          <w:sz w:val="22"/>
          <w:szCs w:val="22"/>
        </w:rPr>
        <w:t>264</w:t>
      </w:r>
      <w:r w:rsidRPr="007926AE">
        <w:rPr>
          <w:rFonts w:ascii="Arial" w:hAnsi="Arial" w:cs="Arial"/>
          <w:color w:val="000000"/>
          <w:sz w:val="22"/>
          <w:szCs w:val="22"/>
        </w:rPr>
        <w:t>, 7944–7949 (1989).</w:t>
      </w:r>
    </w:p>
    <w:p w14:paraId="4A3EF8B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65.</w:t>
      </w:r>
      <w:r w:rsidRPr="007926AE">
        <w:rPr>
          <w:rFonts w:ascii="Arial" w:hAnsi="Arial" w:cs="Arial"/>
          <w:color w:val="000000"/>
          <w:sz w:val="22"/>
          <w:szCs w:val="22"/>
        </w:rPr>
        <w:tab/>
        <w:t xml:space="preserve">Andree, H. A. </w:t>
      </w:r>
      <w:r w:rsidRPr="007926AE">
        <w:rPr>
          <w:rFonts w:ascii="Arial" w:hAnsi="Arial" w:cs="Arial"/>
          <w:i/>
          <w:iCs/>
          <w:color w:val="000000"/>
          <w:sz w:val="22"/>
          <w:szCs w:val="22"/>
        </w:rPr>
        <w:t>et al.</w:t>
      </w:r>
      <w:r w:rsidRPr="007926AE">
        <w:rPr>
          <w:rFonts w:ascii="Arial" w:hAnsi="Arial" w:cs="Arial"/>
          <w:color w:val="000000"/>
          <w:sz w:val="22"/>
          <w:szCs w:val="22"/>
        </w:rPr>
        <w:t xml:space="preserve"> Clustering of lipid-bound annexin V may explain its anticoagulant effect. </w:t>
      </w:r>
      <w:r w:rsidRPr="007926AE">
        <w:rPr>
          <w:rFonts w:ascii="Arial" w:hAnsi="Arial" w:cs="Arial"/>
          <w:i/>
          <w:iCs/>
          <w:color w:val="000000"/>
          <w:sz w:val="22"/>
          <w:szCs w:val="22"/>
        </w:rPr>
        <w:t>Journal of Biological Chemistry</w:t>
      </w:r>
      <w:r w:rsidRPr="007926AE">
        <w:rPr>
          <w:rFonts w:ascii="Arial" w:hAnsi="Arial" w:cs="Arial"/>
          <w:color w:val="000000"/>
          <w:sz w:val="22"/>
          <w:szCs w:val="22"/>
        </w:rPr>
        <w:t xml:space="preserve"> </w:t>
      </w:r>
      <w:r w:rsidRPr="007926AE">
        <w:rPr>
          <w:rFonts w:ascii="Arial" w:hAnsi="Arial" w:cs="Arial"/>
          <w:b/>
          <w:bCs/>
          <w:color w:val="000000"/>
          <w:sz w:val="22"/>
          <w:szCs w:val="22"/>
        </w:rPr>
        <w:t>267</w:t>
      </w:r>
      <w:r w:rsidRPr="007926AE">
        <w:rPr>
          <w:rFonts w:ascii="Arial" w:hAnsi="Arial" w:cs="Arial"/>
          <w:color w:val="000000"/>
          <w:sz w:val="22"/>
          <w:szCs w:val="22"/>
        </w:rPr>
        <w:t>, 17907–17912 (1992).</w:t>
      </w:r>
    </w:p>
    <w:p w14:paraId="6CD778BD"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66.</w:t>
      </w:r>
      <w:r w:rsidRPr="007926AE">
        <w:rPr>
          <w:rFonts w:ascii="Arial" w:hAnsi="Arial" w:cs="Arial"/>
          <w:color w:val="000000"/>
          <w:sz w:val="22"/>
          <w:szCs w:val="22"/>
        </w:rPr>
        <w:tab/>
        <w:t xml:space="preserve">Tait, J. F., Gibson, D. F. &amp; Smith, C. Measurement of the affinity and cooperativity of annexin V–membrane binding under conditions of low membrane occupancy. </w:t>
      </w:r>
      <w:r w:rsidRPr="007926AE">
        <w:rPr>
          <w:rFonts w:ascii="Arial" w:hAnsi="Arial" w:cs="Arial"/>
          <w:i/>
          <w:iCs/>
          <w:color w:val="000000"/>
          <w:sz w:val="22"/>
          <w:szCs w:val="22"/>
        </w:rPr>
        <w:t>Analytical Biochemistry</w:t>
      </w:r>
      <w:r w:rsidRPr="007926AE">
        <w:rPr>
          <w:rFonts w:ascii="Arial" w:hAnsi="Arial" w:cs="Arial"/>
          <w:color w:val="000000"/>
          <w:sz w:val="22"/>
          <w:szCs w:val="22"/>
        </w:rPr>
        <w:t xml:space="preserve"> </w:t>
      </w:r>
      <w:r w:rsidRPr="007926AE">
        <w:rPr>
          <w:rFonts w:ascii="Arial" w:hAnsi="Arial" w:cs="Arial"/>
          <w:b/>
          <w:bCs/>
          <w:color w:val="000000"/>
          <w:sz w:val="22"/>
          <w:szCs w:val="22"/>
        </w:rPr>
        <w:t>329</w:t>
      </w:r>
      <w:r w:rsidRPr="007926AE">
        <w:rPr>
          <w:rFonts w:ascii="Arial" w:hAnsi="Arial" w:cs="Arial"/>
          <w:color w:val="000000"/>
          <w:sz w:val="22"/>
          <w:szCs w:val="22"/>
        </w:rPr>
        <w:t>, 112–119 (2004).</w:t>
      </w:r>
    </w:p>
    <w:p w14:paraId="213FCDB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67.</w:t>
      </w:r>
      <w:r w:rsidRPr="007926AE">
        <w:rPr>
          <w:rFonts w:ascii="Arial" w:hAnsi="Arial" w:cs="Arial"/>
          <w:color w:val="000000"/>
          <w:sz w:val="22"/>
          <w:szCs w:val="22"/>
        </w:rPr>
        <w:tab/>
        <w:t xml:space="preserve">Huber, R., Römisch, J. &amp; Paques, E. P. The crystal and molecular structure of human annexin V, an anticoagulant protein that binds to calcium and membranes. </w:t>
      </w:r>
      <w:r w:rsidRPr="007926AE">
        <w:rPr>
          <w:rFonts w:ascii="Arial" w:hAnsi="Arial" w:cs="Arial"/>
          <w:i/>
          <w:iCs/>
          <w:color w:val="000000"/>
          <w:sz w:val="22"/>
          <w:szCs w:val="22"/>
        </w:rPr>
        <w:t>The EMBO Journal</w:t>
      </w:r>
      <w:r w:rsidRPr="007926AE">
        <w:rPr>
          <w:rFonts w:ascii="Arial" w:hAnsi="Arial" w:cs="Arial"/>
          <w:color w:val="000000"/>
          <w:sz w:val="22"/>
          <w:szCs w:val="22"/>
        </w:rPr>
        <w:t xml:space="preserve"> </w:t>
      </w:r>
      <w:r w:rsidRPr="007926AE">
        <w:rPr>
          <w:rFonts w:ascii="Arial" w:hAnsi="Arial" w:cs="Arial"/>
          <w:b/>
          <w:bCs/>
          <w:color w:val="000000"/>
          <w:sz w:val="22"/>
          <w:szCs w:val="22"/>
        </w:rPr>
        <w:t>9</w:t>
      </w:r>
      <w:r w:rsidRPr="007926AE">
        <w:rPr>
          <w:rFonts w:ascii="Arial" w:hAnsi="Arial" w:cs="Arial"/>
          <w:color w:val="000000"/>
          <w:sz w:val="22"/>
          <w:szCs w:val="22"/>
        </w:rPr>
        <w:t>, 3867–3874 (1990).</w:t>
      </w:r>
    </w:p>
    <w:p w14:paraId="27C3C46B"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68.</w:t>
      </w:r>
      <w:r w:rsidRPr="007926AE">
        <w:rPr>
          <w:rFonts w:ascii="Arial" w:hAnsi="Arial" w:cs="Arial"/>
          <w:color w:val="000000"/>
          <w:sz w:val="22"/>
          <w:szCs w:val="22"/>
        </w:rPr>
        <w:tab/>
        <w:t xml:space="preserve">Huber, R., Schneider, M., Mayr, I., Römisch, J. &amp; Paques, E.-P. The Calcium Binding Sites in Human Annexin V by Crystal Structure Analysis at 2.0 A Resolution. Implications for Membrane Binding and Calcium Channel Activity. </w:t>
      </w:r>
      <w:r w:rsidRPr="007926AE">
        <w:rPr>
          <w:rFonts w:ascii="Arial" w:hAnsi="Arial" w:cs="Arial"/>
          <w:i/>
          <w:iCs/>
          <w:color w:val="000000"/>
          <w:sz w:val="22"/>
          <w:szCs w:val="22"/>
        </w:rPr>
        <w:t>FEBS Lett</w:t>
      </w:r>
      <w:r w:rsidRPr="007926AE">
        <w:rPr>
          <w:rFonts w:ascii="Arial" w:hAnsi="Arial" w:cs="Arial"/>
          <w:color w:val="000000"/>
          <w:sz w:val="22"/>
          <w:szCs w:val="22"/>
        </w:rPr>
        <w:t xml:space="preserve"> </w:t>
      </w:r>
      <w:r w:rsidRPr="007926AE">
        <w:rPr>
          <w:rFonts w:ascii="Arial" w:hAnsi="Arial" w:cs="Arial"/>
          <w:b/>
          <w:bCs/>
          <w:color w:val="000000"/>
          <w:sz w:val="22"/>
          <w:szCs w:val="22"/>
        </w:rPr>
        <w:t>275</w:t>
      </w:r>
      <w:r w:rsidRPr="007926AE">
        <w:rPr>
          <w:rFonts w:ascii="Arial" w:hAnsi="Arial" w:cs="Arial"/>
          <w:color w:val="000000"/>
          <w:sz w:val="22"/>
          <w:szCs w:val="22"/>
        </w:rPr>
        <w:t>, 15–21 (1990).</w:t>
      </w:r>
    </w:p>
    <w:p w14:paraId="1C52F5AB"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69.</w:t>
      </w:r>
      <w:r w:rsidRPr="007926AE">
        <w:rPr>
          <w:rFonts w:ascii="Arial" w:hAnsi="Arial" w:cs="Arial"/>
          <w:color w:val="000000"/>
          <w:sz w:val="22"/>
          <w:szCs w:val="22"/>
        </w:rPr>
        <w:tab/>
        <w:t xml:space="preserve">Swairjo, M. A., Concha, N. O., Kaetzel, M. A., Dedman, J. R. &amp; Seaton, B. A. Ca2+-bridging mechanism and phospholipid head group recognition in the membrane-binding protein annexin V. </w:t>
      </w:r>
      <w:r w:rsidRPr="007926AE">
        <w:rPr>
          <w:rFonts w:ascii="Arial" w:hAnsi="Arial" w:cs="Arial"/>
          <w:i/>
          <w:iCs/>
          <w:color w:val="000000"/>
          <w:sz w:val="22"/>
          <w:szCs w:val="22"/>
        </w:rPr>
        <w:t>Nat Struct Mol Biol</w:t>
      </w:r>
      <w:r w:rsidRPr="007926AE">
        <w:rPr>
          <w:rFonts w:ascii="Arial" w:hAnsi="Arial" w:cs="Arial"/>
          <w:color w:val="000000"/>
          <w:sz w:val="22"/>
          <w:szCs w:val="22"/>
        </w:rPr>
        <w:t xml:space="preserve"> </w:t>
      </w:r>
      <w:r w:rsidRPr="007926AE">
        <w:rPr>
          <w:rFonts w:ascii="Arial" w:hAnsi="Arial" w:cs="Arial"/>
          <w:b/>
          <w:bCs/>
          <w:color w:val="000000"/>
          <w:sz w:val="22"/>
          <w:szCs w:val="22"/>
        </w:rPr>
        <w:t>2</w:t>
      </w:r>
      <w:r w:rsidRPr="007926AE">
        <w:rPr>
          <w:rFonts w:ascii="Arial" w:hAnsi="Arial" w:cs="Arial"/>
          <w:color w:val="000000"/>
          <w:sz w:val="22"/>
          <w:szCs w:val="22"/>
        </w:rPr>
        <w:t>, 968–974 (1995).</w:t>
      </w:r>
    </w:p>
    <w:p w14:paraId="35A76ED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70.</w:t>
      </w:r>
      <w:r w:rsidRPr="007926AE">
        <w:rPr>
          <w:rFonts w:ascii="Arial" w:hAnsi="Arial" w:cs="Arial"/>
          <w:color w:val="000000"/>
          <w:sz w:val="22"/>
          <w:szCs w:val="22"/>
        </w:rPr>
        <w:tab/>
        <w:t xml:space="preserve">Kenis, H. </w:t>
      </w:r>
      <w:r w:rsidRPr="007926AE">
        <w:rPr>
          <w:rFonts w:ascii="Arial" w:hAnsi="Arial" w:cs="Arial"/>
          <w:i/>
          <w:iCs/>
          <w:color w:val="000000"/>
          <w:sz w:val="22"/>
          <w:szCs w:val="22"/>
        </w:rPr>
        <w:t>et al.</w:t>
      </w:r>
      <w:r w:rsidRPr="007926AE">
        <w:rPr>
          <w:rFonts w:ascii="Arial" w:hAnsi="Arial" w:cs="Arial"/>
          <w:color w:val="000000"/>
          <w:sz w:val="22"/>
          <w:szCs w:val="22"/>
        </w:rPr>
        <w:t xml:space="preserve"> Cell Surface-expressed Phosphatidylserine and Annexin A5 Open a Novel Portal of Cell Entry. </w:t>
      </w:r>
      <w:r w:rsidRPr="007926AE">
        <w:rPr>
          <w:rFonts w:ascii="Arial" w:hAnsi="Arial" w:cs="Arial"/>
          <w:i/>
          <w:iCs/>
          <w:color w:val="000000"/>
          <w:sz w:val="22"/>
          <w:szCs w:val="22"/>
        </w:rPr>
        <w:t>Journal of Biological Chemistry</w:t>
      </w:r>
      <w:r w:rsidRPr="007926AE">
        <w:rPr>
          <w:rFonts w:ascii="Arial" w:hAnsi="Arial" w:cs="Arial"/>
          <w:color w:val="000000"/>
          <w:sz w:val="22"/>
          <w:szCs w:val="22"/>
        </w:rPr>
        <w:t xml:space="preserve"> </w:t>
      </w:r>
      <w:r w:rsidRPr="007926AE">
        <w:rPr>
          <w:rFonts w:ascii="Arial" w:hAnsi="Arial" w:cs="Arial"/>
          <w:b/>
          <w:bCs/>
          <w:color w:val="000000"/>
          <w:sz w:val="22"/>
          <w:szCs w:val="22"/>
        </w:rPr>
        <w:t>279</w:t>
      </w:r>
      <w:r w:rsidRPr="007926AE">
        <w:rPr>
          <w:rFonts w:ascii="Arial" w:hAnsi="Arial" w:cs="Arial"/>
          <w:color w:val="000000"/>
          <w:sz w:val="22"/>
          <w:szCs w:val="22"/>
        </w:rPr>
        <w:t>, 52623–52629 (2004).</w:t>
      </w:r>
    </w:p>
    <w:p w14:paraId="735355FD"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71.</w:t>
      </w:r>
      <w:r w:rsidRPr="007926AE">
        <w:rPr>
          <w:rFonts w:ascii="Arial" w:hAnsi="Arial" w:cs="Arial"/>
          <w:color w:val="000000"/>
          <w:sz w:val="22"/>
          <w:szCs w:val="22"/>
        </w:rPr>
        <w:tab/>
        <w:t xml:space="preserve">Oling, F. </w:t>
      </w:r>
      <w:r w:rsidRPr="007926AE">
        <w:rPr>
          <w:rFonts w:ascii="Arial" w:hAnsi="Arial" w:cs="Arial"/>
          <w:i/>
          <w:iCs/>
          <w:color w:val="000000"/>
          <w:sz w:val="22"/>
          <w:szCs w:val="22"/>
        </w:rPr>
        <w:t>et al.</w:t>
      </w:r>
      <w:r w:rsidRPr="007926AE">
        <w:rPr>
          <w:rFonts w:ascii="Arial" w:hAnsi="Arial" w:cs="Arial"/>
          <w:color w:val="000000"/>
          <w:sz w:val="22"/>
          <w:szCs w:val="22"/>
        </w:rPr>
        <w:t xml:space="preserve"> Structure of Membrane-bound Annexin A5 Trimers: A Hybrid Cryo-EM - X-ray Crystallography Study. </w:t>
      </w:r>
      <w:r w:rsidRPr="007926AE">
        <w:rPr>
          <w:rFonts w:ascii="Arial" w:hAnsi="Arial" w:cs="Arial"/>
          <w:i/>
          <w:iCs/>
          <w:color w:val="000000"/>
          <w:sz w:val="22"/>
          <w:szCs w:val="22"/>
        </w:rPr>
        <w:t>Journal of Molecular Biology</w:t>
      </w:r>
      <w:r w:rsidRPr="007926AE">
        <w:rPr>
          <w:rFonts w:ascii="Arial" w:hAnsi="Arial" w:cs="Arial"/>
          <w:color w:val="000000"/>
          <w:sz w:val="22"/>
          <w:szCs w:val="22"/>
        </w:rPr>
        <w:t xml:space="preserve"> </w:t>
      </w:r>
      <w:r w:rsidRPr="007926AE">
        <w:rPr>
          <w:rFonts w:ascii="Arial" w:hAnsi="Arial" w:cs="Arial"/>
          <w:b/>
          <w:bCs/>
          <w:color w:val="000000"/>
          <w:sz w:val="22"/>
          <w:szCs w:val="22"/>
        </w:rPr>
        <w:t>304</w:t>
      </w:r>
      <w:r w:rsidRPr="007926AE">
        <w:rPr>
          <w:rFonts w:ascii="Arial" w:hAnsi="Arial" w:cs="Arial"/>
          <w:color w:val="000000"/>
          <w:sz w:val="22"/>
          <w:szCs w:val="22"/>
        </w:rPr>
        <w:t>, 561–573 (2000).</w:t>
      </w:r>
    </w:p>
    <w:p w14:paraId="5F16B3BC"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72.</w:t>
      </w:r>
      <w:r w:rsidRPr="007926AE">
        <w:rPr>
          <w:rFonts w:ascii="Arial" w:hAnsi="Arial" w:cs="Arial"/>
          <w:color w:val="000000"/>
          <w:sz w:val="22"/>
          <w:szCs w:val="22"/>
        </w:rPr>
        <w:tab/>
        <w:t xml:space="preserve">Oling, F., Bergsma-Schutter, W. &amp; Brisson, A. Trimers, Dimers of Trimers, and Trimers of Trimers Are Common Building Blocks of Annexin A5 Two-Dimensional Crystals. </w:t>
      </w:r>
      <w:r w:rsidRPr="007926AE">
        <w:rPr>
          <w:rFonts w:ascii="Arial" w:hAnsi="Arial" w:cs="Arial"/>
          <w:i/>
          <w:iCs/>
          <w:color w:val="000000"/>
          <w:sz w:val="22"/>
          <w:szCs w:val="22"/>
        </w:rPr>
        <w:t>Journal of Structural Biology</w:t>
      </w:r>
      <w:r w:rsidRPr="007926AE">
        <w:rPr>
          <w:rFonts w:ascii="Arial" w:hAnsi="Arial" w:cs="Arial"/>
          <w:color w:val="000000"/>
          <w:sz w:val="22"/>
          <w:szCs w:val="22"/>
        </w:rPr>
        <w:t xml:space="preserve"> </w:t>
      </w:r>
      <w:r w:rsidRPr="007926AE">
        <w:rPr>
          <w:rFonts w:ascii="Arial" w:hAnsi="Arial" w:cs="Arial"/>
          <w:b/>
          <w:bCs/>
          <w:color w:val="000000"/>
          <w:sz w:val="22"/>
          <w:szCs w:val="22"/>
        </w:rPr>
        <w:t>133</w:t>
      </w:r>
      <w:r w:rsidRPr="007926AE">
        <w:rPr>
          <w:rFonts w:ascii="Arial" w:hAnsi="Arial" w:cs="Arial"/>
          <w:color w:val="000000"/>
          <w:sz w:val="22"/>
          <w:szCs w:val="22"/>
        </w:rPr>
        <w:t>, 55–63 (2001).</w:t>
      </w:r>
    </w:p>
    <w:p w14:paraId="04FA11A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73.</w:t>
      </w:r>
      <w:r w:rsidRPr="007926AE">
        <w:rPr>
          <w:rFonts w:ascii="Arial" w:hAnsi="Arial" w:cs="Arial"/>
          <w:color w:val="000000"/>
          <w:sz w:val="22"/>
          <w:szCs w:val="22"/>
        </w:rPr>
        <w:tab/>
        <w:t xml:space="preserve">van Genderen, H. O., Kenis, H., Hofstra, L., Narula, J. &amp; Reutelingsperger, C. P. M. Extracellular annexin A5: Functions of phosphatidylserine-binding and two-dimensional crystallization. </w:t>
      </w:r>
      <w:r w:rsidRPr="007926AE">
        <w:rPr>
          <w:rFonts w:ascii="Arial" w:hAnsi="Arial" w:cs="Arial"/>
          <w:i/>
          <w:iCs/>
          <w:color w:val="000000"/>
          <w:sz w:val="22"/>
          <w:szCs w:val="22"/>
        </w:rPr>
        <w:t>Biochimica et Biophysica Acta (BBA) - Molecular Cell Research</w:t>
      </w:r>
      <w:r w:rsidRPr="007926AE">
        <w:rPr>
          <w:rFonts w:ascii="Arial" w:hAnsi="Arial" w:cs="Arial"/>
          <w:color w:val="000000"/>
          <w:sz w:val="22"/>
          <w:szCs w:val="22"/>
        </w:rPr>
        <w:t xml:space="preserve"> </w:t>
      </w:r>
      <w:r w:rsidRPr="007926AE">
        <w:rPr>
          <w:rFonts w:ascii="Arial" w:hAnsi="Arial" w:cs="Arial"/>
          <w:b/>
          <w:bCs/>
          <w:color w:val="000000"/>
          <w:sz w:val="22"/>
          <w:szCs w:val="22"/>
        </w:rPr>
        <w:t>1783</w:t>
      </w:r>
      <w:r w:rsidRPr="007926AE">
        <w:rPr>
          <w:rFonts w:ascii="Arial" w:hAnsi="Arial" w:cs="Arial"/>
          <w:color w:val="000000"/>
          <w:sz w:val="22"/>
          <w:szCs w:val="22"/>
        </w:rPr>
        <w:t>, 953–963 (2008).</w:t>
      </w:r>
    </w:p>
    <w:p w14:paraId="088341A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74.</w:t>
      </w:r>
      <w:r w:rsidRPr="007926AE">
        <w:rPr>
          <w:rFonts w:ascii="Arial" w:hAnsi="Arial" w:cs="Arial"/>
          <w:color w:val="000000"/>
          <w:sz w:val="22"/>
          <w:szCs w:val="22"/>
        </w:rPr>
        <w:tab/>
        <w:t xml:space="preserve">van Heerde, W. L., Poort, S., van ’t Veer, C., Reutelingsperger, C. P. M. &amp; de Groot, P. G. Binding of recombinant annexin V to endothelial cells: effect of annexin V binding on endothelial-cell-mediated thrombin formation. </w:t>
      </w:r>
      <w:r w:rsidRPr="007926AE">
        <w:rPr>
          <w:rFonts w:ascii="Arial" w:hAnsi="Arial" w:cs="Arial"/>
          <w:i/>
          <w:iCs/>
          <w:color w:val="000000"/>
          <w:sz w:val="22"/>
          <w:szCs w:val="22"/>
        </w:rPr>
        <w:t>Biochemical Journal</w:t>
      </w:r>
      <w:r w:rsidRPr="007926AE">
        <w:rPr>
          <w:rFonts w:ascii="Arial" w:hAnsi="Arial" w:cs="Arial"/>
          <w:color w:val="000000"/>
          <w:sz w:val="22"/>
          <w:szCs w:val="22"/>
        </w:rPr>
        <w:t xml:space="preserve"> </w:t>
      </w:r>
      <w:r w:rsidRPr="007926AE">
        <w:rPr>
          <w:rFonts w:ascii="Arial" w:hAnsi="Arial" w:cs="Arial"/>
          <w:b/>
          <w:bCs/>
          <w:color w:val="000000"/>
          <w:sz w:val="22"/>
          <w:szCs w:val="22"/>
        </w:rPr>
        <w:t>302</w:t>
      </w:r>
      <w:r w:rsidRPr="007926AE">
        <w:rPr>
          <w:rFonts w:ascii="Arial" w:hAnsi="Arial" w:cs="Arial"/>
          <w:color w:val="000000"/>
          <w:sz w:val="22"/>
          <w:szCs w:val="22"/>
        </w:rPr>
        <w:t>, 305–312 (1994).</w:t>
      </w:r>
    </w:p>
    <w:p w14:paraId="2E7985CC"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75.</w:t>
      </w:r>
      <w:r w:rsidRPr="007926AE">
        <w:rPr>
          <w:rFonts w:ascii="Arial" w:hAnsi="Arial" w:cs="Arial"/>
          <w:color w:val="000000"/>
          <w:sz w:val="22"/>
          <w:szCs w:val="22"/>
        </w:rPr>
        <w:tab/>
        <w:t xml:space="preserve">Mallat, Z. </w:t>
      </w:r>
      <w:r w:rsidRPr="007926AE">
        <w:rPr>
          <w:rFonts w:ascii="Arial" w:hAnsi="Arial" w:cs="Arial"/>
          <w:i/>
          <w:iCs/>
          <w:color w:val="000000"/>
          <w:sz w:val="22"/>
          <w:szCs w:val="22"/>
        </w:rPr>
        <w:t>et al.</w:t>
      </w:r>
      <w:r w:rsidRPr="007926AE">
        <w:rPr>
          <w:rFonts w:ascii="Arial" w:hAnsi="Arial" w:cs="Arial"/>
          <w:color w:val="000000"/>
          <w:sz w:val="22"/>
          <w:szCs w:val="22"/>
        </w:rPr>
        <w:t xml:space="preserve"> Shed Membrane Microparticles With Procoagulant Potential in Human Atherosclerotic Plaques: A Role for Apoptosis in Plaque Thrombogenicity. </w:t>
      </w:r>
      <w:r w:rsidRPr="007926AE">
        <w:rPr>
          <w:rFonts w:ascii="Arial" w:hAnsi="Arial" w:cs="Arial"/>
          <w:i/>
          <w:iCs/>
          <w:color w:val="000000"/>
          <w:sz w:val="22"/>
          <w:szCs w:val="22"/>
        </w:rPr>
        <w:t>Circulation</w:t>
      </w:r>
      <w:r w:rsidRPr="007926AE">
        <w:rPr>
          <w:rFonts w:ascii="Arial" w:hAnsi="Arial" w:cs="Arial"/>
          <w:color w:val="000000"/>
          <w:sz w:val="22"/>
          <w:szCs w:val="22"/>
        </w:rPr>
        <w:t xml:space="preserve"> </w:t>
      </w:r>
      <w:r w:rsidRPr="007926AE">
        <w:rPr>
          <w:rFonts w:ascii="Arial" w:hAnsi="Arial" w:cs="Arial"/>
          <w:b/>
          <w:bCs/>
          <w:color w:val="000000"/>
          <w:sz w:val="22"/>
          <w:szCs w:val="22"/>
        </w:rPr>
        <w:t>99</w:t>
      </w:r>
      <w:r w:rsidRPr="007926AE">
        <w:rPr>
          <w:rFonts w:ascii="Arial" w:hAnsi="Arial" w:cs="Arial"/>
          <w:color w:val="000000"/>
          <w:sz w:val="22"/>
          <w:szCs w:val="22"/>
        </w:rPr>
        <w:t>, 348–353 (1999).</w:t>
      </w:r>
    </w:p>
    <w:p w14:paraId="070EA17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76.</w:t>
      </w:r>
      <w:r w:rsidRPr="007926AE">
        <w:rPr>
          <w:rFonts w:ascii="Arial" w:hAnsi="Arial" w:cs="Arial"/>
          <w:color w:val="000000"/>
          <w:sz w:val="22"/>
          <w:szCs w:val="22"/>
        </w:rPr>
        <w:tab/>
        <w:t xml:space="preserve">Gidon-Jeangirard, C. </w:t>
      </w:r>
      <w:r w:rsidRPr="007926AE">
        <w:rPr>
          <w:rFonts w:ascii="Arial" w:hAnsi="Arial" w:cs="Arial"/>
          <w:i/>
          <w:iCs/>
          <w:color w:val="000000"/>
          <w:sz w:val="22"/>
          <w:szCs w:val="22"/>
        </w:rPr>
        <w:t>et al.</w:t>
      </w:r>
      <w:r w:rsidRPr="007926AE">
        <w:rPr>
          <w:rFonts w:ascii="Arial" w:hAnsi="Arial" w:cs="Arial"/>
          <w:color w:val="000000"/>
          <w:sz w:val="22"/>
          <w:szCs w:val="22"/>
        </w:rPr>
        <w:t xml:space="preserve"> Annexin V delays apoptosis while exerting an external constraint preventing the release of CD4+ and PrPc+ membrane particles in a human T lymphocyte model. </w:t>
      </w:r>
      <w:r w:rsidRPr="007926AE">
        <w:rPr>
          <w:rFonts w:ascii="Arial" w:hAnsi="Arial" w:cs="Arial"/>
          <w:i/>
          <w:iCs/>
          <w:color w:val="000000"/>
          <w:sz w:val="22"/>
          <w:szCs w:val="22"/>
        </w:rPr>
        <w:t>J Immunol</w:t>
      </w:r>
      <w:r w:rsidRPr="007926AE">
        <w:rPr>
          <w:rFonts w:ascii="Arial" w:hAnsi="Arial" w:cs="Arial"/>
          <w:color w:val="000000"/>
          <w:sz w:val="22"/>
          <w:szCs w:val="22"/>
        </w:rPr>
        <w:t xml:space="preserve"> </w:t>
      </w:r>
      <w:r w:rsidRPr="007926AE">
        <w:rPr>
          <w:rFonts w:ascii="Arial" w:hAnsi="Arial" w:cs="Arial"/>
          <w:b/>
          <w:bCs/>
          <w:color w:val="000000"/>
          <w:sz w:val="22"/>
          <w:szCs w:val="22"/>
        </w:rPr>
        <w:t>162</w:t>
      </w:r>
      <w:r w:rsidRPr="007926AE">
        <w:rPr>
          <w:rFonts w:ascii="Arial" w:hAnsi="Arial" w:cs="Arial"/>
          <w:color w:val="000000"/>
          <w:sz w:val="22"/>
          <w:szCs w:val="22"/>
        </w:rPr>
        <w:t>, 5712–5718 (1999).</w:t>
      </w:r>
    </w:p>
    <w:p w14:paraId="57549769"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77.</w:t>
      </w:r>
      <w:r w:rsidRPr="007926AE">
        <w:rPr>
          <w:rFonts w:ascii="Arial" w:hAnsi="Arial" w:cs="Arial"/>
          <w:color w:val="000000"/>
          <w:sz w:val="22"/>
          <w:szCs w:val="22"/>
        </w:rPr>
        <w:tab/>
        <w:t xml:space="preserve">Mari, C. </w:t>
      </w:r>
      <w:r w:rsidRPr="007926AE">
        <w:rPr>
          <w:rFonts w:ascii="Arial" w:hAnsi="Arial" w:cs="Arial"/>
          <w:i/>
          <w:iCs/>
          <w:color w:val="000000"/>
          <w:sz w:val="22"/>
          <w:szCs w:val="22"/>
        </w:rPr>
        <w:t>et al.</w:t>
      </w:r>
      <w:r w:rsidRPr="007926AE">
        <w:rPr>
          <w:rFonts w:ascii="Arial" w:hAnsi="Arial" w:cs="Arial"/>
          <w:color w:val="000000"/>
          <w:sz w:val="22"/>
          <w:szCs w:val="22"/>
        </w:rPr>
        <w:t xml:space="preserve"> Detection of focal hypoxic-ischemic injury and neuronal stress in a rodent model of unilateral MCA occlusion/reperfusion using radiolabeled annexin V. </w:t>
      </w:r>
      <w:r w:rsidRPr="007926AE">
        <w:rPr>
          <w:rFonts w:ascii="Arial" w:hAnsi="Arial" w:cs="Arial"/>
          <w:i/>
          <w:iCs/>
          <w:color w:val="000000"/>
          <w:sz w:val="22"/>
          <w:szCs w:val="22"/>
        </w:rPr>
        <w:t>European Journal of Nuclear Medicine and Molecular Imaging</w:t>
      </w:r>
      <w:r w:rsidRPr="007926AE">
        <w:rPr>
          <w:rFonts w:ascii="Arial" w:hAnsi="Arial" w:cs="Arial"/>
          <w:color w:val="000000"/>
          <w:sz w:val="22"/>
          <w:szCs w:val="22"/>
        </w:rPr>
        <w:t xml:space="preserve"> </w:t>
      </w:r>
      <w:r w:rsidRPr="007926AE">
        <w:rPr>
          <w:rFonts w:ascii="Arial" w:hAnsi="Arial" w:cs="Arial"/>
          <w:b/>
          <w:bCs/>
          <w:color w:val="000000"/>
          <w:sz w:val="22"/>
          <w:szCs w:val="22"/>
        </w:rPr>
        <w:t>31</w:t>
      </w:r>
      <w:r w:rsidRPr="007926AE">
        <w:rPr>
          <w:rFonts w:ascii="Arial" w:hAnsi="Arial" w:cs="Arial"/>
          <w:color w:val="000000"/>
          <w:sz w:val="22"/>
          <w:szCs w:val="22"/>
        </w:rPr>
        <w:t>, 733–739 (2004).</w:t>
      </w:r>
    </w:p>
    <w:p w14:paraId="634180CB"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78.</w:t>
      </w:r>
      <w:r w:rsidRPr="007926AE">
        <w:rPr>
          <w:rFonts w:ascii="Arial" w:hAnsi="Arial" w:cs="Arial"/>
          <w:color w:val="000000"/>
          <w:sz w:val="22"/>
          <w:szCs w:val="22"/>
        </w:rPr>
        <w:tab/>
        <w:t xml:space="preserve">van Genderen, H. O., Kenis, H., Hofstra, L., Narula, J. &amp; Reutelingsperger, C. P. M. Extracellular annexin A5: Functions of phosphatidylserine-binding and two-dimensional crystallization. </w:t>
      </w:r>
      <w:r w:rsidRPr="007926AE">
        <w:rPr>
          <w:rFonts w:ascii="Arial" w:hAnsi="Arial" w:cs="Arial"/>
          <w:i/>
          <w:iCs/>
          <w:color w:val="000000"/>
          <w:sz w:val="22"/>
          <w:szCs w:val="22"/>
        </w:rPr>
        <w:t>Biochimica et Biophysica Acta - Molecular Cell Research</w:t>
      </w:r>
      <w:r w:rsidRPr="007926AE">
        <w:rPr>
          <w:rFonts w:ascii="Arial" w:hAnsi="Arial" w:cs="Arial"/>
          <w:color w:val="000000"/>
          <w:sz w:val="22"/>
          <w:szCs w:val="22"/>
        </w:rPr>
        <w:t xml:space="preserve"> </w:t>
      </w:r>
      <w:r w:rsidRPr="007926AE">
        <w:rPr>
          <w:rFonts w:ascii="Arial" w:hAnsi="Arial" w:cs="Arial"/>
          <w:b/>
          <w:bCs/>
          <w:color w:val="000000"/>
          <w:sz w:val="22"/>
          <w:szCs w:val="22"/>
        </w:rPr>
        <w:t>1783</w:t>
      </w:r>
      <w:r w:rsidRPr="007926AE">
        <w:rPr>
          <w:rFonts w:ascii="Arial" w:hAnsi="Arial" w:cs="Arial"/>
          <w:color w:val="000000"/>
          <w:sz w:val="22"/>
          <w:szCs w:val="22"/>
        </w:rPr>
        <w:t>, 953–963 (2008).</w:t>
      </w:r>
    </w:p>
    <w:p w14:paraId="62F6C9EE"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79.</w:t>
      </w:r>
      <w:r w:rsidRPr="007926AE">
        <w:rPr>
          <w:rFonts w:ascii="Arial" w:hAnsi="Arial" w:cs="Arial"/>
          <w:color w:val="000000"/>
          <w:sz w:val="22"/>
          <w:szCs w:val="22"/>
        </w:rPr>
        <w:tab/>
        <w:t xml:space="preserve">Sung, H. </w:t>
      </w:r>
      <w:r w:rsidRPr="007926AE">
        <w:rPr>
          <w:rFonts w:ascii="Arial" w:hAnsi="Arial" w:cs="Arial"/>
          <w:i/>
          <w:iCs/>
          <w:color w:val="000000"/>
          <w:sz w:val="22"/>
          <w:szCs w:val="22"/>
        </w:rPr>
        <w:t>et al.</w:t>
      </w:r>
      <w:r w:rsidRPr="007926AE">
        <w:rPr>
          <w:rFonts w:ascii="Arial" w:hAnsi="Arial" w:cs="Arial"/>
          <w:color w:val="000000"/>
          <w:sz w:val="22"/>
          <w:szCs w:val="22"/>
        </w:rPr>
        <w:t xml:space="preserve"> Global Cancer Statistics 2020: GLOBOCAN Estimates of Incidence and Mortality Worldwide for 36 Cancers in 185 Countries. </w:t>
      </w:r>
      <w:r w:rsidRPr="007926AE">
        <w:rPr>
          <w:rFonts w:ascii="Arial" w:hAnsi="Arial" w:cs="Arial"/>
          <w:i/>
          <w:iCs/>
          <w:color w:val="000000"/>
          <w:sz w:val="22"/>
          <w:szCs w:val="22"/>
        </w:rPr>
        <w:t>CA A Cancer J Clin</w:t>
      </w:r>
      <w:r w:rsidRPr="007926AE">
        <w:rPr>
          <w:rFonts w:ascii="Arial" w:hAnsi="Arial" w:cs="Arial"/>
          <w:color w:val="000000"/>
          <w:sz w:val="22"/>
          <w:szCs w:val="22"/>
        </w:rPr>
        <w:t xml:space="preserve"> </w:t>
      </w:r>
      <w:r w:rsidRPr="007926AE">
        <w:rPr>
          <w:rFonts w:ascii="Arial" w:hAnsi="Arial" w:cs="Arial"/>
          <w:b/>
          <w:bCs/>
          <w:color w:val="000000"/>
          <w:sz w:val="22"/>
          <w:szCs w:val="22"/>
        </w:rPr>
        <w:t>71</w:t>
      </w:r>
      <w:r w:rsidRPr="007926AE">
        <w:rPr>
          <w:rFonts w:ascii="Arial" w:hAnsi="Arial" w:cs="Arial"/>
          <w:color w:val="000000"/>
          <w:sz w:val="22"/>
          <w:szCs w:val="22"/>
        </w:rPr>
        <w:t>, 209–249 (2021).</w:t>
      </w:r>
    </w:p>
    <w:p w14:paraId="30AD95A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80.</w:t>
      </w:r>
      <w:r w:rsidRPr="007926AE">
        <w:rPr>
          <w:rFonts w:ascii="Arial" w:hAnsi="Arial" w:cs="Arial"/>
          <w:color w:val="000000"/>
          <w:sz w:val="22"/>
          <w:szCs w:val="22"/>
        </w:rPr>
        <w:tab/>
        <w:t>Bray, F., Laversanne, M., Weiderpass, E. &amp; Soerjomataram, I. The ever</w:t>
      </w:r>
      <w:r w:rsidRPr="007926AE">
        <w:rPr>
          <w:rFonts w:ascii="Cambria Math" w:hAnsi="Cambria Math" w:cs="Cambria Math"/>
          <w:color w:val="000000"/>
          <w:sz w:val="22"/>
          <w:szCs w:val="22"/>
        </w:rPr>
        <w:t>‐</w:t>
      </w:r>
      <w:r w:rsidRPr="007926AE">
        <w:rPr>
          <w:rFonts w:ascii="Arial" w:hAnsi="Arial" w:cs="Arial"/>
          <w:color w:val="000000"/>
          <w:sz w:val="22"/>
          <w:szCs w:val="22"/>
        </w:rPr>
        <w:t xml:space="preserve">increasing importance of cancer as a leading cause of premature death worldwide. </w:t>
      </w:r>
      <w:r w:rsidRPr="007926AE">
        <w:rPr>
          <w:rFonts w:ascii="Arial" w:hAnsi="Arial" w:cs="Arial"/>
          <w:i/>
          <w:iCs/>
          <w:color w:val="000000"/>
          <w:sz w:val="22"/>
          <w:szCs w:val="22"/>
        </w:rPr>
        <w:t>Cancer</w:t>
      </w:r>
      <w:r w:rsidRPr="007926AE">
        <w:rPr>
          <w:rFonts w:ascii="Arial" w:hAnsi="Arial" w:cs="Arial"/>
          <w:color w:val="000000"/>
          <w:sz w:val="22"/>
          <w:szCs w:val="22"/>
        </w:rPr>
        <w:t xml:space="preserve"> </w:t>
      </w:r>
      <w:r w:rsidRPr="007926AE">
        <w:rPr>
          <w:rFonts w:ascii="Arial" w:hAnsi="Arial" w:cs="Arial"/>
          <w:b/>
          <w:bCs/>
          <w:color w:val="000000"/>
          <w:sz w:val="22"/>
          <w:szCs w:val="22"/>
        </w:rPr>
        <w:t>127</w:t>
      </w:r>
      <w:r w:rsidRPr="007926AE">
        <w:rPr>
          <w:rFonts w:ascii="Arial" w:hAnsi="Arial" w:cs="Arial"/>
          <w:color w:val="000000"/>
          <w:sz w:val="22"/>
          <w:szCs w:val="22"/>
        </w:rPr>
        <w:t>, 3029–3030 (2021).</w:t>
      </w:r>
    </w:p>
    <w:p w14:paraId="0E536B4F"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81.</w:t>
      </w:r>
      <w:r w:rsidRPr="007926AE">
        <w:rPr>
          <w:rFonts w:ascii="Arial" w:hAnsi="Arial" w:cs="Arial"/>
          <w:color w:val="000000"/>
          <w:sz w:val="22"/>
          <w:szCs w:val="22"/>
        </w:rPr>
        <w:tab/>
        <w:t xml:space="preserve">Torre, L. A., Siegel, R. L., Ward, E. M. &amp; Jemal, A. Global Cancer Incidence and Mortality Rates and Trends—An Update. </w:t>
      </w:r>
      <w:r w:rsidRPr="007926AE">
        <w:rPr>
          <w:rFonts w:ascii="Arial" w:hAnsi="Arial" w:cs="Arial"/>
          <w:i/>
          <w:iCs/>
          <w:color w:val="000000"/>
          <w:sz w:val="22"/>
          <w:szCs w:val="22"/>
        </w:rPr>
        <w:t>Cancer Epidemiol Biomarkers Prev</w:t>
      </w:r>
      <w:r w:rsidRPr="007926AE">
        <w:rPr>
          <w:rFonts w:ascii="Arial" w:hAnsi="Arial" w:cs="Arial"/>
          <w:color w:val="000000"/>
          <w:sz w:val="22"/>
          <w:szCs w:val="22"/>
        </w:rPr>
        <w:t xml:space="preserve"> </w:t>
      </w:r>
      <w:r w:rsidRPr="007926AE">
        <w:rPr>
          <w:rFonts w:ascii="Arial" w:hAnsi="Arial" w:cs="Arial"/>
          <w:b/>
          <w:bCs/>
          <w:color w:val="000000"/>
          <w:sz w:val="22"/>
          <w:szCs w:val="22"/>
        </w:rPr>
        <w:t>25</w:t>
      </w:r>
      <w:r w:rsidRPr="007926AE">
        <w:rPr>
          <w:rFonts w:ascii="Arial" w:hAnsi="Arial" w:cs="Arial"/>
          <w:color w:val="000000"/>
          <w:sz w:val="22"/>
          <w:szCs w:val="22"/>
        </w:rPr>
        <w:t>, 16–27 (2016).</w:t>
      </w:r>
    </w:p>
    <w:p w14:paraId="3148734B"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82.</w:t>
      </w:r>
      <w:r w:rsidRPr="007926AE">
        <w:rPr>
          <w:rFonts w:ascii="Arial" w:hAnsi="Arial" w:cs="Arial"/>
          <w:color w:val="000000"/>
          <w:sz w:val="22"/>
          <w:szCs w:val="22"/>
        </w:rPr>
        <w:tab/>
        <w:t xml:space="preserve">Luzzati, T., Parenti, A. &amp; Rughi, T. Economic Growth and Cancer Incidence. </w:t>
      </w:r>
      <w:r w:rsidRPr="007926AE">
        <w:rPr>
          <w:rFonts w:ascii="Arial" w:hAnsi="Arial" w:cs="Arial"/>
          <w:i/>
          <w:iCs/>
          <w:color w:val="000000"/>
          <w:sz w:val="22"/>
          <w:szCs w:val="22"/>
        </w:rPr>
        <w:t>Ecological Economics</w:t>
      </w:r>
      <w:r w:rsidRPr="007926AE">
        <w:rPr>
          <w:rFonts w:ascii="Arial" w:hAnsi="Arial" w:cs="Arial"/>
          <w:color w:val="000000"/>
          <w:sz w:val="22"/>
          <w:szCs w:val="22"/>
        </w:rPr>
        <w:t xml:space="preserve"> </w:t>
      </w:r>
      <w:r w:rsidRPr="007926AE">
        <w:rPr>
          <w:rFonts w:ascii="Arial" w:hAnsi="Arial" w:cs="Arial"/>
          <w:b/>
          <w:bCs/>
          <w:color w:val="000000"/>
          <w:sz w:val="22"/>
          <w:szCs w:val="22"/>
        </w:rPr>
        <w:t>146</w:t>
      </w:r>
      <w:r w:rsidRPr="007926AE">
        <w:rPr>
          <w:rFonts w:ascii="Arial" w:hAnsi="Arial" w:cs="Arial"/>
          <w:color w:val="000000"/>
          <w:sz w:val="22"/>
          <w:szCs w:val="22"/>
        </w:rPr>
        <w:t>, 381–396 (2018).</w:t>
      </w:r>
    </w:p>
    <w:p w14:paraId="437BC390"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83.</w:t>
      </w:r>
      <w:r w:rsidRPr="007926AE">
        <w:rPr>
          <w:rFonts w:ascii="Arial" w:hAnsi="Arial" w:cs="Arial"/>
          <w:color w:val="000000"/>
          <w:sz w:val="22"/>
          <w:szCs w:val="22"/>
        </w:rPr>
        <w:tab/>
        <w:t xml:space="preserve">Bray, F. </w:t>
      </w:r>
      <w:r w:rsidRPr="007926AE">
        <w:rPr>
          <w:rFonts w:ascii="Arial" w:hAnsi="Arial" w:cs="Arial"/>
          <w:i/>
          <w:iCs/>
          <w:color w:val="000000"/>
          <w:sz w:val="22"/>
          <w:szCs w:val="22"/>
        </w:rPr>
        <w:t>et al.</w:t>
      </w:r>
      <w:r w:rsidRPr="007926AE">
        <w:rPr>
          <w:rFonts w:ascii="Arial" w:hAnsi="Arial" w:cs="Arial"/>
          <w:color w:val="000000"/>
          <w:sz w:val="22"/>
          <w:szCs w:val="22"/>
        </w:rPr>
        <w:t xml:space="preserve"> Global cancer statistics 2018: GLOBOCAN estimates of incidence and mortality worldwide for 36 cancers in 185 countries. </w:t>
      </w:r>
      <w:r w:rsidRPr="007926AE">
        <w:rPr>
          <w:rFonts w:ascii="Arial" w:hAnsi="Arial" w:cs="Arial"/>
          <w:i/>
          <w:iCs/>
          <w:color w:val="000000"/>
          <w:sz w:val="22"/>
          <w:szCs w:val="22"/>
        </w:rPr>
        <w:t>CA: A Cancer Journal for Clinicians</w:t>
      </w:r>
      <w:r w:rsidRPr="007926AE">
        <w:rPr>
          <w:rFonts w:ascii="Arial" w:hAnsi="Arial" w:cs="Arial"/>
          <w:color w:val="000000"/>
          <w:sz w:val="22"/>
          <w:szCs w:val="22"/>
        </w:rPr>
        <w:t xml:space="preserve"> </w:t>
      </w:r>
      <w:r w:rsidRPr="007926AE">
        <w:rPr>
          <w:rFonts w:ascii="Arial" w:hAnsi="Arial" w:cs="Arial"/>
          <w:b/>
          <w:bCs/>
          <w:color w:val="000000"/>
          <w:sz w:val="22"/>
          <w:szCs w:val="22"/>
        </w:rPr>
        <w:t>68</w:t>
      </w:r>
      <w:r w:rsidRPr="007926AE">
        <w:rPr>
          <w:rFonts w:ascii="Arial" w:hAnsi="Arial" w:cs="Arial"/>
          <w:color w:val="000000"/>
          <w:sz w:val="22"/>
          <w:szCs w:val="22"/>
        </w:rPr>
        <w:t>, 394–424 (2018).</w:t>
      </w:r>
    </w:p>
    <w:p w14:paraId="7E0A317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84.</w:t>
      </w:r>
      <w:r w:rsidRPr="007926AE">
        <w:rPr>
          <w:rFonts w:ascii="Arial" w:hAnsi="Arial" w:cs="Arial"/>
          <w:color w:val="000000"/>
          <w:sz w:val="22"/>
          <w:szCs w:val="22"/>
        </w:rPr>
        <w:tab/>
        <w:t xml:space="preserve">Podlaha, O., Riester, M., De, S. &amp; Michor, F. Evolution of the cancer genome. </w:t>
      </w:r>
      <w:r w:rsidRPr="007926AE">
        <w:rPr>
          <w:rFonts w:ascii="Arial" w:hAnsi="Arial" w:cs="Arial"/>
          <w:i/>
          <w:iCs/>
          <w:color w:val="000000"/>
          <w:sz w:val="22"/>
          <w:szCs w:val="22"/>
        </w:rPr>
        <w:t>Trends in Genetics</w:t>
      </w:r>
      <w:r w:rsidRPr="007926AE">
        <w:rPr>
          <w:rFonts w:ascii="Arial" w:hAnsi="Arial" w:cs="Arial"/>
          <w:color w:val="000000"/>
          <w:sz w:val="22"/>
          <w:szCs w:val="22"/>
        </w:rPr>
        <w:t xml:space="preserve"> </w:t>
      </w:r>
      <w:r w:rsidRPr="007926AE">
        <w:rPr>
          <w:rFonts w:ascii="Arial" w:hAnsi="Arial" w:cs="Arial"/>
          <w:b/>
          <w:bCs/>
          <w:color w:val="000000"/>
          <w:sz w:val="22"/>
          <w:szCs w:val="22"/>
        </w:rPr>
        <w:t>28</w:t>
      </w:r>
      <w:r w:rsidRPr="007926AE">
        <w:rPr>
          <w:rFonts w:ascii="Arial" w:hAnsi="Arial" w:cs="Arial"/>
          <w:color w:val="000000"/>
          <w:sz w:val="22"/>
          <w:szCs w:val="22"/>
        </w:rPr>
        <w:t>, 155–163 (2012).</w:t>
      </w:r>
    </w:p>
    <w:p w14:paraId="6817BCD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85.</w:t>
      </w:r>
      <w:r w:rsidRPr="007926AE">
        <w:rPr>
          <w:rFonts w:ascii="Arial" w:hAnsi="Arial" w:cs="Arial"/>
          <w:color w:val="000000"/>
          <w:sz w:val="22"/>
          <w:szCs w:val="22"/>
        </w:rPr>
        <w:tab/>
        <w:t xml:space="preserve">Hanahan, D. &amp; Weinberg, R. A. Hallmarks of Cancer: The Next Generation. </w:t>
      </w:r>
      <w:r w:rsidRPr="007926AE">
        <w:rPr>
          <w:rFonts w:ascii="Arial" w:hAnsi="Arial" w:cs="Arial"/>
          <w:i/>
          <w:iCs/>
          <w:color w:val="000000"/>
          <w:sz w:val="22"/>
          <w:szCs w:val="22"/>
        </w:rPr>
        <w:t>Cell</w:t>
      </w:r>
      <w:r w:rsidRPr="007926AE">
        <w:rPr>
          <w:rFonts w:ascii="Arial" w:hAnsi="Arial" w:cs="Arial"/>
          <w:color w:val="000000"/>
          <w:sz w:val="22"/>
          <w:szCs w:val="22"/>
        </w:rPr>
        <w:t xml:space="preserve"> </w:t>
      </w:r>
      <w:r w:rsidRPr="007926AE">
        <w:rPr>
          <w:rFonts w:ascii="Arial" w:hAnsi="Arial" w:cs="Arial"/>
          <w:b/>
          <w:bCs/>
          <w:color w:val="000000"/>
          <w:sz w:val="22"/>
          <w:szCs w:val="22"/>
        </w:rPr>
        <w:t>144</w:t>
      </w:r>
      <w:r w:rsidRPr="007926AE">
        <w:rPr>
          <w:rFonts w:ascii="Arial" w:hAnsi="Arial" w:cs="Arial"/>
          <w:color w:val="000000"/>
          <w:sz w:val="22"/>
          <w:szCs w:val="22"/>
        </w:rPr>
        <w:t>, 646–674 (2011).</w:t>
      </w:r>
    </w:p>
    <w:p w14:paraId="71B4DA5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86.</w:t>
      </w:r>
      <w:r w:rsidRPr="007926AE">
        <w:rPr>
          <w:rFonts w:ascii="Arial" w:hAnsi="Arial" w:cs="Arial"/>
          <w:color w:val="000000"/>
          <w:sz w:val="22"/>
          <w:szCs w:val="22"/>
        </w:rPr>
        <w:tab/>
        <w:t xml:space="preserve">Hanahan, D. Hallmarks of Cancer: New Dimensions. </w:t>
      </w:r>
      <w:r w:rsidRPr="007926AE">
        <w:rPr>
          <w:rFonts w:ascii="Arial" w:hAnsi="Arial" w:cs="Arial"/>
          <w:i/>
          <w:iCs/>
          <w:color w:val="000000"/>
          <w:sz w:val="22"/>
          <w:szCs w:val="22"/>
        </w:rPr>
        <w:t>Cancer Discovery</w:t>
      </w:r>
      <w:r w:rsidRPr="007926AE">
        <w:rPr>
          <w:rFonts w:ascii="Arial" w:hAnsi="Arial" w:cs="Arial"/>
          <w:color w:val="000000"/>
          <w:sz w:val="22"/>
          <w:szCs w:val="22"/>
        </w:rPr>
        <w:t xml:space="preserve"> </w:t>
      </w:r>
      <w:r w:rsidRPr="007926AE">
        <w:rPr>
          <w:rFonts w:ascii="Arial" w:hAnsi="Arial" w:cs="Arial"/>
          <w:b/>
          <w:bCs/>
          <w:color w:val="000000"/>
          <w:sz w:val="22"/>
          <w:szCs w:val="22"/>
        </w:rPr>
        <w:t>12</w:t>
      </w:r>
      <w:r w:rsidRPr="007926AE">
        <w:rPr>
          <w:rFonts w:ascii="Arial" w:hAnsi="Arial" w:cs="Arial"/>
          <w:color w:val="000000"/>
          <w:sz w:val="22"/>
          <w:szCs w:val="22"/>
        </w:rPr>
        <w:t>, 31–46 (2022).</w:t>
      </w:r>
    </w:p>
    <w:p w14:paraId="422887E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87.</w:t>
      </w:r>
      <w:r w:rsidRPr="007926AE">
        <w:rPr>
          <w:rFonts w:ascii="Arial" w:hAnsi="Arial" w:cs="Arial"/>
          <w:color w:val="000000"/>
          <w:sz w:val="22"/>
          <w:szCs w:val="22"/>
        </w:rPr>
        <w:tab/>
        <w:t xml:space="preserve">Witsch, E., Sela, M. &amp; Yarden, Y. Roles for Growth Factors in Cancer Progression. </w:t>
      </w:r>
      <w:r w:rsidRPr="007926AE">
        <w:rPr>
          <w:rFonts w:ascii="Arial" w:hAnsi="Arial" w:cs="Arial"/>
          <w:i/>
          <w:iCs/>
          <w:color w:val="000000"/>
          <w:sz w:val="22"/>
          <w:szCs w:val="22"/>
        </w:rPr>
        <w:t>Physiology</w:t>
      </w:r>
      <w:r w:rsidRPr="007926AE">
        <w:rPr>
          <w:rFonts w:ascii="Arial" w:hAnsi="Arial" w:cs="Arial"/>
          <w:color w:val="000000"/>
          <w:sz w:val="22"/>
          <w:szCs w:val="22"/>
        </w:rPr>
        <w:t xml:space="preserve"> </w:t>
      </w:r>
      <w:r w:rsidRPr="007926AE">
        <w:rPr>
          <w:rFonts w:ascii="Arial" w:hAnsi="Arial" w:cs="Arial"/>
          <w:b/>
          <w:bCs/>
          <w:color w:val="000000"/>
          <w:sz w:val="22"/>
          <w:szCs w:val="22"/>
        </w:rPr>
        <w:t>25</w:t>
      </w:r>
      <w:r w:rsidRPr="007926AE">
        <w:rPr>
          <w:rFonts w:ascii="Arial" w:hAnsi="Arial" w:cs="Arial"/>
          <w:color w:val="000000"/>
          <w:sz w:val="22"/>
          <w:szCs w:val="22"/>
        </w:rPr>
        <w:t>, 85–101 (2010).</w:t>
      </w:r>
    </w:p>
    <w:p w14:paraId="27F29C89"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88.</w:t>
      </w:r>
      <w:r w:rsidRPr="007926AE">
        <w:rPr>
          <w:rFonts w:ascii="Arial" w:hAnsi="Arial" w:cs="Arial"/>
          <w:color w:val="000000"/>
          <w:sz w:val="22"/>
          <w:szCs w:val="22"/>
        </w:rPr>
        <w:tab/>
        <w:t xml:space="preserve">Bhowmick, N. A., Neilson, E. G. &amp; Moses, H. L. Stromal fibroblasts in cancer initiation and progression. </w:t>
      </w:r>
      <w:r w:rsidRPr="007926AE">
        <w:rPr>
          <w:rFonts w:ascii="Arial" w:hAnsi="Arial" w:cs="Arial"/>
          <w:i/>
          <w:iCs/>
          <w:color w:val="000000"/>
          <w:sz w:val="22"/>
          <w:szCs w:val="22"/>
        </w:rPr>
        <w:t>Nature</w:t>
      </w:r>
      <w:r w:rsidRPr="007926AE">
        <w:rPr>
          <w:rFonts w:ascii="Arial" w:hAnsi="Arial" w:cs="Arial"/>
          <w:color w:val="000000"/>
          <w:sz w:val="22"/>
          <w:szCs w:val="22"/>
        </w:rPr>
        <w:t xml:space="preserve"> </w:t>
      </w:r>
      <w:r w:rsidRPr="007926AE">
        <w:rPr>
          <w:rFonts w:ascii="Arial" w:hAnsi="Arial" w:cs="Arial"/>
          <w:b/>
          <w:bCs/>
          <w:color w:val="000000"/>
          <w:sz w:val="22"/>
          <w:szCs w:val="22"/>
        </w:rPr>
        <w:t>432</w:t>
      </w:r>
      <w:r w:rsidRPr="007926AE">
        <w:rPr>
          <w:rFonts w:ascii="Arial" w:hAnsi="Arial" w:cs="Arial"/>
          <w:color w:val="000000"/>
          <w:sz w:val="22"/>
          <w:szCs w:val="22"/>
        </w:rPr>
        <w:t>, 332–337 (2004).</w:t>
      </w:r>
    </w:p>
    <w:p w14:paraId="216BF1A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89.</w:t>
      </w:r>
      <w:r w:rsidRPr="007926AE">
        <w:rPr>
          <w:rFonts w:ascii="Arial" w:hAnsi="Arial" w:cs="Arial"/>
          <w:color w:val="000000"/>
          <w:sz w:val="22"/>
          <w:szCs w:val="22"/>
        </w:rPr>
        <w:tab/>
        <w:t xml:space="preserve">Vélez-Cruz, R. &amp; Johnson, D. The Retinoblastoma (RB) Tumor Suppressor: Pushing Back against Genome Instability on Multiple Fronts. </w:t>
      </w:r>
      <w:r w:rsidRPr="007926AE">
        <w:rPr>
          <w:rFonts w:ascii="Arial" w:hAnsi="Arial" w:cs="Arial"/>
          <w:i/>
          <w:iCs/>
          <w:color w:val="000000"/>
          <w:sz w:val="22"/>
          <w:szCs w:val="22"/>
        </w:rPr>
        <w:t>IJMS</w:t>
      </w:r>
      <w:r w:rsidRPr="007926AE">
        <w:rPr>
          <w:rFonts w:ascii="Arial" w:hAnsi="Arial" w:cs="Arial"/>
          <w:color w:val="000000"/>
          <w:sz w:val="22"/>
          <w:szCs w:val="22"/>
        </w:rPr>
        <w:t xml:space="preserve"> </w:t>
      </w:r>
      <w:r w:rsidRPr="007926AE">
        <w:rPr>
          <w:rFonts w:ascii="Arial" w:hAnsi="Arial" w:cs="Arial"/>
          <w:b/>
          <w:bCs/>
          <w:color w:val="000000"/>
          <w:sz w:val="22"/>
          <w:szCs w:val="22"/>
        </w:rPr>
        <w:t>18</w:t>
      </w:r>
      <w:r w:rsidRPr="007926AE">
        <w:rPr>
          <w:rFonts w:ascii="Arial" w:hAnsi="Arial" w:cs="Arial"/>
          <w:color w:val="000000"/>
          <w:sz w:val="22"/>
          <w:szCs w:val="22"/>
        </w:rPr>
        <w:t>, 1776 (2017).</w:t>
      </w:r>
    </w:p>
    <w:p w14:paraId="4522BB95"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90.</w:t>
      </w:r>
      <w:r w:rsidRPr="007926AE">
        <w:rPr>
          <w:rFonts w:ascii="Arial" w:hAnsi="Arial" w:cs="Arial"/>
          <w:color w:val="000000"/>
          <w:sz w:val="22"/>
          <w:szCs w:val="22"/>
        </w:rPr>
        <w:tab/>
        <w:t xml:space="preserve">Tiwari, B., Jones, A. E. &amp; Abrams, J. M. Transposons, p53 and Genome Security. </w:t>
      </w:r>
      <w:r w:rsidRPr="007926AE">
        <w:rPr>
          <w:rFonts w:ascii="Arial" w:hAnsi="Arial" w:cs="Arial"/>
          <w:i/>
          <w:iCs/>
          <w:color w:val="000000"/>
          <w:sz w:val="22"/>
          <w:szCs w:val="22"/>
        </w:rPr>
        <w:t>Trends in Genetics</w:t>
      </w:r>
      <w:r w:rsidRPr="007926AE">
        <w:rPr>
          <w:rFonts w:ascii="Arial" w:hAnsi="Arial" w:cs="Arial"/>
          <w:color w:val="000000"/>
          <w:sz w:val="22"/>
          <w:szCs w:val="22"/>
        </w:rPr>
        <w:t xml:space="preserve"> </w:t>
      </w:r>
      <w:r w:rsidRPr="007926AE">
        <w:rPr>
          <w:rFonts w:ascii="Arial" w:hAnsi="Arial" w:cs="Arial"/>
          <w:b/>
          <w:bCs/>
          <w:color w:val="000000"/>
          <w:sz w:val="22"/>
          <w:szCs w:val="22"/>
        </w:rPr>
        <w:t>34</w:t>
      </w:r>
      <w:r w:rsidRPr="007926AE">
        <w:rPr>
          <w:rFonts w:ascii="Arial" w:hAnsi="Arial" w:cs="Arial"/>
          <w:color w:val="000000"/>
          <w:sz w:val="22"/>
          <w:szCs w:val="22"/>
        </w:rPr>
        <w:t>, 846–855 (2018).</w:t>
      </w:r>
    </w:p>
    <w:p w14:paraId="60831F2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91.</w:t>
      </w:r>
      <w:r w:rsidRPr="007926AE">
        <w:rPr>
          <w:rFonts w:ascii="Arial" w:hAnsi="Arial" w:cs="Arial"/>
          <w:color w:val="000000"/>
          <w:sz w:val="22"/>
          <w:szCs w:val="22"/>
        </w:rPr>
        <w:tab/>
        <w:t xml:space="preserve">Hernández Borrero, L. J. &amp; El-Deiry, W. S. Tumor suppressor p53: Biology, signaling pathways, and therapeutic targeting. </w:t>
      </w:r>
      <w:r w:rsidRPr="007926AE">
        <w:rPr>
          <w:rFonts w:ascii="Arial" w:hAnsi="Arial" w:cs="Arial"/>
          <w:i/>
          <w:iCs/>
          <w:color w:val="000000"/>
          <w:sz w:val="22"/>
          <w:szCs w:val="22"/>
        </w:rPr>
        <w:t>Biochimica et Biophysica Acta (BBA) - Reviews on Cancer</w:t>
      </w:r>
      <w:r w:rsidRPr="007926AE">
        <w:rPr>
          <w:rFonts w:ascii="Arial" w:hAnsi="Arial" w:cs="Arial"/>
          <w:color w:val="000000"/>
          <w:sz w:val="22"/>
          <w:szCs w:val="22"/>
        </w:rPr>
        <w:t xml:space="preserve"> </w:t>
      </w:r>
      <w:r w:rsidRPr="007926AE">
        <w:rPr>
          <w:rFonts w:ascii="Arial" w:hAnsi="Arial" w:cs="Arial"/>
          <w:b/>
          <w:bCs/>
          <w:color w:val="000000"/>
          <w:sz w:val="22"/>
          <w:szCs w:val="22"/>
        </w:rPr>
        <w:t>1876</w:t>
      </w:r>
      <w:r w:rsidRPr="007926AE">
        <w:rPr>
          <w:rFonts w:ascii="Arial" w:hAnsi="Arial" w:cs="Arial"/>
          <w:color w:val="000000"/>
          <w:sz w:val="22"/>
          <w:szCs w:val="22"/>
        </w:rPr>
        <w:t>, 188556 (2021).</w:t>
      </w:r>
    </w:p>
    <w:p w14:paraId="214E840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92.</w:t>
      </w:r>
      <w:r w:rsidRPr="007926AE">
        <w:rPr>
          <w:rFonts w:ascii="Arial" w:hAnsi="Arial" w:cs="Arial"/>
          <w:color w:val="000000"/>
          <w:sz w:val="22"/>
          <w:szCs w:val="22"/>
        </w:rPr>
        <w:tab/>
        <w:t xml:space="preserve">Mota, M. &amp; Shevde, L. A. Merlin regulates signaling events at the nexus of development and cancer. </w:t>
      </w:r>
      <w:r w:rsidRPr="007926AE">
        <w:rPr>
          <w:rFonts w:ascii="Arial" w:hAnsi="Arial" w:cs="Arial"/>
          <w:i/>
          <w:iCs/>
          <w:color w:val="000000"/>
          <w:sz w:val="22"/>
          <w:szCs w:val="22"/>
        </w:rPr>
        <w:t>Cell Commun Signal</w:t>
      </w:r>
      <w:r w:rsidRPr="007926AE">
        <w:rPr>
          <w:rFonts w:ascii="Arial" w:hAnsi="Arial" w:cs="Arial"/>
          <w:color w:val="000000"/>
          <w:sz w:val="22"/>
          <w:szCs w:val="22"/>
        </w:rPr>
        <w:t xml:space="preserve"> </w:t>
      </w:r>
      <w:r w:rsidRPr="007926AE">
        <w:rPr>
          <w:rFonts w:ascii="Arial" w:hAnsi="Arial" w:cs="Arial"/>
          <w:b/>
          <w:bCs/>
          <w:color w:val="000000"/>
          <w:sz w:val="22"/>
          <w:szCs w:val="22"/>
        </w:rPr>
        <w:t>18</w:t>
      </w:r>
      <w:r w:rsidRPr="007926AE">
        <w:rPr>
          <w:rFonts w:ascii="Arial" w:hAnsi="Arial" w:cs="Arial"/>
          <w:color w:val="000000"/>
          <w:sz w:val="22"/>
          <w:szCs w:val="22"/>
        </w:rPr>
        <w:t>, 63 (2020).</w:t>
      </w:r>
    </w:p>
    <w:p w14:paraId="5C2B626C"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93.</w:t>
      </w:r>
      <w:r w:rsidRPr="007926AE">
        <w:rPr>
          <w:rFonts w:ascii="Arial" w:hAnsi="Arial" w:cs="Arial"/>
          <w:color w:val="000000"/>
          <w:sz w:val="22"/>
          <w:szCs w:val="22"/>
        </w:rPr>
        <w:tab/>
        <w:t xml:space="preserve">Hezel, A. F. &amp; Bardeesy, N. LKB1; linking cell structure and tumor suppression. </w:t>
      </w:r>
      <w:r w:rsidRPr="007926AE">
        <w:rPr>
          <w:rFonts w:ascii="Arial" w:hAnsi="Arial" w:cs="Arial"/>
          <w:i/>
          <w:iCs/>
          <w:color w:val="000000"/>
          <w:sz w:val="22"/>
          <w:szCs w:val="22"/>
        </w:rPr>
        <w:t>Oncogene</w:t>
      </w:r>
      <w:r w:rsidRPr="007926AE">
        <w:rPr>
          <w:rFonts w:ascii="Arial" w:hAnsi="Arial" w:cs="Arial"/>
          <w:color w:val="000000"/>
          <w:sz w:val="22"/>
          <w:szCs w:val="22"/>
        </w:rPr>
        <w:t xml:space="preserve"> </w:t>
      </w:r>
      <w:r w:rsidRPr="007926AE">
        <w:rPr>
          <w:rFonts w:ascii="Arial" w:hAnsi="Arial" w:cs="Arial"/>
          <w:b/>
          <w:bCs/>
          <w:color w:val="000000"/>
          <w:sz w:val="22"/>
          <w:szCs w:val="22"/>
        </w:rPr>
        <w:t>27</w:t>
      </w:r>
      <w:r w:rsidRPr="007926AE">
        <w:rPr>
          <w:rFonts w:ascii="Arial" w:hAnsi="Arial" w:cs="Arial"/>
          <w:color w:val="000000"/>
          <w:sz w:val="22"/>
          <w:szCs w:val="22"/>
        </w:rPr>
        <w:t>, 6908–6919 (2008).</w:t>
      </w:r>
    </w:p>
    <w:p w14:paraId="076BA25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94.</w:t>
      </w:r>
      <w:r w:rsidRPr="007926AE">
        <w:rPr>
          <w:rFonts w:ascii="Arial" w:hAnsi="Arial" w:cs="Arial"/>
          <w:color w:val="000000"/>
          <w:sz w:val="22"/>
          <w:szCs w:val="22"/>
        </w:rPr>
        <w:tab/>
        <w:t xml:space="preserve">Shaw, R. J. Tumor Suppression by LKB1: SIK-ness Prevents Metastasis. </w:t>
      </w:r>
      <w:r w:rsidRPr="007926AE">
        <w:rPr>
          <w:rFonts w:ascii="Arial" w:hAnsi="Arial" w:cs="Arial"/>
          <w:i/>
          <w:iCs/>
          <w:color w:val="000000"/>
          <w:sz w:val="22"/>
          <w:szCs w:val="22"/>
        </w:rPr>
        <w:t>Sci. Signal.</w:t>
      </w:r>
      <w:r w:rsidRPr="007926AE">
        <w:rPr>
          <w:rFonts w:ascii="Arial" w:hAnsi="Arial" w:cs="Arial"/>
          <w:color w:val="000000"/>
          <w:sz w:val="22"/>
          <w:szCs w:val="22"/>
        </w:rPr>
        <w:t xml:space="preserve"> </w:t>
      </w:r>
      <w:r w:rsidRPr="007926AE">
        <w:rPr>
          <w:rFonts w:ascii="Arial" w:hAnsi="Arial" w:cs="Arial"/>
          <w:b/>
          <w:bCs/>
          <w:color w:val="000000"/>
          <w:sz w:val="22"/>
          <w:szCs w:val="22"/>
        </w:rPr>
        <w:t>2</w:t>
      </w:r>
      <w:r w:rsidRPr="007926AE">
        <w:rPr>
          <w:rFonts w:ascii="Arial" w:hAnsi="Arial" w:cs="Arial"/>
          <w:color w:val="000000"/>
          <w:sz w:val="22"/>
          <w:szCs w:val="22"/>
        </w:rPr>
        <w:t>, (2009).</w:t>
      </w:r>
    </w:p>
    <w:p w14:paraId="473F22DE"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95.</w:t>
      </w:r>
      <w:r w:rsidRPr="007926AE">
        <w:rPr>
          <w:rFonts w:ascii="Arial" w:hAnsi="Arial" w:cs="Arial"/>
          <w:color w:val="000000"/>
          <w:sz w:val="22"/>
          <w:szCs w:val="22"/>
        </w:rPr>
        <w:tab/>
        <w:t xml:space="preserve">Adams, J. M. &amp; Cory, S. The Bcl-2 apoptotic switch in cancer development and therapy. </w:t>
      </w:r>
      <w:r w:rsidRPr="007926AE">
        <w:rPr>
          <w:rFonts w:ascii="Arial" w:hAnsi="Arial" w:cs="Arial"/>
          <w:i/>
          <w:iCs/>
          <w:color w:val="000000"/>
          <w:sz w:val="22"/>
          <w:szCs w:val="22"/>
        </w:rPr>
        <w:t>Oncogene</w:t>
      </w:r>
      <w:r w:rsidRPr="007926AE">
        <w:rPr>
          <w:rFonts w:ascii="Arial" w:hAnsi="Arial" w:cs="Arial"/>
          <w:color w:val="000000"/>
          <w:sz w:val="22"/>
          <w:szCs w:val="22"/>
        </w:rPr>
        <w:t xml:space="preserve"> </w:t>
      </w:r>
      <w:r w:rsidRPr="007926AE">
        <w:rPr>
          <w:rFonts w:ascii="Arial" w:hAnsi="Arial" w:cs="Arial"/>
          <w:b/>
          <w:bCs/>
          <w:color w:val="000000"/>
          <w:sz w:val="22"/>
          <w:szCs w:val="22"/>
        </w:rPr>
        <w:t>26</w:t>
      </w:r>
      <w:r w:rsidRPr="007926AE">
        <w:rPr>
          <w:rFonts w:ascii="Arial" w:hAnsi="Arial" w:cs="Arial"/>
          <w:color w:val="000000"/>
          <w:sz w:val="22"/>
          <w:szCs w:val="22"/>
        </w:rPr>
        <w:t>, 1324–1337 (2007).</w:t>
      </w:r>
    </w:p>
    <w:p w14:paraId="5C297AE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96.</w:t>
      </w:r>
      <w:r w:rsidRPr="007926AE">
        <w:rPr>
          <w:rFonts w:ascii="Arial" w:hAnsi="Arial" w:cs="Arial"/>
          <w:color w:val="000000"/>
          <w:sz w:val="22"/>
          <w:szCs w:val="22"/>
        </w:rPr>
        <w:tab/>
        <w:t xml:space="preserve">Lowe, S. W., Cepero, E. &amp; Evan, G. Intrinsic tumour suppression. </w:t>
      </w:r>
      <w:r w:rsidRPr="007926AE">
        <w:rPr>
          <w:rFonts w:ascii="Arial" w:hAnsi="Arial" w:cs="Arial"/>
          <w:i/>
          <w:iCs/>
          <w:color w:val="000000"/>
          <w:sz w:val="22"/>
          <w:szCs w:val="22"/>
        </w:rPr>
        <w:t>Nature</w:t>
      </w:r>
      <w:r w:rsidRPr="007926AE">
        <w:rPr>
          <w:rFonts w:ascii="Arial" w:hAnsi="Arial" w:cs="Arial"/>
          <w:color w:val="000000"/>
          <w:sz w:val="22"/>
          <w:szCs w:val="22"/>
        </w:rPr>
        <w:t xml:space="preserve"> </w:t>
      </w:r>
      <w:r w:rsidRPr="007926AE">
        <w:rPr>
          <w:rFonts w:ascii="Arial" w:hAnsi="Arial" w:cs="Arial"/>
          <w:b/>
          <w:bCs/>
          <w:color w:val="000000"/>
          <w:sz w:val="22"/>
          <w:szCs w:val="22"/>
        </w:rPr>
        <w:t>432</w:t>
      </w:r>
      <w:r w:rsidRPr="007926AE">
        <w:rPr>
          <w:rFonts w:ascii="Arial" w:hAnsi="Arial" w:cs="Arial"/>
          <w:color w:val="000000"/>
          <w:sz w:val="22"/>
          <w:szCs w:val="22"/>
        </w:rPr>
        <w:t>, 307–315 (2004).</w:t>
      </w:r>
    </w:p>
    <w:p w14:paraId="3E5C20F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97.</w:t>
      </w:r>
      <w:r w:rsidRPr="007926AE">
        <w:rPr>
          <w:rFonts w:ascii="Arial" w:hAnsi="Arial" w:cs="Arial"/>
          <w:color w:val="000000"/>
          <w:sz w:val="22"/>
          <w:szCs w:val="22"/>
        </w:rPr>
        <w:tab/>
        <w:t xml:space="preserve">Evan, G. &amp; Littlewood, T. A Matter of Life and Cell Death. </w:t>
      </w:r>
      <w:r w:rsidRPr="007926AE">
        <w:rPr>
          <w:rFonts w:ascii="Arial" w:hAnsi="Arial" w:cs="Arial"/>
          <w:i/>
          <w:iCs/>
          <w:color w:val="000000"/>
          <w:sz w:val="22"/>
          <w:szCs w:val="22"/>
        </w:rPr>
        <w:t>Science</w:t>
      </w:r>
      <w:r w:rsidRPr="007926AE">
        <w:rPr>
          <w:rFonts w:ascii="Arial" w:hAnsi="Arial" w:cs="Arial"/>
          <w:color w:val="000000"/>
          <w:sz w:val="22"/>
          <w:szCs w:val="22"/>
        </w:rPr>
        <w:t xml:space="preserve"> </w:t>
      </w:r>
      <w:r w:rsidRPr="007926AE">
        <w:rPr>
          <w:rFonts w:ascii="Arial" w:hAnsi="Arial" w:cs="Arial"/>
          <w:b/>
          <w:bCs/>
          <w:color w:val="000000"/>
          <w:sz w:val="22"/>
          <w:szCs w:val="22"/>
        </w:rPr>
        <w:t>281</w:t>
      </w:r>
      <w:r w:rsidRPr="007926AE">
        <w:rPr>
          <w:rFonts w:ascii="Arial" w:hAnsi="Arial" w:cs="Arial"/>
          <w:color w:val="000000"/>
          <w:sz w:val="22"/>
          <w:szCs w:val="22"/>
        </w:rPr>
        <w:t>, 1317–1322 (1998).</w:t>
      </w:r>
    </w:p>
    <w:p w14:paraId="6F68AC8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98.</w:t>
      </w:r>
      <w:r w:rsidRPr="007926AE">
        <w:rPr>
          <w:rFonts w:ascii="Arial" w:hAnsi="Arial" w:cs="Arial"/>
          <w:color w:val="000000"/>
          <w:sz w:val="22"/>
          <w:szCs w:val="22"/>
        </w:rPr>
        <w:tab/>
        <w:t xml:space="preserve">Junttila, M. R. &amp; Evan, G. I. p53 — a Jack of all trades but master of none. </w:t>
      </w:r>
      <w:r w:rsidRPr="007926AE">
        <w:rPr>
          <w:rFonts w:ascii="Arial" w:hAnsi="Arial" w:cs="Arial"/>
          <w:i/>
          <w:iCs/>
          <w:color w:val="000000"/>
          <w:sz w:val="22"/>
          <w:szCs w:val="22"/>
        </w:rPr>
        <w:t>Nat Rev Cancer</w:t>
      </w:r>
      <w:r w:rsidRPr="007926AE">
        <w:rPr>
          <w:rFonts w:ascii="Arial" w:hAnsi="Arial" w:cs="Arial"/>
          <w:color w:val="000000"/>
          <w:sz w:val="22"/>
          <w:szCs w:val="22"/>
        </w:rPr>
        <w:t xml:space="preserve"> </w:t>
      </w:r>
      <w:r w:rsidRPr="007926AE">
        <w:rPr>
          <w:rFonts w:ascii="Arial" w:hAnsi="Arial" w:cs="Arial"/>
          <w:b/>
          <w:bCs/>
          <w:color w:val="000000"/>
          <w:sz w:val="22"/>
          <w:szCs w:val="22"/>
        </w:rPr>
        <w:t>9</w:t>
      </w:r>
      <w:r w:rsidRPr="007926AE">
        <w:rPr>
          <w:rFonts w:ascii="Arial" w:hAnsi="Arial" w:cs="Arial"/>
          <w:color w:val="000000"/>
          <w:sz w:val="22"/>
          <w:szCs w:val="22"/>
        </w:rPr>
        <w:t>, 821–829 (2009).</w:t>
      </w:r>
    </w:p>
    <w:p w14:paraId="1DAF448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99.</w:t>
      </w:r>
      <w:r w:rsidRPr="007926AE">
        <w:rPr>
          <w:rFonts w:ascii="Arial" w:hAnsi="Arial" w:cs="Arial"/>
          <w:color w:val="000000"/>
          <w:sz w:val="22"/>
          <w:szCs w:val="22"/>
        </w:rPr>
        <w:tab/>
        <w:t xml:space="preserve">Galluzzi, L. &amp; Kroemer, G. Necroptosis: A Specialized Pathway of Programmed Necrosis. </w:t>
      </w:r>
      <w:r w:rsidRPr="007926AE">
        <w:rPr>
          <w:rFonts w:ascii="Arial" w:hAnsi="Arial" w:cs="Arial"/>
          <w:i/>
          <w:iCs/>
          <w:color w:val="000000"/>
          <w:sz w:val="22"/>
          <w:szCs w:val="22"/>
        </w:rPr>
        <w:t>Cell</w:t>
      </w:r>
      <w:r w:rsidRPr="007926AE">
        <w:rPr>
          <w:rFonts w:ascii="Arial" w:hAnsi="Arial" w:cs="Arial"/>
          <w:color w:val="000000"/>
          <w:sz w:val="22"/>
          <w:szCs w:val="22"/>
        </w:rPr>
        <w:t xml:space="preserve"> </w:t>
      </w:r>
      <w:r w:rsidRPr="007926AE">
        <w:rPr>
          <w:rFonts w:ascii="Arial" w:hAnsi="Arial" w:cs="Arial"/>
          <w:b/>
          <w:bCs/>
          <w:color w:val="000000"/>
          <w:sz w:val="22"/>
          <w:szCs w:val="22"/>
        </w:rPr>
        <w:t>135</w:t>
      </w:r>
      <w:r w:rsidRPr="007926AE">
        <w:rPr>
          <w:rFonts w:ascii="Arial" w:hAnsi="Arial" w:cs="Arial"/>
          <w:color w:val="000000"/>
          <w:sz w:val="22"/>
          <w:szCs w:val="22"/>
        </w:rPr>
        <w:t>, 1161–1163 (2008).</w:t>
      </w:r>
    </w:p>
    <w:p w14:paraId="67E4E38E"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100.</w:t>
      </w:r>
      <w:r w:rsidRPr="007926AE">
        <w:rPr>
          <w:rFonts w:ascii="Arial" w:hAnsi="Arial" w:cs="Arial"/>
          <w:color w:val="000000"/>
          <w:sz w:val="22"/>
          <w:szCs w:val="22"/>
        </w:rPr>
        <w:tab/>
        <w:t xml:space="preserve">Gong, Y. </w:t>
      </w:r>
      <w:r w:rsidRPr="007926AE">
        <w:rPr>
          <w:rFonts w:ascii="Arial" w:hAnsi="Arial" w:cs="Arial"/>
          <w:i/>
          <w:iCs/>
          <w:color w:val="000000"/>
          <w:sz w:val="22"/>
          <w:szCs w:val="22"/>
        </w:rPr>
        <w:t>et al.</w:t>
      </w:r>
      <w:r w:rsidRPr="007926AE">
        <w:rPr>
          <w:rFonts w:ascii="Arial" w:hAnsi="Arial" w:cs="Arial"/>
          <w:color w:val="000000"/>
          <w:sz w:val="22"/>
          <w:szCs w:val="22"/>
        </w:rPr>
        <w:t xml:space="preserve"> The role of necroptosis in cancer biology and therapy. </w:t>
      </w:r>
      <w:r w:rsidRPr="007926AE">
        <w:rPr>
          <w:rFonts w:ascii="Arial" w:hAnsi="Arial" w:cs="Arial"/>
          <w:i/>
          <w:iCs/>
          <w:color w:val="000000"/>
          <w:sz w:val="22"/>
          <w:szCs w:val="22"/>
        </w:rPr>
        <w:t>Mol Cancer</w:t>
      </w:r>
      <w:r w:rsidRPr="007926AE">
        <w:rPr>
          <w:rFonts w:ascii="Arial" w:hAnsi="Arial" w:cs="Arial"/>
          <w:color w:val="000000"/>
          <w:sz w:val="22"/>
          <w:szCs w:val="22"/>
        </w:rPr>
        <w:t xml:space="preserve"> </w:t>
      </w:r>
      <w:r w:rsidRPr="007926AE">
        <w:rPr>
          <w:rFonts w:ascii="Arial" w:hAnsi="Arial" w:cs="Arial"/>
          <w:b/>
          <w:bCs/>
          <w:color w:val="000000"/>
          <w:sz w:val="22"/>
          <w:szCs w:val="22"/>
        </w:rPr>
        <w:t>18</w:t>
      </w:r>
      <w:r w:rsidRPr="007926AE">
        <w:rPr>
          <w:rFonts w:ascii="Arial" w:hAnsi="Arial" w:cs="Arial"/>
          <w:color w:val="000000"/>
          <w:sz w:val="22"/>
          <w:szCs w:val="22"/>
        </w:rPr>
        <w:t>, 100 (2019).</w:t>
      </w:r>
    </w:p>
    <w:p w14:paraId="52FAA9BC"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101.</w:t>
      </w:r>
      <w:r w:rsidRPr="007926AE">
        <w:rPr>
          <w:rFonts w:ascii="Arial" w:hAnsi="Arial" w:cs="Arial"/>
          <w:color w:val="000000"/>
          <w:sz w:val="22"/>
          <w:szCs w:val="22"/>
        </w:rPr>
        <w:tab/>
        <w:t xml:space="preserve">Grivennikov, S. I., Greten, F. R. &amp; Karin, M. Immunity, Inflammation, and Cancer. </w:t>
      </w:r>
      <w:r w:rsidRPr="007926AE">
        <w:rPr>
          <w:rFonts w:ascii="Arial" w:hAnsi="Arial" w:cs="Arial"/>
          <w:i/>
          <w:iCs/>
          <w:color w:val="000000"/>
          <w:sz w:val="22"/>
          <w:szCs w:val="22"/>
        </w:rPr>
        <w:t>Cell</w:t>
      </w:r>
      <w:r w:rsidRPr="007926AE">
        <w:rPr>
          <w:rFonts w:ascii="Arial" w:hAnsi="Arial" w:cs="Arial"/>
          <w:color w:val="000000"/>
          <w:sz w:val="22"/>
          <w:szCs w:val="22"/>
        </w:rPr>
        <w:t xml:space="preserve"> </w:t>
      </w:r>
      <w:r w:rsidRPr="007926AE">
        <w:rPr>
          <w:rFonts w:ascii="Arial" w:hAnsi="Arial" w:cs="Arial"/>
          <w:b/>
          <w:bCs/>
          <w:color w:val="000000"/>
          <w:sz w:val="22"/>
          <w:szCs w:val="22"/>
        </w:rPr>
        <w:t>140</w:t>
      </w:r>
      <w:r w:rsidRPr="007926AE">
        <w:rPr>
          <w:rFonts w:ascii="Arial" w:hAnsi="Arial" w:cs="Arial"/>
          <w:color w:val="000000"/>
          <w:sz w:val="22"/>
          <w:szCs w:val="22"/>
        </w:rPr>
        <w:t>, 883–899 (2010).</w:t>
      </w:r>
    </w:p>
    <w:p w14:paraId="754E616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102.</w:t>
      </w:r>
      <w:r w:rsidRPr="007926AE">
        <w:rPr>
          <w:rFonts w:ascii="Arial" w:hAnsi="Arial" w:cs="Arial"/>
          <w:color w:val="000000"/>
          <w:sz w:val="22"/>
          <w:szCs w:val="22"/>
        </w:rPr>
        <w:tab/>
        <w:t xml:space="preserve">Dewhurst, S. M. Chromothripsis and telomere crisis: engines of genome instability. </w:t>
      </w:r>
      <w:r w:rsidRPr="007926AE">
        <w:rPr>
          <w:rFonts w:ascii="Arial" w:hAnsi="Arial" w:cs="Arial"/>
          <w:i/>
          <w:iCs/>
          <w:color w:val="000000"/>
          <w:sz w:val="22"/>
          <w:szCs w:val="22"/>
        </w:rPr>
        <w:t>Current Opinion in Genetics &amp; Development</w:t>
      </w:r>
      <w:r w:rsidRPr="007926AE">
        <w:rPr>
          <w:rFonts w:ascii="Arial" w:hAnsi="Arial" w:cs="Arial"/>
          <w:color w:val="000000"/>
          <w:sz w:val="22"/>
          <w:szCs w:val="22"/>
        </w:rPr>
        <w:t xml:space="preserve"> </w:t>
      </w:r>
      <w:r w:rsidRPr="007926AE">
        <w:rPr>
          <w:rFonts w:ascii="Arial" w:hAnsi="Arial" w:cs="Arial"/>
          <w:b/>
          <w:bCs/>
          <w:color w:val="000000"/>
          <w:sz w:val="22"/>
          <w:szCs w:val="22"/>
        </w:rPr>
        <w:t>60</w:t>
      </w:r>
      <w:r w:rsidRPr="007926AE">
        <w:rPr>
          <w:rFonts w:ascii="Arial" w:hAnsi="Arial" w:cs="Arial"/>
          <w:color w:val="000000"/>
          <w:sz w:val="22"/>
          <w:szCs w:val="22"/>
        </w:rPr>
        <w:t>, 41–47 (2020).</w:t>
      </w:r>
    </w:p>
    <w:p w14:paraId="5AFB403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103.</w:t>
      </w:r>
      <w:r w:rsidRPr="007926AE">
        <w:rPr>
          <w:rFonts w:ascii="Arial" w:hAnsi="Arial" w:cs="Arial"/>
          <w:color w:val="000000"/>
          <w:sz w:val="22"/>
          <w:szCs w:val="22"/>
        </w:rPr>
        <w:tab/>
        <w:t xml:space="preserve">Calcinotto, A. </w:t>
      </w:r>
      <w:r w:rsidRPr="007926AE">
        <w:rPr>
          <w:rFonts w:ascii="Arial" w:hAnsi="Arial" w:cs="Arial"/>
          <w:i/>
          <w:iCs/>
          <w:color w:val="000000"/>
          <w:sz w:val="22"/>
          <w:szCs w:val="22"/>
        </w:rPr>
        <w:t>et al.</w:t>
      </w:r>
      <w:r w:rsidRPr="007926AE">
        <w:rPr>
          <w:rFonts w:ascii="Arial" w:hAnsi="Arial" w:cs="Arial"/>
          <w:color w:val="000000"/>
          <w:sz w:val="22"/>
          <w:szCs w:val="22"/>
        </w:rPr>
        <w:t xml:space="preserve"> Cellular Senescence: Aging, Cancer, and Injury. </w:t>
      </w:r>
      <w:r w:rsidRPr="007926AE">
        <w:rPr>
          <w:rFonts w:ascii="Arial" w:hAnsi="Arial" w:cs="Arial"/>
          <w:i/>
          <w:iCs/>
          <w:color w:val="000000"/>
          <w:sz w:val="22"/>
          <w:szCs w:val="22"/>
        </w:rPr>
        <w:t>Physiological Reviews</w:t>
      </w:r>
      <w:r w:rsidRPr="007926AE">
        <w:rPr>
          <w:rFonts w:ascii="Arial" w:hAnsi="Arial" w:cs="Arial"/>
          <w:color w:val="000000"/>
          <w:sz w:val="22"/>
          <w:szCs w:val="22"/>
        </w:rPr>
        <w:t xml:space="preserve"> </w:t>
      </w:r>
      <w:r w:rsidRPr="007926AE">
        <w:rPr>
          <w:rFonts w:ascii="Arial" w:hAnsi="Arial" w:cs="Arial"/>
          <w:b/>
          <w:bCs/>
          <w:color w:val="000000"/>
          <w:sz w:val="22"/>
          <w:szCs w:val="22"/>
        </w:rPr>
        <w:t>99</w:t>
      </w:r>
      <w:r w:rsidRPr="007926AE">
        <w:rPr>
          <w:rFonts w:ascii="Arial" w:hAnsi="Arial" w:cs="Arial"/>
          <w:color w:val="000000"/>
          <w:sz w:val="22"/>
          <w:szCs w:val="22"/>
        </w:rPr>
        <w:t>, 1047–1078 (2019).</w:t>
      </w:r>
    </w:p>
    <w:p w14:paraId="73DABC9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104.</w:t>
      </w:r>
      <w:r w:rsidRPr="007926AE">
        <w:rPr>
          <w:rFonts w:ascii="Arial" w:hAnsi="Arial" w:cs="Arial"/>
          <w:color w:val="000000"/>
          <w:sz w:val="22"/>
          <w:szCs w:val="22"/>
        </w:rPr>
        <w:tab/>
        <w:t xml:space="preserve">Blasco, M. A. Telomeres and human disease: ageing, cancer and beyond. </w:t>
      </w:r>
      <w:r w:rsidRPr="007926AE">
        <w:rPr>
          <w:rFonts w:ascii="Arial" w:hAnsi="Arial" w:cs="Arial"/>
          <w:i/>
          <w:iCs/>
          <w:color w:val="000000"/>
          <w:sz w:val="22"/>
          <w:szCs w:val="22"/>
        </w:rPr>
        <w:t>Nat Rev Genet</w:t>
      </w:r>
      <w:r w:rsidRPr="007926AE">
        <w:rPr>
          <w:rFonts w:ascii="Arial" w:hAnsi="Arial" w:cs="Arial"/>
          <w:color w:val="000000"/>
          <w:sz w:val="22"/>
          <w:szCs w:val="22"/>
        </w:rPr>
        <w:t xml:space="preserve"> </w:t>
      </w:r>
      <w:r w:rsidRPr="007926AE">
        <w:rPr>
          <w:rFonts w:ascii="Arial" w:hAnsi="Arial" w:cs="Arial"/>
          <w:b/>
          <w:bCs/>
          <w:color w:val="000000"/>
          <w:sz w:val="22"/>
          <w:szCs w:val="22"/>
        </w:rPr>
        <w:t>6</w:t>
      </w:r>
      <w:r w:rsidRPr="007926AE">
        <w:rPr>
          <w:rFonts w:ascii="Arial" w:hAnsi="Arial" w:cs="Arial"/>
          <w:color w:val="000000"/>
          <w:sz w:val="22"/>
          <w:szCs w:val="22"/>
        </w:rPr>
        <w:t>, 611–622 (2005).</w:t>
      </w:r>
    </w:p>
    <w:p w14:paraId="2980F0ED"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105.</w:t>
      </w:r>
      <w:r w:rsidRPr="007926AE">
        <w:rPr>
          <w:rFonts w:ascii="Arial" w:hAnsi="Arial" w:cs="Arial"/>
          <w:color w:val="000000"/>
          <w:sz w:val="22"/>
          <w:szCs w:val="22"/>
        </w:rPr>
        <w:tab/>
        <w:t xml:space="preserve">Pańczyszyn, A., Boniewska-Bernacka, E. &amp; Goc, A. The role of telomeres and telomerase in the senescence of postmitotic cells. </w:t>
      </w:r>
      <w:r w:rsidRPr="007926AE">
        <w:rPr>
          <w:rFonts w:ascii="Arial" w:hAnsi="Arial" w:cs="Arial"/>
          <w:i/>
          <w:iCs/>
          <w:color w:val="000000"/>
          <w:sz w:val="22"/>
          <w:szCs w:val="22"/>
        </w:rPr>
        <w:t>DNA Repair</w:t>
      </w:r>
      <w:r w:rsidRPr="007926AE">
        <w:rPr>
          <w:rFonts w:ascii="Arial" w:hAnsi="Arial" w:cs="Arial"/>
          <w:color w:val="000000"/>
          <w:sz w:val="22"/>
          <w:szCs w:val="22"/>
        </w:rPr>
        <w:t xml:space="preserve"> </w:t>
      </w:r>
      <w:r w:rsidRPr="007926AE">
        <w:rPr>
          <w:rFonts w:ascii="Arial" w:hAnsi="Arial" w:cs="Arial"/>
          <w:b/>
          <w:bCs/>
          <w:color w:val="000000"/>
          <w:sz w:val="22"/>
          <w:szCs w:val="22"/>
        </w:rPr>
        <w:t>95</w:t>
      </w:r>
      <w:r w:rsidRPr="007926AE">
        <w:rPr>
          <w:rFonts w:ascii="Arial" w:hAnsi="Arial" w:cs="Arial"/>
          <w:color w:val="000000"/>
          <w:sz w:val="22"/>
          <w:szCs w:val="22"/>
        </w:rPr>
        <w:t>, 102956 (2020).</w:t>
      </w:r>
    </w:p>
    <w:p w14:paraId="52A77D7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106.</w:t>
      </w:r>
      <w:r w:rsidRPr="007926AE">
        <w:rPr>
          <w:rFonts w:ascii="Arial" w:hAnsi="Arial" w:cs="Arial"/>
          <w:color w:val="000000"/>
          <w:sz w:val="22"/>
          <w:szCs w:val="22"/>
        </w:rPr>
        <w:tab/>
        <w:t xml:space="preserve">De Vitis, M., Berardinelli, F. &amp; Sgura, A. Telomere Length Maintenance in Cancer: At the Crossroad between Telomerase and Alternative Lengthening of Telomeres (ALT). </w:t>
      </w:r>
      <w:r w:rsidRPr="007926AE">
        <w:rPr>
          <w:rFonts w:ascii="Arial" w:hAnsi="Arial" w:cs="Arial"/>
          <w:i/>
          <w:iCs/>
          <w:color w:val="000000"/>
          <w:sz w:val="22"/>
          <w:szCs w:val="22"/>
        </w:rPr>
        <w:t>IJMS</w:t>
      </w:r>
      <w:r w:rsidRPr="007926AE">
        <w:rPr>
          <w:rFonts w:ascii="Arial" w:hAnsi="Arial" w:cs="Arial"/>
          <w:color w:val="000000"/>
          <w:sz w:val="22"/>
          <w:szCs w:val="22"/>
        </w:rPr>
        <w:t xml:space="preserve"> </w:t>
      </w:r>
      <w:r w:rsidRPr="007926AE">
        <w:rPr>
          <w:rFonts w:ascii="Arial" w:hAnsi="Arial" w:cs="Arial"/>
          <w:b/>
          <w:bCs/>
          <w:color w:val="000000"/>
          <w:sz w:val="22"/>
          <w:szCs w:val="22"/>
        </w:rPr>
        <w:t>19</w:t>
      </w:r>
      <w:r w:rsidRPr="007926AE">
        <w:rPr>
          <w:rFonts w:ascii="Arial" w:hAnsi="Arial" w:cs="Arial"/>
          <w:color w:val="000000"/>
          <w:sz w:val="22"/>
          <w:szCs w:val="22"/>
        </w:rPr>
        <w:t>, 606 (2018).</w:t>
      </w:r>
    </w:p>
    <w:p w14:paraId="7E849E4F"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107.</w:t>
      </w:r>
      <w:r w:rsidRPr="007926AE">
        <w:rPr>
          <w:rFonts w:ascii="Arial" w:hAnsi="Arial" w:cs="Arial"/>
          <w:color w:val="000000"/>
          <w:sz w:val="22"/>
          <w:szCs w:val="22"/>
        </w:rPr>
        <w:tab/>
        <w:t xml:space="preserve">Artandi, S. E. &amp; DePinho, R. A. Mice without telomerase: what can they teach us about human cancer? </w:t>
      </w:r>
      <w:r w:rsidRPr="007926AE">
        <w:rPr>
          <w:rFonts w:ascii="Arial" w:hAnsi="Arial" w:cs="Arial"/>
          <w:i/>
          <w:iCs/>
          <w:color w:val="000000"/>
          <w:sz w:val="22"/>
          <w:szCs w:val="22"/>
        </w:rPr>
        <w:t>Nat Med</w:t>
      </w:r>
      <w:r w:rsidRPr="007926AE">
        <w:rPr>
          <w:rFonts w:ascii="Arial" w:hAnsi="Arial" w:cs="Arial"/>
          <w:color w:val="000000"/>
          <w:sz w:val="22"/>
          <w:szCs w:val="22"/>
        </w:rPr>
        <w:t xml:space="preserve"> </w:t>
      </w:r>
      <w:r w:rsidRPr="007926AE">
        <w:rPr>
          <w:rFonts w:ascii="Arial" w:hAnsi="Arial" w:cs="Arial"/>
          <w:b/>
          <w:bCs/>
          <w:color w:val="000000"/>
          <w:sz w:val="22"/>
          <w:szCs w:val="22"/>
        </w:rPr>
        <w:t>6</w:t>
      </w:r>
      <w:r w:rsidRPr="007926AE">
        <w:rPr>
          <w:rFonts w:ascii="Arial" w:hAnsi="Arial" w:cs="Arial"/>
          <w:color w:val="000000"/>
          <w:sz w:val="22"/>
          <w:szCs w:val="22"/>
        </w:rPr>
        <w:t>, 852–855 (2000).</w:t>
      </w:r>
    </w:p>
    <w:p w14:paraId="40BA2E5E"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108.</w:t>
      </w:r>
      <w:r w:rsidRPr="007926AE">
        <w:rPr>
          <w:rFonts w:ascii="Arial" w:hAnsi="Arial" w:cs="Arial"/>
          <w:color w:val="000000"/>
          <w:sz w:val="22"/>
          <w:szCs w:val="22"/>
        </w:rPr>
        <w:tab/>
        <w:t xml:space="preserve">Raynaud, C. M. </w:t>
      </w:r>
      <w:r w:rsidRPr="007926AE">
        <w:rPr>
          <w:rFonts w:ascii="Arial" w:hAnsi="Arial" w:cs="Arial"/>
          <w:i/>
          <w:iCs/>
          <w:color w:val="000000"/>
          <w:sz w:val="22"/>
          <w:szCs w:val="22"/>
        </w:rPr>
        <w:t>et al.</w:t>
      </w:r>
      <w:r w:rsidRPr="007926AE">
        <w:rPr>
          <w:rFonts w:ascii="Arial" w:hAnsi="Arial" w:cs="Arial"/>
          <w:color w:val="000000"/>
          <w:sz w:val="22"/>
          <w:szCs w:val="22"/>
        </w:rPr>
        <w:t xml:space="preserve"> DNA Damage Repair and Telomere Length in Normal Breast, Preneoplastic Lesions, and Invasive Cancer. </w:t>
      </w:r>
      <w:r w:rsidRPr="007926AE">
        <w:rPr>
          <w:rFonts w:ascii="Arial" w:hAnsi="Arial" w:cs="Arial"/>
          <w:i/>
          <w:iCs/>
          <w:color w:val="000000"/>
          <w:sz w:val="22"/>
          <w:szCs w:val="22"/>
        </w:rPr>
        <w:t>American Journal of Clinical Oncology</w:t>
      </w:r>
      <w:r w:rsidRPr="007926AE">
        <w:rPr>
          <w:rFonts w:ascii="Arial" w:hAnsi="Arial" w:cs="Arial"/>
          <w:color w:val="000000"/>
          <w:sz w:val="22"/>
          <w:szCs w:val="22"/>
        </w:rPr>
        <w:t xml:space="preserve"> </w:t>
      </w:r>
      <w:r w:rsidRPr="007926AE">
        <w:rPr>
          <w:rFonts w:ascii="Arial" w:hAnsi="Arial" w:cs="Arial"/>
          <w:b/>
          <w:bCs/>
          <w:color w:val="000000"/>
          <w:sz w:val="22"/>
          <w:szCs w:val="22"/>
        </w:rPr>
        <w:t>33</w:t>
      </w:r>
      <w:r w:rsidRPr="007926AE">
        <w:rPr>
          <w:rFonts w:ascii="Arial" w:hAnsi="Arial" w:cs="Arial"/>
          <w:color w:val="000000"/>
          <w:sz w:val="22"/>
          <w:szCs w:val="22"/>
        </w:rPr>
        <w:t>, 341–345 (2010).</w:t>
      </w:r>
    </w:p>
    <w:p w14:paraId="419194C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109.</w:t>
      </w:r>
      <w:r w:rsidRPr="007926AE">
        <w:rPr>
          <w:rFonts w:ascii="Arial" w:hAnsi="Arial" w:cs="Arial"/>
          <w:color w:val="000000"/>
          <w:sz w:val="22"/>
          <w:szCs w:val="22"/>
        </w:rPr>
        <w:tab/>
        <w:t xml:space="preserve">Chin, K. </w:t>
      </w:r>
      <w:r w:rsidRPr="007926AE">
        <w:rPr>
          <w:rFonts w:ascii="Arial" w:hAnsi="Arial" w:cs="Arial"/>
          <w:i/>
          <w:iCs/>
          <w:color w:val="000000"/>
          <w:sz w:val="22"/>
          <w:szCs w:val="22"/>
        </w:rPr>
        <w:t>et al.</w:t>
      </w:r>
      <w:r w:rsidRPr="007926AE">
        <w:rPr>
          <w:rFonts w:ascii="Arial" w:hAnsi="Arial" w:cs="Arial"/>
          <w:color w:val="000000"/>
          <w:sz w:val="22"/>
          <w:szCs w:val="22"/>
        </w:rPr>
        <w:t xml:space="preserve"> In situ analyses of genome instability in breast cancer. </w:t>
      </w:r>
      <w:r w:rsidRPr="007926AE">
        <w:rPr>
          <w:rFonts w:ascii="Arial" w:hAnsi="Arial" w:cs="Arial"/>
          <w:i/>
          <w:iCs/>
          <w:color w:val="000000"/>
          <w:sz w:val="22"/>
          <w:szCs w:val="22"/>
        </w:rPr>
        <w:t>Nat Genet</w:t>
      </w:r>
      <w:r w:rsidRPr="007926AE">
        <w:rPr>
          <w:rFonts w:ascii="Arial" w:hAnsi="Arial" w:cs="Arial"/>
          <w:color w:val="000000"/>
          <w:sz w:val="22"/>
          <w:szCs w:val="22"/>
        </w:rPr>
        <w:t xml:space="preserve"> </w:t>
      </w:r>
      <w:r w:rsidRPr="007926AE">
        <w:rPr>
          <w:rFonts w:ascii="Arial" w:hAnsi="Arial" w:cs="Arial"/>
          <w:b/>
          <w:bCs/>
          <w:color w:val="000000"/>
          <w:sz w:val="22"/>
          <w:szCs w:val="22"/>
        </w:rPr>
        <w:t>36</w:t>
      </w:r>
      <w:r w:rsidRPr="007926AE">
        <w:rPr>
          <w:rFonts w:ascii="Arial" w:hAnsi="Arial" w:cs="Arial"/>
          <w:color w:val="000000"/>
          <w:sz w:val="22"/>
          <w:szCs w:val="22"/>
        </w:rPr>
        <w:t>, 984–988 (2004).</w:t>
      </w:r>
    </w:p>
    <w:p w14:paraId="09048A55"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110.</w:t>
      </w:r>
      <w:r w:rsidRPr="007926AE">
        <w:rPr>
          <w:rFonts w:ascii="Arial" w:hAnsi="Arial" w:cs="Arial"/>
          <w:color w:val="000000"/>
          <w:sz w:val="22"/>
          <w:szCs w:val="22"/>
        </w:rPr>
        <w:tab/>
        <w:t xml:space="preserve">De Sanctis, F., Ugel, S., Facciponte, J. &amp; Facciabene, A. The dark side of tumor-associated endothelial cells. </w:t>
      </w:r>
      <w:r w:rsidRPr="007926AE">
        <w:rPr>
          <w:rFonts w:ascii="Arial" w:hAnsi="Arial" w:cs="Arial"/>
          <w:i/>
          <w:iCs/>
          <w:color w:val="000000"/>
          <w:sz w:val="22"/>
          <w:szCs w:val="22"/>
        </w:rPr>
        <w:t>Seminars in Immunology</w:t>
      </w:r>
      <w:r w:rsidRPr="007926AE">
        <w:rPr>
          <w:rFonts w:ascii="Arial" w:hAnsi="Arial" w:cs="Arial"/>
          <w:color w:val="000000"/>
          <w:sz w:val="22"/>
          <w:szCs w:val="22"/>
        </w:rPr>
        <w:t xml:space="preserve"> </w:t>
      </w:r>
      <w:r w:rsidRPr="007926AE">
        <w:rPr>
          <w:rFonts w:ascii="Arial" w:hAnsi="Arial" w:cs="Arial"/>
          <w:b/>
          <w:bCs/>
          <w:color w:val="000000"/>
          <w:sz w:val="22"/>
          <w:szCs w:val="22"/>
        </w:rPr>
        <w:t>35</w:t>
      </w:r>
      <w:r w:rsidRPr="007926AE">
        <w:rPr>
          <w:rFonts w:ascii="Arial" w:hAnsi="Arial" w:cs="Arial"/>
          <w:color w:val="000000"/>
          <w:sz w:val="22"/>
          <w:szCs w:val="22"/>
        </w:rPr>
        <w:t>, 35–47 (2018).</w:t>
      </w:r>
    </w:p>
    <w:p w14:paraId="0E3B86AB"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111.</w:t>
      </w:r>
      <w:r w:rsidRPr="007926AE">
        <w:rPr>
          <w:rFonts w:ascii="Arial" w:hAnsi="Arial" w:cs="Arial"/>
          <w:color w:val="000000"/>
          <w:sz w:val="22"/>
          <w:szCs w:val="22"/>
        </w:rPr>
        <w:tab/>
        <w:t xml:space="preserve">Loh, C.-Y. </w:t>
      </w:r>
      <w:r w:rsidRPr="007926AE">
        <w:rPr>
          <w:rFonts w:ascii="Arial" w:hAnsi="Arial" w:cs="Arial"/>
          <w:i/>
          <w:iCs/>
          <w:color w:val="000000"/>
          <w:sz w:val="22"/>
          <w:szCs w:val="22"/>
        </w:rPr>
        <w:t>et al.</w:t>
      </w:r>
      <w:r w:rsidRPr="007926AE">
        <w:rPr>
          <w:rFonts w:ascii="Arial" w:hAnsi="Arial" w:cs="Arial"/>
          <w:color w:val="000000"/>
          <w:sz w:val="22"/>
          <w:szCs w:val="22"/>
        </w:rPr>
        <w:t xml:space="preserve"> The E-Cadherin and N-Cadherin Switch in Epithelial-to-Mesenchymal Transition: Signaling, Therapeutic Implications, and Challenges. </w:t>
      </w:r>
      <w:r w:rsidRPr="007926AE">
        <w:rPr>
          <w:rFonts w:ascii="Arial" w:hAnsi="Arial" w:cs="Arial"/>
          <w:i/>
          <w:iCs/>
          <w:color w:val="000000"/>
          <w:sz w:val="22"/>
          <w:szCs w:val="22"/>
        </w:rPr>
        <w:t>Cells</w:t>
      </w:r>
      <w:r w:rsidRPr="007926AE">
        <w:rPr>
          <w:rFonts w:ascii="Arial" w:hAnsi="Arial" w:cs="Arial"/>
          <w:color w:val="000000"/>
          <w:sz w:val="22"/>
          <w:szCs w:val="22"/>
        </w:rPr>
        <w:t xml:space="preserve"> </w:t>
      </w:r>
      <w:r w:rsidRPr="007926AE">
        <w:rPr>
          <w:rFonts w:ascii="Arial" w:hAnsi="Arial" w:cs="Arial"/>
          <w:b/>
          <w:bCs/>
          <w:color w:val="000000"/>
          <w:sz w:val="22"/>
          <w:szCs w:val="22"/>
        </w:rPr>
        <w:t>8</w:t>
      </w:r>
      <w:r w:rsidRPr="007926AE">
        <w:rPr>
          <w:rFonts w:ascii="Arial" w:hAnsi="Arial" w:cs="Arial"/>
          <w:color w:val="000000"/>
          <w:sz w:val="22"/>
          <w:szCs w:val="22"/>
        </w:rPr>
        <w:t>, 1118 (2019).</w:t>
      </w:r>
    </w:p>
    <w:p w14:paraId="1CAA12E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112.</w:t>
      </w:r>
      <w:r w:rsidRPr="007926AE">
        <w:rPr>
          <w:rFonts w:ascii="Arial" w:hAnsi="Arial" w:cs="Arial"/>
          <w:color w:val="000000"/>
          <w:sz w:val="22"/>
          <w:szCs w:val="22"/>
        </w:rPr>
        <w:tab/>
        <w:t xml:space="preserve">Su, S.-C. </w:t>
      </w:r>
      <w:r w:rsidRPr="007926AE">
        <w:rPr>
          <w:rFonts w:ascii="Arial" w:hAnsi="Arial" w:cs="Arial"/>
          <w:i/>
          <w:iCs/>
          <w:color w:val="000000"/>
          <w:sz w:val="22"/>
          <w:szCs w:val="22"/>
        </w:rPr>
        <w:t>et al.</w:t>
      </w:r>
      <w:r w:rsidRPr="007926AE">
        <w:rPr>
          <w:rFonts w:ascii="Arial" w:hAnsi="Arial" w:cs="Arial"/>
          <w:color w:val="000000"/>
          <w:sz w:val="22"/>
          <w:szCs w:val="22"/>
        </w:rPr>
        <w:t xml:space="preserve"> Cancer metastasis: Mechanisms of inhibition by melatonin. </w:t>
      </w:r>
      <w:r w:rsidRPr="007926AE">
        <w:rPr>
          <w:rFonts w:ascii="Arial" w:hAnsi="Arial" w:cs="Arial"/>
          <w:i/>
          <w:iCs/>
          <w:color w:val="000000"/>
          <w:sz w:val="22"/>
          <w:szCs w:val="22"/>
        </w:rPr>
        <w:t>J. Pineal Res.</w:t>
      </w:r>
      <w:r w:rsidRPr="007926AE">
        <w:rPr>
          <w:rFonts w:ascii="Arial" w:hAnsi="Arial" w:cs="Arial"/>
          <w:color w:val="000000"/>
          <w:sz w:val="22"/>
          <w:szCs w:val="22"/>
        </w:rPr>
        <w:t xml:space="preserve"> </w:t>
      </w:r>
      <w:r w:rsidRPr="007926AE">
        <w:rPr>
          <w:rFonts w:ascii="Arial" w:hAnsi="Arial" w:cs="Arial"/>
          <w:b/>
          <w:bCs/>
          <w:color w:val="000000"/>
          <w:sz w:val="22"/>
          <w:szCs w:val="22"/>
        </w:rPr>
        <w:t>62</w:t>
      </w:r>
      <w:r w:rsidRPr="007926AE">
        <w:rPr>
          <w:rFonts w:ascii="Arial" w:hAnsi="Arial" w:cs="Arial"/>
          <w:color w:val="000000"/>
          <w:sz w:val="22"/>
          <w:szCs w:val="22"/>
        </w:rPr>
        <w:t>, e12370 (2017).</w:t>
      </w:r>
    </w:p>
    <w:p w14:paraId="43A41E6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113.</w:t>
      </w:r>
      <w:r w:rsidRPr="007926AE">
        <w:rPr>
          <w:rFonts w:ascii="Arial" w:hAnsi="Arial" w:cs="Arial"/>
          <w:color w:val="000000"/>
          <w:sz w:val="22"/>
          <w:szCs w:val="22"/>
        </w:rPr>
        <w:tab/>
        <w:t>Seyfried, T. N. &amp; Huysentruyt, L. C. On the Origin of Cancer Metastasis. 37 (2014).</w:t>
      </w:r>
    </w:p>
    <w:p w14:paraId="0A2E4FC0"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114.</w:t>
      </w:r>
      <w:r w:rsidRPr="007926AE">
        <w:rPr>
          <w:rFonts w:ascii="Arial" w:hAnsi="Arial" w:cs="Arial"/>
          <w:color w:val="000000"/>
          <w:sz w:val="22"/>
          <w:szCs w:val="22"/>
        </w:rPr>
        <w:tab/>
        <w:t xml:space="preserve">Pavlova, N. N. &amp; Thompson, C. B. The Emerging Hallmarks of Cancer Metabolism. </w:t>
      </w:r>
      <w:r w:rsidRPr="007926AE">
        <w:rPr>
          <w:rFonts w:ascii="Arial" w:hAnsi="Arial" w:cs="Arial"/>
          <w:i/>
          <w:iCs/>
          <w:color w:val="000000"/>
          <w:sz w:val="22"/>
          <w:szCs w:val="22"/>
        </w:rPr>
        <w:t>Cell Metabolism</w:t>
      </w:r>
      <w:r w:rsidRPr="007926AE">
        <w:rPr>
          <w:rFonts w:ascii="Arial" w:hAnsi="Arial" w:cs="Arial"/>
          <w:color w:val="000000"/>
          <w:sz w:val="22"/>
          <w:szCs w:val="22"/>
        </w:rPr>
        <w:t xml:space="preserve"> </w:t>
      </w:r>
      <w:r w:rsidRPr="007926AE">
        <w:rPr>
          <w:rFonts w:ascii="Arial" w:hAnsi="Arial" w:cs="Arial"/>
          <w:b/>
          <w:bCs/>
          <w:color w:val="000000"/>
          <w:sz w:val="22"/>
          <w:szCs w:val="22"/>
        </w:rPr>
        <w:t>23</w:t>
      </w:r>
      <w:r w:rsidRPr="007926AE">
        <w:rPr>
          <w:rFonts w:ascii="Arial" w:hAnsi="Arial" w:cs="Arial"/>
          <w:color w:val="000000"/>
          <w:sz w:val="22"/>
          <w:szCs w:val="22"/>
        </w:rPr>
        <w:t>, 27–47 (2016).</w:t>
      </w:r>
    </w:p>
    <w:p w14:paraId="2DB62A6E"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115.</w:t>
      </w:r>
      <w:r w:rsidRPr="007926AE">
        <w:rPr>
          <w:rFonts w:ascii="Arial" w:hAnsi="Arial" w:cs="Arial"/>
          <w:color w:val="000000"/>
          <w:sz w:val="22"/>
          <w:szCs w:val="22"/>
        </w:rPr>
        <w:tab/>
        <w:t xml:space="preserve">Vander Heiden, M. G., Cantley, L. C. &amp; Thompson, C. B. Understanding the Warburg Effect: The Metabolic Requirements of Cell Proliferation. </w:t>
      </w:r>
      <w:r w:rsidRPr="007926AE">
        <w:rPr>
          <w:rFonts w:ascii="Arial" w:hAnsi="Arial" w:cs="Arial"/>
          <w:i/>
          <w:iCs/>
          <w:color w:val="000000"/>
          <w:sz w:val="22"/>
          <w:szCs w:val="22"/>
        </w:rPr>
        <w:t>Science</w:t>
      </w:r>
      <w:r w:rsidRPr="007926AE">
        <w:rPr>
          <w:rFonts w:ascii="Arial" w:hAnsi="Arial" w:cs="Arial"/>
          <w:color w:val="000000"/>
          <w:sz w:val="22"/>
          <w:szCs w:val="22"/>
        </w:rPr>
        <w:t xml:space="preserve"> </w:t>
      </w:r>
      <w:r w:rsidRPr="007926AE">
        <w:rPr>
          <w:rFonts w:ascii="Arial" w:hAnsi="Arial" w:cs="Arial"/>
          <w:b/>
          <w:bCs/>
          <w:color w:val="000000"/>
          <w:sz w:val="22"/>
          <w:szCs w:val="22"/>
        </w:rPr>
        <w:t>324</w:t>
      </w:r>
      <w:r w:rsidRPr="007926AE">
        <w:rPr>
          <w:rFonts w:ascii="Arial" w:hAnsi="Arial" w:cs="Arial"/>
          <w:color w:val="000000"/>
          <w:sz w:val="22"/>
          <w:szCs w:val="22"/>
        </w:rPr>
        <w:t>, 1029–1033 (2009).</w:t>
      </w:r>
    </w:p>
    <w:p w14:paraId="408681D9"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116.</w:t>
      </w:r>
      <w:r w:rsidRPr="007926AE">
        <w:rPr>
          <w:rFonts w:ascii="Arial" w:hAnsi="Arial" w:cs="Arial"/>
          <w:color w:val="000000"/>
          <w:sz w:val="22"/>
          <w:szCs w:val="22"/>
        </w:rPr>
        <w:tab/>
        <w:t xml:space="preserve">Vajdic, C. M. &amp; van Leeuwen, M. T. Cancer incidence and risk factors after solid organ transplantation. </w:t>
      </w:r>
      <w:r w:rsidRPr="007926AE">
        <w:rPr>
          <w:rFonts w:ascii="Arial" w:hAnsi="Arial" w:cs="Arial"/>
          <w:i/>
          <w:iCs/>
          <w:color w:val="000000"/>
          <w:sz w:val="22"/>
          <w:szCs w:val="22"/>
        </w:rPr>
        <w:t>Int. J. Cancer</w:t>
      </w:r>
      <w:r w:rsidRPr="007926AE">
        <w:rPr>
          <w:rFonts w:ascii="Arial" w:hAnsi="Arial" w:cs="Arial"/>
          <w:color w:val="000000"/>
          <w:sz w:val="22"/>
          <w:szCs w:val="22"/>
        </w:rPr>
        <w:t xml:space="preserve"> </w:t>
      </w:r>
      <w:r w:rsidRPr="007926AE">
        <w:rPr>
          <w:rFonts w:ascii="Arial" w:hAnsi="Arial" w:cs="Arial"/>
          <w:b/>
          <w:bCs/>
          <w:color w:val="000000"/>
          <w:sz w:val="22"/>
          <w:szCs w:val="22"/>
        </w:rPr>
        <w:t>125</w:t>
      </w:r>
      <w:r w:rsidRPr="007926AE">
        <w:rPr>
          <w:rFonts w:ascii="Arial" w:hAnsi="Arial" w:cs="Arial"/>
          <w:color w:val="000000"/>
          <w:sz w:val="22"/>
          <w:szCs w:val="22"/>
        </w:rPr>
        <w:t>, 1747–1754 (2009).</w:t>
      </w:r>
    </w:p>
    <w:p w14:paraId="03302B0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117.</w:t>
      </w:r>
      <w:r w:rsidRPr="007926AE">
        <w:rPr>
          <w:rFonts w:ascii="Arial" w:hAnsi="Arial" w:cs="Arial"/>
          <w:color w:val="000000"/>
          <w:sz w:val="22"/>
          <w:szCs w:val="22"/>
        </w:rPr>
        <w:tab/>
        <w:t xml:space="preserve">Teng, M. W. L., Swann, J. B., Koebel, C. M., Schreiber, R. D. &amp; Smyth, M. J. Immune-mediated dormancy: an equilibrium with cancer. </w:t>
      </w:r>
      <w:r w:rsidRPr="007926AE">
        <w:rPr>
          <w:rFonts w:ascii="Arial" w:hAnsi="Arial" w:cs="Arial"/>
          <w:i/>
          <w:iCs/>
          <w:color w:val="000000"/>
          <w:sz w:val="22"/>
          <w:szCs w:val="22"/>
        </w:rPr>
        <w:t>Journal of Leukocyte Biology</w:t>
      </w:r>
      <w:r w:rsidRPr="007926AE">
        <w:rPr>
          <w:rFonts w:ascii="Arial" w:hAnsi="Arial" w:cs="Arial"/>
          <w:color w:val="000000"/>
          <w:sz w:val="22"/>
          <w:szCs w:val="22"/>
        </w:rPr>
        <w:t xml:space="preserve"> </w:t>
      </w:r>
      <w:r w:rsidRPr="007926AE">
        <w:rPr>
          <w:rFonts w:ascii="Arial" w:hAnsi="Arial" w:cs="Arial"/>
          <w:b/>
          <w:bCs/>
          <w:color w:val="000000"/>
          <w:sz w:val="22"/>
          <w:szCs w:val="22"/>
        </w:rPr>
        <w:t>84</w:t>
      </w:r>
      <w:r w:rsidRPr="007926AE">
        <w:rPr>
          <w:rFonts w:ascii="Arial" w:hAnsi="Arial" w:cs="Arial"/>
          <w:color w:val="000000"/>
          <w:sz w:val="22"/>
          <w:szCs w:val="22"/>
        </w:rPr>
        <w:t>, 988–993 (2008).</w:t>
      </w:r>
    </w:p>
    <w:p w14:paraId="69EFE3DD"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118.</w:t>
      </w:r>
      <w:r w:rsidRPr="007926AE">
        <w:rPr>
          <w:rFonts w:ascii="Arial" w:hAnsi="Arial" w:cs="Arial"/>
          <w:color w:val="000000"/>
          <w:sz w:val="22"/>
          <w:szCs w:val="22"/>
        </w:rPr>
        <w:tab/>
        <w:t xml:space="preserve">Britt, K. L., Cuzick, J. &amp; Phillips, K.-A. Key steps for effective breast cancer prevention. </w:t>
      </w:r>
      <w:r w:rsidRPr="007926AE">
        <w:rPr>
          <w:rFonts w:ascii="Arial" w:hAnsi="Arial" w:cs="Arial"/>
          <w:i/>
          <w:iCs/>
          <w:color w:val="000000"/>
          <w:sz w:val="22"/>
          <w:szCs w:val="22"/>
        </w:rPr>
        <w:t>Nat Rev Cancer</w:t>
      </w:r>
      <w:r w:rsidRPr="007926AE">
        <w:rPr>
          <w:rFonts w:ascii="Arial" w:hAnsi="Arial" w:cs="Arial"/>
          <w:color w:val="000000"/>
          <w:sz w:val="22"/>
          <w:szCs w:val="22"/>
        </w:rPr>
        <w:t xml:space="preserve"> </w:t>
      </w:r>
      <w:r w:rsidRPr="007926AE">
        <w:rPr>
          <w:rFonts w:ascii="Arial" w:hAnsi="Arial" w:cs="Arial"/>
          <w:b/>
          <w:bCs/>
          <w:color w:val="000000"/>
          <w:sz w:val="22"/>
          <w:szCs w:val="22"/>
        </w:rPr>
        <w:t>20</w:t>
      </w:r>
      <w:r w:rsidRPr="007926AE">
        <w:rPr>
          <w:rFonts w:ascii="Arial" w:hAnsi="Arial" w:cs="Arial"/>
          <w:color w:val="000000"/>
          <w:sz w:val="22"/>
          <w:szCs w:val="22"/>
        </w:rPr>
        <w:t>, 417–436 (2020).</w:t>
      </w:r>
    </w:p>
    <w:p w14:paraId="33058F3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119.</w:t>
      </w:r>
      <w:r w:rsidRPr="007926AE">
        <w:rPr>
          <w:rFonts w:ascii="Arial" w:hAnsi="Arial" w:cs="Arial"/>
          <w:color w:val="000000"/>
          <w:sz w:val="22"/>
          <w:szCs w:val="22"/>
        </w:rPr>
        <w:tab/>
        <w:t xml:space="preserve">Fitzmaurice, C. &amp; Global Burden of Disease Cancer Collaboration. Global, regional, and national cancer incidence, mortality, years of life lost, years lived with disability, and disability-adjusted life-years for 29 cancer groups, 2006 to 2016: A systematic analysis for the Global Burden of Disease study. </w:t>
      </w:r>
      <w:r w:rsidRPr="007926AE">
        <w:rPr>
          <w:rFonts w:ascii="Arial" w:hAnsi="Arial" w:cs="Arial"/>
          <w:i/>
          <w:iCs/>
          <w:color w:val="000000"/>
          <w:sz w:val="22"/>
          <w:szCs w:val="22"/>
        </w:rPr>
        <w:t>JCO</w:t>
      </w:r>
      <w:r w:rsidRPr="007926AE">
        <w:rPr>
          <w:rFonts w:ascii="Arial" w:hAnsi="Arial" w:cs="Arial"/>
          <w:color w:val="000000"/>
          <w:sz w:val="22"/>
          <w:szCs w:val="22"/>
        </w:rPr>
        <w:t xml:space="preserve"> </w:t>
      </w:r>
      <w:r w:rsidRPr="007926AE">
        <w:rPr>
          <w:rFonts w:ascii="Arial" w:hAnsi="Arial" w:cs="Arial"/>
          <w:b/>
          <w:bCs/>
          <w:color w:val="000000"/>
          <w:sz w:val="22"/>
          <w:szCs w:val="22"/>
        </w:rPr>
        <w:t>36</w:t>
      </w:r>
      <w:r w:rsidRPr="007926AE">
        <w:rPr>
          <w:rFonts w:ascii="Arial" w:hAnsi="Arial" w:cs="Arial"/>
          <w:color w:val="000000"/>
          <w:sz w:val="22"/>
          <w:szCs w:val="22"/>
        </w:rPr>
        <w:t>, 1568–1568 (2018).</w:t>
      </w:r>
    </w:p>
    <w:p w14:paraId="77534FF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120.</w:t>
      </w:r>
      <w:r w:rsidRPr="007926AE">
        <w:rPr>
          <w:rFonts w:ascii="Arial" w:hAnsi="Arial" w:cs="Arial"/>
          <w:color w:val="000000"/>
          <w:sz w:val="22"/>
          <w:szCs w:val="22"/>
        </w:rPr>
        <w:tab/>
        <w:t xml:space="preserve">Menarche, menopause, and breast cancer risk: individual participant meta-analysis, including 118 964 women with breast cancer from 117 epidemiological studies. </w:t>
      </w:r>
      <w:r w:rsidRPr="007926AE">
        <w:rPr>
          <w:rFonts w:ascii="Arial" w:hAnsi="Arial" w:cs="Arial"/>
          <w:i/>
          <w:iCs/>
          <w:color w:val="000000"/>
          <w:sz w:val="22"/>
          <w:szCs w:val="22"/>
        </w:rPr>
        <w:t>The Lancet Oncology</w:t>
      </w:r>
      <w:r w:rsidRPr="007926AE">
        <w:rPr>
          <w:rFonts w:ascii="Arial" w:hAnsi="Arial" w:cs="Arial"/>
          <w:color w:val="000000"/>
          <w:sz w:val="22"/>
          <w:szCs w:val="22"/>
        </w:rPr>
        <w:t xml:space="preserve"> </w:t>
      </w:r>
      <w:r w:rsidRPr="007926AE">
        <w:rPr>
          <w:rFonts w:ascii="Arial" w:hAnsi="Arial" w:cs="Arial"/>
          <w:b/>
          <w:bCs/>
          <w:color w:val="000000"/>
          <w:sz w:val="22"/>
          <w:szCs w:val="22"/>
        </w:rPr>
        <w:t>13</w:t>
      </w:r>
      <w:r w:rsidRPr="007926AE">
        <w:rPr>
          <w:rFonts w:ascii="Arial" w:hAnsi="Arial" w:cs="Arial"/>
          <w:color w:val="000000"/>
          <w:sz w:val="22"/>
          <w:szCs w:val="22"/>
        </w:rPr>
        <w:t>, 1141–1151 (2012).</w:t>
      </w:r>
    </w:p>
    <w:p w14:paraId="522EEE80"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121.</w:t>
      </w:r>
      <w:r w:rsidRPr="007926AE">
        <w:rPr>
          <w:rFonts w:ascii="Arial" w:hAnsi="Arial" w:cs="Arial"/>
          <w:color w:val="000000"/>
          <w:sz w:val="22"/>
          <w:szCs w:val="22"/>
        </w:rPr>
        <w:tab/>
        <w:t xml:space="preserve">Rödström, K. </w:t>
      </w:r>
      <w:r w:rsidRPr="007926AE">
        <w:rPr>
          <w:rFonts w:ascii="Arial" w:hAnsi="Arial" w:cs="Arial"/>
          <w:i/>
          <w:iCs/>
          <w:color w:val="000000"/>
          <w:sz w:val="22"/>
          <w:szCs w:val="22"/>
        </w:rPr>
        <w:t>et al.</w:t>
      </w:r>
      <w:r w:rsidRPr="007926AE">
        <w:rPr>
          <w:rFonts w:ascii="Arial" w:hAnsi="Arial" w:cs="Arial"/>
          <w:color w:val="000000"/>
          <w:sz w:val="22"/>
          <w:szCs w:val="22"/>
        </w:rPr>
        <w:t xml:space="preserve"> Evidence for a secular trend in menopausal age: a population study of women in Gothenburg: </w:t>
      </w:r>
      <w:r w:rsidRPr="007926AE">
        <w:rPr>
          <w:rFonts w:ascii="Arial" w:hAnsi="Arial" w:cs="Arial"/>
          <w:i/>
          <w:iCs/>
          <w:color w:val="000000"/>
          <w:sz w:val="22"/>
          <w:szCs w:val="22"/>
        </w:rPr>
        <w:t>Menopause</w:t>
      </w:r>
      <w:r w:rsidRPr="007926AE">
        <w:rPr>
          <w:rFonts w:ascii="Arial" w:hAnsi="Arial" w:cs="Arial"/>
          <w:color w:val="000000"/>
          <w:sz w:val="22"/>
          <w:szCs w:val="22"/>
        </w:rPr>
        <w:t xml:space="preserve"> </w:t>
      </w:r>
      <w:r w:rsidRPr="007926AE">
        <w:rPr>
          <w:rFonts w:ascii="Arial" w:hAnsi="Arial" w:cs="Arial"/>
          <w:b/>
          <w:bCs/>
          <w:color w:val="000000"/>
          <w:sz w:val="22"/>
          <w:szCs w:val="22"/>
        </w:rPr>
        <w:t>10</w:t>
      </w:r>
      <w:r w:rsidRPr="007926AE">
        <w:rPr>
          <w:rFonts w:ascii="Arial" w:hAnsi="Arial" w:cs="Arial"/>
          <w:color w:val="000000"/>
          <w:sz w:val="22"/>
          <w:szCs w:val="22"/>
        </w:rPr>
        <w:t>, 538–543 (2003).</w:t>
      </w:r>
    </w:p>
    <w:p w14:paraId="6D807A7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122.</w:t>
      </w:r>
      <w:r w:rsidRPr="007926AE">
        <w:rPr>
          <w:rFonts w:ascii="Arial" w:hAnsi="Arial" w:cs="Arial"/>
          <w:color w:val="000000"/>
          <w:sz w:val="22"/>
          <w:szCs w:val="22"/>
        </w:rPr>
        <w:tab/>
        <w:t xml:space="preserve">Jatoi, I. &amp; Miller, A. B. Why is breast-cancer mortality declining? </w:t>
      </w:r>
      <w:r w:rsidRPr="007926AE">
        <w:rPr>
          <w:rFonts w:ascii="Arial" w:hAnsi="Arial" w:cs="Arial"/>
          <w:i/>
          <w:iCs/>
          <w:color w:val="000000"/>
          <w:sz w:val="22"/>
          <w:szCs w:val="22"/>
        </w:rPr>
        <w:t>The Lancet Oncology</w:t>
      </w:r>
      <w:r w:rsidRPr="007926AE">
        <w:rPr>
          <w:rFonts w:ascii="Arial" w:hAnsi="Arial" w:cs="Arial"/>
          <w:color w:val="000000"/>
          <w:sz w:val="22"/>
          <w:szCs w:val="22"/>
        </w:rPr>
        <w:t xml:space="preserve"> </w:t>
      </w:r>
      <w:r w:rsidRPr="007926AE">
        <w:rPr>
          <w:rFonts w:ascii="Arial" w:hAnsi="Arial" w:cs="Arial"/>
          <w:b/>
          <w:bCs/>
          <w:color w:val="000000"/>
          <w:sz w:val="22"/>
          <w:szCs w:val="22"/>
        </w:rPr>
        <w:t>4</w:t>
      </w:r>
      <w:r w:rsidRPr="007926AE">
        <w:rPr>
          <w:rFonts w:ascii="Arial" w:hAnsi="Arial" w:cs="Arial"/>
          <w:color w:val="000000"/>
          <w:sz w:val="22"/>
          <w:szCs w:val="22"/>
        </w:rPr>
        <w:t>, 251–254 (2003).</w:t>
      </w:r>
    </w:p>
    <w:p w14:paraId="74E62800"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123.</w:t>
      </w:r>
      <w:r w:rsidRPr="007926AE">
        <w:rPr>
          <w:rFonts w:ascii="Arial" w:hAnsi="Arial" w:cs="Arial"/>
          <w:color w:val="000000"/>
          <w:sz w:val="22"/>
          <w:szCs w:val="22"/>
        </w:rPr>
        <w:tab/>
        <w:t xml:space="preserve">Malhotra, G. K., Zhao, X., Band, H. &amp; Band, V. Histological, molecular and functional subtypes of breast cancers. </w:t>
      </w:r>
      <w:r w:rsidRPr="007926AE">
        <w:rPr>
          <w:rFonts w:ascii="Arial" w:hAnsi="Arial" w:cs="Arial"/>
          <w:i/>
          <w:iCs/>
          <w:color w:val="000000"/>
          <w:sz w:val="22"/>
          <w:szCs w:val="22"/>
        </w:rPr>
        <w:t>Cancer Biology &amp; Therapy</w:t>
      </w:r>
      <w:r w:rsidRPr="007926AE">
        <w:rPr>
          <w:rFonts w:ascii="Arial" w:hAnsi="Arial" w:cs="Arial"/>
          <w:color w:val="000000"/>
          <w:sz w:val="22"/>
          <w:szCs w:val="22"/>
        </w:rPr>
        <w:t xml:space="preserve"> </w:t>
      </w:r>
      <w:r w:rsidRPr="007926AE">
        <w:rPr>
          <w:rFonts w:ascii="Arial" w:hAnsi="Arial" w:cs="Arial"/>
          <w:b/>
          <w:bCs/>
          <w:color w:val="000000"/>
          <w:sz w:val="22"/>
          <w:szCs w:val="22"/>
        </w:rPr>
        <w:t>10</w:t>
      </w:r>
      <w:r w:rsidRPr="007926AE">
        <w:rPr>
          <w:rFonts w:ascii="Arial" w:hAnsi="Arial" w:cs="Arial"/>
          <w:color w:val="000000"/>
          <w:sz w:val="22"/>
          <w:szCs w:val="22"/>
        </w:rPr>
        <w:t>, 955–960 (2010).</w:t>
      </w:r>
    </w:p>
    <w:p w14:paraId="3C997805"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124.</w:t>
      </w:r>
      <w:r w:rsidRPr="007926AE">
        <w:rPr>
          <w:rFonts w:ascii="Arial" w:hAnsi="Arial" w:cs="Arial"/>
          <w:color w:val="000000"/>
          <w:sz w:val="22"/>
          <w:szCs w:val="22"/>
        </w:rPr>
        <w:tab/>
        <w:t xml:space="preserve">Waks, A. G. &amp; Winer, E. P. Breast Cancer Treatment: A Review. </w:t>
      </w:r>
      <w:r w:rsidRPr="007926AE">
        <w:rPr>
          <w:rFonts w:ascii="Arial" w:hAnsi="Arial" w:cs="Arial"/>
          <w:i/>
          <w:iCs/>
          <w:color w:val="000000"/>
          <w:sz w:val="22"/>
          <w:szCs w:val="22"/>
        </w:rPr>
        <w:t>JAMA</w:t>
      </w:r>
      <w:r w:rsidRPr="007926AE">
        <w:rPr>
          <w:rFonts w:ascii="Arial" w:hAnsi="Arial" w:cs="Arial"/>
          <w:color w:val="000000"/>
          <w:sz w:val="22"/>
          <w:szCs w:val="22"/>
        </w:rPr>
        <w:t xml:space="preserve"> </w:t>
      </w:r>
      <w:r w:rsidRPr="007926AE">
        <w:rPr>
          <w:rFonts w:ascii="Arial" w:hAnsi="Arial" w:cs="Arial"/>
          <w:b/>
          <w:bCs/>
          <w:color w:val="000000"/>
          <w:sz w:val="22"/>
          <w:szCs w:val="22"/>
        </w:rPr>
        <w:t>321</w:t>
      </w:r>
      <w:r w:rsidRPr="007926AE">
        <w:rPr>
          <w:rFonts w:ascii="Arial" w:hAnsi="Arial" w:cs="Arial"/>
          <w:color w:val="000000"/>
          <w:sz w:val="22"/>
          <w:szCs w:val="22"/>
        </w:rPr>
        <w:t>, 288 (2019).</w:t>
      </w:r>
    </w:p>
    <w:p w14:paraId="669E209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125.</w:t>
      </w:r>
      <w:r w:rsidRPr="007926AE">
        <w:rPr>
          <w:rFonts w:ascii="Arial" w:hAnsi="Arial" w:cs="Arial"/>
          <w:color w:val="000000"/>
          <w:sz w:val="22"/>
          <w:szCs w:val="22"/>
        </w:rPr>
        <w:tab/>
        <w:t xml:space="preserve">Kaufman, C. S. Increasing Role of Oncoplastic Surgery for Breast Cancer. </w:t>
      </w:r>
      <w:r w:rsidRPr="007926AE">
        <w:rPr>
          <w:rFonts w:ascii="Arial" w:hAnsi="Arial" w:cs="Arial"/>
          <w:i/>
          <w:iCs/>
          <w:color w:val="000000"/>
          <w:sz w:val="22"/>
          <w:szCs w:val="22"/>
        </w:rPr>
        <w:t>Curr Oncol Rep</w:t>
      </w:r>
      <w:r w:rsidRPr="007926AE">
        <w:rPr>
          <w:rFonts w:ascii="Arial" w:hAnsi="Arial" w:cs="Arial"/>
          <w:color w:val="000000"/>
          <w:sz w:val="22"/>
          <w:szCs w:val="22"/>
        </w:rPr>
        <w:t xml:space="preserve"> </w:t>
      </w:r>
      <w:r w:rsidRPr="007926AE">
        <w:rPr>
          <w:rFonts w:ascii="Arial" w:hAnsi="Arial" w:cs="Arial"/>
          <w:b/>
          <w:bCs/>
          <w:color w:val="000000"/>
          <w:sz w:val="22"/>
          <w:szCs w:val="22"/>
        </w:rPr>
        <w:t>21</w:t>
      </w:r>
      <w:r w:rsidRPr="007926AE">
        <w:rPr>
          <w:rFonts w:ascii="Arial" w:hAnsi="Arial" w:cs="Arial"/>
          <w:color w:val="000000"/>
          <w:sz w:val="22"/>
          <w:szCs w:val="22"/>
        </w:rPr>
        <w:t>, 111 (2019).</w:t>
      </w:r>
    </w:p>
    <w:p w14:paraId="5B546930"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126.</w:t>
      </w:r>
      <w:r w:rsidRPr="007926AE">
        <w:rPr>
          <w:rFonts w:ascii="Arial" w:hAnsi="Arial" w:cs="Arial"/>
          <w:color w:val="000000"/>
          <w:sz w:val="22"/>
          <w:szCs w:val="22"/>
        </w:rPr>
        <w:tab/>
        <w:t xml:space="preserve">Aebi, S. </w:t>
      </w:r>
      <w:r w:rsidRPr="007926AE">
        <w:rPr>
          <w:rFonts w:ascii="Arial" w:hAnsi="Arial" w:cs="Arial"/>
          <w:i/>
          <w:iCs/>
          <w:color w:val="000000"/>
          <w:sz w:val="22"/>
          <w:szCs w:val="22"/>
        </w:rPr>
        <w:t>et al.</w:t>
      </w:r>
      <w:r w:rsidRPr="007926AE">
        <w:rPr>
          <w:rFonts w:ascii="Arial" w:hAnsi="Arial" w:cs="Arial"/>
          <w:color w:val="000000"/>
          <w:sz w:val="22"/>
          <w:szCs w:val="22"/>
        </w:rPr>
        <w:t xml:space="preserve"> Chemotherapy for isolated locoregional recurrence of breast cancer (CALOR): a randomised trial. </w:t>
      </w:r>
      <w:r w:rsidRPr="007926AE">
        <w:rPr>
          <w:rFonts w:ascii="Arial" w:hAnsi="Arial" w:cs="Arial"/>
          <w:i/>
          <w:iCs/>
          <w:color w:val="000000"/>
          <w:sz w:val="22"/>
          <w:szCs w:val="22"/>
        </w:rPr>
        <w:t>The Lancet Oncology</w:t>
      </w:r>
      <w:r w:rsidRPr="007926AE">
        <w:rPr>
          <w:rFonts w:ascii="Arial" w:hAnsi="Arial" w:cs="Arial"/>
          <w:color w:val="000000"/>
          <w:sz w:val="22"/>
          <w:szCs w:val="22"/>
        </w:rPr>
        <w:t xml:space="preserve"> </w:t>
      </w:r>
      <w:r w:rsidRPr="007926AE">
        <w:rPr>
          <w:rFonts w:ascii="Arial" w:hAnsi="Arial" w:cs="Arial"/>
          <w:b/>
          <w:bCs/>
          <w:color w:val="000000"/>
          <w:sz w:val="22"/>
          <w:szCs w:val="22"/>
        </w:rPr>
        <w:t>15</w:t>
      </w:r>
      <w:r w:rsidRPr="007926AE">
        <w:rPr>
          <w:rFonts w:ascii="Arial" w:hAnsi="Arial" w:cs="Arial"/>
          <w:color w:val="000000"/>
          <w:sz w:val="22"/>
          <w:szCs w:val="22"/>
        </w:rPr>
        <w:t>, 156–163 (2014).</w:t>
      </w:r>
    </w:p>
    <w:p w14:paraId="505442B5"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127.</w:t>
      </w:r>
      <w:r w:rsidRPr="007926AE">
        <w:rPr>
          <w:rFonts w:ascii="Arial" w:hAnsi="Arial" w:cs="Arial"/>
          <w:color w:val="000000"/>
          <w:sz w:val="22"/>
          <w:szCs w:val="22"/>
        </w:rPr>
        <w:tab/>
        <w:t xml:space="preserve">Hon, J. D. C. </w:t>
      </w:r>
      <w:r w:rsidRPr="007926AE">
        <w:rPr>
          <w:rFonts w:ascii="Arial" w:hAnsi="Arial" w:cs="Arial"/>
          <w:i/>
          <w:iCs/>
          <w:color w:val="000000"/>
          <w:sz w:val="22"/>
          <w:szCs w:val="22"/>
        </w:rPr>
        <w:t>et al.</w:t>
      </w:r>
      <w:r w:rsidRPr="007926AE">
        <w:rPr>
          <w:rFonts w:ascii="Arial" w:hAnsi="Arial" w:cs="Arial"/>
          <w:color w:val="000000"/>
          <w:sz w:val="22"/>
          <w:szCs w:val="22"/>
        </w:rPr>
        <w:t xml:space="preserve"> Breast cancer molecular subtypes: from TNBC to QNBC. 9.</w:t>
      </w:r>
    </w:p>
    <w:p w14:paraId="4B9005A6"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128.</w:t>
      </w:r>
      <w:r w:rsidRPr="007926AE">
        <w:rPr>
          <w:rFonts w:ascii="Arial" w:hAnsi="Arial" w:cs="Arial"/>
          <w:color w:val="000000"/>
          <w:sz w:val="22"/>
          <w:szCs w:val="22"/>
        </w:rPr>
        <w:tab/>
        <w:t xml:space="preserve">Loibl, S., Poortmans, P., Morrow, M., Denkert, C. &amp; Curigliano, G. Breast cancer. </w:t>
      </w:r>
      <w:r w:rsidRPr="007926AE">
        <w:rPr>
          <w:rFonts w:ascii="Arial" w:hAnsi="Arial" w:cs="Arial"/>
          <w:i/>
          <w:iCs/>
          <w:color w:val="000000"/>
          <w:sz w:val="22"/>
          <w:szCs w:val="22"/>
        </w:rPr>
        <w:t>The Lancet</w:t>
      </w:r>
      <w:r w:rsidRPr="007926AE">
        <w:rPr>
          <w:rFonts w:ascii="Arial" w:hAnsi="Arial" w:cs="Arial"/>
          <w:color w:val="000000"/>
          <w:sz w:val="22"/>
          <w:szCs w:val="22"/>
        </w:rPr>
        <w:t xml:space="preserve"> </w:t>
      </w:r>
      <w:r w:rsidRPr="007926AE">
        <w:rPr>
          <w:rFonts w:ascii="Arial" w:hAnsi="Arial" w:cs="Arial"/>
          <w:b/>
          <w:bCs/>
          <w:color w:val="000000"/>
          <w:sz w:val="22"/>
          <w:szCs w:val="22"/>
        </w:rPr>
        <w:t>397</w:t>
      </w:r>
      <w:r w:rsidRPr="007926AE">
        <w:rPr>
          <w:rFonts w:ascii="Arial" w:hAnsi="Arial" w:cs="Arial"/>
          <w:color w:val="000000"/>
          <w:sz w:val="22"/>
          <w:szCs w:val="22"/>
        </w:rPr>
        <w:t>, 1750–1769 (2021).</w:t>
      </w:r>
    </w:p>
    <w:p w14:paraId="6F35A0B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129.</w:t>
      </w:r>
      <w:r w:rsidRPr="007926AE">
        <w:rPr>
          <w:rFonts w:ascii="Arial" w:hAnsi="Arial" w:cs="Arial"/>
          <w:color w:val="000000"/>
          <w:sz w:val="22"/>
          <w:szCs w:val="22"/>
        </w:rPr>
        <w:tab/>
        <w:t xml:space="preserve">Kumar, P. &amp; Aggarwal, R. An overview of triple-negative breast cancer. </w:t>
      </w:r>
      <w:r w:rsidRPr="007926AE">
        <w:rPr>
          <w:rFonts w:ascii="Arial" w:hAnsi="Arial" w:cs="Arial"/>
          <w:i/>
          <w:iCs/>
          <w:color w:val="000000"/>
          <w:sz w:val="22"/>
          <w:szCs w:val="22"/>
        </w:rPr>
        <w:t>Arch Gynecol Obstet</w:t>
      </w:r>
      <w:r w:rsidRPr="007926AE">
        <w:rPr>
          <w:rFonts w:ascii="Arial" w:hAnsi="Arial" w:cs="Arial"/>
          <w:color w:val="000000"/>
          <w:sz w:val="22"/>
          <w:szCs w:val="22"/>
        </w:rPr>
        <w:t xml:space="preserve"> </w:t>
      </w:r>
      <w:r w:rsidRPr="007926AE">
        <w:rPr>
          <w:rFonts w:ascii="Arial" w:hAnsi="Arial" w:cs="Arial"/>
          <w:b/>
          <w:bCs/>
          <w:color w:val="000000"/>
          <w:sz w:val="22"/>
          <w:szCs w:val="22"/>
        </w:rPr>
        <w:t>293</w:t>
      </w:r>
      <w:r w:rsidRPr="007926AE">
        <w:rPr>
          <w:rFonts w:ascii="Arial" w:hAnsi="Arial" w:cs="Arial"/>
          <w:color w:val="000000"/>
          <w:sz w:val="22"/>
          <w:szCs w:val="22"/>
        </w:rPr>
        <w:t>, 247–269 (2016).</w:t>
      </w:r>
    </w:p>
    <w:p w14:paraId="7763B6DD"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130.</w:t>
      </w:r>
      <w:r w:rsidRPr="007926AE">
        <w:rPr>
          <w:rFonts w:ascii="Arial" w:hAnsi="Arial" w:cs="Arial"/>
          <w:color w:val="000000"/>
          <w:sz w:val="22"/>
          <w:szCs w:val="22"/>
        </w:rPr>
        <w:tab/>
        <w:t xml:space="preserve">Barnard, M. E., Boeke, C. E. &amp; Tamimi, R. M. Established breast cancer risk factors and risk of intrinsic tumor subtypes. </w:t>
      </w:r>
      <w:r w:rsidRPr="007926AE">
        <w:rPr>
          <w:rFonts w:ascii="Arial" w:hAnsi="Arial" w:cs="Arial"/>
          <w:i/>
          <w:iCs/>
          <w:color w:val="000000"/>
          <w:sz w:val="22"/>
          <w:szCs w:val="22"/>
        </w:rPr>
        <w:t>Biochimica et Biophysica Acta (BBA) - Reviews on Cancer</w:t>
      </w:r>
      <w:r w:rsidRPr="007926AE">
        <w:rPr>
          <w:rFonts w:ascii="Arial" w:hAnsi="Arial" w:cs="Arial"/>
          <w:color w:val="000000"/>
          <w:sz w:val="22"/>
          <w:szCs w:val="22"/>
        </w:rPr>
        <w:t xml:space="preserve"> </w:t>
      </w:r>
      <w:r w:rsidRPr="007926AE">
        <w:rPr>
          <w:rFonts w:ascii="Arial" w:hAnsi="Arial" w:cs="Arial"/>
          <w:b/>
          <w:bCs/>
          <w:color w:val="000000"/>
          <w:sz w:val="22"/>
          <w:szCs w:val="22"/>
        </w:rPr>
        <w:t>1856</w:t>
      </w:r>
      <w:r w:rsidRPr="007926AE">
        <w:rPr>
          <w:rFonts w:ascii="Arial" w:hAnsi="Arial" w:cs="Arial"/>
          <w:color w:val="000000"/>
          <w:sz w:val="22"/>
          <w:szCs w:val="22"/>
        </w:rPr>
        <w:t>, 73–85 (2015).</w:t>
      </w:r>
    </w:p>
    <w:p w14:paraId="476B3E96"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131.</w:t>
      </w:r>
      <w:r w:rsidRPr="007926AE">
        <w:rPr>
          <w:rFonts w:ascii="Arial" w:hAnsi="Arial" w:cs="Arial"/>
          <w:color w:val="000000"/>
          <w:sz w:val="22"/>
          <w:szCs w:val="22"/>
        </w:rPr>
        <w:tab/>
        <w:t xml:space="preserve">Polyak, K. Heterogeneity in breast cancer. </w:t>
      </w:r>
      <w:r w:rsidRPr="007926AE">
        <w:rPr>
          <w:rFonts w:ascii="Arial" w:hAnsi="Arial" w:cs="Arial"/>
          <w:i/>
          <w:iCs/>
          <w:color w:val="000000"/>
          <w:sz w:val="22"/>
          <w:szCs w:val="22"/>
        </w:rPr>
        <w:t>J. Clin. Invest.</w:t>
      </w:r>
      <w:r w:rsidRPr="007926AE">
        <w:rPr>
          <w:rFonts w:ascii="Arial" w:hAnsi="Arial" w:cs="Arial"/>
          <w:color w:val="000000"/>
          <w:sz w:val="22"/>
          <w:szCs w:val="22"/>
        </w:rPr>
        <w:t xml:space="preserve"> </w:t>
      </w:r>
      <w:r w:rsidRPr="007926AE">
        <w:rPr>
          <w:rFonts w:ascii="Arial" w:hAnsi="Arial" w:cs="Arial"/>
          <w:b/>
          <w:bCs/>
          <w:color w:val="000000"/>
          <w:sz w:val="22"/>
          <w:szCs w:val="22"/>
        </w:rPr>
        <w:t>121</w:t>
      </w:r>
      <w:r w:rsidRPr="007926AE">
        <w:rPr>
          <w:rFonts w:ascii="Arial" w:hAnsi="Arial" w:cs="Arial"/>
          <w:color w:val="000000"/>
          <w:sz w:val="22"/>
          <w:szCs w:val="22"/>
        </w:rPr>
        <w:t>, 3786–3788 (2011).</w:t>
      </w:r>
    </w:p>
    <w:p w14:paraId="784CD58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132.</w:t>
      </w:r>
      <w:r w:rsidRPr="007926AE">
        <w:rPr>
          <w:rFonts w:ascii="Arial" w:hAnsi="Arial" w:cs="Arial"/>
          <w:color w:val="000000"/>
          <w:sz w:val="22"/>
          <w:szCs w:val="22"/>
        </w:rPr>
        <w:tab/>
        <w:t xml:space="preserve">Russo, J. &amp; Russo, I. H. The role of estrogen in the initiation of breast cancer. </w:t>
      </w:r>
      <w:r w:rsidRPr="007926AE">
        <w:rPr>
          <w:rFonts w:ascii="Arial" w:hAnsi="Arial" w:cs="Arial"/>
          <w:i/>
          <w:iCs/>
          <w:color w:val="000000"/>
          <w:sz w:val="22"/>
          <w:szCs w:val="22"/>
        </w:rPr>
        <w:t>The Journal of Steroid Biochemistry and Molecular Biology</w:t>
      </w:r>
      <w:r w:rsidRPr="007926AE">
        <w:rPr>
          <w:rFonts w:ascii="Arial" w:hAnsi="Arial" w:cs="Arial"/>
          <w:color w:val="000000"/>
          <w:sz w:val="22"/>
          <w:szCs w:val="22"/>
        </w:rPr>
        <w:t xml:space="preserve"> </w:t>
      </w:r>
      <w:r w:rsidRPr="007926AE">
        <w:rPr>
          <w:rFonts w:ascii="Arial" w:hAnsi="Arial" w:cs="Arial"/>
          <w:b/>
          <w:bCs/>
          <w:color w:val="000000"/>
          <w:sz w:val="22"/>
          <w:szCs w:val="22"/>
        </w:rPr>
        <w:t>102</w:t>
      </w:r>
      <w:r w:rsidRPr="007926AE">
        <w:rPr>
          <w:rFonts w:ascii="Arial" w:hAnsi="Arial" w:cs="Arial"/>
          <w:color w:val="000000"/>
          <w:sz w:val="22"/>
          <w:szCs w:val="22"/>
        </w:rPr>
        <w:t>, 89–96 (2006).</w:t>
      </w:r>
    </w:p>
    <w:p w14:paraId="36A8C8D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133.</w:t>
      </w:r>
      <w:r w:rsidRPr="007926AE">
        <w:rPr>
          <w:rFonts w:ascii="Arial" w:hAnsi="Arial" w:cs="Arial"/>
          <w:color w:val="000000"/>
          <w:sz w:val="22"/>
          <w:szCs w:val="22"/>
        </w:rPr>
        <w:tab/>
        <w:t xml:space="preserve">Hammond, M. E. H. </w:t>
      </w:r>
      <w:r w:rsidRPr="007926AE">
        <w:rPr>
          <w:rFonts w:ascii="Arial" w:hAnsi="Arial" w:cs="Arial"/>
          <w:i/>
          <w:iCs/>
          <w:color w:val="000000"/>
          <w:sz w:val="22"/>
          <w:szCs w:val="22"/>
        </w:rPr>
        <w:t>et al.</w:t>
      </w:r>
      <w:r w:rsidRPr="007926AE">
        <w:rPr>
          <w:rFonts w:ascii="Arial" w:hAnsi="Arial" w:cs="Arial"/>
          <w:color w:val="000000"/>
          <w:sz w:val="22"/>
          <w:szCs w:val="22"/>
        </w:rPr>
        <w:t xml:space="preserve"> American Society of Clinical Oncology/College of American Pathologists Guideline Recommendations for Immunohistochemical Testing of Estrogen and Progesterone Receptors in Breast Cancer. </w:t>
      </w:r>
      <w:r w:rsidRPr="007926AE">
        <w:rPr>
          <w:rFonts w:ascii="Arial" w:hAnsi="Arial" w:cs="Arial"/>
          <w:i/>
          <w:iCs/>
          <w:color w:val="000000"/>
          <w:sz w:val="22"/>
          <w:szCs w:val="22"/>
        </w:rPr>
        <w:t>JCO</w:t>
      </w:r>
      <w:r w:rsidRPr="007926AE">
        <w:rPr>
          <w:rFonts w:ascii="Arial" w:hAnsi="Arial" w:cs="Arial"/>
          <w:color w:val="000000"/>
          <w:sz w:val="22"/>
          <w:szCs w:val="22"/>
        </w:rPr>
        <w:t xml:space="preserve"> </w:t>
      </w:r>
      <w:r w:rsidRPr="007926AE">
        <w:rPr>
          <w:rFonts w:ascii="Arial" w:hAnsi="Arial" w:cs="Arial"/>
          <w:b/>
          <w:bCs/>
          <w:color w:val="000000"/>
          <w:sz w:val="22"/>
          <w:szCs w:val="22"/>
        </w:rPr>
        <w:t>28</w:t>
      </w:r>
      <w:r w:rsidRPr="007926AE">
        <w:rPr>
          <w:rFonts w:ascii="Arial" w:hAnsi="Arial" w:cs="Arial"/>
          <w:color w:val="000000"/>
          <w:sz w:val="22"/>
          <w:szCs w:val="22"/>
        </w:rPr>
        <w:t>, 2784–2795 (2010).</w:t>
      </w:r>
    </w:p>
    <w:p w14:paraId="042D41C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134.</w:t>
      </w:r>
      <w:r w:rsidRPr="007926AE">
        <w:rPr>
          <w:rFonts w:ascii="Arial" w:hAnsi="Arial" w:cs="Arial"/>
          <w:color w:val="000000"/>
          <w:sz w:val="22"/>
          <w:szCs w:val="22"/>
        </w:rPr>
        <w:tab/>
        <w:t xml:space="preserve">Shagufta &amp; Ahmad, I. Tamoxifen a pioneering drug: An update on the therapeutic potential of tamoxifen derivatives. </w:t>
      </w:r>
      <w:r w:rsidRPr="007926AE">
        <w:rPr>
          <w:rFonts w:ascii="Arial" w:hAnsi="Arial" w:cs="Arial"/>
          <w:i/>
          <w:iCs/>
          <w:color w:val="000000"/>
          <w:sz w:val="22"/>
          <w:szCs w:val="22"/>
        </w:rPr>
        <w:t>European Journal of Medicinal Chemistry</w:t>
      </w:r>
      <w:r w:rsidRPr="007926AE">
        <w:rPr>
          <w:rFonts w:ascii="Arial" w:hAnsi="Arial" w:cs="Arial"/>
          <w:color w:val="000000"/>
          <w:sz w:val="22"/>
          <w:szCs w:val="22"/>
        </w:rPr>
        <w:t xml:space="preserve"> </w:t>
      </w:r>
      <w:r w:rsidRPr="007926AE">
        <w:rPr>
          <w:rFonts w:ascii="Arial" w:hAnsi="Arial" w:cs="Arial"/>
          <w:b/>
          <w:bCs/>
          <w:color w:val="000000"/>
          <w:sz w:val="22"/>
          <w:szCs w:val="22"/>
        </w:rPr>
        <w:t>143</w:t>
      </w:r>
      <w:r w:rsidRPr="007926AE">
        <w:rPr>
          <w:rFonts w:ascii="Arial" w:hAnsi="Arial" w:cs="Arial"/>
          <w:color w:val="000000"/>
          <w:sz w:val="22"/>
          <w:szCs w:val="22"/>
        </w:rPr>
        <w:t>, 515–531 (2018).</w:t>
      </w:r>
    </w:p>
    <w:p w14:paraId="57409A06"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135.</w:t>
      </w:r>
      <w:r w:rsidRPr="007926AE">
        <w:rPr>
          <w:rFonts w:ascii="Arial" w:hAnsi="Arial" w:cs="Arial"/>
          <w:color w:val="000000"/>
          <w:sz w:val="22"/>
          <w:szCs w:val="22"/>
        </w:rPr>
        <w:tab/>
        <w:t xml:space="preserve">Riggs, B. L. Selective Estrogen-Receptor Modulators — Mechanisms of Action and Application to Clinical Practice. </w:t>
      </w:r>
      <w:r w:rsidRPr="007926AE">
        <w:rPr>
          <w:rFonts w:ascii="Arial" w:hAnsi="Arial" w:cs="Arial"/>
          <w:i/>
          <w:iCs/>
          <w:color w:val="000000"/>
          <w:sz w:val="22"/>
          <w:szCs w:val="22"/>
        </w:rPr>
        <w:t>The New England Journal of Medicine</w:t>
      </w:r>
      <w:r w:rsidRPr="007926AE">
        <w:rPr>
          <w:rFonts w:ascii="Arial" w:hAnsi="Arial" w:cs="Arial"/>
          <w:color w:val="000000"/>
          <w:sz w:val="22"/>
          <w:szCs w:val="22"/>
        </w:rPr>
        <w:t xml:space="preserve"> 13 (2003).</w:t>
      </w:r>
    </w:p>
    <w:p w14:paraId="6461BD4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136.</w:t>
      </w:r>
      <w:r w:rsidRPr="007926AE">
        <w:rPr>
          <w:rFonts w:ascii="Arial" w:hAnsi="Arial" w:cs="Arial"/>
          <w:color w:val="000000"/>
          <w:sz w:val="22"/>
          <w:szCs w:val="22"/>
        </w:rPr>
        <w:tab/>
        <w:t xml:space="preserve">Kharb, R., Haider, K., Neha, K. &amp; Yar, M. S. Aromatase inhibitors: Role in postmenopausal breast cancer. </w:t>
      </w:r>
      <w:r w:rsidRPr="007926AE">
        <w:rPr>
          <w:rFonts w:ascii="Arial" w:hAnsi="Arial" w:cs="Arial"/>
          <w:i/>
          <w:iCs/>
          <w:color w:val="000000"/>
          <w:sz w:val="22"/>
          <w:szCs w:val="22"/>
        </w:rPr>
        <w:t>Arch Pharm</w:t>
      </w:r>
      <w:r w:rsidRPr="007926AE">
        <w:rPr>
          <w:rFonts w:ascii="Arial" w:hAnsi="Arial" w:cs="Arial"/>
          <w:color w:val="000000"/>
          <w:sz w:val="22"/>
          <w:szCs w:val="22"/>
        </w:rPr>
        <w:t xml:space="preserve"> </w:t>
      </w:r>
      <w:r w:rsidRPr="007926AE">
        <w:rPr>
          <w:rFonts w:ascii="Arial" w:hAnsi="Arial" w:cs="Arial"/>
          <w:b/>
          <w:bCs/>
          <w:color w:val="000000"/>
          <w:sz w:val="22"/>
          <w:szCs w:val="22"/>
        </w:rPr>
        <w:t>353</w:t>
      </w:r>
      <w:r w:rsidRPr="007926AE">
        <w:rPr>
          <w:rFonts w:ascii="Arial" w:hAnsi="Arial" w:cs="Arial"/>
          <w:color w:val="000000"/>
          <w:sz w:val="22"/>
          <w:szCs w:val="22"/>
        </w:rPr>
        <w:t>, 2000081 (2020).</w:t>
      </w:r>
    </w:p>
    <w:p w14:paraId="14A6681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137.</w:t>
      </w:r>
      <w:r w:rsidRPr="007926AE">
        <w:rPr>
          <w:rFonts w:ascii="Arial" w:hAnsi="Arial" w:cs="Arial"/>
          <w:color w:val="000000"/>
          <w:sz w:val="22"/>
          <w:szCs w:val="22"/>
        </w:rPr>
        <w:tab/>
        <w:t xml:space="preserve">Early Breast Cancer Trialists’ Collaborative Group (EBCTCG). Relevance of breast cancer hormone receptors and other factors to the efficacy of adjuvant tamoxifen: patient-level meta-analysis of randomised trials. </w:t>
      </w:r>
      <w:r w:rsidRPr="007926AE">
        <w:rPr>
          <w:rFonts w:ascii="Arial" w:hAnsi="Arial" w:cs="Arial"/>
          <w:i/>
          <w:iCs/>
          <w:color w:val="000000"/>
          <w:sz w:val="22"/>
          <w:szCs w:val="22"/>
        </w:rPr>
        <w:t>The Lancet</w:t>
      </w:r>
      <w:r w:rsidRPr="007926AE">
        <w:rPr>
          <w:rFonts w:ascii="Arial" w:hAnsi="Arial" w:cs="Arial"/>
          <w:color w:val="000000"/>
          <w:sz w:val="22"/>
          <w:szCs w:val="22"/>
        </w:rPr>
        <w:t xml:space="preserve"> </w:t>
      </w:r>
      <w:r w:rsidRPr="007926AE">
        <w:rPr>
          <w:rFonts w:ascii="Arial" w:hAnsi="Arial" w:cs="Arial"/>
          <w:b/>
          <w:bCs/>
          <w:color w:val="000000"/>
          <w:sz w:val="22"/>
          <w:szCs w:val="22"/>
        </w:rPr>
        <w:t>378</w:t>
      </w:r>
      <w:r w:rsidRPr="007926AE">
        <w:rPr>
          <w:rFonts w:ascii="Arial" w:hAnsi="Arial" w:cs="Arial"/>
          <w:color w:val="000000"/>
          <w:sz w:val="22"/>
          <w:szCs w:val="22"/>
        </w:rPr>
        <w:t>, 771–784 (2011).</w:t>
      </w:r>
    </w:p>
    <w:p w14:paraId="4EF40F66"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138.</w:t>
      </w:r>
      <w:r w:rsidRPr="007926AE">
        <w:rPr>
          <w:rFonts w:ascii="Arial" w:hAnsi="Arial" w:cs="Arial"/>
          <w:color w:val="000000"/>
          <w:sz w:val="22"/>
          <w:szCs w:val="22"/>
        </w:rPr>
        <w:tab/>
        <w:t xml:space="preserve">Francis, P. A. </w:t>
      </w:r>
      <w:r w:rsidRPr="007926AE">
        <w:rPr>
          <w:rFonts w:ascii="Arial" w:hAnsi="Arial" w:cs="Arial"/>
          <w:i/>
          <w:iCs/>
          <w:color w:val="000000"/>
          <w:sz w:val="22"/>
          <w:szCs w:val="22"/>
        </w:rPr>
        <w:t>et al.</w:t>
      </w:r>
      <w:r w:rsidRPr="007926AE">
        <w:rPr>
          <w:rFonts w:ascii="Arial" w:hAnsi="Arial" w:cs="Arial"/>
          <w:color w:val="000000"/>
          <w:sz w:val="22"/>
          <w:szCs w:val="22"/>
        </w:rPr>
        <w:t xml:space="preserve"> Tailoring Adjuvant Endocrine Therapy for Premenopausal Breast Cancer. </w:t>
      </w:r>
      <w:r w:rsidRPr="007926AE">
        <w:rPr>
          <w:rFonts w:ascii="Arial" w:hAnsi="Arial" w:cs="Arial"/>
          <w:i/>
          <w:iCs/>
          <w:color w:val="000000"/>
          <w:sz w:val="22"/>
          <w:szCs w:val="22"/>
        </w:rPr>
        <w:t>N Engl J Med</w:t>
      </w:r>
      <w:r w:rsidRPr="007926AE">
        <w:rPr>
          <w:rFonts w:ascii="Arial" w:hAnsi="Arial" w:cs="Arial"/>
          <w:color w:val="000000"/>
          <w:sz w:val="22"/>
          <w:szCs w:val="22"/>
        </w:rPr>
        <w:t xml:space="preserve"> </w:t>
      </w:r>
      <w:r w:rsidRPr="007926AE">
        <w:rPr>
          <w:rFonts w:ascii="Arial" w:hAnsi="Arial" w:cs="Arial"/>
          <w:b/>
          <w:bCs/>
          <w:color w:val="000000"/>
          <w:sz w:val="22"/>
          <w:szCs w:val="22"/>
        </w:rPr>
        <w:t>379</w:t>
      </w:r>
      <w:r w:rsidRPr="007926AE">
        <w:rPr>
          <w:rFonts w:ascii="Arial" w:hAnsi="Arial" w:cs="Arial"/>
          <w:color w:val="000000"/>
          <w:sz w:val="22"/>
          <w:szCs w:val="22"/>
        </w:rPr>
        <w:t>, 122–137 (2018).</w:t>
      </w:r>
    </w:p>
    <w:p w14:paraId="03FF9C1E"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139.</w:t>
      </w:r>
      <w:r w:rsidRPr="007926AE">
        <w:rPr>
          <w:rFonts w:ascii="Arial" w:hAnsi="Arial" w:cs="Arial"/>
          <w:color w:val="000000"/>
          <w:sz w:val="22"/>
          <w:szCs w:val="22"/>
        </w:rPr>
        <w:tab/>
        <w:t xml:space="preserve">Early Breast Cancer Trialists’ Collaborative Group (EBCTCG). Comparisons between different polychemotherapy regimens for early breast cancer: meta-analyses of long-term outcome among 100 000 women in 123 randomised trials. </w:t>
      </w:r>
      <w:r w:rsidRPr="007926AE">
        <w:rPr>
          <w:rFonts w:ascii="Arial" w:hAnsi="Arial" w:cs="Arial"/>
          <w:i/>
          <w:iCs/>
          <w:color w:val="000000"/>
          <w:sz w:val="22"/>
          <w:szCs w:val="22"/>
        </w:rPr>
        <w:t>The Lancet</w:t>
      </w:r>
      <w:r w:rsidRPr="007926AE">
        <w:rPr>
          <w:rFonts w:ascii="Arial" w:hAnsi="Arial" w:cs="Arial"/>
          <w:color w:val="000000"/>
          <w:sz w:val="22"/>
          <w:szCs w:val="22"/>
        </w:rPr>
        <w:t xml:space="preserve"> </w:t>
      </w:r>
      <w:r w:rsidRPr="007926AE">
        <w:rPr>
          <w:rFonts w:ascii="Arial" w:hAnsi="Arial" w:cs="Arial"/>
          <w:b/>
          <w:bCs/>
          <w:color w:val="000000"/>
          <w:sz w:val="22"/>
          <w:szCs w:val="22"/>
        </w:rPr>
        <w:t>379</w:t>
      </w:r>
      <w:r w:rsidRPr="007926AE">
        <w:rPr>
          <w:rFonts w:ascii="Arial" w:hAnsi="Arial" w:cs="Arial"/>
          <w:color w:val="000000"/>
          <w:sz w:val="22"/>
          <w:szCs w:val="22"/>
        </w:rPr>
        <w:t>, 432–444 (2012).</w:t>
      </w:r>
    </w:p>
    <w:p w14:paraId="0014D92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140.</w:t>
      </w:r>
      <w:r w:rsidRPr="007926AE">
        <w:rPr>
          <w:rFonts w:ascii="Arial" w:hAnsi="Arial" w:cs="Arial"/>
          <w:color w:val="000000"/>
          <w:sz w:val="22"/>
          <w:szCs w:val="22"/>
        </w:rPr>
        <w:tab/>
        <w:t xml:space="preserve">Hanker, A. B., Sudhan, D. R. &amp; Arteaga, C. L. Overcoming Endocrine Resistance in Breast Cancer. </w:t>
      </w:r>
      <w:r w:rsidRPr="007926AE">
        <w:rPr>
          <w:rFonts w:ascii="Arial" w:hAnsi="Arial" w:cs="Arial"/>
          <w:i/>
          <w:iCs/>
          <w:color w:val="000000"/>
          <w:sz w:val="22"/>
          <w:szCs w:val="22"/>
        </w:rPr>
        <w:t>Cancer Cell</w:t>
      </w:r>
      <w:r w:rsidRPr="007926AE">
        <w:rPr>
          <w:rFonts w:ascii="Arial" w:hAnsi="Arial" w:cs="Arial"/>
          <w:color w:val="000000"/>
          <w:sz w:val="22"/>
          <w:szCs w:val="22"/>
        </w:rPr>
        <w:t xml:space="preserve"> </w:t>
      </w:r>
      <w:r w:rsidRPr="007926AE">
        <w:rPr>
          <w:rFonts w:ascii="Arial" w:hAnsi="Arial" w:cs="Arial"/>
          <w:b/>
          <w:bCs/>
          <w:color w:val="000000"/>
          <w:sz w:val="22"/>
          <w:szCs w:val="22"/>
        </w:rPr>
        <w:t>37</w:t>
      </w:r>
      <w:r w:rsidRPr="007926AE">
        <w:rPr>
          <w:rFonts w:ascii="Arial" w:hAnsi="Arial" w:cs="Arial"/>
          <w:color w:val="000000"/>
          <w:sz w:val="22"/>
          <w:szCs w:val="22"/>
        </w:rPr>
        <w:t>, 496–513 (2020).</w:t>
      </w:r>
    </w:p>
    <w:p w14:paraId="3ADAA39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141.</w:t>
      </w:r>
      <w:r w:rsidRPr="007926AE">
        <w:rPr>
          <w:rFonts w:ascii="Arial" w:hAnsi="Arial" w:cs="Arial"/>
          <w:color w:val="000000"/>
          <w:sz w:val="22"/>
          <w:szCs w:val="22"/>
        </w:rPr>
        <w:tab/>
        <w:t xml:space="preserve">Wolff, A. C. </w:t>
      </w:r>
      <w:r w:rsidRPr="007926AE">
        <w:rPr>
          <w:rFonts w:ascii="Arial" w:hAnsi="Arial" w:cs="Arial"/>
          <w:i/>
          <w:iCs/>
          <w:color w:val="000000"/>
          <w:sz w:val="22"/>
          <w:szCs w:val="22"/>
        </w:rPr>
        <w:t>et al.</w:t>
      </w:r>
      <w:r w:rsidRPr="007926AE">
        <w:rPr>
          <w:rFonts w:ascii="Arial" w:hAnsi="Arial" w:cs="Arial"/>
          <w:color w:val="000000"/>
          <w:sz w:val="22"/>
          <w:szCs w:val="22"/>
        </w:rPr>
        <w:t xml:space="preserve"> Recommendations for Human Epidermal Growth Factor Receptor 2 Testing in Breast Cancer: American Society of Clinical Oncology/College of American Pathologists Clinical Practice Guideline Update. </w:t>
      </w:r>
      <w:r w:rsidRPr="007926AE">
        <w:rPr>
          <w:rFonts w:ascii="Arial" w:hAnsi="Arial" w:cs="Arial"/>
          <w:i/>
          <w:iCs/>
          <w:color w:val="000000"/>
          <w:sz w:val="22"/>
          <w:szCs w:val="22"/>
        </w:rPr>
        <w:t>JCO</w:t>
      </w:r>
      <w:r w:rsidRPr="007926AE">
        <w:rPr>
          <w:rFonts w:ascii="Arial" w:hAnsi="Arial" w:cs="Arial"/>
          <w:color w:val="000000"/>
          <w:sz w:val="22"/>
          <w:szCs w:val="22"/>
        </w:rPr>
        <w:t xml:space="preserve"> </w:t>
      </w:r>
      <w:r w:rsidRPr="007926AE">
        <w:rPr>
          <w:rFonts w:ascii="Arial" w:hAnsi="Arial" w:cs="Arial"/>
          <w:b/>
          <w:bCs/>
          <w:color w:val="000000"/>
          <w:sz w:val="22"/>
          <w:szCs w:val="22"/>
        </w:rPr>
        <w:t>31</w:t>
      </w:r>
      <w:r w:rsidRPr="007926AE">
        <w:rPr>
          <w:rFonts w:ascii="Arial" w:hAnsi="Arial" w:cs="Arial"/>
          <w:color w:val="000000"/>
          <w:sz w:val="22"/>
          <w:szCs w:val="22"/>
        </w:rPr>
        <w:t>, 3997–4013 (2013).</w:t>
      </w:r>
    </w:p>
    <w:p w14:paraId="70C311E7"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142.</w:t>
      </w:r>
      <w:r w:rsidRPr="007926AE">
        <w:rPr>
          <w:rFonts w:ascii="Arial" w:hAnsi="Arial" w:cs="Arial"/>
          <w:color w:val="000000"/>
          <w:sz w:val="22"/>
          <w:szCs w:val="22"/>
        </w:rPr>
        <w:tab/>
        <w:t xml:space="preserve">Piccart-Gebhart, M. J. </w:t>
      </w:r>
      <w:r w:rsidRPr="007926AE">
        <w:rPr>
          <w:rFonts w:ascii="Arial" w:hAnsi="Arial" w:cs="Arial"/>
          <w:i/>
          <w:iCs/>
          <w:color w:val="000000"/>
          <w:sz w:val="22"/>
          <w:szCs w:val="22"/>
        </w:rPr>
        <w:t>et al.</w:t>
      </w:r>
      <w:r w:rsidRPr="007926AE">
        <w:rPr>
          <w:rFonts w:ascii="Arial" w:hAnsi="Arial" w:cs="Arial"/>
          <w:color w:val="000000"/>
          <w:sz w:val="22"/>
          <w:szCs w:val="22"/>
        </w:rPr>
        <w:t xml:space="preserve"> Trastuzumab after Adjuvant Chemotherapy in HER2-Positive Breast Cancer. </w:t>
      </w:r>
      <w:r w:rsidRPr="007926AE">
        <w:rPr>
          <w:rFonts w:ascii="Arial" w:hAnsi="Arial" w:cs="Arial"/>
          <w:i/>
          <w:iCs/>
          <w:color w:val="000000"/>
          <w:sz w:val="22"/>
          <w:szCs w:val="22"/>
        </w:rPr>
        <w:t>The New England Journal of Medicine</w:t>
      </w:r>
      <w:r w:rsidRPr="007926AE">
        <w:rPr>
          <w:rFonts w:ascii="Arial" w:hAnsi="Arial" w:cs="Arial"/>
          <w:color w:val="000000"/>
          <w:sz w:val="22"/>
          <w:szCs w:val="22"/>
        </w:rPr>
        <w:t xml:space="preserve"> 14 (2005).</w:t>
      </w:r>
    </w:p>
    <w:p w14:paraId="0692B2EC"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143.</w:t>
      </w:r>
      <w:r w:rsidRPr="007926AE">
        <w:rPr>
          <w:rFonts w:ascii="Arial" w:hAnsi="Arial" w:cs="Arial"/>
          <w:color w:val="000000"/>
          <w:sz w:val="22"/>
          <w:szCs w:val="22"/>
        </w:rPr>
        <w:tab/>
        <w:t xml:space="preserve">Mitsogianni, M. </w:t>
      </w:r>
      <w:r w:rsidRPr="007926AE">
        <w:rPr>
          <w:rFonts w:ascii="Arial" w:hAnsi="Arial" w:cs="Arial"/>
          <w:i/>
          <w:iCs/>
          <w:color w:val="000000"/>
          <w:sz w:val="22"/>
          <w:szCs w:val="22"/>
        </w:rPr>
        <w:t>et al.</w:t>
      </w:r>
      <w:r w:rsidRPr="007926AE">
        <w:rPr>
          <w:rFonts w:ascii="Arial" w:hAnsi="Arial" w:cs="Arial"/>
          <w:color w:val="000000"/>
          <w:sz w:val="22"/>
          <w:szCs w:val="22"/>
        </w:rPr>
        <w:t xml:space="preserve"> The changing treatment of metastatic her2</w:t>
      </w:r>
      <w:r w:rsidRPr="007926AE">
        <w:rPr>
          <w:rFonts w:ascii="Cambria Math" w:hAnsi="Cambria Math" w:cs="Cambria Math"/>
          <w:color w:val="000000"/>
          <w:sz w:val="22"/>
          <w:szCs w:val="22"/>
        </w:rPr>
        <w:t>‑</w:t>
      </w:r>
      <w:r w:rsidRPr="007926AE">
        <w:rPr>
          <w:rFonts w:ascii="Arial" w:hAnsi="Arial" w:cs="Arial"/>
          <w:color w:val="000000"/>
          <w:sz w:val="22"/>
          <w:szCs w:val="22"/>
        </w:rPr>
        <w:t xml:space="preserve">positive breast cancer (Review). </w:t>
      </w:r>
      <w:r w:rsidRPr="007926AE">
        <w:rPr>
          <w:rFonts w:ascii="Arial" w:hAnsi="Arial" w:cs="Arial"/>
          <w:i/>
          <w:iCs/>
          <w:color w:val="000000"/>
          <w:sz w:val="22"/>
          <w:szCs w:val="22"/>
        </w:rPr>
        <w:t>Oncol Lett</w:t>
      </w:r>
      <w:r w:rsidRPr="007926AE">
        <w:rPr>
          <w:rFonts w:ascii="Arial" w:hAnsi="Arial" w:cs="Arial"/>
          <w:color w:val="000000"/>
          <w:sz w:val="22"/>
          <w:szCs w:val="22"/>
        </w:rPr>
        <w:t xml:space="preserve"> </w:t>
      </w:r>
      <w:r w:rsidRPr="007926AE">
        <w:rPr>
          <w:rFonts w:ascii="Arial" w:hAnsi="Arial" w:cs="Arial"/>
          <w:b/>
          <w:bCs/>
          <w:color w:val="000000"/>
          <w:sz w:val="22"/>
          <w:szCs w:val="22"/>
        </w:rPr>
        <w:t>21</w:t>
      </w:r>
      <w:r w:rsidRPr="007926AE">
        <w:rPr>
          <w:rFonts w:ascii="Arial" w:hAnsi="Arial" w:cs="Arial"/>
          <w:color w:val="000000"/>
          <w:sz w:val="22"/>
          <w:szCs w:val="22"/>
        </w:rPr>
        <w:t>, 287 (2021).</w:t>
      </w:r>
    </w:p>
    <w:p w14:paraId="44E6BFB5"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144.</w:t>
      </w:r>
      <w:r w:rsidRPr="007926AE">
        <w:rPr>
          <w:rFonts w:ascii="Arial" w:hAnsi="Arial" w:cs="Arial"/>
          <w:color w:val="000000"/>
          <w:sz w:val="22"/>
          <w:szCs w:val="22"/>
        </w:rPr>
        <w:tab/>
        <w:t xml:space="preserve">Fink, M. Y. &amp; Chipuk, J. E. Survival of HER2-Positive Breast Cancer Cells: Receptor Signaling to Apoptotic Control Centers. </w:t>
      </w:r>
      <w:r w:rsidRPr="007926AE">
        <w:rPr>
          <w:rFonts w:ascii="Arial" w:hAnsi="Arial" w:cs="Arial"/>
          <w:i/>
          <w:iCs/>
          <w:color w:val="000000"/>
          <w:sz w:val="22"/>
          <w:szCs w:val="22"/>
        </w:rPr>
        <w:t>Genes &amp; Cancer</w:t>
      </w:r>
      <w:r w:rsidRPr="007926AE">
        <w:rPr>
          <w:rFonts w:ascii="Arial" w:hAnsi="Arial" w:cs="Arial"/>
          <w:color w:val="000000"/>
          <w:sz w:val="22"/>
          <w:szCs w:val="22"/>
        </w:rPr>
        <w:t xml:space="preserve"> </w:t>
      </w:r>
      <w:r w:rsidRPr="007926AE">
        <w:rPr>
          <w:rFonts w:ascii="Arial" w:hAnsi="Arial" w:cs="Arial"/>
          <w:b/>
          <w:bCs/>
          <w:color w:val="000000"/>
          <w:sz w:val="22"/>
          <w:szCs w:val="22"/>
        </w:rPr>
        <w:t>4</w:t>
      </w:r>
      <w:r w:rsidRPr="007926AE">
        <w:rPr>
          <w:rFonts w:ascii="Arial" w:hAnsi="Arial" w:cs="Arial"/>
          <w:color w:val="000000"/>
          <w:sz w:val="22"/>
          <w:szCs w:val="22"/>
        </w:rPr>
        <w:t>, 187–195 (2013).</w:t>
      </w:r>
    </w:p>
    <w:p w14:paraId="63555087"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145.</w:t>
      </w:r>
      <w:r w:rsidRPr="007926AE">
        <w:rPr>
          <w:rFonts w:ascii="Arial" w:hAnsi="Arial" w:cs="Arial"/>
          <w:color w:val="000000"/>
          <w:sz w:val="22"/>
          <w:szCs w:val="22"/>
        </w:rPr>
        <w:tab/>
        <w:t xml:space="preserve">Richard, S. </w:t>
      </w:r>
      <w:r w:rsidRPr="007926AE">
        <w:rPr>
          <w:rFonts w:ascii="Arial" w:hAnsi="Arial" w:cs="Arial"/>
          <w:i/>
          <w:iCs/>
          <w:color w:val="000000"/>
          <w:sz w:val="22"/>
          <w:szCs w:val="22"/>
        </w:rPr>
        <w:t>et al.</w:t>
      </w:r>
      <w:r w:rsidRPr="007926AE">
        <w:rPr>
          <w:rFonts w:ascii="Arial" w:hAnsi="Arial" w:cs="Arial"/>
          <w:color w:val="000000"/>
          <w:sz w:val="22"/>
          <w:szCs w:val="22"/>
        </w:rPr>
        <w:t xml:space="preserve"> Pertuzumab and trastuzumab: the rationale way to synergy. </w:t>
      </w:r>
      <w:r w:rsidRPr="007926AE">
        <w:rPr>
          <w:rFonts w:ascii="Arial" w:hAnsi="Arial" w:cs="Arial"/>
          <w:i/>
          <w:iCs/>
          <w:color w:val="000000"/>
          <w:sz w:val="22"/>
          <w:szCs w:val="22"/>
        </w:rPr>
        <w:t>An. Acad. Bras. Ciênc.</w:t>
      </w:r>
      <w:r w:rsidRPr="007926AE">
        <w:rPr>
          <w:rFonts w:ascii="Arial" w:hAnsi="Arial" w:cs="Arial"/>
          <w:color w:val="000000"/>
          <w:sz w:val="22"/>
          <w:szCs w:val="22"/>
        </w:rPr>
        <w:t xml:space="preserve"> </w:t>
      </w:r>
      <w:r w:rsidRPr="007926AE">
        <w:rPr>
          <w:rFonts w:ascii="Arial" w:hAnsi="Arial" w:cs="Arial"/>
          <w:b/>
          <w:bCs/>
          <w:color w:val="000000"/>
          <w:sz w:val="22"/>
          <w:szCs w:val="22"/>
        </w:rPr>
        <w:t>88</w:t>
      </w:r>
      <w:r w:rsidRPr="007926AE">
        <w:rPr>
          <w:rFonts w:ascii="Arial" w:hAnsi="Arial" w:cs="Arial"/>
          <w:color w:val="000000"/>
          <w:sz w:val="22"/>
          <w:szCs w:val="22"/>
        </w:rPr>
        <w:t>, 565–577 (2016).</w:t>
      </w:r>
    </w:p>
    <w:p w14:paraId="5AFF39B6"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146.</w:t>
      </w:r>
      <w:r w:rsidRPr="007926AE">
        <w:rPr>
          <w:rFonts w:ascii="Arial" w:hAnsi="Arial" w:cs="Arial"/>
          <w:color w:val="000000"/>
          <w:sz w:val="22"/>
          <w:szCs w:val="22"/>
        </w:rPr>
        <w:tab/>
        <w:t xml:space="preserve">Tolaney, S. M. </w:t>
      </w:r>
      <w:r w:rsidRPr="007926AE">
        <w:rPr>
          <w:rFonts w:ascii="Arial" w:hAnsi="Arial" w:cs="Arial"/>
          <w:i/>
          <w:iCs/>
          <w:color w:val="000000"/>
          <w:sz w:val="22"/>
          <w:szCs w:val="22"/>
        </w:rPr>
        <w:t>et al.</w:t>
      </w:r>
      <w:r w:rsidRPr="007926AE">
        <w:rPr>
          <w:rFonts w:ascii="Arial" w:hAnsi="Arial" w:cs="Arial"/>
          <w:color w:val="000000"/>
          <w:sz w:val="22"/>
          <w:szCs w:val="22"/>
        </w:rPr>
        <w:t xml:space="preserve"> Seven-Year Follow-Up Analysis of Adjuvant Paclitaxel and Trastuzumab Trial for Node-Negative, Human Epidermal Growth Factor Receptor 2–Positive Breast Cancer. </w:t>
      </w:r>
      <w:r w:rsidRPr="007926AE">
        <w:rPr>
          <w:rFonts w:ascii="Arial" w:hAnsi="Arial" w:cs="Arial"/>
          <w:i/>
          <w:iCs/>
          <w:color w:val="000000"/>
          <w:sz w:val="22"/>
          <w:szCs w:val="22"/>
        </w:rPr>
        <w:t>JCO</w:t>
      </w:r>
      <w:r w:rsidRPr="007926AE">
        <w:rPr>
          <w:rFonts w:ascii="Arial" w:hAnsi="Arial" w:cs="Arial"/>
          <w:color w:val="000000"/>
          <w:sz w:val="22"/>
          <w:szCs w:val="22"/>
        </w:rPr>
        <w:t xml:space="preserve"> </w:t>
      </w:r>
      <w:r w:rsidRPr="007926AE">
        <w:rPr>
          <w:rFonts w:ascii="Arial" w:hAnsi="Arial" w:cs="Arial"/>
          <w:b/>
          <w:bCs/>
          <w:color w:val="000000"/>
          <w:sz w:val="22"/>
          <w:szCs w:val="22"/>
        </w:rPr>
        <w:t>37</w:t>
      </w:r>
      <w:r w:rsidRPr="007926AE">
        <w:rPr>
          <w:rFonts w:ascii="Arial" w:hAnsi="Arial" w:cs="Arial"/>
          <w:color w:val="000000"/>
          <w:sz w:val="22"/>
          <w:szCs w:val="22"/>
        </w:rPr>
        <w:t>, 1868–1875 (2019).</w:t>
      </w:r>
    </w:p>
    <w:p w14:paraId="0C55DFD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147.</w:t>
      </w:r>
      <w:r w:rsidRPr="007926AE">
        <w:rPr>
          <w:rFonts w:ascii="Arial" w:hAnsi="Arial" w:cs="Arial"/>
          <w:color w:val="000000"/>
          <w:sz w:val="22"/>
          <w:szCs w:val="22"/>
        </w:rPr>
        <w:tab/>
        <w:t xml:space="preserve">von Minckwitz, G. </w:t>
      </w:r>
      <w:r w:rsidRPr="007926AE">
        <w:rPr>
          <w:rFonts w:ascii="Arial" w:hAnsi="Arial" w:cs="Arial"/>
          <w:i/>
          <w:iCs/>
          <w:color w:val="000000"/>
          <w:sz w:val="22"/>
          <w:szCs w:val="22"/>
        </w:rPr>
        <w:t>et al.</w:t>
      </w:r>
      <w:r w:rsidRPr="007926AE">
        <w:rPr>
          <w:rFonts w:ascii="Arial" w:hAnsi="Arial" w:cs="Arial"/>
          <w:color w:val="000000"/>
          <w:sz w:val="22"/>
          <w:szCs w:val="22"/>
        </w:rPr>
        <w:t xml:space="preserve"> Adjuvant Pertuzumab and Trastuzumab in Early HER2-Positive Breast Cancer. </w:t>
      </w:r>
      <w:r w:rsidRPr="007926AE">
        <w:rPr>
          <w:rFonts w:ascii="Arial" w:hAnsi="Arial" w:cs="Arial"/>
          <w:i/>
          <w:iCs/>
          <w:color w:val="000000"/>
          <w:sz w:val="22"/>
          <w:szCs w:val="22"/>
        </w:rPr>
        <w:t>N Engl J Med</w:t>
      </w:r>
      <w:r w:rsidRPr="007926AE">
        <w:rPr>
          <w:rFonts w:ascii="Arial" w:hAnsi="Arial" w:cs="Arial"/>
          <w:color w:val="000000"/>
          <w:sz w:val="22"/>
          <w:szCs w:val="22"/>
        </w:rPr>
        <w:t xml:space="preserve"> </w:t>
      </w:r>
      <w:r w:rsidRPr="007926AE">
        <w:rPr>
          <w:rFonts w:ascii="Arial" w:hAnsi="Arial" w:cs="Arial"/>
          <w:b/>
          <w:bCs/>
          <w:color w:val="000000"/>
          <w:sz w:val="22"/>
          <w:szCs w:val="22"/>
        </w:rPr>
        <w:t>377</w:t>
      </w:r>
      <w:r w:rsidRPr="007926AE">
        <w:rPr>
          <w:rFonts w:ascii="Arial" w:hAnsi="Arial" w:cs="Arial"/>
          <w:color w:val="000000"/>
          <w:sz w:val="22"/>
          <w:szCs w:val="22"/>
        </w:rPr>
        <w:t>, 122–131 (2017).</w:t>
      </w:r>
    </w:p>
    <w:p w14:paraId="557859EC"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148.</w:t>
      </w:r>
      <w:r w:rsidRPr="007926AE">
        <w:rPr>
          <w:rFonts w:ascii="Arial" w:hAnsi="Arial" w:cs="Arial"/>
          <w:color w:val="000000"/>
          <w:sz w:val="22"/>
          <w:szCs w:val="22"/>
        </w:rPr>
        <w:tab/>
        <w:t xml:space="preserve">von Minckwitz, G. </w:t>
      </w:r>
      <w:r w:rsidRPr="007926AE">
        <w:rPr>
          <w:rFonts w:ascii="Arial" w:hAnsi="Arial" w:cs="Arial"/>
          <w:i/>
          <w:iCs/>
          <w:color w:val="000000"/>
          <w:sz w:val="22"/>
          <w:szCs w:val="22"/>
        </w:rPr>
        <w:t>et al.</w:t>
      </w:r>
      <w:r w:rsidRPr="007926AE">
        <w:rPr>
          <w:rFonts w:ascii="Arial" w:hAnsi="Arial" w:cs="Arial"/>
          <w:color w:val="000000"/>
          <w:sz w:val="22"/>
          <w:szCs w:val="22"/>
        </w:rPr>
        <w:t xml:space="preserve"> Trastuzumab Beyond Progression in Human Epidermal Growth Factor Receptor 2–Positive Advanced Breast Cancer: A German Breast Group 26/Breast International Group 03-05 Study. </w:t>
      </w:r>
      <w:r w:rsidRPr="007926AE">
        <w:rPr>
          <w:rFonts w:ascii="Arial" w:hAnsi="Arial" w:cs="Arial"/>
          <w:i/>
          <w:iCs/>
          <w:color w:val="000000"/>
          <w:sz w:val="22"/>
          <w:szCs w:val="22"/>
        </w:rPr>
        <w:t>JCO</w:t>
      </w:r>
      <w:r w:rsidRPr="007926AE">
        <w:rPr>
          <w:rFonts w:ascii="Arial" w:hAnsi="Arial" w:cs="Arial"/>
          <w:color w:val="000000"/>
          <w:sz w:val="22"/>
          <w:szCs w:val="22"/>
        </w:rPr>
        <w:t xml:space="preserve"> </w:t>
      </w:r>
      <w:r w:rsidRPr="007926AE">
        <w:rPr>
          <w:rFonts w:ascii="Arial" w:hAnsi="Arial" w:cs="Arial"/>
          <w:b/>
          <w:bCs/>
          <w:color w:val="000000"/>
          <w:sz w:val="22"/>
          <w:szCs w:val="22"/>
        </w:rPr>
        <w:t>27</w:t>
      </w:r>
      <w:r w:rsidRPr="007926AE">
        <w:rPr>
          <w:rFonts w:ascii="Arial" w:hAnsi="Arial" w:cs="Arial"/>
          <w:color w:val="000000"/>
          <w:sz w:val="22"/>
          <w:szCs w:val="22"/>
        </w:rPr>
        <w:t>, 1999–2006 (2009).</w:t>
      </w:r>
    </w:p>
    <w:p w14:paraId="051E9C6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149.</w:t>
      </w:r>
      <w:r w:rsidRPr="007926AE">
        <w:rPr>
          <w:rFonts w:ascii="Arial" w:hAnsi="Arial" w:cs="Arial"/>
          <w:color w:val="000000"/>
          <w:sz w:val="22"/>
          <w:szCs w:val="22"/>
        </w:rPr>
        <w:tab/>
        <w:t xml:space="preserve">Hortobagyi, G. N., Edge, S. B. &amp; Giuliano, A. New and Important Changes in the TNM Staging System for Breast Cancer. </w:t>
      </w:r>
      <w:r w:rsidRPr="007926AE">
        <w:rPr>
          <w:rFonts w:ascii="Arial" w:hAnsi="Arial" w:cs="Arial"/>
          <w:i/>
          <w:iCs/>
          <w:color w:val="000000"/>
          <w:sz w:val="22"/>
          <w:szCs w:val="22"/>
        </w:rPr>
        <w:t>American Society of Clinical Oncology Educational Book</w:t>
      </w:r>
      <w:r w:rsidRPr="007926AE">
        <w:rPr>
          <w:rFonts w:ascii="Arial" w:hAnsi="Arial" w:cs="Arial"/>
          <w:color w:val="000000"/>
          <w:sz w:val="22"/>
          <w:szCs w:val="22"/>
        </w:rPr>
        <w:t xml:space="preserve"> 457–467 (2018) doi:10.1200/EDBK_201313.</w:t>
      </w:r>
    </w:p>
    <w:p w14:paraId="026239C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150.</w:t>
      </w:r>
      <w:r w:rsidRPr="007926AE">
        <w:rPr>
          <w:rFonts w:ascii="Arial" w:hAnsi="Arial" w:cs="Arial"/>
          <w:color w:val="000000"/>
          <w:sz w:val="22"/>
          <w:szCs w:val="22"/>
        </w:rPr>
        <w:tab/>
        <w:t xml:space="preserve">Coleman, C. Early Detection and Screening for Breast Cancer. </w:t>
      </w:r>
      <w:r w:rsidRPr="007926AE">
        <w:rPr>
          <w:rFonts w:ascii="Arial" w:hAnsi="Arial" w:cs="Arial"/>
          <w:i/>
          <w:iCs/>
          <w:color w:val="000000"/>
          <w:sz w:val="22"/>
          <w:szCs w:val="22"/>
        </w:rPr>
        <w:t>Seminars in Oncology Nursing</w:t>
      </w:r>
      <w:r w:rsidRPr="007926AE">
        <w:rPr>
          <w:rFonts w:ascii="Arial" w:hAnsi="Arial" w:cs="Arial"/>
          <w:color w:val="000000"/>
          <w:sz w:val="22"/>
          <w:szCs w:val="22"/>
        </w:rPr>
        <w:t xml:space="preserve"> </w:t>
      </w:r>
      <w:r w:rsidRPr="007926AE">
        <w:rPr>
          <w:rFonts w:ascii="Arial" w:hAnsi="Arial" w:cs="Arial"/>
          <w:b/>
          <w:bCs/>
          <w:color w:val="000000"/>
          <w:sz w:val="22"/>
          <w:szCs w:val="22"/>
        </w:rPr>
        <w:t>33</w:t>
      </w:r>
      <w:r w:rsidRPr="007926AE">
        <w:rPr>
          <w:rFonts w:ascii="Arial" w:hAnsi="Arial" w:cs="Arial"/>
          <w:color w:val="000000"/>
          <w:sz w:val="22"/>
          <w:szCs w:val="22"/>
        </w:rPr>
        <w:t>, 141–155 (2017).</w:t>
      </w:r>
    </w:p>
    <w:p w14:paraId="0D4FBA3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151.</w:t>
      </w:r>
      <w:r w:rsidRPr="007926AE">
        <w:rPr>
          <w:rFonts w:ascii="Arial" w:hAnsi="Arial" w:cs="Arial"/>
          <w:color w:val="000000"/>
          <w:sz w:val="22"/>
          <w:szCs w:val="22"/>
        </w:rPr>
        <w:tab/>
        <w:t xml:space="preserve">Yin, L., Duan, J.-J., Bian, X.-W. &amp; Yu, S. Triple-negative breast cancer molecular subtyping and treatment progress. </w:t>
      </w:r>
      <w:r w:rsidRPr="007926AE">
        <w:rPr>
          <w:rFonts w:ascii="Arial" w:hAnsi="Arial" w:cs="Arial"/>
          <w:i/>
          <w:iCs/>
          <w:color w:val="000000"/>
          <w:sz w:val="22"/>
          <w:szCs w:val="22"/>
        </w:rPr>
        <w:t>Breast Cancer Res</w:t>
      </w:r>
      <w:r w:rsidRPr="007926AE">
        <w:rPr>
          <w:rFonts w:ascii="Arial" w:hAnsi="Arial" w:cs="Arial"/>
          <w:color w:val="000000"/>
          <w:sz w:val="22"/>
          <w:szCs w:val="22"/>
        </w:rPr>
        <w:t xml:space="preserve"> </w:t>
      </w:r>
      <w:r w:rsidRPr="007926AE">
        <w:rPr>
          <w:rFonts w:ascii="Arial" w:hAnsi="Arial" w:cs="Arial"/>
          <w:b/>
          <w:bCs/>
          <w:color w:val="000000"/>
          <w:sz w:val="22"/>
          <w:szCs w:val="22"/>
        </w:rPr>
        <w:t>22</w:t>
      </w:r>
      <w:r w:rsidRPr="007926AE">
        <w:rPr>
          <w:rFonts w:ascii="Arial" w:hAnsi="Arial" w:cs="Arial"/>
          <w:color w:val="000000"/>
          <w:sz w:val="22"/>
          <w:szCs w:val="22"/>
        </w:rPr>
        <w:t>, 61 (2020).</w:t>
      </w:r>
    </w:p>
    <w:p w14:paraId="46A7ED4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152.</w:t>
      </w:r>
      <w:r w:rsidRPr="007926AE">
        <w:rPr>
          <w:rFonts w:ascii="Arial" w:hAnsi="Arial" w:cs="Arial"/>
          <w:color w:val="000000"/>
          <w:sz w:val="22"/>
          <w:szCs w:val="22"/>
        </w:rPr>
        <w:tab/>
        <w:t xml:space="preserve">Siegel, R. L., Miller, K. D. &amp; Jemal, A. Cancer statistics, 2019. </w:t>
      </w:r>
      <w:r w:rsidRPr="007926AE">
        <w:rPr>
          <w:rFonts w:ascii="Arial" w:hAnsi="Arial" w:cs="Arial"/>
          <w:i/>
          <w:iCs/>
          <w:color w:val="000000"/>
          <w:sz w:val="22"/>
          <w:szCs w:val="22"/>
        </w:rPr>
        <w:t>CA: A Cancer Journal for Clinicians</w:t>
      </w:r>
      <w:r w:rsidRPr="007926AE">
        <w:rPr>
          <w:rFonts w:ascii="Arial" w:hAnsi="Arial" w:cs="Arial"/>
          <w:color w:val="000000"/>
          <w:sz w:val="22"/>
          <w:szCs w:val="22"/>
        </w:rPr>
        <w:t xml:space="preserve"> </w:t>
      </w:r>
      <w:r w:rsidRPr="007926AE">
        <w:rPr>
          <w:rFonts w:ascii="Arial" w:hAnsi="Arial" w:cs="Arial"/>
          <w:b/>
          <w:bCs/>
          <w:color w:val="000000"/>
          <w:sz w:val="22"/>
          <w:szCs w:val="22"/>
        </w:rPr>
        <w:t>69</w:t>
      </w:r>
      <w:r w:rsidRPr="007926AE">
        <w:rPr>
          <w:rFonts w:ascii="Arial" w:hAnsi="Arial" w:cs="Arial"/>
          <w:color w:val="000000"/>
          <w:sz w:val="22"/>
          <w:szCs w:val="22"/>
        </w:rPr>
        <w:t>, 7–34 (2019).</w:t>
      </w:r>
    </w:p>
    <w:p w14:paraId="3345D190"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153.</w:t>
      </w:r>
      <w:r w:rsidRPr="007926AE">
        <w:rPr>
          <w:rFonts w:ascii="Arial" w:hAnsi="Arial" w:cs="Arial"/>
          <w:color w:val="000000"/>
          <w:sz w:val="22"/>
          <w:szCs w:val="22"/>
        </w:rPr>
        <w:tab/>
        <w:t xml:space="preserve">Costa, R. L. B. &amp; Gradishar, W. J. Triple-Negative Breast Cancer: Current Practice and Future Directions. </w:t>
      </w:r>
      <w:r w:rsidRPr="007926AE">
        <w:rPr>
          <w:rFonts w:ascii="Arial" w:hAnsi="Arial" w:cs="Arial"/>
          <w:i/>
          <w:iCs/>
          <w:color w:val="000000"/>
          <w:sz w:val="22"/>
          <w:szCs w:val="22"/>
        </w:rPr>
        <w:t>Journal of Oncology Practice</w:t>
      </w:r>
      <w:r w:rsidRPr="007926AE">
        <w:rPr>
          <w:rFonts w:ascii="Arial" w:hAnsi="Arial" w:cs="Arial"/>
          <w:color w:val="000000"/>
          <w:sz w:val="22"/>
          <w:szCs w:val="22"/>
        </w:rPr>
        <w:t xml:space="preserve"> </w:t>
      </w:r>
      <w:r w:rsidRPr="007926AE">
        <w:rPr>
          <w:rFonts w:ascii="Arial" w:hAnsi="Arial" w:cs="Arial"/>
          <w:b/>
          <w:bCs/>
          <w:color w:val="000000"/>
          <w:sz w:val="22"/>
          <w:szCs w:val="22"/>
        </w:rPr>
        <w:t>13</w:t>
      </w:r>
      <w:r w:rsidRPr="007926AE">
        <w:rPr>
          <w:rFonts w:ascii="Arial" w:hAnsi="Arial" w:cs="Arial"/>
          <w:color w:val="000000"/>
          <w:sz w:val="22"/>
          <w:szCs w:val="22"/>
        </w:rPr>
        <w:t>, 301–303 (2017).</w:t>
      </w:r>
    </w:p>
    <w:p w14:paraId="18854EA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154.</w:t>
      </w:r>
      <w:r w:rsidRPr="007926AE">
        <w:rPr>
          <w:rFonts w:ascii="Arial" w:hAnsi="Arial" w:cs="Arial"/>
          <w:color w:val="000000"/>
          <w:sz w:val="22"/>
          <w:szCs w:val="22"/>
        </w:rPr>
        <w:tab/>
        <w:t xml:space="preserve">Plevritis, S. K. </w:t>
      </w:r>
      <w:r w:rsidRPr="007926AE">
        <w:rPr>
          <w:rFonts w:ascii="Arial" w:hAnsi="Arial" w:cs="Arial"/>
          <w:i/>
          <w:iCs/>
          <w:color w:val="000000"/>
          <w:sz w:val="22"/>
          <w:szCs w:val="22"/>
        </w:rPr>
        <w:t>et al.</w:t>
      </w:r>
      <w:r w:rsidRPr="007926AE">
        <w:rPr>
          <w:rFonts w:ascii="Arial" w:hAnsi="Arial" w:cs="Arial"/>
          <w:color w:val="000000"/>
          <w:sz w:val="22"/>
          <w:szCs w:val="22"/>
        </w:rPr>
        <w:t xml:space="preserve"> Association of screening and treatment with breast cancer mortality by molecular subtype in US women, 2000-2012. </w:t>
      </w:r>
      <w:r w:rsidRPr="007926AE">
        <w:rPr>
          <w:rFonts w:ascii="Arial" w:hAnsi="Arial" w:cs="Arial"/>
          <w:i/>
          <w:iCs/>
          <w:color w:val="000000"/>
          <w:sz w:val="22"/>
          <w:szCs w:val="22"/>
        </w:rPr>
        <w:t>JAMA - Journal of the American Medical Association</w:t>
      </w:r>
      <w:r w:rsidRPr="007926AE">
        <w:rPr>
          <w:rFonts w:ascii="Arial" w:hAnsi="Arial" w:cs="Arial"/>
          <w:color w:val="000000"/>
          <w:sz w:val="22"/>
          <w:szCs w:val="22"/>
        </w:rPr>
        <w:t xml:space="preserve"> </w:t>
      </w:r>
      <w:r w:rsidRPr="007926AE">
        <w:rPr>
          <w:rFonts w:ascii="Arial" w:hAnsi="Arial" w:cs="Arial"/>
          <w:b/>
          <w:bCs/>
          <w:color w:val="000000"/>
          <w:sz w:val="22"/>
          <w:szCs w:val="22"/>
        </w:rPr>
        <w:t>319</w:t>
      </w:r>
      <w:r w:rsidRPr="007926AE">
        <w:rPr>
          <w:rFonts w:ascii="Arial" w:hAnsi="Arial" w:cs="Arial"/>
          <w:color w:val="000000"/>
          <w:sz w:val="22"/>
          <w:szCs w:val="22"/>
        </w:rPr>
        <w:t>, 154–164 (2018).</w:t>
      </w:r>
    </w:p>
    <w:p w14:paraId="4D26AE70"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155.</w:t>
      </w:r>
      <w:r w:rsidRPr="007926AE">
        <w:rPr>
          <w:rFonts w:ascii="Arial" w:hAnsi="Arial" w:cs="Arial"/>
          <w:color w:val="000000"/>
          <w:sz w:val="22"/>
          <w:szCs w:val="22"/>
        </w:rPr>
        <w:tab/>
        <w:t xml:space="preserve">Guarneri, V. </w:t>
      </w:r>
      <w:r w:rsidRPr="007926AE">
        <w:rPr>
          <w:rFonts w:ascii="Arial" w:hAnsi="Arial" w:cs="Arial"/>
          <w:i/>
          <w:iCs/>
          <w:color w:val="000000"/>
          <w:sz w:val="22"/>
          <w:szCs w:val="22"/>
        </w:rPr>
        <w:t>et al.</w:t>
      </w:r>
      <w:r w:rsidRPr="007926AE">
        <w:rPr>
          <w:rFonts w:ascii="Arial" w:hAnsi="Arial" w:cs="Arial"/>
          <w:color w:val="000000"/>
          <w:sz w:val="22"/>
          <w:szCs w:val="22"/>
        </w:rPr>
        <w:t xml:space="preserve"> Prognostic value of pathologic complete response after primary chemotherapy in relation to hormone receptor status and other factors. </w:t>
      </w:r>
      <w:r w:rsidRPr="007926AE">
        <w:rPr>
          <w:rFonts w:ascii="Arial" w:hAnsi="Arial" w:cs="Arial"/>
          <w:i/>
          <w:iCs/>
          <w:color w:val="000000"/>
          <w:sz w:val="22"/>
          <w:szCs w:val="22"/>
        </w:rPr>
        <w:t>Journal of Clinical Oncology</w:t>
      </w:r>
      <w:r w:rsidRPr="007926AE">
        <w:rPr>
          <w:rFonts w:ascii="Arial" w:hAnsi="Arial" w:cs="Arial"/>
          <w:color w:val="000000"/>
          <w:sz w:val="22"/>
          <w:szCs w:val="22"/>
        </w:rPr>
        <w:t xml:space="preserve"> </w:t>
      </w:r>
      <w:r w:rsidRPr="007926AE">
        <w:rPr>
          <w:rFonts w:ascii="Arial" w:hAnsi="Arial" w:cs="Arial"/>
          <w:b/>
          <w:bCs/>
          <w:color w:val="000000"/>
          <w:sz w:val="22"/>
          <w:szCs w:val="22"/>
        </w:rPr>
        <w:t>24</w:t>
      </w:r>
      <w:r w:rsidRPr="007926AE">
        <w:rPr>
          <w:rFonts w:ascii="Arial" w:hAnsi="Arial" w:cs="Arial"/>
          <w:color w:val="000000"/>
          <w:sz w:val="22"/>
          <w:szCs w:val="22"/>
        </w:rPr>
        <w:t>, 1037–1044 (2006).</w:t>
      </w:r>
    </w:p>
    <w:p w14:paraId="5FFED5C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156.</w:t>
      </w:r>
      <w:r w:rsidRPr="007926AE">
        <w:rPr>
          <w:rFonts w:ascii="Arial" w:hAnsi="Arial" w:cs="Arial"/>
          <w:color w:val="000000"/>
          <w:sz w:val="22"/>
          <w:szCs w:val="22"/>
        </w:rPr>
        <w:tab/>
        <w:t xml:space="preserve">Liedtke, C. </w:t>
      </w:r>
      <w:r w:rsidRPr="007926AE">
        <w:rPr>
          <w:rFonts w:ascii="Arial" w:hAnsi="Arial" w:cs="Arial"/>
          <w:i/>
          <w:iCs/>
          <w:color w:val="000000"/>
          <w:sz w:val="22"/>
          <w:szCs w:val="22"/>
        </w:rPr>
        <w:t>et al.</w:t>
      </w:r>
      <w:r w:rsidRPr="007926AE">
        <w:rPr>
          <w:rFonts w:ascii="Arial" w:hAnsi="Arial" w:cs="Arial"/>
          <w:color w:val="000000"/>
          <w:sz w:val="22"/>
          <w:szCs w:val="22"/>
        </w:rPr>
        <w:t xml:space="preserve"> Response to neoadjuvant therapy and long-term survival in patients with triple-negative breast cancer. </w:t>
      </w:r>
      <w:r w:rsidRPr="007926AE">
        <w:rPr>
          <w:rFonts w:ascii="Arial" w:hAnsi="Arial" w:cs="Arial"/>
          <w:i/>
          <w:iCs/>
          <w:color w:val="000000"/>
          <w:sz w:val="22"/>
          <w:szCs w:val="22"/>
        </w:rPr>
        <w:t>Journal of Clinical Oncology</w:t>
      </w:r>
      <w:r w:rsidRPr="007926AE">
        <w:rPr>
          <w:rFonts w:ascii="Arial" w:hAnsi="Arial" w:cs="Arial"/>
          <w:color w:val="000000"/>
          <w:sz w:val="22"/>
          <w:szCs w:val="22"/>
        </w:rPr>
        <w:t xml:space="preserve"> </w:t>
      </w:r>
      <w:r w:rsidRPr="007926AE">
        <w:rPr>
          <w:rFonts w:ascii="Arial" w:hAnsi="Arial" w:cs="Arial"/>
          <w:b/>
          <w:bCs/>
          <w:color w:val="000000"/>
          <w:sz w:val="22"/>
          <w:szCs w:val="22"/>
        </w:rPr>
        <w:t>26</w:t>
      </w:r>
      <w:r w:rsidRPr="007926AE">
        <w:rPr>
          <w:rFonts w:ascii="Arial" w:hAnsi="Arial" w:cs="Arial"/>
          <w:color w:val="000000"/>
          <w:sz w:val="22"/>
          <w:szCs w:val="22"/>
        </w:rPr>
        <w:t>, 1275–1281 (2008).</w:t>
      </w:r>
    </w:p>
    <w:p w14:paraId="4E5B2980"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157.</w:t>
      </w:r>
      <w:r w:rsidRPr="007926AE">
        <w:rPr>
          <w:rFonts w:ascii="Arial" w:hAnsi="Arial" w:cs="Arial"/>
          <w:color w:val="000000"/>
          <w:sz w:val="22"/>
          <w:szCs w:val="22"/>
        </w:rPr>
        <w:tab/>
        <w:t xml:space="preserve">Mustacchi, G. &amp; De Laurentiis, M. The role of taxanes in triple-negative breast cancer: literature review [Corrigendum]. </w:t>
      </w:r>
      <w:r w:rsidRPr="007926AE">
        <w:rPr>
          <w:rFonts w:ascii="Arial" w:hAnsi="Arial" w:cs="Arial"/>
          <w:i/>
          <w:iCs/>
          <w:color w:val="000000"/>
          <w:sz w:val="22"/>
          <w:szCs w:val="22"/>
        </w:rPr>
        <w:t>Drug Design, Development and Therapy</w:t>
      </w:r>
      <w:r w:rsidRPr="007926AE">
        <w:rPr>
          <w:rFonts w:ascii="Arial" w:hAnsi="Arial" w:cs="Arial"/>
          <w:color w:val="000000"/>
          <w:sz w:val="22"/>
          <w:szCs w:val="22"/>
        </w:rPr>
        <w:t xml:space="preserve"> 5669 (2015) doi:10.2147/dddt.s97778.</w:t>
      </w:r>
    </w:p>
    <w:p w14:paraId="1A53EBEB"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158.</w:t>
      </w:r>
      <w:r w:rsidRPr="007926AE">
        <w:rPr>
          <w:rFonts w:ascii="Arial" w:hAnsi="Arial" w:cs="Arial"/>
          <w:color w:val="000000"/>
          <w:sz w:val="22"/>
          <w:szCs w:val="22"/>
        </w:rPr>
        <w:tab/>
        <w:t xml:space="preserve">Poggio, F. </w:t>
      </w:r>
      <w:r w:rsidRPr="007926AE">
        <w:rPr>
          <w:rFonts w:ascii="Arial" w:hAnsi="Arial" w:cs="Arial"/>
          <w:i/>
          <w:iCs/>
          <w:color w:val="000000"/>
          <w:sz w:val="22"/>
          <w:szCs w:val="22"/>
        </w:rPr>
        <w:t>et al.</w:t>
      </w:r>
      <w:r w:rsidRPr="007926AE">
        <w:rPr>
          <w:rFonts w:ascii="Arial" w:hAnsi="Arial" w:cs="Arial"/>
          <w:color w:val="000000"/>
          <w:sz w:val="22"/>
          <w:szCs w:val="22"/>
        </w:rPr>
        <w:t xml:space="preserve"> Platinum-based neoadjuvant chemotherapy in triple-negative breast cancer: a systematic review and meta-analysis. </w:t>
      </w:r>
      <w:r w:rsidRPr="007926AE">
        <w:rPr>
          <w:rFonts w:ascii="Arial" w:hAnsi="Arial" w:cs="Arial"/>
          <w:i/>
          <w:iCs/>
          <w:color w:val="000000"/>
          <w:sz w:val="22"/>
          <w:szCs w:val="22"/>
        </w:rPr>
        <w:t>Annals of Oncology</w:t>
      </w:r>
      <w:r w:rsidRPr="007926AE">
        <w:rPr>
          <w:rFonts w:ascii="Arial" w:hAnsi="Arial" w:cs="Arial"/>
          <w:color w:val="000000"/>
          <w:sz w:val="22"/>
          <w:szCs w:val="22"/>
        </w:rPr>
        <w:t xml:space="preserve"> </w:t>
      </w:r>
      <w:r w:rsidRPr="007926AE">
        <w:rPr>
          <w:rFonts w:ascii="Arial" w:hAnsi="Arial" w:cs="Arial"/>
          <w:b/>
          <w:bCs/>
          <w:color w:val="000000"/>
          <w:sz w:val="22"/>
          <w:szCs w:val="22"/>
        </w:rPr>
        <w:t>29</w:t>
      </w:r>
      <w:r w:rsidRPr="007926AE">
        <w:rPr>
          <w:rFonts w:ascii="Arial" w:hAnsi="Arial" w:cs="Arial"/>
          <w:color w:val="000000"/>
          <w:sz w:val="22"/>
          <w:szCs w:val="22"/>
        </w:rPr>
        <w:t>, 1497–1508 (2018).</w:t>
      </w:r>
    </w:p>
    <w:p w14:paraId="208E56BD"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159.</w:t>
      </w:r>
      <w:r w:rsidRPr="007926AE">
        <w:rPr>
          <w:rFonts w:ascii="Arial" w:hAnsi="Arial" w:cs="Arial"/>
          <w:color w:val="000000"/>
          <w:sz w:val="22"/>
          <w:szCs w:val="22"/>
        </w:rPr>
        <w:tab/>
        <w:t xml:space="preserve">den Brok, W. D. </w:t>
      </w:r>
      <w:r w:rsidRPr="007926AE">
        <w:rPr>
          <w:rFonts w:ascii="Arial" w:hAnsi="Arial" w:cs="Arial"/>
          <w:i/>
          <w:iCs/>
          <w:color w:val="000000"/>
          <w:sz w:val="22"/>
          <w:szCs w:val="22"/>
        </w:rPr>
        <w:t>et al.</w:t>
      </w:r>
      <w:r w:rsidRPr="007926AE">
        <w:rPr>
          <w:rFonts w:ascii="Arial" w:hAnsi="Arial" w:cs="Arial"/>
          <w:color w:val="000000"/>
          <w:sz w:val="22"/>
          <w:szCs w:val="22"/>
        </w:rPr>
        <w:t xml:space="preserve"> Homologous Recombination Deficiency in Breast Cancer: A Clinical Review. </w:t>
      </w:r>
      <w:r w:rsidRPr="007926AE">
        <w:rPr>
          <w:rFonts w:ascii="Arial" w:hAnsi="Arial" w:cs="Arial"/>
          <w:i/>
          <w:iCs/>
          <w:color w:val="000000"/>
          <w:sz w:val="22"/>
          <w:szCs w:val="22"/>
        </w:rPr>
        <w:t>JCO Precision Oncology</w:t>
      </w:r>
      <w:r w:rsidRPr="007926AE">
        <w:rPr>
          <w:rFonts w:ascii="Arial" w:hAnsi="Arial" w:cs="Arial"/>
          <w:color w:val="000000"/>
          <w:sz w:val="22"/>
          <w:szCs w:val="22"/>
        </w:rPr>
        <w:t xml:space="preserve"> 1–13 (2017) doi:10.1200/PO.16.00031.</w:t>
      </w:r>
    </w:p>
    <w:p w14:paraId="0FA2454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160.</w:t>
      </w:r>
      <w:r w:rsidRPr="007926AE">
        <w:rPr>
          <w:rFonts w:ascii="Arial" w:hAnsi="Arial" w:cs="Arial"/>
          <w:color w:val="000000"/>
          <w:sz w:val="22"/>
          <w:szCs w:val="22"/>
        </w:rPr>
        <w:tab/>
        <w:t xml:space="preserve">Bianchini, G., Balko, J. M., Mayer, I. A., Sanders, M. E. &amp; Gianni, L. Triple-negative breast cancer: challenges and opportunities of a heterogeneous disease. </w:t>
      </w:r>
      <w:r w:rsidRPr="007926AE">
        <w:rPr>
          <w:rFonts w:ascii="Arial" w:hAnsi="Arial" w:cs="Arial"/>
          <w:i/>
          <w:iCs/>
          <w:color w:val="000000"/>
          <w:sz w:val="22"/>
          <w:szCs w:val="22"/>
        </w:rPr>
        <w:t>Nat Rev Clin Oncol</w:t>
      </w:r>
      <w:r w:rsidRPr="007926AE">
        <w:rPr>
          <w:rFonts w:ascii="Arial" w:hAnsi="Arial" w:cs="Arial"/>
          <w:color w:val="000000"/>
          <w:sz w:val="22"/>
          <w:szCs w:val="22"/>
        </w:rPr>
        <w:t xml:space="preserve"> </w:t>
      </w:r>
      <w:r w:rsidRPr="007926AE">
        <w:rPr>
          <w:rFonts w:ascii="Arial" w:hAnsi="Arial" w:cs="Arial"/>
          <w:b/>
          <w:bCs/>
          <w:color w:val="000000"/>
          <w:sz w:val="22"/>
          <w:szCs w:val="22"/>
        </w:rPr>
        <w:t>13</w:t>
      </w:r>
      <w:r w:rsidRPr="007926AE">
        <w:rPr>
          <w:rFonts w:ascii="Arial" w:hAnsi="Arial" w:cs="Arial"/>
          <w:color w:val="000000"/>
          <w:sz w:val="22"/>
          <w:szCs w:val="22"/>
        </w:rPr>
        <w:t>, 674–690 (2016).</w:t>
      </w:r>
    </w:p>
    <w:p w14:paraId="5F47E27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161.</w:t>
      </w:r>
      <w:r w:rsidRPr="007926AE">
        <w:rPr>
          <w:rFonts w:ascii="Arial" w:hAnsi="Arial" w:cs="Arial"/>
          <w:color w:val="000000"/>
          <w:sz w:val="22"/>
          <w:szCs w:val="22"/>
        </w:rPr>
        <w:tab/>
        <w:t xml:space="preserve">Partridge, A. H. </w:t>
      </w:r>
      <w:r w:rsidRPr="007926AE">
        <w:rPr>
          <w:rFonts w:ascii="Arial" w:hAnsi="Arial" w:cs="Arial"/>
          <w:i/>
          <w:iCs/>
          <w:color w:val="000000"/>
          <w:sz w:val="22"/>
          <w:szCs w:val="22"/>
        </w:rPr>
        <w:t>et al.</w:t>
      </w:r>
      <w:r w:rsidRPr="007926AE">
        <w:rPr>
          <w:rFonts w:ascii="Arial" w:hAnsi="Arial" w:cs="Arial"/>
          <w:color w:val="000000"/>
          <w:sz w:val="22"/>
          <w:szCs w:val="22"/>
        </w:rPr>
        <w:t xml:space="preserve"> Chemotherapy and Targeted Therapy for Women With Human Epidermal Growth Factor Receptor 2–Negative (or unknown) Advanced Breast Cancer: American Society of Clinical Oncology Clinical Practice Guideline. </w:t>
      </w:r>
      <w:r w:rsidRPr="007926AE">
        <w:rPr>
          <w:rFonts w:ascii="Arial" w:hAnsi="Arial" w:cs="Arial"/>
          <w:i/>
          <w:iCs/>
          <w:color w:val="000000"/>
          <w:sz w:val="22"/>
          <w:szCs w:val="22"/>
        </w:rPr>
        <w:t>JCO</w:t>
      </w:r>
      <w:r w:rsidRPr="007926AE">
        <w:rPr>
          <w:rFonts w:ascii="Arial" w:hAnsi="Arial" w:cs="Arial"/>
          <w:color w:val="000000"/>
          <w:sz w:val="22"/>
          <w:szCs w:val="22"/>
        </w:rPr>
        <w:t xml:space="preserve"> </w:t>
      </w:r>
      <w:r w:rsidRPr="007926AE">
        <w:rPr>
          <w:rFonts w:ascii="Arial" w:hAnsi="Arial" w:cs="Arial"/>
          <w:b/>
          <w:bCs/>
          <w:color w:val="000000"/>
          <w:sz w:val="22"/>
          <w:szCs w:val="22"/>
        </w:rPr>
        <w:t>32</w:t>
      </w:r>
      <w:r w:rsidRPr="007926AE">
        <w:rPr>
          <w:rFonts w:ascii="Arial" w:hAnsi="Arial" w:cs="Arial"/>
          <w:color w:val="000000"/>
          <w:sz w:val="22"/>
          <w:szCs w:val="22"/>
        </w:rPr>
        <w:t>, 3307–3329 (2014).</w:t>
      </w:r>
    </w:p>
    <w:p w14:paraId="63C717B6"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162.</w:t>
      </w:r>
      <w:r w:rsidRPr="007926AE">
        <w:rPr>
          <w:rFonts w:ascii="Arial" w:hAnsi="Arial" w:cs="Arial"/>
          <w:color w:val="000000"/>
          <w:sz w:val="22"/>
          <w:szCs w:val="22"/>
        </w:rPr>
        <w:tab/>
        <w:t xml:space="preserve">Lehmann, B. D. </w:t>
      </w:r>
      <w:r w:rsidRPr="007926AE">
        <w:rPr>
          <w:rFonts w:ascii="Arial" w:hAnsi="Arial" w:cs="Arial"/>
          <w:i/>
          <w:iCs/>
          <w:color w:val="000000"/>
          <w:sz w:val="22"/>
          <w:szCs w:val="22"/>
        </w:rPr>
        <w:t>et al.</w:t>
      </w:r>
      <w:r w:rsidRPr="007926AE">
        <w:rPr>
          <w:rFonts w:ascii="Arial" w:hAnsi="Arial" w:cs="Arial"/>
          <w:color w:val="000000"/>
          <w:sz w:val="22"/>
          <w:szCs w:val="22"/>
        </w:rPr>
        <w:t xml:space="preserve"> Identification of human triple-negative breast cancer subtypes and preclinical models for selection of targeted therapies. </w:t>
      </w:r>
      <w:r w:rsidRPr="007926AE">
        <w:rPr>
          <w:rFonts w:ascii="Arial" w:hAnsi="Arial" w:cs="Arial"/>
          <w:i/>
          <w:iCs/>
          <w:color w:val="000000"/>
          <w:sz w:val="22"/>
          <w:szCs w:val="22"/>
        </w:rPr>
        <w:t>J. Clin. Invest.</w:t>
      </w:r>
      <w:r w:rsidRPr="007926AE">
        <w:rPr>
          <w:rFonts w:ascii="Arial" w:hAnsi="Arial" w:cs="Arial"/>
          <w:color w:val="000000"/>
          <w:sz w:val="22"/>
          <w:szCs w:val="22"/>
        </w:rPr>
        <w:t xml:space="preserve"> </w:t>
      </w:r>
      <w:r w:rsidRPr="007926AE">
        <w:rPr>
          <w:rFonts w:ascii="Arial" w:hAnsi="Arial" w:cs="Arial"/>
          <w:b/>
          <w:bCs/>
          <w:color w:val="000000"/>
          <w:sz w:val="22"/>
          <w:szCs w:val="22"/>
        </w:rPr>
        <w:t>121</w:t>
      </w:r>
      <w:r w:rsidRPr="007926AE">
        <w:rPr>
          <w:rFonts w:ascii="Arial" w:hAnsi="Arial" w:cs="Arial"/>
          <w:color w:val="000000"/>
          <w:sz w:val="22"/>
          <w:szCs w:val="22"/>
        </w:rPr>
        <w:t>, 2750–2767 (2011).</w:t>
      </w:r>
    </w:p>
    <w:p w14:paraId="67E59B5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163.</w:t>
      </w:r>
      <w:r w:rsidRPr="007926AE">
        <w:rPr>
          <w:rFonts w:ascii="Arial" w:hAnsi="Arial" w:cs="Arial"/>
          <w:color w:val="000000"/>
          <w:sz w:val="22"/>
          <w:szCs w:val="22"/>
        </w:rPr>
        <w:tab/>
        <w:t xml:space="preserve">Masuda, H. </w:t>
      </w:r>
      <w:r w:rsidRPr="007926AE">
        <w:rPr>
          <w:rFonts w:ascii="Arial" w:hAnsi="Arial" w:cs="Arial"/>
          <w:i/>
          <w:iCs/>
          <w:color w:val="000000"/>
          <w:sz w:val="22"/>
          <w:szCs w:val="22"/>
        </w:rPr>
        <w:t>et al.</w:t>
      </w:r>
      <w:r w:rsidRPr="007926AE">
        <w:rPr>
          <w:rFonts w:ascii="Arial" w:hAnsi="Arial" w:cs="Arial"/>
          <w:color w:val="000000"/>
          <w:sz w:val="22"/>
          <w:szCs w:val="22"/>
        </w:rPr>
        <w:t xml:space="preserve"> Differential Response to Neoadjuvant Chemotherapy Among 7 Triple-Negative Breast Cancer Molecular Subtypes. </w:t>
      </w:r>
      <w:r w:rsidRPr="007926AE">
        <w:rPr>
          <w:rFonts w:ascii="Arial" w:hAnsi="Arial" w:cs="Arial"/>
          <w:i/>
          <w:iCs/>
          <w:color w:val="000000"/>
          <w:sz w:val="22"/>
          <w:szCs w:val="22"/>
        </w:rPr>
        <w:t>Clinical Cancer Research</w:t>
      </w:r>
      <w:r w:rsidRPr="007926AE">
        <w:rPr>
          <w:rFonts w:ascii="Arial" w:hAnsi="Arial" w:cs="Arial"/>
          <w:color w:val="000000"/>
          <w:sz w:val="22"/>
          <w:szCs w:val="22"/>
        </w:rPr>
        <w:t xml:space="preserve"> </w:t>
      </w:r>
      <w:r w:rsidRPr="007926AE">
        <w:rPr>
          <w:rFonts w:ascii="Arial" w:hAnsi="Arial" w:cs="Arial"/>
          <w:b/>
          <w:bCs/>
          <w:color w:val="000000"/>
          <w:sz w:val="22"/>
          <w:szCs w:val="22"/>
        </w:rPr>
        <w:t>19</w:t>
      </w:r>
      <w:r w:rsidRPr="007926AE">
        <w:rPr>
          <w:rFonts w:ascii="Arial" w:hAnsi="Arial" w:cs="Arial"/>
          <w:color w:val="000000"/>
          <w:sz w:val="22"/>
          <w:szCs w:val="22"/>
        </w:rPr>
        <w:t>, 5533–5540 (2013).</w:t>
      </w:r>
    </w:p>
    <w:p w14:paraId="6E84A2CE"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164.</w:t>
      </w:r>
      <w:r w:rsidRPr="007926AE">
        <w:rPr>
          <w:rFonts w:ascii="Arial" w:hAnsi="Arial" w:cs="Arial"/>
          <w:color w:val="000000"/>
          <w:sz w:val="22"/>
          <w:szCs w:val="22"/>
        </w:rPr>
        <w:tab/>
        <w:t xml:space="preserve">Bianchini, G., De Angelis, C., Licata, L. &amp; Gianni, L. Treatment landscape of triple-negative breast cancer — expanded options, evolving needs. </w:t>
      </w:r>
      <w:r w:rsidRPr="007926AE">
        <w:rPr>
          <w:rFonts w:ascii="Arial" w:hAnsi="Arial" w:cs="Arial"/>
          <w:i/>
          <w:iCs/>
          <w:color w:val="000000"/>
          <w:sz w:val="22"/>
          <w:szCs w:val="22"/>
        </w:rPr>
        <w:t>Nat Rev Clin Oncol</w:t>
      </w:r>
      <w:r w:rsidRPr="007926AE">
        <w:rPr>
          <w:rFonts w:ascii="Arial" w:hAnsi="Arial" w:cs="Arial"/>
          <w:color w:val="000000"/>
          <w:sz w:val="22"/>
          <w:szCs w:val="22"/>
        </w:rPr>
        <w:t xml:space="preserve"> </w:t>
      </w:r>
      <w:r w:rsidRPr="007926AE">
        <w:rPr>
          <w:rFonts w:ascii="Arial" w:hAnsi="Arial" w:cs="Arial"/>
          <w:b/>
          <w:bCs/>
          <w:color w:val="000000"/>
          <w:sz w:val="22"/>
          <w:szCs w:val="22"/>
        </w:rPr>
        <w:t>19</w:t>
      </w:r>
      <w:r w:rsidRPr="007926AE">
        <w:rPr>
          <w:rFonts w:ascii="Arial" w:hAnsi="Arial" w:cs="Arial"/>
          <w:color w:val="000000"/>
          <w:sz w:val="22"/>
          <w:szCs w:val="22"/>
        </w:rPr>
        <w:t>, 91–113 (2022).</w:t>
      </w:r>
    </w:p>
    <w:p w14:paraId="7166A900"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165.</w:t>
      </w:r>
      <w:r w:rsidRPr="007926AE">
        <w:rPr>
          <w:rFonts w:ascii="Arial" w:hAnsi="Arial" w:cs="Arial"/>
          <w:color w:val="000000"/>
          <w:sz w:val="22"/>
          <w:szCs w:val="22"/>
        </w:rPr>
        <w:tab/>
        <w:t xml:space="preserve">Bryant, H. E. </w:t>
      </w:r>
      <w:r w:rsidRPr="007926AE">
        <w:rPr>
          <w:rFonts w:ascii="Arial" w:hAnsi="Arial" w:cs="Arial"/>
          <w:i/>
          <w:iCs/>
          <w:color w:val="000000"/>
          <w:sz w:val="22"/>
          <w:szCs w:val="22"/>
        </w:rPr>
        <w:t>et al.</w:t>
      </w:r>
      <w:r w:rsidRPr="007926AE">
        <w:rPr>
          <w:rFonts w:ascii="Arial" w:hAnsi="Arial" w:cs="Arial"/>
          <w:color w:val="000000"/>
          <w:sz w:val="22"/>
          <w:szCs w:val="22"/>
        </w:rPr>
        <w:t xml:space="preserve"> Speciﬁc killing of BRCA2-deﬁcient tumours with inhibitors of poly(ADP-ribose) polymerase. </w:t>
      </w:r>
      <w:r w:rsidRPr="007926AE">
        <w:rPr>
          <w:rFonts w:ascii="Arial" w:hAnsi="Arial" w:cs="Arial"/>
          <w:b/>
          <w:bCs/>
          <w:color w:val="000000"/>
          <w:sz w:val="22"/>
          <w:szCs w:val="22"/>
        </w:rPr>
        <w:t>434</w:t>
      </w:r>
      <w:r w:rsidRPr="007926AE">
        <w:rPr>
          <w:rFonts w:ascii="Arial" w:hAnsi="Arial" w:cs="Arial"/>
          <w:color w:val="000000"/>
          <w:sz w:val="22"/>
          <w:szCs w:val="22"/>
        </w:rPr>
        <w:t>, 6 (2005).</w:t>
      </w:r>
    </w:p>
    <w:p w14:paraId="0A6E620F"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166.</w:t>
      </w:r>
      <w:r w:rsidRPr="007926AE">
        <w:rPr>
          <w:rFonts w:ascii="Arial" w:hAnsi="Arial" w:cs="Arial"/>
          <w:color w:val="000000"/>
          <w:sz w:val="22"/>
          <w:szCs w:val="22"/>
        </w:rPr>
        <w:tab/>
        <w:t xml:space="preserve">Robson, M. </w:t>
      </w:r>
      <w:r w:rsidRPr="007926AE">
        <w:rPr>
          <w:rFonts w:ascii="Arial" w:hAnsi="Arial" w:cs="Arial"/>
          <w:i/>
          <w:iCs/>
          <w:color w:val="000000"/>
          <w:sz w:val="22"/>
          <w:szCs w:val="22"/>
        </w:rPr>
        <w:t>et al.</w:t>
      </w:r>
      <w:r w:rsidRPr="007926AE">
        <w:rPr>
          <w:rFonts w:ascii="Arial" w:hAnsi="Arial" w:cs="Arial"/>
          <w:color w:val="000000"/>
          <w:sz w:val="22"/>
          <w:szCs w:val="22"/>
        </w:rPr>
        <w:t xml:space="preserve"> Olaparib for Metastatic Breast Cancer in Patients with a Germline </w:t>
      </w:r>
      <w:r w:rsidRPr="007926AE">
        <w:rPr>
          <w:rFonts w:ascii="Arial" w:hAnsi="Arial" w:cs="Arial"/>
          <w:i/>
          <w:iCs/>
          <w:color w:val="000000"/>
          <w:sz w:val="22"/>
          <w:szCs w:val="22"/>
        </w:rPr>
        <w:t>BRCA</w:t>
      </w:r>
      <w:r w:rsidRPr="007926AE">
        <w:rPr>
          <w:rFonts w:ascii="Arial" w:hAnsi="Arial" w:cs="Arial"/>
          <w:color w:val="000000"/>
          <w:sz w:val="22"/>
          <w:szCs w:val="22"/>
        </w:rPr>
        <w:t xml:space="preserve"> Mutation. </w:t>
      </w:r>
      <w:r w:rsidRPr="007926AE">
        <w:rPr>
          <w:rFonts w:ascii="Arial" w:hAnsi="Arial" w:cs="Arial"/>
          <w:i/>
          <w:iCs/>
          <w:color w:val="000000"/>
          <w:sz w:val="22"/>
          <w:szCs w:val="22"/>
        </w:rPr>
        <w:t>N Engl J Med</w:t>
      </w:r>
      <w:r w:rsidRPr="007926AE">
        <w:rPr>
          <w:rFonts w:ascii="Arial" w:hAnsi="Arial" w:cs="Arial"/>
          <w:color w:val="000000"/>
          <w:sz w:val="22"/>
          <w:szCs w:val="22"/>
        </w:rPr>
        <w:t xml:space="preserve"> </w:t>
      </w:r>
      <w:r w:rsidRPr="007926AE">
        <w:rPr>
          <w:rFonts w:ascii="Arial" w:hAnsi="Arial" w:cs="Arial"/>
          <w:b/>
          <w:bCs/>
          <w:color w:val="000000"/>
          <w:sz w:val="22"/>
          <w:szCs w:val="22"/>
        </w:rPr>
        <w:t>377</w:t>
      </w:r>
      <w:r w:rsidRPr="007926AE">
        <w:rPr>
          <w:rFonts w:ascii="Arial" w:hAnsi="Arial" w:cs="Arial"/>
          <w:color w:val="000000"/>
          <w:sz w:val="22"/>
          <w:szCs w:val="22"/>
        </w:rPr>
        <w:t>, 523–533 (2017).</w:t>
      </w:r>
    </w:p>
    <w:p w14:paraId="47B4931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167.</w:t>
      </w:r>
      <w:r w:rsidRPr="007926AE">
        <w:rPr>
          <w:rFonts w:ascii="Arial" w:hAnsi="Arial" w:cs="Arial"/>
          <w:color w:val="000000"/>
          <w:sz w:val="22"/>
          <w:szCs w:val="22"/>
        </w:rPr>
        <w:tab/>
        <w:t xml:space="preserve">Litton, J. K. </w:t>
      </w:r>
      <w:r w:rsidRPr="007926AE">
        <w:rPr>
          <w:rFonts w:ascii="Arial" w:hAnsi="Arial" w:cs="Arial"/>
          <w:i/>
          <w:iCs/>
          <w:color w:val="000000"/>
          <w:sz w:val="22"/>
          <w:szCs w:val="22"/>
        </w:rPr>
        <w:t>et al.</w:t>
      </w:r>
      <w:r w:rsidRPr="007926AE">
        <w:rPr>
          <w:rFonts w:ascii="Arial" w:hAnsi="Arial" w:cs="Arial"/>
          <w:color w:val="000000"/>
          <w:sz w:val="22"/>
          <w:szCs w:val="22"/>
        </w:rPr>
        <w:t xml:space="preserve"> Talazoparib in Patients with Advanced Breast Cancer and a Germline </w:t>
      </w:r>
      <w:r w:rsidRPr="007926AE">
        <w:rPr>
          <w:rFonts w:ascii="Arial" w:hAnsi="Arial" w:cs="Arial"/>
          <w:i/>
          <w:iCs/>
          <w:color w:val="000000"/>
          <w:sz w:val="22"/>
          <w:szCs w:val="22"/>
        </w:rPr>
        <w:t>BRCA</w:t>
      </w:r>
      <w:r w:rsidRPr="007926AE">
        <w:rPr>
          <w:rFonts w:ascii="Arial" w:hAnsi="Arial" w:cs="Arial"/>
          <w:color w:val="000000"/>
          <w:sz w:val="22"/>
          <w:szCs w:val="22"/>
        </w:rPr>
        <w:t xml:space="preserve"> Mutation. </w:t>
      </w:r>
      <w:r w:rsidRPr="007926AE">
        <w:rPr>
          <w:rFonts w:ascii="Arial" w:hAnsi="Arial" w:cs="Arial"/>
          <w:i/>
          <w:iCs/>
          <w:color w:val="000000"/>
          <w:sz w:val="22"/>
          <w:szCs w:val="22"/>
        </w:rPr>
        <w:t>N Engl J Med</w:t>
      </w:r>
      <w:r w:rsidRPr="007926AE">
        <w:rPr>
          <w:rFonts w:ascii="Arial" w:hAnsi="Arial" w:cs="Arial"/>
          <w:color w:val="000000"/>
          <w:sz w:val="22"/>
          <w:szCs w:val="22"/>
        </w:rPr>
        <w:t xml:space="preserve"> </w:t>
      </w:r>
      <w:r w:rsidRPr="007926AE">
        <w:rPr>
          <w:rFonts w:ascii="Arial" w:hAnsi="Arial" w:cs="Arial"/>
          <w:b/>
          <w:bCs/>
          <w:color w:val="000000"/>
          <w:sz w:val="22"/>
          <w:szCs w:val="22"/>
        </w:rPr>
        <w:t>379</w:t>
      </w:r>
      <w:r w:rsidRPr="007926AE">
        <w:rPr>
          <w:rFonts w:ascii="Arial" w:hAnsi="Arial" w:cs="Arial"/>
          <w:color w:val="000000"/>
          <w:sz w:val="22"/>
          <w:szCs w:val="22"/>
        </w:rPr>
        <w:t>, 753–763 (2018).</w:t>
      </w:r>
    </w:p>
    <w:p w14:paraId="757AE729"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168.</w:t>
      </w:r>
      <w:r w:rsidRPr="007926AE">
        <w:rPr>
          <w:rFonts w:ascii="Arial" w:hAnsi="Arial" w:cs="Arial"/>
          <w:color w:val="000000"/>
          <w:sz w:val="22"/>
          <w:szCs w:val="22"/>
        </w:rPr>
        <w:tab/>
        <w:t xml:space="preserve">Lord, C. J. &amp; Ashworth, A. PARP inhibitors: Synthetic lethality in the clinic. </w:t>
      </w:r>
      <w:r w:rsidRPr="007926AE">
        <w:rPr>
          <w:rFonts w:ascii="Arial" w:hAnsi="Arial" w:cs="Arial"/>
          <w:i/>
          <w:iCs/>
          <w:color w:val="000000"/>
          <w:sz w:val="22"/>
          <w:szCs w:val="22"/>
        </w:rPr>
        <w:t>Science</w:t>
      </w:r>
      <w:r w:rsidRPr="007926AE">
        <w:rPr>
          <w:rFonts w:ascii="Arial" w:hAnsi="Arial" w:cs="Arial"/>
          <w:color w:val="000000"/>
          <w:sz w:val="22"/>
          <w:szCs w:val="22"/>
        </w:rPr>
        <w:t xml:space="preserve"> </w:t>
      </w:r>
      <w:r w:rsidRPr="007926AE">
        <w:rPr>
          <w:rFonts w:ascii="Arial" w:hAnsi="Arial" w:cs="Arial"/>
          <w:b/>
          <w:bCs/>
          <w:color w:val="000000"/>
          <w:sz w:val="22"/>
          <w:szCs w:val="22"/>
        </w:rPr>
        <w:t>355</w:t>
      </w:r>
      <w:r w:rsidRPr="007926AE">
        <w:rPr>
          <w:rFonts w:ascii="Arial" w:hAnsi="Arial" w:cs="Arial"/>
          <w:color w:val="000000"/>
          <w:sz w:val="22"/>
          <w:szCs w:val="22"/>
        </w:rPr>
        <w:t>, 1152–1158 (2017).</w:t>
      </w:r>
    </w:p>
    <w:p w14:paraId="070316FE"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169.</w:t>
      </w:r>
      <w:r w:rsidRPr="007926AE">
        <w:rPr>
          <w:rFonts w:ascii="Arial" w:hAnsi="Arial" w:cs="Arial"/>
          <w:color w:val="000000"/>
          <w:sz w:val="22"/>
          <w:szCs w:val="22"/>
        </w:rPr>
        <w:tab/>
        <w:t xml:space="preserve">Tung, N. M. </w:t>
      </w:r>
      <w:r w:rsidRPr="007926AE">
        <w:rPr>
          <w:rFonts w:ascii="Arial" w:hAnsi="Arial" w:cs="Arial"/>
          <w:i/>
          <w:iCs/>
          <w:color w:val="000000"/>
          <w:sz w:val="22"/>
          <w:szCs w:val="22"/>
        </w:rPr>
        <w:t>et al.</w:t>
      </w:r>
      <w:r w:rsidRPr="007926AE">
        <w:rPr>
          <w:rFonts w:ascii="Arial" w:hAnsi="Arial" w:cs="Arial"/>
          <w:color w:val="000000"/>
          <w:sz w:val="22"/>
          <w:szCs w:val="22"/>
        </w:rPr>
        <w:t xml:space="preserve"> TBCRC 048: Phase II Study of Olaparib for Metastatic Breast Cancer and Mutations in Homologous Recombination-Related Genes. </w:t>
      </w:r>
      <w:r w:rsidRPr="007926AE">
        <w:rPr>
          <w:rFonts w:ascii="Arial" w:hAnsi="Arial" w:cs="Arial"/>
          <w:i/>
          <w:iCs/>
          <w:color w:val="000000"/>
          <w:sz w:val="22"/>
          <w:szCs w:val="22"/>
        </w:rPr>
        <w:t>JCO</w:t>
      </w:r>
      <w:r w:rsidRPr="007926AE">
        <w:rPr>
          <w:rFonts w:ascii="Arial" w:hAnsi="Arial" w:cs="Arial"/>
          <w:color w:val="000000"/>
          <w:sz w:val="22"/>
          <w:szCs w:val="22"/>
        </w:rPr>
        <w:t xml:space="preserve"> </w:t>
      </w:r>
      <w:r w:rsidRPr="007926AE">
        <w:rPr>
          <w:rFonts w:ascii="Arial" w:hAnsi="Arial" w:cs="Arial"/>
          <w:b/>
          <w:bCs/>
          <w:color w:val="000000"/>
          <w:sz w:val="22"/>
          <w:szCs w:val="22"/>
        </w:rPr>
        <w:t>38</w:t>
      </w:r>
      <w:r w:rsidRPr="007926AE">
        <w:rPr>
          <w:rFonts w:ascii="Arial" w:hAnsi="Arial" w:cs="Arial"/>
          <w:color w:val="000000"/>
          <w:sz w:val="22"/>
          <w:szCs w:val="22"/>
        </w:rPr>
        <w:t>, 4274–4282 (2020).</w:t>
      </w:r>
    </w:p>
    <w:p w14:paraId="1C95D4EF"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170.</w:t>
      </w:r>
      <w:r w:rsidRPr="007926AE">
        <w:rPr>
          <w:rFonts w:ascii="Arial" w:hAnsi="Arial" w:cs="Arial"/>
          <w:color w:val="000000"/>
          <w:sz w:val="22"/>
          <w:szCs w:val="22"/>
        </w:rPr>
        <w:tab/>
        <w:t xml:space="preserve">Cubas, R., Zhang, S., Li, M., Chen, C. &amp; Yao, Q. Trop2 expression contributes to tumor pathogenesis by activating the ERK MAPK pathway. </w:t>
      </w:r>
      <w:r w:rsidRPr="007926AE">
        <w:rPr>
          <w:rFonts w:ascii="Arial" w:hAnsi="Arial" w:cs="Arial"/>
          <w:i/>
          <w:iCs/>
          <w:color w:val="000000"/>
          <w:sz w:val="22"/>
          <w:szCs w:val="22"/>
        </w:rPr>
        <w:t>Mol Cancer</w:t>
      </w:r>
      <w:r w:rsidRPr="007926AE">
        <w:rPr>
          <w:rFonts w:ascii="Arial" w:hAnsi="Arial" w:cs="Arial"/>
          <w:color w:val="000000"/>
          <w:sz w:val="22"/>
          <w:szCs w:val="22"/>
        </w:rPr>
        <w:t xml:space="preserve"> </w:t>
      </w:r>
      <w:r w:rsidRPr="007926AE">
        <w:rPr>
          <w:rFonts w:ascii="Arial" w:hAnsi="Arial" w:cs="Arial"/>
          <w:b/>
          <w:bCs/>
          <w:color w:val="000000"/>
          <w:sz w:val="22"/>
          <w:szCs w:val="22"/>
        </w:rPr>
        <w:t>9</w:t>
      </w:r>
      <w:r w:rsidRPr="007926AE">
        <w:rPr>
          <w:rFonts w:ascii="Arial" w:hAnsi="Arial" w:cs="Arial"/>
          <w:color w:val="000000"/>
          <w:sz w:val="22"/>
          <w:szCs w:val="22"/>
        </w:rPr>
        <w:t>, 253 (2010).</w:t>
      </w:r>
    </w:p>
    <w:p w14:paraId="3B16935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171.</w:t>
      </w:r>
      <w:r w:rsidRPr="007926AE">
        <w:rPr>
          <w:rFonts w:ascii="Arial" w:hAnsi="Arial" w:cs="Arial"/>
          <w:color w:val="000000"/>
          <w:sz w:val="22"/>
          <w:szCs w:val="22"/>
        </w:rPr>
        <w:tab/>
        <w:t xml:space="preserve">Bardia, A. </w:t>
      </w:r>
      <w:r w:rsidRPr="007926AE">
        <w:rPr>
          <w:rFonts w:ascii="Arial" w:hAnsi="Arial" w:cs="Arial"/>
          <w:i/>
          <w:iCs/>
          <w:color w:val="000000"/>
          <w:sz w:val="22"/>
          <w:szCs w:val="22"/>
        </w:rPr>
        <w:t>et al.</w:t>
      </w:r>
      <w:r w:rsidRPr="007926AE">
        <w:rPr>
          <w:rFonts w:ascii="Arial" w:hAnsi="Arial" w:cs="Arial"/>
          <w:color w:val="000000"/>
          <w:sz w:val="22"/>
          <w:szCs w:val="22"/>
        </w:rPr>
        <w:t xml:space="preserve"> Sacituzumab Govitecan in Metastatic Triple-Negative Breast Cancer. </w:t>
      </w:r>
      <w:r w:rsidRPr="007926AE">
        <w:rPr>
          <w:rFonts w:ascii="Arial" w:hAnsi="Arial" w:cs="Arial"/>
          <w:i/>
          <w:iCs/>
          <w:color w:val="000000"/>
          <w:sz w:val="22"/>
          <w:szCs w:val="22"/>
        </w:rPr>
        <w:t>N Engl J Med</w:t>
      </w:r>
      <w:r w:rsidRPr="007926AE">
        <w:rPr>
          <w:rFonts w:ascii="Arial" w:hAnsi="Arial" w:cs="Arial"/>
          <w:color w:val="000000"/>
          <w:sz w:val="22"/>
          <w:szCs w:val="22"/>
        </w:rPr>
        <w:t xml:space="preserve"> </w:t>
      </w:r>
      <w:r w:rsidRPr="007926AE">
        <w:rPr>
          <w:rFonts w:ascii="Arial" w:hAnsi="Arial" w:cs="Arial"/>
          <w:b/>
          <w:bCs/>
          <w:color w:val="000000"/>
          <w:sz w:val="22"/>
          <w:szCs w:val="22"/>
        </w:rPr>
        <w:t>384</w:t>
      </w:r>
      <w:r w:rsidRPr="007926AE">
        <w:rPr>
          <w:rFonts w:ascii="Arial" w:hAnsi="Arial" w:cs="Arial"/>
          <w:color w:val="000000"/>
          <w:sz w:val="22"/>
          <w:szCs w:val="22"/>
        </w:rPr>
        <w:t>, 1529–1541 (2021).</w:t>
      </w:r>
    </w:p>
    <w:p w14:paraId="6C1E50A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172.</w:t>
      </w:r>
      <w:r w:rsidRPr="007926AE">
        <w:rPr>
          <w:rFonts w:ascii="Arial" w:hAnsi="Arial" w:cs="Arial"/>
          <w:color w:val="000000"/>
          <w:sz w:val="22"/>
          <w:szCs w:val="22"/>
        </w:rPr>
        <w:tab/>
        <w:t xml:space="preserve">Taylor, K. M. </w:t>
      </w:r>
      <w:r w:rsidRPr="007926AE">
        <w:rPr>
          <w:rFonts w:ascii="Arial" w:hAnsi="Arial" w:cs="Arial"/>
          <w:i/>
          <w:iCs/>
          <w:color w:val="000000"/>
          <w:sz w:val="22"/>
          <w:szCs w:val="22"/>
        </w:rPr>
        <w:t>et al.</w:t>
      </w:r>
      <w:r w:rsidRPr="007926AE">
        <w:rPr>
          <w:rFonts w:ascii="Arial" w:hAnsi="Arial" w:cs="Arial"/>
          <w:color w:val="000000"/>
          <w:sz w:val="22"/>
          <w:szCs w:val="22"/>
        </w:rPr>
        <w:t xml:space="preserve"> The Emerging Role of the LIV-1 Subfamily of Zinc Transporters in Breast Cancer. </w:t>
      </w:r>
      <w:r w:rsidRPr="007926AE">
        <w:rPr>
          <w:rFonts w:ascii="Arial" w:hAnsi="Arial" w:cs="Arial"/>
          <w:i/>
          <w:iCs/>
          <w:color w:val="000000"/>
          <w:sz w:val="22"/>
          <w:szCs w:val="22"/>
        </w:rPr>
        <w:t>Mol Med</w:t>
      </w:r>
      <w:r w:rsidRPr="007926AE">
        <w:rPr>
          <w:rFonts w:ascii="Arial" w:hAnsi="Arial" w:cs="Arial"/>
          <w:color w:val="000000"/>
          <w:sz w:val="22"/>
          <w:szCs w:val="22"/>
        </w:rPr>
        <w:t xml:space="preserve"> </w:t>
      </w:r>
      <w:r w:rsidRPr="007926AE">
        <w:rPr>
          <w:rFonts w:ascii="Arial" w:hAnsi="Arial" w:cs="Arial"/>
          <w:b/>
          <w:bCs/>
          <w:color w:val="000000"/>
          <w:sz w:val="22"/>
          <w:szCs w:val="22"/>
        </w:rPr>
        <w:t>13</w:t>
      </w:r>
      <w:r w:rsidRPr="007926AE">
        <w:rPr>
          <w:rFonts w:ascii="Arial" w:hAnsi="Arial" w:cs="Arial"/>
          <w:color w:val="000000"/>
          <w:sz w:val="22"/>
          <w:szCs w:val="22"/>
        </w:rPr>
        <w:t>, 396–406 (2007).</w:t>
      </w:r>
    </w:p>
    <w:p w14:paraId="6208384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173.</w:t>
      </w:r>
      <w:r w:rsidRPr="007926AE">
        <w:rPr>
          <w:rFonts w:ascii="Arial" w:hAnsi="Arial" w:cs="Arial"/>
          <w:color w:val="000000"/>
          <w:sz w:val="22"/>
          <w:szCs w:val="22"/>
        </w:rPr>
        <w:tab/>
        <w:t xml:space="preserve">Rizzo, A., Cusmai, A., Acquafredda, S., Rinaldi, L. &amp; Palmiotti, G. Ladiratuzumab vedotin for metastatic triple negative cancer: preliminary results, key challenges, and clinical potential. </w:t>
      </w:r>
      <w:r w:rsidRPr="007926AE">
        <w:rPr>
          <w:rFonts w:ascii="Arial" w:hAnsi="Arial" w:cs="Arial"/>
          <w:i/>
          <w:iCs/>
          <w:color w:val="000000"/>
          <w:sz w:val="22"/>
          <w:szCs w:val="22"/>
        </w:rPr>
        <w:t>Expert Opinion on Investigational Drugs</w:t>
      </w:r>
      <w:r w:rsidRPr="007926AE">
        <w:rPr>
          <w:rFonts w:ascii="Arial" w:hAnsi="Arial" w:cs="Arial"/>
          <w:color w:val="000000"/>
          <w:sz w:val="22"/>
          <w:szCs w:val="22"/>
        </w:rPr>
        <w:t xml:space="preserve"> </w:t>
      </w:r>
      <w:r w:rsidRPr="007926AE">
        <w:rPr>
          <w:rFonts w:ascii="Arial" w:hAnsi="Arial" w:cs="Arial"/>
          <w:b/>
          <w:bCs/>
          <w:color w:val="000000"/>
          <w:sz w:val="22"/>
          <w:szCs w:val="22"/>
        </w:rPr>
        <w:t>31</w:t>
      </w:r>
      <w:r w:rsidRPr="007926AE">
        <w:rPr>
          <w:rFonts w:ascii="Arial" w:hAnsi="Arial" w:cs="Arial"/>
          <w:color w:val="000000"/>
          <w:sz w:val="22"/>
          <w:szCs w:val="22"/>
        </w:rPr>
        <w:t>, 495–498 (2022).</w:t>
      </w:r>
    </w:p>
    <w:p w14:paraId="70631AE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174.</w:t>
      </w:r>
      <w:r w:rsidRPr="007926AE">
        <w:rPr>
          <w:rFonts w:ascii="Arial" w:hAnsi="Arial" w:cs="Arial"/>
          <w:color w:val="000000"/>
          <w:sz w:val="22"/>
          <w:szCs w:val="22"/>
        </w:rPr>
        <w:tab/>
        <w:t xml:space="preserve">Pascual, J. &amp; Turner, N. C. Targeting the PI3-kinase pathway in triple-negative breast cancer. </w:t>
      </w:r>
      <w:r w:rsidRPr="007926AE">
        <w:rPr>
          <w:rFonts w:ascii="Arial" w:hAnsi="Arial" w:cs="Arial"/>
          <w:i/>
          <w:iCs/>
          <w:color w:val="000000"/>
          <w:sz w:val="22"/>
          <w:szCs w:val="22"/>
        </w:rPr>
        <w:t>Annals of Oncology</w:t>
      </w:r>
      <w:r w:rsidRPr="007926AE">
        <w:rPr>
          <w:rFonts w:ascii="Arial" w:hAnsi="Arial" w:cs="Arial"/>
          <w:color w:val="000000"/>
          <w:sz w:val="22"/>
          <w:szCs w:val="22"/>
        </w:rPr>
        <w:t xml:space="preserve"> </w:t>
      </w:r>
      <w:r w:rsidRPr="007926AE">
        <w:rPr>
          <w:rFonts w:ascii="Arial" w:hAnsi="Arial" w:cs="Arial"/>
          <w:b/>
          <w:bCs/>
          <w:color w:val="000000"/>
          <w:sz w:val="22"/>
          <w:szCs w:val="22"/>
        </w:rPr>
        <w:t>30</w:t>
      </w:r>
      <w:r w:rsidRPr="007926AE">
        <w:rPr>
          <w:rFonts w:ascii="Arial" w:hAnsi="Arial" w:cs="Arial"/>
          <w:color w:val="000000"/>
          <w:sz w:val="22"/>
          <w:szCs w:val="22"/>
        </w:rPr>
        <w:t>, 1051–1060 (2019).</w:t>
      </w:r>
    </w:p>
    <w:p w14:paraId="250C3BCE"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175.</w:t>
      </w:r>
      <w:r w:rsidRPr="007926AE">
        <w:rPr>
          <w:rFonts w:ascii="Arial" w:hAnsi="Arial" w:cs="Arial"/>
          <w:color w:val="000000"/>
          <w:sz w:val="22"/>
          <w:szCs w:val="22"/>
        </w:rPr>
        <w:tab/>
        <w:t xml:space="preserve">Sinkala, M., Nkhoma, P., Mulder, N. &amp; Martin, D. P. Integrated molecular characterisation of the MAPK pathways in human cancers reveals pharmacologically vulnerable mutations and gene dependencies. </w:t>
      </w:r>
      <w:r w:rsidRPr="007926AE">
        <w:rPr>
          <w:rFonts w:ascii="Arial" w:hAnsi="Arial" w:cs="Arial"/>
          <w:i/>
          <w:iCs/>
          <w:color w:val="000000"/>
          <w:sz w:val="22"/>
          <w:szCs w:val="22"/>
        </w:rPr>
        <w:t>Commun Biol</w:t>
      </w:r>
      <w:r w:rsidRPr="007926AE">
        <w:rPr>
          <w:rFonts w:ascii="Arial" w:hAnsi="Arial" w:cs="Arial"/>
          <w:color w:val="000000"/>
          <w:sz w:val="22"/>
          <w:szCs w:val="22"/>
        </w:rPr>
        <w:t xml:space="preserve"> </w:t>
      </w:r>
      <w:r w:rsidRPr="007926AE">
        <w:rPr>
          <w:rFonts w:ascii="Arial" w:hAnsi="Arial" w:cs="Arial"/>
          <w:b/>
          <w:bCs/>
          <w:color w:val="000000"/>
          <w:sz w:val="22"/>
          <w:szCs w:val="22"/>
        </w:rPr>
        <w:t>4</w:t>
      </w:r>
      <w:r w:rsidRPr="007926AE">
        <w:rPr>
          <w:rFonts w:ascii="Arial" w:hAnsi="Arial" w:cs="Arial"/>
          <w:color w:val="000000"/>
          <w:sz w:val="22"/>
          <w:szCs w:val="22"/>
        </w:rPr>
        <w:t>, 9 (2021).</w:t>
      </w:r>
    </w:p>
    <w:p w14:paraId="615F1BAF"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176.</w:t>
      </w:r>
      <w:r w:rsidRPr="007926AE">
        <w:rPr>
          <w:rFonts w:ascii="Arial" w:hAnsi="Arial" w:cs="Arial"/>
          <w:color w:val="000000"/>
          <w:sz w:val="22"/>
          <w:szCs w:val="22"/>
        </w:rPr>
        <w:tab/>
        <w:t xml:space="preserve">Bertucci, F. </w:t>
      </w:r>
      <w:r w:rsidRPr="007926AE">
        <w:rPr>
          <w:rFonts w:ascii="Arial" w:hAnsi="Arial" w:cs="Arial"/>
          <w:i/>
          <w:iCs/>
          <w:color w:val="000000"/>
          <w:sz w:val="22"/>
          <w:szCs w:val="22"/>
        </w:rPr>
        <w:t>et al.</w:t>
      </w:r>
      <w:r w:rsidRPr="007926AE">
        <w:rPr>
          <w:rFonts w:ascii="Arial" w:hAnsi="Arial" w:cs="Arial"/>
          <w:color w:val="000000"/>
          <w:sz w:val="22"/>
          <w:szCs w:val="22"/>
        </w:rPr>
        <w:t xml:space="preserve"> Genomic characterization of metastatic breast cancers. </w:t>
      </w:r>
      <w:r w:rsidRPr="007926AE">
        <w:rPr>
          <w:rFonts w:ascii="Arial" w:hAnsi="Arial" w:cs="Arial"/>
          <w:i/>
          <w:iCs/>
          <w:color w:val="000000"/>
          <w:sz w:val="22"/>
          <w:szCs w:val="22"/>
        </w:rPr>
        <w:t>Nature</w:t>
      </w:r>
      <w:r w:rsidRPr="007926AE">
        <w:rPr>
          <w:rFonts w:ascii="Arial" w:hAnsi="Arial" w:cs="Arial"/>
          <w:color w:val="000000"/>
          <w:sz w:val="22"/>
          <w:szCs w:val="22"/>
        </w:rPr>
        <w:t xml:space="preserve"> </w:t>
      </w:r>
      <w:r w:rsidRPr="007926AE">
        <w:rPr>
          <w:rFonts w:ascii="Arial" w:hAnsi="Arial" w:cs="Arial"/>
          <w:b/>
          <w:bCs/>
          <w:color w:val="000000"/>
          <w:sz w:val="22"/>
          <w:szCs w:val="22"/>
        </w:rPr>
        <w:t>569</w:t>
      </w:r>
      <w:r w:rsidRPr="007926AE">
        <w:rPr>
          <w:rFonts w:ascii="Arial" w:hAnsi="Arial" w:cs="Arial"/>
          <w:color w:val="000000"/>
          <w:sz w:val="22"/>
          <w:szCs w:val="22"/>
        </w:rPr>
        <w:t>, 560–564 (2019).</w:t>
      </w:r>
    </w:p>
    <w:p w14:paraId="18B5FE37"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177.</w:t>
      </w:r>
      <w:r w:rsidRPr="007926AE">
        <w:rPr>
          <w:rFonts w:ascii="Arial" w:hAnsi="Arial" w:cs="Arial"/>
          <w:color w:val="000000"/>
          <w:sz w:val="22"/>
          <w:szCs w:val="22"/>
        </w:rPr>
        <w:tab/>
        <w:t xml:space="preserve">Logue, J. S. &amp; Morrison, D. K. Complexity in the signaling network: insights from the use of targeted inhibitors in cancer therapy. </w:t>
      </w:r>
      <w:r w:rsidRPr="007926AE">
        <w:rPr>
          <w:rFonts w:ascii="Arial" w:hAnsi="Arial" w:cs="Arial"/>
          <w:i/>
          <w:iCs/>
          <w:color w:val="000000"/>
          <w:sz w:val="22"/>
          <w:szCs w:val="22"/>
        </w:rPr>
        <w:t>Genes Dev.</w:t>
      </w:r>
      <w:r w:rsidRPr="007926AE">
        <w:rPr>
          <w:rFonts w:ascii="Arial" w:hAnsi="Arial" w:cs="Arial"/>
          <w:color w:val="000000"/>
          <w:sz w:val="22"/>
          <w:szCs w:val="22"/>
        </w:rPr>
        <w:t xml:space="preserve"> </w:t>
      </w:r>
      <w:r w:rsidRPr="007926AE">
        <w:rPr>
          <w:rFonts w:ascii="Arial" w:hAnsi="Arial" w:cs="Arial"/>
          <w:b/>
          <w:bCs/>
          <w:color w:val="000000"/>
          <w:sz w:val="22"/>
          <w:szCs w:val="22"/>
        </w:rPr>
        <w:t>26</w:t>
      </w:r>
      <w:r w:rsidRPr="007926AE">
        <w:rPr>
          <w:rFonts w:ascii="Arial" w:hAnsi="Arial" w:cs="Arial"/>
          <w:color w:val="000000"/>
          <w:sz w:val="22"/>
          <w:szCs w:val="22"/>
        </w:rPr>
        <w:t>, 641–650 (2012).</w:t>
      </w:r>
    </w:p>
    <w:p w14:paraId="18E63E3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178.</w:t>
      </w:r>
      <w:r w:rsidRPr="007926AE">
        <w:rPr>
          <w:rFonts w:ascii="Arial" w:hAnsi="Arial" w:cs="Arial"/>
          <w:color w:val="000000"/>
          <w:sz w:val="22"/>
          <w:szCs w:val="22"/>
        </w:rPr>
        <w:tab/>
        <w:t xml:space="preserve">Lu, Q. </w:t>
      </w:r>
      <w:r w:rsidRPr="007926AE">
        <w:rPr>
          <w:rFonts w:ascii="Arial" w:hAnsi="Arial" w:cs="Arial"/>
          <w:i/>
          <w:iCs/>
          <w:color w:val="000000"/>
          <w:sz w:val="22"/>
          <w:szCs w:val="22"/>
        </w:rPr>
        <w:t>et al.</w:t>
      </w:r>
      <w:r w:rsidRPr="007926AE">
        <w:rPr>
          <w:rFonts w:ascii="Arial" w:hAnsi="Arial" w:cs="Arial"/>
          <w:color w:val="000000"/>
          <w:sz w:val="22"/>
          <w:szCs w:val="22"/>
        </w:rPr>
        <w:t xml:space="preserve"> Bicalutamide plus Aromatase Inhibitor in Patients with Estrogen Receptor-Positive/Androgen Receptor-Positive Advanced Breast Cancer. </w:t>
      </w:r>
      <w:r w:rsidRPr="007926AE">
        <w:rPr>
          <w:rFonts w:ascii="Arial" w:hAnsi="Arial" w:cs="Arial"/>
          <w:i/>
          <w:iCs/>
          <w:color w:val="000000"/>
          <w:sz w:val="22"/>
          <w:szCs w:val="22"/>
        </w:rPr>
        <w:t>The Oncologist</w:t>
      </w:r>
      <w:r w:rsidRPr="007926AE">
        <w:rPr>
          <w:rFonts w:ascii="Arial" w:hAnsi="Arial" w:cs="Arial"/>
          <w:color w:val="000000"/>
          <w:sz w:val="22"/>
          <w:szCs w:val="22"/>
        </w:rPr>
        <w:t xml:space="preserve"> </w:t>
      </w:r>
      <w:r w:rsidRPr="007926AE">
        <w:rPr>
          <w:rFonts w:ascii="Arial" w:hAnsi="Arial" w:cs="Arial"/>
          <w:b/>
          <w:bCs/>
          <w:color w:val="000000"/>
          <w:sz w:val="22"/>
          <w:szCs w:val="22"/>
        </w:rPr>
        <w:t>25</w:t>
      </w:r>
      <w:r w:rsidRPr="007926AE">
        <w:rPr>
          <w:rFonts w:ascii="Arial" w:hAnsi="Arial" w:cs="Arial"/>
          <w:color w:val="000000"/>
          <w:sz w:val="22"/>
          <w:szCs w:val="22"/>
        </w:rPr>
        <w:t>, 21-e15 (2020).</w:t>
      </w:r>
    </w:p>
    <w:p w14:paraId="53ED0989"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179.</w:t>
      </w:r>
      <w:r w:rsidRPr="007926AE">
        <w:rPr>
          <w:rFonts w:ascii="Arial" w:hAnsi="Arial" w:cs="Arial"/>
          <w:color w:val="000000"/>
          <w:sz w:val="22"/>
          <w:szCs w:val="22"/>
        </w:rPr>
        <w:tab/>
        <w:t xml:space="preserve">Traina, T. A. </w:t>
      </w:r>
      <w:r w:rsidRPr="007926AE">
        <w:rPr>
          <w:rFonts w:ascii="Arial" w:hAnsi="Arial" w:cs="Arial"/>
          <w:i/>
          <w:iCs/>
          <w:color w:val="000000"/>
          <w:sz w:val="22"/>
          <w:szCs w:val="22"/>
        </w:rPr>
        <w:t>et al.</w:t>
      </w:r>
      <w:r w:rsidRPr="007926AE">
        <w:rPr>
          <w:rFonts w:ascii="Arial" w:hAnsi="Arial" w:cs="Arial"/>
          <w:color w:val="000000"/>
          <w:sz w:val="22"/>
          <w:szCs w:val="22"/>
        </w:rPr>
        <w:t xml:space="preserve"> Enzalutamide for the Treatment of Androgen Receptor–Expressing Triple-Negative Breast Cancer. </w:t>
      </w:r>
      <w:r w:rsidRPr="007926AE">
        <w:rPr>
          <w:rFonts w:ascii="Arial" w:hAnsi="Arial" w:cs="Arial"/>
          <w:i/>
          <w:iCs/>
          <w:color w:val="000000"/>
          <w:sz w:val="22"/>
          <w:szCs w:val="22"/>
        </w:rPr>
        <w:t>JCO</w:t>
      </w:r>
      <w:r w:rsidRPr="007926AE">
        <w:rPr>
          <w:rFonts w:ascii="Arial" w:hAnsi="Arial" w:cs="Arial"/>
          <w:color w:val="000000"/>
          <w:sz w:val="22"/>
          <w:szCs w:val="22"/>
        </w:rPr>
        <w:t xml:space="preserve"> </w:t>
      </w:r>
      <w:r w:rsidRPr="007926AE">
        <w:rPr>
          <w:rFonts w:ascii="Arial" w:hAnsi="Arial" w:cs="Arial"/>
          <w:b/>
          <w:bCs/>
          <w:color w:val="000000"/>
          <w:sz w:val="22"/>
          <w:szCs w:val="22"/>
        </w:rPr>
        <w:t>36</w:t>
      </w:r>
      <w:r w:rsidRPr="007926AE">
        <w:rPr>
          <w:rFonts w:ascii="Arial" w:hAnsi="Arial" w:cs="Arial"/>
          <w:color w:val="000000"/>
          <w:sz w:val="22"/>
          <w:szCs w:val="22"/>
        </w:rPr>
        <w:t>, 884–890 (2018).</w:t>
      </w:r>
    </w:p>
    <w:p w14:paraId="4793B2E6"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180.</w:t>
      </w:r>
      <w:r w:rsidRPr="007926AE">
        <w:rPr>
          <w:rFonts w:ascii="Arial" w:hAnsi="Arial" w:cs="Arial"/>
          <w:color w:val="000000"/>
          <w:sz w:val="22"/>
          <w:szCs w:val="22"/>
        </w:rPr>
        <w:tab/>
        <w:t xml:space="preserve">Lehmann, B. D. </w:t>
      </w:r>
      <w:r w:rsidRPr="007926AE">
        <w:rPr>
          <w:rFonts w:ascii="Arial" w:hAnsi="Arial" w:cs="Arial"/>
          <w:i/>
          <w:iCs/>
          <w:color w:val="000000"/>
          <w:sz w:val="22"/>
          <w:szCs w:val="22"/>
        </w:rPr>
        <w:t>et al.</w:t>
      </w:r>
      <w:r w:rsidRPr="007926AE">
        <w:rPr>
          <w:rFonts w:ascii="Arial" w:hAnsi="Arial" w:cs="Arial"/>
          <w:color w:val="000000"/>
          <w:sz w:val="22"/>
          <w:szCs w:val="22"/>
        </w:rPr>
        <w:t xml:space="preserve"> PIK3CA mutations in androgen receptor-positive triple negative breast cancer confer sensitivity to the combination of PI3K and androgen receptor inhibitors. </w:t>
      </w:r>
      <w:r w:rsidRPr="007926AE">
        <w:rPr>
          <w:rFonts w:ascii="Arial" w:hAnsi="Arial" w:cs="Arial"/>
          <w:i/>
          <w:iCs/>
          <w:color w:val="000000"/>
          <w:sz w:val="22"/>
          <w:szCs w:val="22"/>
        </w:rPr>
        <w:t>Breast Cancer Res</w:t>
      </w:r>
      <w:r w:rsidRPr="007926AE">
        <w:rPr>
          <w:rFonts w:ascii="Arial" w:hAnsi="Arial" w:cs="Arial"/>
          <w:color w:val="000000"/>
          <w:sz w:val="22"/>
          <w:szCs w:val="22"/>
        </w:rPr>
        <w:t xml:space="preserve"> </w:t>
      </w:r>
      <w:r w:rsidRPr="007926AE">
        <w:rPr>
          <w:rFonts w:ascii="Arial" w:hAnsi="Arial" w:cs="Arial"/>
          <w:b/>
          <w:bCs/>
          <w:color w:val="000000"/>
          <w:sz w:val="22"/>
          <w:szCs w:val="22"/>
        </w:rPr>
        <w:t>16</w:t>
      </w:r>
      <w:r w:rsidRPr="007926AE">
        <w:rPr>
          <w:rFonts w:ascii="Arial" w:hAnsi="Arial" w:cs="Arial"/>
          <w:color w:val="000000"/>
          <w:sz w:val="22"/>
          <w:szCs w:val="22"/>
        </w:rPr>
        <w:t>, 406 (2014).</w:t>
      </w:r>
    </w:p>
    <w:p w14:paraId="0842EB2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181.</w:t>
      </w:r>
      <w:r w:rsidRPr="007926AE">
        <w:rPr>
          <w:rFonts w:ascii="Arial" w:hAnsi="Arial" w:cs="Arial"/>
          <w:color w:val="000000"/>
          <w:sz w:val="22"/>
          <w:szCs w:val="22"/>
        </w:rPr>
        <w:tab/>
        <w:t xml:space="preserve">Xiang, J. </w:t>
      </w:r>
      <w:r w:rsidRPr="007926AE">
        <w:rPr>
          <w:rFonts w:ascii="Arial" w:hAnsi="Arial" w:cs="Arial"/>
          <w:i/>
          <w:iCs/>
          <w:color w:val="000000"/>
          <w:sz w:val="22"/>
          <w:szCs w:val="22"/>
        </w:rPr>
        <w:t>et al.</w:t>
      </w:r>
      <w:r w:rsidRPr="007926AE">
        <w:rPr>
          <w:rFonts w:ascii="Arial" w:hAnsi="Arial" w:cs="Arial"/>
          <w:color w:val="000000"/>
          <w:sz w:val="22"/>
          <w:szCs w:val="22"/>
        </w:rPr>
        <w:t xml:space="preserve"> Antigen-Loaded Upconversion Nanoparticles for Dendritic Cell Stimulation, Tracking, and Vaccination in Dendritic Cell-Based Immunotherapy. </w:t>
      </w:r>
      <w:r w:rsidRPr="007926AE">
        <w:rPr>
          <w:rFonts w:ascii="Arial" w:hAnsi="Arial" w:cs="Arial"/>
          <w:i/>
          <w:iCs/>
          <w:color w:val="000000"/>
          <w:sz w:val="22"/>
          <w:szCs w:val="22"/>
        </w:rPr>
        <w:t>ACS Nano</w:t>
      </w:r>
      <w:r w:rsidRPr="007926AE">
        <w:rPr>
          <w:rFonts w:ascii="Arial" w:hAnsi="Arial" w:cs="Arial"/>
          <w:color w:val="000000"/>
          <w:sz w:val="22"/>
          <w:szCs w:val="22"/>
        </w:rPr>
        <w:t xml:space="preserve"> </w:t>
      </w:r>
      <w:r w:rsidRPr="007926AE">
        <w:rPr>
          <w:rFonts w:ascii="Arial" w:hAnsi="Arial" w:cs="Arial"/>
          <w:b/>
          <w:bCs/>
          <w:color w:val="000000"/>
          <w:sz w:val="22"/>
          <w:szCs w:val="22"/>
        </w:rPr>
        <w:t>9</w:t>
      </w:r>
      <w:r w:rsidRPr="007926AE">
        <w:rPr>
          <w:rFonts w:ascii="Arial" w:hAnsi="Arial" w:cs="Arial"/>
          <w:color w:val="000000"/>
          <w:sz w:val="22"/>
          <w:szCs w:val="22"/>
        </w:rPr>
        <w:t>, 6401–6411 (2015).</w:t>
      </w:r>
    </w:p>
    <w:p w14:paraId="0A435F6E"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182.</w:t>
      </w:r>
      <w:r w:rsidRPr="007926AE">
        <w:rPr>
          <w:rFonts w:ascii="Arial" w:hAnsi="Arial" w:cs="Arial"/>
          <w:color w:val="000000"/>
          <w:sz w:val="22"/>
          <w:szCs w:val="22"/>
        </w:rPr>
        <w:tab/>
        <w:t xml:space="preserve">Doughty, A. C. V. </w:t>
      </w:r>
      <w:r w:rsidRPr="007926AE">
        <w:rPr>
          <w:rFonts w:ascii="Arial" w:hAnsi="Arial" w:cs="Arial"/>
          <w:i/>
          <w:iCs/>
          <w:color w:val="000000"/>
          <w:sz w:val="22"/>
          <w:szCs w:val="22"/>
        </w:rPr>
        <w:t>et al.</w:t>
      </w:r>
      <w:r w:rsidRPr="007926AE">
        <w:rPr>
          <w:rFonts w:ascii="Arial" w:hAnsi="Arial" w:cs="Arial"/>
          <w:color w:val="000000"/>
          <w:sz w:val="22"/>
          <w:szCs w:val="22"/>
        </w:rPr>
        <w:t xml:space="preserve"> Nanomaterial applications in photothermal therapy for cancer. </w:t>
      </w:r>
      <w:r w:rsidRPr="007926AE">
        <w:rPr>
          <w:rFonts w:ascii="Arial" w:hAnsi="Arial" w:cs="Arial"/>
          <w:i/>
          <w:iCs/>
          <w:color w:val="000000"/>
          <w:sz w:val="22"/>
          <w:szCs w:val="22"/>
        </w:rPr>
        <w:t>Materials</w:t>
      </w:r>
      <w:r w:rsidRPr="007926AE">
        <w:rPr>
          <w:rFonts w:ascii="Arial" w:hAnsi="Arial" w:cs="Arial"/>
          <w:color w:val="000000"/>
          <w:sz w:val="22"/>
          <w:szCs w:val="22"/>
        </w:rPr>
        <w:t xml:space="preserve"> </w:t>
      </w:r>
      <w:r w:rsidRPr="007926AE">
        <w:rPr>
          <w:rFonts w:ascii="Arial" w:hAnsi="Arial" w:cs="Arial"/>
          <w:b/>
          <w:bCs/>
          <w:color w:val="000000"/>
          <w:sz w:val="22"/>
          <w:szCs w:val="22"/>
        </w:rPr>
        <w:t>12</w:t>
      </w:r>
      <w:r w:rsidRPr="007926AE">
        <w:rPr>
          <w:rFonts w:ascii="Arial" w:hAnsi="Arial" w:cs="Arial"/>
          <w:color w:val="000000"/>
          <w:sz w:val="22"/>
          <w:szCs w:val="22"/>
        </w:rPr>
        <w:t>, (2019).</w:t>
      </w:r>
    </w:p>
    <w:p w14:paraId="55B0BDE6" w14:textId="77777777" w:rsidR="000F4F53" w:rsidRPr="007926AE" w:rsidRDefault="000F4F53" w:rsidP="000F4F53">
      <w:pPr>
        <w:pStyle w:val="Bibliography"/>
        <w:spacing w:line="360" w:lineRule="auto"/>
        <w:rPr>
          <w:rFonts w:ascii="Arial" w:hAnsi="Arial" w:cs="Arial"/>
          <w:color w:val="000000"/>
          <w:sz w:val="22"/>
          <w:szCs w:val="22"/>
        </w:rPr>
      </w:pPr>
      <w:r w:rsidRPr="00D36DCA">
        <w:rPr>
          <w:rFonts w:ascii="Arial" w:hAnsi="Arial" w:cs="Arial"/>
          <w:color w:val="000000"/>
          <w:sz w:val="22"/>
          <w:szCs w:val="22"/>
        </w:rPr>
        <w:t>183.</w:t>
      </w:r>
      <w:r w:rsidRPr="00D36DCA">
        <w:rPr>
          <w:rFonts w:ascii="Arial" w:hAnsi="Arial" w:cs="Arial"/>
          <w:color w:val="000000"/>
          <w:sz w:val="22"/>
          <w:szCs w:val="22"/>
        </w:rPr>
        <w:tab/>
        <w:t xml:space="preserve">de Melo-Diogo, D., Pais-Silva, C., Dias, D. R., Moreira, A. F. &amp; Correia, I. J. Strategies to Improve Cancer Photothermal Therapy Mediated by Nanomaterials. </w:t>
      </w:r>
      <w:r w:rsidRPr="007926AE">
        <w:rPr>
          <w:rFonts w:ascii="Arial" w:hAnsi="Arial" w:cs="Arial"/>
          <w:i/>
          <w:iCs/>
          <w:color w:val="000000"/>
          <w:sz w:val="22"/>
          <w:szCs w:val="22"/>
        </w:rPr>
        <w:t>Advanced Healthcare Materials</w:t>
      </w:r>
      <w:r w:rsidRPr="007926AE">
        <w:rPr>
          <w:rFonts w:ascii="Arial" w:hAnsi="Arial" w:cs="Arial"/>
          <w:color w:val="000000"/>
          <w:sz w:val="22"/>
          <w:szCs w:val="22"/>
        </w:rPr>
        <w:t xml:space="preserve"> </w:t>
      </w:r>
      <w:r w:rsidRPr="007926AE">
        <w:rPr>
          <w:rFonts w:ascii="Arial" w:hAnsi="Arial" w:cs="Arial"/>
          <w:b/>
          <w:bCs/>
          <w:color w:val="000000"/>
          <w:sz w:val="22"/>
          <w:szCs w:val="22"/>
        </w:rPr>
        <w:t>6</w:t>
      </w:r>
      <w:r w:rsidRPr="007926AE">
        <w:rPr>
          <w:rFonts w:ascii="Arial" w:hAnsi="Arial" w:cs="Arial"/>
          <w:color w:val="000000"/>
          <w:sz w:val="22"/>
          <w:szCs w:val="22"/>
        </w:rPr>
        <w:t>, (2017).</w:t>
      </w:r>
    </w:p>
    <w:p w14:paraId="7872109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184.</w:t>
      </w:r>
      <w:r w:rsidRPr="007926AE">
        <w:rPr>
          <w:rFonts w:ascii="Arial" w:hAnsi="Arial" w:cs="Arial"/>
          <w:color w:val="000000"/>
          <w:sz w:val="22"/>
          <w:szCs w:val="22"/>
        </w:rPr>
        <w:tab/>
        <w:t xml:space="preserve">Tang, J. Effect of hyperthermia on invasion ability and TGF-β1 expression of breast carcinoma MCF-7 cells. </w:t>
      </w:r>
      <w:r w:rsidRPr="007926AE">
        <w:rPr>
          <w:rFonts w:ascii="Arial" w:hAnsi="Arial" w:cs="Arial"/>
          <w:i/>
          <w:iCs/>
          <w:color w:val="000000"/>
          <w:sz w:val="22"/>
          <w:szCs w:val="22"/>
        </w:rPr>
        <w:t>Oncol Rep</w:t>
      </w:r>
      <w:r w:rsidRPr="007926AE">
        <w:rPr>
          <w:rFonts w:ascii="Arial" w:hAnsi="Arial" w:cs="Arial"/>
          <w:color w:val="000000"/>
          <w:sz w:val="22"/>
          <w:szCs w:val="22"/>
        </w:rPr>
        <w:t xml:space="preserve"> (2011) doi:10.3892/or.2011.1240.</w:t>
      </w:r>
    </w:p>
    <w:p w14:paraId="4AF2A015"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185.</w:t>
      </w:r>
      <w:r w:rsidRPr="007926AE">
        <w:rPr>
          <w:rFonts w:ascii="Arial" w:hAnsi="Arial" w:cs="Arial"/>
          <w:color w:val="000000"/>
          <w:sz w:val="22"/>
          <w:szCs w:val="22"/>
        </w:rPr>
        <w:tab/>
        <w:t xml:space="preserve">Hsiao, C.-W. </w:t>
      </w:r>
      <w:r w:rsidRPr="007926AE">
        <w:rPr>
          <w:rFonts w:ascii="Arial" w:hAnsi="Arial" w:cs="Arial"/>
          <w:i/>
          <w:iCs/>
          <w:color w:val="000000"/>
          <w:sz w:val="22"/>
          <w:szCs w:val="22"/>
        </w:rPr>
        <w:t>et al.</w:t>
      </w:r>
      <w:r w:rsidRPr="007926AE">
        <w:rPr>
          <w:rFonts w:ascii="Arial" w:hAnsi="Arial" w:cs="Arial"/>
          <w:color w:val="000000"/>
          <w:sz w:val="22"/>
          <w:szCs w:val="22"/>
        </w:rPr>
        <w:t xml:space="preserve"> Photothermal tumor ablation in mice with repeated therapy sessions using NIR-absorbing micellar hydrogels formed in situ. </w:t>
      </w:r>
      <w:r w:rsidRPr="007926AE">
        <w:rPr>
          <w:rFonts w:ascii="Arial" w:hAnsi="Arial" w:cs="Arial"/>
          <w:i/>
          <w:iCs/>
          <w:color w:val="000000"/>
          <w:sz w:val="22"/>
          <w:szCs w:val="22"/>
        </w:rPr>
        <w:t>Biomaterials</w:t>
      </w:r>
      <w:r w:rsidRPr="007926AE">
        <w:rPr>
          <w:rFonts w:ascii="Arial" w:hAnsi="Arial" w:cs="Arial"/>
          <w:color w:val="000000"/>
          <w:sz w:val="22"/>
          <w:szCs w:val="22"/>
        </w:rPr>
        <w:t xml:space="preserve"> </w:t>
      </w:r>
      <w:r w:rsidRPr="007926AE">
        <w:rPr>
          <w:rFonts w:ascii="Arial" w:hAnsi="Arial" w:cs="Arial"/>
          <w:b/>
          <w:bCs/>
          <w:color w:val="000000"/>
          <w:sz w:val="22"/>
          <w:szCs w:val="22"/>
        </w:rPr>
        <w:t>56</w:t>
      </w:r>
      <w:r w:rsidRPr="007926AE">
        <w:rPr>
          <w:rFonts w:ascii="Arial" w:hAnsi="Arial" w:cs="Arial"/>
          <w:color w:val="000000"/>
          <w:sz w:val="22"/>
          <w:szCs w:val="22"/>
        </w:rPr>
        <w:t>, 26–35 (2015).</w:t>
      </w:r>
    </w:p>
    <w:p w14:paraId="58F426F6"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186.</w:t>
      </w:r>
      <w:r w:rsidRPr="007926AE">
        <w:rPr>
          <w:rFonts w:ascii="Arial" w:hAnsi="Arial" w:cs="Arial"/>
          <w:color w:val="000000"/>
          <w:sz w:val="22"/>
          <w:szCs w:val="22"/>
        </w:rPr>
        <w:tab/>
        <w:t xml:space="preserve">Richter, K., Haslbeck, M. &amp; Buchner, J. The Heat Shock Response: Life on the Verge of Death. </w:t>
      </w:r>
      <w:r w:rsidRPr="007926AE">
        <w:rPr>
          <w:rFonts w:ascii="Arial" w:hAnsi="Arial" w:cs="Arial"/>
          <w:i/>
          <w:iCs/>
          <w:color w:val="000000"/>
          <w:sz w:val="22"/>
          <w:szCs w:val="22"/>
        </w:rPr>
        <w:t>Molecular Cell</w:t>
      </w:r>
      <w:r w:rsidRPr="007926AE">
        <w:rPr>
          <w:rFonts w:ascii="Arial" w:hAnsi="Arial" w:cs="Arial"/>
          <w:color w:val="000000"/>
          <w:sz w:val="22"/>
          <w:szCs w:val="22"/>
        </w:rPr>
        <w:t xml:space="preserve"> </w:t>
      </w:r>
      <w:r w:rsidRPr="007926AE">
        <w:rPr>
          <w:rFonts w:ascii="Arial" w:hAnsi="Arial" w:cs="Arial"/>
          <w:b/>
          <w:bCs/>
          <w:color w:val="000000"/>
          <w:sz w:val="22"/>
          <w:szCs w:val="22"/>
        </w:rPr>
        <w:t>40</w:t>
      </w:r>
      <w:r w:rsidRPr="007926AE">
        <w:rPr>
          <w:rFonts w:ascii="Arial" w:hAnsi="Arial" w:cs="Arial"/>
          <w:color w:val="000000"/>
          <w:sz w:val="22"/>
          <w:szCs w:val="22"/>
        </w:rPr>
        <w:t>, 253–266 (2010).</w:t>
      </w:r>
    </w:p>
    <w:p w14:paraId="29878356"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187.</w:t>
      </w:r>
      <w:r w:rsidRPr="007926AE">
        <w:rPr>
          <w:rFonts w:ascii="Arial" w:hAnsi="Arial" w:cs="Arial"/>
          <w:color w:val="000000"/>
          <w:sz w:val="22"/>
          <w:szCs w:val="22"/>
        </w:rPr>
        <w:tab/>
        <w:t xml:space="preserve">Knavel, E. M. &amp; Brace, C. L. Tumor Ablation: Common Modalities and General Practices. </w:t>
      </w:r>
      <w:r w:rsidRPr="007926AE">
        <w:rPr>
          <w:rFonts w:ascii="Arial" w:hAnsi="Arial" w:cs="Arial"/>
          <w:i/>
          <w:iCs/>
          <w:color w:val="000000"/>
          <w:sz w:val="22"/>
          <w:szCs w:val="22"/>
        </w:rPr>
        <w:t>Techniques in Vascular and Interventional Radiology</w:t>
      </w:r>
      <w:r w:rsidRPr="007926AE">
        <w:rPr>
          <w:rFonts w:ascii="Arial" w:hAnsi="Arial" w:cs="Arial"/>
          <w:color w:val="000000"/>
          <w:sz w:val="22"/>
          <w:szCs w:val="22"/>
        </w:rPr>
        <w:t xml:space="preserve"> </w:t>
      </w:r>
      <w:r w:rsidRPr="007926AE">
        <w:rPr>
          <w:rFonts w:ascii="Arial" w:hAnsi="Arial" w:cs="Arial"/>
          <w:b/>
          <w:bCs/>
          <w:color w:val="000000"/>
          <w:sz w:val="22"/>
          <w:szCs w:val="22"/>
        </w:rPr>
        <w:t>16</w:t>
      </w:r>
      <w:r w:rsidRPr="007926AE">
        <w:rPr>
          <w:rFonts w:ascii="Arial" w:hAnsi="Arial" w:cs="Arial"/>
          <w:color w:val="000000"/>
          <w:sz w:val="22"/>
          <w:szCs w:val="22"/>
        </w:rPr>
        <w:t>, 192–200 (2013).</w:t>
      </w:r>
    </w:p>
    <w:p w14:paraId="4EC63729"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188.</w:t>
      </w:r>
      <w:r w:rsidRPr="007926AE">
        <w:rPr>
          <w:rFonts w:ascii="Arial" w:hAnsi="Arial" w:cs="Arial"/>
          <w:color w:val="000000"/>
          <w:sz w:val="22"/>
          <w:szCs w:val="22"/>
        </w:rPr>
        <w:tab/>
        <w:t xml:space="preserve">Goldman, L. A review: Applications of the laser beam in cancer biology. </w:t>
      </w:r>
      <w:r w:rsidRPr="007926AE">
        <w:rPr>
          <w:rFonts w:ascii="Arial" w:hAnsi="Arial" w:cs="Arial"/>
          <w:i/>
          <w:iCs/>
          <w:color w:val="000000"/>
          <w:sz w:val="22"/>
          <w:szCs w:val="22"/>
        </w:rPr>
        <w:t>Int. J. Cancer</w:t>
      </w:r>
      <w:r w:rsidRPr="007926AE">
        <w:rPr>
          <w:rFonts w:ascii="Arial" w:hAnsi="Arial" w:cs="Arial"/>
          <w:color w:val="000000"/>
          <w:sz w:val="22"/>
          <w:szCs w:val="22"/>
        </w:rPr>
        <w:t xml:space="preserve"> </w:t>
      </w:r>
      <w:r w:rsidRPr="007926AE">
        <w:rPr>
          <w:rFonts w:ascii="Arial" w:hAnsi="Arial" w:cs="Arial"/>
          <w:b/>
          <w:bCs/>
          <w:color w:val="000000"/>
          <w:sz w:val="22"/>
          <w:szCs w:val="22"/>
        </w:rPr>
        <w:t>1</w:t>
      </w:r>
      <w:r w:rsidRPr="007926AE">
        <w:rPr>
          <w:rFonts w:ascii="Arial" w:hAnsi="Arial" w:cs="Arial"/>
          <w:color w:val="000000"/>
          <w:sz w:val="22"/>
          <w:szCs w:val="22"/>
        </w:rPr>
        <w:t>, 309–318 (1966).</w:t>
      </w:r>
    </w:p>
    <w:p w14:paraId="253EED39"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189.</w:t>
      </w:r>
      <w:r w:rsidRPr="007926AE">
        <w:rPr>
          <w:rFonts w:ascii="Arial" w:hAnsi="Arial" w:cs="Arial"/>
          <w:color w:val="000000"/>
          <w:sz w:val="22"/>
          <w:szCs w:val="22"/>
        </w:rPr>
        <w:tab/>
        <w:t xml:space="preserve">Sultan, R. A. Tumour ablation by laser in general surgery. </w:t>
      </w:r>
      <w:r w:rsidRPr="007926AE">
        <w:rPr>
          <w:rFonts w:ascii="Arial" w:hAnsi="Arial" w:cs="Arial"/>
          <w:i/>
          <w:iCs/>
          <w:color w:val="000000"/>
          <w:sz w:val="22"/>
          <w:szCs w:val="22"/>
        </w:rPr>
        <w:t>Laser Med Sci</w:t>
      </w:r>
      <w:r w:rsidRPr="007926AE">
        <w:rPr>
          <w:rFonts w:ascii="Arial" w:hAnsi="Arial" w:cs="Arial"/>
          <w:color w:val="000000"/>
          <w:sz w:val="22"/>
          <w:szCs w:val="22"/>
        </w:rPr>
        <w:t xml:space="preserve"> </w:t>
      </w:r>
      <w:r w:rsidRPr="007926AE">
        <w:rPr>
          <w:rFonts w:ascii="Arial" w:hAnsi="Arial" w:cs="Arial"/>
          <w:b/>
          <w:bCs/>
          <w:color w:val="000000"/>
          <w:sz w:val="22"/>
          <w:szCs w:val="22"/>
        </w:rPr>
        <w:t>5</w:t>
      </w:r>
      <w:r w:rsidRPr="007926AE">
        <w:rPr>
          <w:rFonts w:ascii="Arial" w:hAnsi="Arial" w:cs="Arial"/>
          <w:color w:val="000000"/>
          <w:sz w:val="22"/>
          <w:szCs w:val="22"/>
        </w:rPr>
        <w:t>, 185–193 (1990).</w:t>
      </w:r>
    </w:p>
    <w:p w14:paraId="7A1F6890"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190.</w:t>
      </w:r>
      <w:r w:rsidRPr="007926AE">
        <w:rPr>
          <w:rFonts w:ascii="Arial" w:hAnsi="Arial" w:cs="Arial"/>
          <w:color w:val="000000"/>
          <w:sz w:val="22"/>
          <w:szCs w:val="22"/>
        </w:rPr>
        <w:tab/>
        <w:t xml:space="preserve">Rai, P. </w:t>
      </w:r>
      <w:r w:rsidRPr="007926AE">
        <w:rPr>
          <w:rFonts w:ascii="Arial" w:hAnsi="Arial" w:cs="Arial"/>
          <w:i/>
          <w:iCs/>
          <w:color w:val="000000"/>
          <w:sz w:val="22"/>
          <w:szCs w:val="22"/>
        </w:rPr>
        <w:t>et al.</w:t>
      </w:r>
      <w:r w:rsidRPr="007926AE">
        <w:rPr>
          <w:rFonts w:ascii="Arial" w:hAnsi="Arial" w:cs="Arial"/>
          <w:color w:val="000000"/>
          <w:sz w:val="22"/>
          <w:szCs w:val="22"/>
        </w:rPr>
        <w:t xml:space="preserve"> Development and applications of photo-triggered theranostic agents. </w:t>
      </w:r>
      <w:r w:rsidRPr="007926AE">
        <w:rPr>
          <w:rFonts w:ascii="Arial" w:hAnsi="Arial" w:cs="Arial"/>
          <w:i/>
          <w:iCs/>
          <w:color w:val="000000"/>
          <w:sz w:val="22"/>
          <w:szCs w:val="22"/>
        </w:rPr>
        <w:t>Advanced Drug Delivery Reviews</w:t>
      </w:r>
      <w:r w:rsidRPr="007926AE">
        <w:rPr>
          <w:rFonts w:ascii="Arial" w:hAnsi="Arial" w:cs="Arial"/>
          <w:color w:val="000000"/>
          <w:sz w:val="22"/>
          <w:szCs w:val="22"/>
        </w:rPr>
        <w:t xml:space="preserve"> Preprint at https://doi.org/10.1016/j.addr.2010.09.002 (2010).</w:t>
      </w:r>
    </w:p>
    <w:p w14:paraId="21FB59BF"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191.</w:t>
      </w:r>
      <w:r w:rsidRPr="007926AE">
        <w:rPr>
          <w:rFonts w:ascii="Arial" w:hAnsi="Arial" w:cs="Arial"/>
          <w:color w:val="000000"/>
          <w:sz w:val="22"/>
          <w:szCs w:val="22"/>
        </w:rPr>
        <w:tab/>
        <w:t xml:space="preserve">Hu, J. J., Cheng, Y. J. &amp; Zhang, X. Z. Recent advances in nanomaterials for enhanced photothermal therapy of tumors. </w:t>
      </w:r>
      <w:r w:rsidRPr="007926AE">
        <w:rPr>
          <w:rFonts w:ascii="Arial" w:hAnsi="Arial" w:cs="Arial"/>
          <w:i/>
          <w:iCs/>
          <w:color w:val="000000"/>
          <w:sz w:val="22"/>
          <w:szCs w:val="22"/>
        </w:rPr>
        <w:t>Nanoscale</w:t>
      </w:r>
      <w:r w:rsidRPr="007926AE">
        <w:rPr>
          <w:rFonts w:ascii="Arial" w:hAnsi="Arial" w:cs="Arial"/>
          <w:color w:val="000000"/>
          <w:sz w:val="22"/>
          <w:szCs w:val="22"/>
        </w:rPr>
        <w:t xml:space="preserve"> </w:t>
      </w:r>
      <w:r w:rsidRPr="007926AE">
        <w:rPr>
          <w:rFonts w:ascii="Arial" w:hAnsi="Arial" w:cs="Arial"/>
          <w:b/>
          <w:bCs/>
          <w:color w:val="000000"/>
          <w:sz w:val="22"/>
          <w:szCs w:val="22"/>
        </w:rPr>
        <w:t>10</w:t>
      </w:r>
      <w:r w:rsidRPr="007926AE">
        <w:rPr>
          <w:rFonts w:ascii="Arial" w:hAnsi="Arial" w:cs="Arial"/>
          <w:color w:val="000000"/>
          <w:sz w:val="22"/>
          <w:szCs w:val="22"/>
        </w:rPr>
        <w:t>, 22657–22672 (2018).</w:t>
      </w:r>
    </w:p>
    <w:p w14:paraId="42AEAA8F"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192.</w:t>
      </w:r>
      <w:r w:rsidRPr="007926AE">
        <w:rPr>
          <w:rFonts w:ascii="Arial" w:hAnsi="Arial" w:cs="Arial"/>
          <w:color w:val="000000"/>
          <w:sz w:val="22"/>
          <w:szCs w:val="22"/>
        </w:rPr>
        <w:tab/>
        <w:t xml:space="preserve">Hussein, E. A., Zagho, M. M., Nasrallah, G. K. &amp; Elzatahry, A. A. Recent advances in functional nanostructures as cancer photothermal therapy. </w:t>
      </w:r>
      <w:r w:rsidRPr="007926AE">
        <w:rPr>
          <w:rFonts w:ascii="Arial" w:hAnsi="Arial" w:cs="Arial"/>
          <w:i/>
          <w:iCs/>
          <w:color w:val="000000"/>
          <w:sz w:val="22"/>
          <w:szCs w:val="22"/>
        </w:rPr>
        <w:t>International Journal of Nanomedicine</w:t>
      </w:r>
      <w:r w:rsidRPr="007926AE">
        <w:rPr>
          <w:rFonts w:ascii="Arial" w:hAnsi="Arial" w:cs="Arial"/>
          <w:color w:val="000000"/>
          <w:sz w:val="22"/>
          <w:szCs w:val="22"/>
        </w:rPr>
        <w:t xml:space="preserve"> </w:t>
      </w:r>
      <w:r w:rsidRPr="007926AE">
        <w:rPr>
          <w:rFonts w:ascii="Arial" w:hAnsi="Arial" w:cs="Arial"/>
          <w:b/>
          <w:bCs/>
          <w:color w:val="000000"/>
          <w:sz w:val="22"/>
          <w:szCs w:val="22"/>
        </w:rPr>
        <w:t>13</w:t>
      </w:r>
      <w:r w:rsidRPr="007926AE">
        <w:rPr>
          <w:rFonts w:ascii="Arial" w:hAnsi="Arial" w:cs="Arial"/>
          <w:color w:val="000000"/>
          <w:sz w:val="22"/>
          <w:szCs w:val="22"/>
        </w:rPr>
        <w:t>, 2897–2906 (2018).</w:t>
      </w:r>
    </w:p>
    <w:p w14:paraId="41D2164D"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193.</w:t>
      </w:r>
      <w:r w:rsidRPr="007926AE">
        <w:rPr>
          <w:rFonts w:ascii="Arial" w:hAnsi="Arial" w:cs="Arial"/>
          <w:color w:val="000000"/>
          <w:sz w:val="22"/>
          <w:szCs w:val="22"/>
        </w:rPr>
        <w:tab/>
        <w:t xml:space="preserve">Kim, T. H. </w:t>
      </w:r>
      <w:r w:rsidRPr="007926AE">
        <w:rPr>
          <w:rFonts w:ascii="Arial" w:hAnsi="Arial" w:cs="Arial"/>
          <w:i/>
          <w:iCs/>
          <w:color w:val="000000"/>
          <w:sz w:val="22"/>
          <w:szCs w:val="22"/>
        </w:rPr>
        <w:t>et al.</w:t>
      </w:r>
      <w:r w:rsidRPr="007926AE">
        <w:rPr>
          <w:rFonts w:ascii="Arial" w:hAnsi="Arial" w:cs="Arial"/>
          <w:color w:val="000000"/>
          <w:sz w:val="22"/>
          <w:szCs w:val="22"/>
        </w:rPr>
        <w:t xml:space="preserve"> Evaluation of Temperature-Sensitive, Indocyanine Green-Encapsulating Micelles for Noninvasive Near-Infrared Tumor Imaging. </w:t>
      </w:r>
      <w:r w:rsidRPr="007926AE">
        <w:rPr>
          <w:rFonts w:ascii="Arial" w:hAnsi="Arial" w:cs="Arial"/>
          <w:i/>
          <w:iCs/>
          <w:color w:val="000000"/>
          <w:sz w:val="22"/>
          <w:szCs w:val="22"/>
        </w:rPr>
        <w:t>Pharm Res</w:t>
      </w:r>
      <w:r w:rsidRPr="007926AE">
        <w:rPr>
          <w:rFonts w:ascii="Arial" w:hAnsi="Arial" w:cs="Arial"/>
          <w:color w:val="000000"/>
          <w:sz w:val="22"/>
          <w:szCs w:val="22"/>
        </w:rPr>
        <w:t xml:space="preserve"> </w:t>
      </w:r>
      <w:r w:rsidRPr="007926AE">
        <w:rPr>
          <w:rFonts w:ascii="Arial" w:hAnsi="Arial" w:cs="Arial"/>
          <w:b/>
          <w:bCs/>
          <w:color w:val="000000"/>
          <w:sz w:val="22"/>
          <w:szCs w:val="22"/>
        </w:rPr>
        <w:t>27</w:t>
      </w:r>
      <w:r w:rsidRPr="007926AE">
        <w:rPr>
          <w:rFonts w:ascii="Arial" w:hAnsi="Arial" w:cs="Arial"/>
          <w:color w:val="000000"/>
          <w:sz w:val="22"/>
          <w:szCs w:val="22"/>
        </w:rPr>
        <w:t>, 1900–1913 (2010).</w:t>
      </w:r>
    </w:p>
    <w:p w14:paraId="33AE6675"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194.</w:t>
      </w:r>
      <w:r w:rsidRPr="007926AE">
        <w:rPr>
          <w:rFonts w:ascii="Arial" w:hAnsi="Arial" w:cs="Arial"/>
          <w:color w:val="000000"/>
          <w:sz w:val="22"/>
          <w:szCs w:val="22"/>
        </w:rPr>
        <w:tab/>
        <w:t xml:space="preserve">Zhou, J. </w:t>
      </w:r>
      <w:r w:rsidRPr="007926AE">
        <w:rPr>
          <w:rFonts w:ascii="Arial" w:hAnsi="Arial" w:cs="Arial"/>
          <w:i/>
          <w:iCs/>
          <w:color w:val="000000"/>
          <w:sz w:val="22"/>
          <w:szCs w:val="22"/>
        </w:rPr>
        <w:t>et al.</w:t>
      </w:r>
      <w:r w:rsidRPr="007926AE">
        <w:rPr>
          <w:rFonts w:ascii="Arial" w:hAnsi="Arial" w:cs="Arial"/>
          <w:color w:val="000000"/>
          <w:sz w:val="22"/>
          <w:szCs w:val="22"/>
        </w:rPr>
        <w:t xml:space="preserve"> NIR photothermal therapy using polyaniline nanoparticles. </w:t>
      </w:r>
      <w:r w:rsidRPr="007926AE">
        <w:rPr>
          <w:rFonts w:ascii="Arial" w:hAnsi="Arial" w:cs="Arial"/>
          <w:i/>
          <w:iCs/>
          <w:color w:val="000000"/>
          <w:sz w:val="22"/>
          <w:szCs w:val="22"/>
        </w:rPr>
        <w:t>Biomaterials</w:t>
      </w:r>
      <w:r w:rsidRPr="007926AE">
        <w:rPr>
          <w:rFonts w:ascii="Arial" w:hAnsi="Arial" w:cs="Arial"/>
          <w:color w:val="000000"/>
          <w:sz w:val="22"/>
          <w:szCs w:val="22"/>
        </w:rPr>
        <w:t xml:space="preserve"> </w:t>
      </w:r>
      <w:r w:rsidRPr="007926AE">
        <w:rPr>
          <w:rFonts w:ascii="Arial" w:hAnsi="Arial" w:cs="Arial"/>
          <w:b/>
          <w:bCs/>
          <w:color w:val="000000"/>
          <w:sz w:val="22"/>
          <w:szCs w:val="22"/>
        </w:rPr>
        <w:t>34</w:t>
      </w:r>
      <w:r w:rsidRPr="007926AE">
        <w:rPr>
          <w:rFonts w:ascii="Arial" w:hAnsi="Arial" w:cs="Arial"/>
          <w:color w:val="000000"/>
          <w:sz w:val="22"/>
          <w:szCs w:val="22"/>
        </w:rPr>
        <w:t>, 9584–9592 (2013).</w:t>
      </w:r>
    </w:p>
    <w:p w14:paraId="449D7237"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195.</w:t>
      </w:r>
      <w:r w:rsidRPr="007926AE">
        <w:rPr>
          <w:rFonts w:ascii="Arial" w:hAnsi="Arial" w:cs="Arial"/>
          <w:color w:val="000000"/>
          <w:sz w:val="22"/>
          <w:szCs w:val="22"/>
        </w:rPr>
        <w:tab/>
        <w:t xml:space="preserve">Yoon, H.-J., Lee, H.-S., Lim, J.-Y. &amp; Park, J.-H. Liposomal Indocyanine Green for Enhanced Photothermal Therapy. </w:t>
      </w:r>
      <w:r w:rsidRPr="007926AE">
        <w:rPr>
          <w:rFonts w:ascii="Arial" w:hAnsi="Arial" w:cs="Arial"/>
          <w:i/>
          <w:iCs/>
          <w:color w:val="000000"/>
          <w:sz w:val="22"/>
          <w:szCs w:val="22"/>
        </w:rPr>
        <w:t>ACS Appl. Mater. Interfaces</w:t>
      </w:r>
      <w:r w:rsidRPr="007926AE">
        <w:rPr>
          <w:rFonts w:ascii="Arial" w:hAnsi="Arial" w:cs="Arial"/>
          <w:color w:val="000000"/>
          <w:sz w:val="22"/>
          <w:szCs w:val="22"/>
        </w:rPr>
        <w:t xml:space="preserve"> </w:t>
      </w:r>
      <w:r w:rsidRPr="007926AE">
        <w:rPr>
          <w:rFonts w:ascii="Arial" w:hAnsi="Arial" w:cs="Arial"/>
          <w:b/>
          <w:bCs/>
          <w:color w:val="000000"/>
          <w:sz w:val="22"/>
          <w:szCs w:val="22"/>
        </w:rPr>
        <w:t>9</w:t>
      </w:r>
      <w:r w:rsidRPr="007926AE">
        <w:rPr>
          <w:rFonts w:ascii="Arial" w:hAnsi="Arial" w:cs="Arial"/>
          <w:color w:val="000000"/>
          <w:sz w:val="22"/>
          <w:szCs w:val="22"/>
        </w:rPr>
        <w:t>, 5683–5691 (2017).</w:t>
      </w:r>
    </w:p>
    <w:p w14:paraId="67338E6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196.</w:t>
      </w:r>
      <w:r w:rsidRPr="007926AE">
        <w:rPr>
          <w:rFonts w:ascii="Arial" w:hAnsi="Arial" w:cs="Arial"/>
          <w:color w:val="000000"/>
          <w:sz w:val="22"/>
          <w:szCs w:val="22"/>
        </w:rPr>
        <w:tab/>
        <w:t xml:space="preserve">Du, C. </w:t>
      </w:r>
      <w:r w:rsidRPr="007926AE">
        <w:rPr>
          <w:rFonts w:ascii="Arial" w:hAnsi="Arial" w:cs="Arial"/>
          <w:i/>
          <w:iCs/>
          <w:color w:val="000000"/>
          <w:sz w:val="22"/>
          <w:szCs w:val="22"/>
        </w:rPr>
        <w:t>et al.</w:t>
      </w:r>
      <w:r w:rsidRPr="007926AE">
        <w:rPr>
          <w:rFonts w:ascii="Arial" w:hAnsi="Arial" w:cs="Arial"/>
          <w:color w:val="000000"/>
          <w:sz w:val="22"/>
          <w:szCs w:val="22"/>
        </w:rPr>
        <w:t xml:space="preserve"> Polymeric photothermal agents for cancer therapy: recent progress and clinical potential. </w:t>
      </w:r>
      <w:r w:rsidRPr="007926AE">
        <w:rPr>
          <w:rFonts w:ascii="Arial" w:hAnsi="Arial" w:cs="Arial"/>
          <w:i/>
          <w:iCs/>
          <w:color w:val="000000"/>
          <w:sz w:val="22"/>
          <w:szCs w:val="22"/>
        </w:rPr>
        <w:t>J. Mater. Chem. B</w:t>
      </w:r>
      <w:r w:rsidRPr="007926AE">
        <w:rPr>
          <w:rFonts w:ascii="Arial" w:hAnsi="Arial" w:cs="Arial"/>
          <w:color w:val="000000"/>
          <w:sz w:val="22"/>
          <w:szCs w:val="22"/>
        </w:rPr>
        <w:t xml:space="preserve"> </w:t>
      </w:r>
      <w:r w:rsidRPr="007926AE">
        <w:rPr>
          <w:rFonts w:ascii="Arial" w:hAnsi="Arial" w:cs="Arial"/>
          <w:b/>
          <w:bCs/>
          <w:color w:val="000000"/>
          <w:sz w:val="22"/>
          <w:szCs w:val="22"/>
        </w:rPr>
        <w:t>9</w:t>
      </w:r>
      <w:r w:rsidRPr="007926AE">
        <w:rPr>
          <w:rFonts w:ascii="Arial" w:hAnsi="Arial" w:cs="Arial"/>
          <w:color w:val="000000"/>
          <w:sz w:val="22"/>
          <w:szCs w:val="22"/>
        </w:rPr>
        <w:t>, 1478–1490 (2021).</w:t>
      </w:r>
    </w:p>
    <w:p w14:paraId="3FEB113C"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197.</w:t>
      </w:r>
      <w:r w:rsidRPr="007926AE">
        <w:rPr>
          <w:rFonts w:ascii="Arial" w:hAnsi="Arial" w:cs="Arial"/>
          <w:color w:val="000000"/>
          <w:sz w:val="22"/>
          <w:szCs w:val="22"/>
        </w:rPr>
        <w:tab/>
        <w:t xml:space="preserve">Li, Y., Lu, W., Huang, Q., Li, C. &amp; Chen, W. Copper sulfide nanoparticles for photothermal ablation of tumor cells. </w:t>
      </w:r>
      <w:r w:rsidRPr="007926AE">
        <w:rPr>
          <w:rFonts w:ascii="Arial" w:hAnsi="Arial" w:cs="Arial"/>
          <w:i/>
          <w:iCs/>
          <w:color w:val="000000"/>
          <w:sz w:val="22"/>
          <w:szCs w:val="22"/>
        </w:rPr>
        <w:t>Nanomedicine</w:t>
      </w:r>
      <w:r w:rsidRPr="007926AE">
        <w:rPr>
          <w:rFonts w:ascii="Arial" w:hAnsi="Arial" w:cs="Arial"/>
          <w:color w:val="000000"/>
          <w:sz w:val="22"/>
          <w:szCs w:val="22"/>
        </w:rPr>
        <w:t xml:space="preserve"> </w:t>
      </w:r>
      <w:r w:rsidRPr="007926AE">
        <w:rPr>
          <w:rFonts w:ascii="Arial" w:hAnsi="Arial" w:cs="Arial"/>
          <w:b/>
          <w:bCs/>
          <w:color w:val="000000"/>
          <w:sz w:val="22"/>
          <w:szCs w:val="22"/>
        </w:rPr>
        <w:t>5</w:t>
      </w:r>
      <w:r w:rsidRPr="007926AE">
        <w:rPr>
          <w:rFonts w:ascii="Arial" w:hAnsi="Arial" w:cs="Arial"/>
          <w:color w:val="000000"/>
          <w:sz w:val="22"/>
          <w:szCs w:val="22"/>
        </w:rPr>
        <w:t>, 1161–1171 (2010).</w:t>
      </w:r>
    </w:p>
    <w:p w14:paraId="3801026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198.</w:t>
      </w:r>
      <w:r w:rsidRPr="007926AE">
        <w:rPr>
          <w:rFonts w:ascii="Arial" w:hAnsi="Arial" w:cs="Arial"/>
          <w:color w:val="000000"/>
          <w:sz w:val="22"/>
          <w:szCs w:val="22"/>
        </w:rPr>
        <w:tab/>
        <w:t xml:space="preserve">Shao, J. </w:t>
      </w:r>
      <w:r w:rsidRPr="007926AE">
        <w:rPr>
          <w:rFonts w:ascii="Arial" w:hAnsi="Arial" w:cs="Arial"/>
          <w:i/>
          <w:iCs/>
          <w:color w:val="000000"/>
          <w:sz w:val="22"/>
          <w:szCs w:val="22"/>
        </w:rPr>
        <w:t>et al.</w:t>
      </w:r>
      <w:r w:rsidRPr="007926AE">
        <w:rPr>
          <w:rFonts w:ascii="Arial" w:hAnsi="Arial" w:cs="Arial"/>
          <w:color w:val="000000"/>
          <w:sz w:val="22"/>
          <w:szCs w:val="22"/>
        </w:rPr>
        <w:t xml:space="preserve"> Biodegradable black phosphorus-based nanospheres for in vivo photothermal cancer therapy. </w:t>
      </w:r>
      <w:r w:rsidRPr="007926AE">
        <w:rPr>
          <w:rFonts w:ascii="Arial" w:hAnsi="Arial" w:cs="Arial"/>
          <w:i/>
          <w:iCs/>
          <w:color w:val="000000"/>
          <w:sz w:val="22"/>
          <w:szCs w:val="22"/>
        </w:rPr>
        <w:t>Nat Commun</w:t>
      </w:r>
      <w:r w:rsidRPr="007926AE">
        <w:rPr>
          <w:rFonts w:ascii="Arial" w:hAnsi="Arial" w:cs="Arial"/>
          <w:color w:val="000000"/>
          <w:sz w:val="22"/>
          <w:szCs w:val="22"/>
        </w:rPr>
        <w:t xml:space="preserve"> </w:t>
      </w:r>
      <w:r w:rsidRPr="007926AE">
        <w:rPr>
          <w:rFonts w:ascii="Arial" w:hAnsi="Arial" w:cs="Arial"/>
          <w:b/>
          <w:bCs/>
          <w:color w:val="000000"/>
          <w:sz w:val="22"/>
          <w:szCs w:val="22"/>
        </w:rPr>
        <w:t>7</w:t>
      </w:r>
      <w:r w:rsidRPr="007926AE">
        <w:rPr>
          <w:rFonts w:ascii="Arial" w:hAnsi="Arial" w:cs="Arial"/>
          <w:color w:val="000000"/>
          <w:sz w:val="22"/>
          <w:szCs w:val="22"/>
        </w:rPr>
        <w:t>, 12967 (2016).</w:t>
      </w:r>
    </w:p>
    <w:p w14:paraId="19C576C5"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199.</w:t>
      </w:r>
      <w:r w:rsidRPr="007926AE">
        <w:rPr>
          <w:rFonts w:ascii="Arial" w:hAnsi="Arial" w:cs="Arial"/>
          <w:color w:val="000000"/>
          <w:sz w:val="22"/>
          <w:szCs w:val="22"/>
        </w:rPr>
        <w:tab/>
        <w:t xml:space="preserve">Fernandes, N., Rodrigues, C. F., Moreira, A. F. &amp; Correia, I. J. Overview of the application of inorganic nanomaterials in cancer photothermal therapy. </w:t>
      </w:r>
      <w:r w:rsidRPr="007926AE">
        <w:rPr>
          <w:rFonts w:ascii="Arial" w:hAnsi="Arial" w:cs="Arial"/>
          <w:i/>
          <w:iCs/>
          <w:color w:val="000000"/>
          <w:sz w:val="22"/>
          <w:szCs w:val="22"/>
        </w:rPr>
        <w:t>Biomater. Sci.</w:t>
      </w:r>
      <w:r w:rsidRPr="007926AE">
        <w:rPr>
          <w:rFonts w:ascii="Arial" w:hAnsi="Arial" w:cs="Arial"/>
          <w:color w:val="000000"/>
          <w:sz w:val="22"/>
          <w:szCs w:val="22"/>
        </w:rPr>
        <w:t xml:space="preserve"> </w:t>
      </w:r>
      <w:r w:rsidRPr="007926AE">
        <w:rPr>
          <w:rFonts w:ascii="Arial" w:hAnsi="Arial" w:cs="Arial"/>
          <w:b/>
          <w:bCs/>
          <w:color w:val="000000"/>
          <w:sz w:val="22"/>
          <w:szCs w:val="22"/>
        </w:rPr>
        <w:t>8</w:t>
      </w:r>
      <w:r w:rsidRPr="007926AE">
        <w:rPr>
          <w:rFonts w:ascii="Arial" w:hAnsi="Arial" w:cs="Arial"/>
          <w:color w:val="000000"/>
          <w:sz w:val="22"/>
          <w:szCs w:val="22"/>
        </w:rPr>
        <w:t>, 2990–3020 (2020).</w:t>
      </w:r>
    </w:p>
    <w:p w14:paraId="476A1F2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200.</w:t>
      </w:r>
      <w:r w:rsidRPr="007926AE">
        <w:rPr>
          <w:rFonts w:ascii="Arial" w:hAnsi="Arial" w:cs="Arial"/>
          <w:color w:val="000000"/>
          <w:sz w:val="22"/>
          <w:szCs w:val="22"/>
        </w:rPr>
        <w:tab/>
        <w:t xml:space="preserve">Vines, J. B., Yoon, J.-H., Ryu, N.-E., Lim, D.-J. &amp; Park, H. Gold Nanoparticles for Photothermal Cancer Therapy. </w:t>
      </w:r>
      <w:r w:rsidRPr="007926AE">
        <w:rPr>
          <w:rFonts w:ascii="Arial" w:hAnsi="Arial" w:cs="Arial"/>
          <w:i/>
          <w:iCs/>
          <w:color w:val="000000"/>
          <w:sz w:val="22"/>
          <w:szCs w:val="22"/>
        </w:rPr>
        <w:t>Front. Chem.</w:t>
      </w:r>
      <w:r w:rsidRPr="007926AE">
        <w:rPr>
          <w:rFonts w:ascii="Arial" w:hAnsi="Arial" w:cs="Arial"/>
          <w:color w:val="000000"/>
          <w:sz w:val="22"/>
          <w:szCs w:val="22"/>
        </w:rPr>
        <w:t xml:space="preserve"> </w:t>
      </w:r>
      <w:r w:rsidRPr="007926AE">
        <w:rPr>
          <w:rFonts w:ascii="Arial" w:hAnsi="Arial" w:cs="Arial"/>
          <w:b/>
          <w:bCs/>
          <w:color w:val="000000"/>
          <w:sz w:val="22"/>
          <w:szCs w:val="22"/>
        </w:rPr>
        <w:t>7</w:t>
      </w:r>
      <w:r w:rsidRPr="007926AE">
        <w:rPr>
          <w:rFonts w:ascii="Arial" w:hAnsi="Arial" w:cs="Arial"/>
          <w:color w:val="000000"/>
          <w:sz w:val="22"/>
          <w:szCs w:val="22"/>
        </w:rPr>
        <w:t>, 167 (2019).</w:t>
      </w:r>
    </w:p>
    <w:p w14:paraId="4D3944B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201.</w:t>
      </w:r>
      <w:r w:rsidRPr="007926AE">
        <w:rPr>
          <w:rFonts w:ascii="Arial" w:hAnsi="Arial" w:cs="Arial"/>
          <w:color w:val="000000"/>
          <w:sz w:val="22"/>
          <w:szCs w:val="22"/>
        </w:rPr>
        <w:tab/>
        <w:t xml:space="preserve">Saha, R. N., Vasanthakumar, S., Bende, G. &amp; Snehalatha, M. Nanoparticulate drug delivery systems for cancer chemotherapy. </w:t>
      </w:r>
      <w:r w:rsidRPr="007926AE">
        <w:rPr>
          <w:rFonts w:ascii="Arial" w:hAnsi="Arial" w:cs="Arial"/>
          <w:i/>
          <w:iCs/>
          <w:color w:val="000000"/>
          <w:sz w:val="22"/>
          <w:szCs w:val="22"/>
        </w:rPr>
        <w:t>Molecular Membrane Biology</w:t>
      </w:r>
      <w:r w:rsidRPr="007926AE">
        <w:rPr>
          <w:rFonts w:ascii="Arial" w:hAnsi="Arial" w:cs="Arial"/>
          <w:color w:val="000000"/>
          <w:sz w:val="22"/>
          <w:szCs w:val="22"/>
        </w:rPr>
        <w:t xml:space="preserve"> </w:t>
      </w:r>
      <w:r w:rsidRPr="007926AE">
        <w:rPr>
          <w:rFonts w:ascii="Arial" w:hAnsi="Arial" w:cs="Arial"/>
          <w:b/>
          <w:bCs/>
          <w:color w:val="000000"/>
          <w:sz w:val="22"/>
          <w:szCs w:val="22"/>
        </w:rPr>
        <w:t>27</w:t>
      </w:r>
      <w:r w:rsidRPr="007926AE">
        <w:rPr>
          <w:rFonts w:ascii="Arial" w:hAnsi="Arial" w:cs="Arial"/>
          <w:color w:val="000000"/>
          <w:sz w:val="22"/>
          <w:szCs w:val="22"/>
        </w:rPr>
        <w:t>, 215–231 (2010).</w:t>
      </w:r>
    </w:p>
    <w:p w14:paraId="290D6FB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202.</w:t>
      </w:r>
      <w:r w:rsidRPr="007926AE">
        <w:rPr>
          <w:rFonts w:ascii="Arial" w:hAnsi="Arial" w:cs="Arial"/>
          <w:color w:val="000000"/>
          <w:sz w:val="22"/>
          <w:szCs w:val="22"/>
        </w:rPr>
        <w:tab/>
        <w:t xml:space="preserve">Yu, B., Tai, H. C., Xue, W., Lee, L. J. &amp; Lee, R. J. Receptor-targeted nanocarriers for therapeutic delivery to cancer. </w:t>
      </w:r>
      <w:r w:rsidRPr="007926AE">
        <w:rPr>
          <w:rFonts w:ascii="Arial" w:hAnsi="Arial" w:cs="Arial"/>
          <w:i/>
          <w:iCs/>
          <w:color w:val="000000"/>
          <w:sz w:val="22"/>
          <w:szCs w:val="22"/>
        </w:rPr>
        <w:t>Molecular Membrane Biology</w:t>
      </w:r>
      <w:r w:rsidRPr="007926AE">
        <w:rPr>
          <w:rFonts w:ascii="Arial" w:hAnsi="Arial" w:cs="Arial"/>
          <w:color w:val="000000"/>
          <w:sz w:val="22"/>
          <w:szCs w:val="22"/>
        </w:rPr>
        <w:t xml:space="preserve"> </w:t>
      </w:r>
      <w:r w:rsidRPr="007926AE">
        <w:rPr>
          <w:rFonts w:ascii="Arial" w:hAnsi="Arial" w:cs="Arial"/>
          <w:b/>
          <w:bCs/>
          <w:color w:val="000000"/>
          <w:sz w:val="22"/>
          <w:szCs w:val="22"/>
        </w:rPr>
        <w:t>27</w:t>
      </w:r>
      <w:r w:rsidRPr="007926AE">
        <w:rPr>
          <w:rFonts w:ascii="Arial" w:hAnsi="Arial" w:cs="Arial"/>
          <w:color w:val="000000"/>
          <w:sz w:val="22"/>
          <w:szCs w:val="22"/>
        </w:rPr>
        <w:t>, 286–298 (2010).</w:t>
      </w:r>
    </w:p>
    <w:p w14:paraId="03831CB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203.</w:t>
      </w:r>
      <w:r w:rsidRPr="007926AE">
        <w:rPr>
          <w:rFonts w:ascii="Arial" w:hAnsi="Arial" w:cs="Arial"/>
          <w:color w:val="000000"/>
          <w:sz w:val="22"/>
          <w:szCs w:val="22"/>
        </w:rPr>
        <w:tab/>
        <w:t xml:space="preserve">Li, X., Lovell, J. F., Yoon, J. &amp; Chen, X. Clinical development and potential of photothermal and photodynamic therapies for cancer. </w:t>
      </w:r>
      <w:r w:rsidRPr="007926AE">
        <w:rPr>
          <w:rFonts w:ascii="Arial" w:hAnsi="Arial" w:cs="Arial"/>
          <w:i/>
          <w:iCs/>
          <w:color w:val="000000"/>
          <w:sz w:val="22"/>
          <w:szCs w:val="22"/>
        </w:rPr>
        <w:t>Nat Rev Clin Oncol</w:t>
      </w:r>
      <w:r w:rsidRPr="007926AE">
        <w:rPr>
          <w:rFonts w:ascii="Arial" w:hAnsi="Arial" w:cs="Arial"/>
          <w:color w:val="000000"/>
          <w:sz w:val="22"/>
          <w:szCs w:val="22"/>
        </w:rPr>
        <w:t xml:space="preserve"> </w:t>
      </w:r>
      <w:r w:rsidRPr="007926AE">
        <w:rPr>
          <w:rFonts w:ascii="Arial" w:hAnsi="Arial" w:cs="Arial"/>
          <w:b/>
          <w:bCs/>
          <w:color w:val="000000"/>
          <w:sz w:val="22"/>
          <w:szCs w:val="22"/>
        </w:rPr>
        <w:t>17</w:t>
      </w:r>
      <w:r w:rsidRPr="007926AE">
        <w:rPr>
          <w:rFonts w:ascii="Arial" w:hAnsi="Arial" w:cs="Arial"/>
          <w:color w:val="000000"/>
          <w:sz w:val="22"/>
          <w:szCs w:val="22"/>
        </w:rPr>
        <w:t>, 657–674 (2020).</w:t>
      </w:r>
    </w:p>
    <w:p w14:paraId="57F16787"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204.</w:t>
      </w:r>
      <w:r w:rsidRPr="007926AE">
        <w:rPr>
          <w:rFonts w:ascii="Arial" w:hAnsi="Arial" w:cs="Arial"/>
          <w:color w:val="000000"/>
          <w:sz w:val="22"/>
          <w:szCs w:val="22"/>
        </w:rPr>
        <w:tab/>
        <w:t xml:space="preserve">Zhao, Y. </w:t>
      </w:r>
      <w:r w:rsidRPr="007926AE">
        <w:rPr>
          <w:rFonts w:ascii="Arial" w:hAnsi="Arial" w:cs="Arial"/>
          <w:i/>
          <w:iCs/>
          <w:color w:val="000000"/>
          <w:sz w:val="22"/>
          <w:szCs w:val="22"/>
        </w:rPr>
        <w:t>et al.</w:t>
      </w:r>
      <w:r w:rsidRPr="007926AE">
        <w:rPr>
          <w:rFonts w:ascii="Arial" w:hAnsi="Arial" w:cs="Arial"/>
          <w:color w:val="000000"/>
          <w:sz w:val="22"/>
          <w:szCs w:val="22"/>
        </w:rPr>
        <w:t xml:space="preserve"> Combination of phototherapy with immune checkpoint blockade: Theory and practice in cancer. </w:t>
      </w:r>
      <w:r w:rsidRPr="007926AE">
        <w:rPr>
          <w:rFonts w:ascii="Arial" w:hAnsi="Arial" w:cs="Arial"/>
          <w:i/>
          <w:iCs/>
          <w:color w:val="000000"/>
          <w:sz w:val="22"/>
          <w:szCs w:val="22"/>
        </w:rPr>
        <w:t>Front. Immunol.</w:t>
      </w:r>
      <w:r w:rsidRPr="007926AE">
        <w:rPr>
          <w:rFonts w:ascii="Arial" w:hAnsi="Arial" w:cs="Arial"/>
          <w:color w:val="000000"/>
          <w:sz w:val="22"/>
          <w:szCs w:val="22"/>
        </w:rPr>
        <w:t xml:space="preserve"> </w:t>
      </w:r>
      <w:r w:rsidRPr="007926AE">
        <w:rPr>
          <w:rFonts w:ascii="Arial" w:hAnsi="Arial" w:cs="Arial"/>
          <w:b/>
          <w:bCs/>
          <w:color w:val="000000"/>
          <w:sz w:val="22"/>
          <w:szCs w:val="22"/>
        </w:rPr>
        <w:t>13</w:t>
      </w:r>
      <w:r w:rsidRPr="007926AE">
        <w:rPr>
          <w:rFonts w:ascii="Arial" w:hAnsi="Arial" w:cs="Arial"/>
          <w:color w:val="000000"/>
          <w:sz w:val="22"/>
          <w:szCs w:val="22"/>
        </w:rPr>
        <w:t>, 955920 (2022).</w:t>
      </w:r>
    </w:p>
    <w:p w14:paraId="631D9815"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205.</w:t>
      </w:r>
      <w:r w:rsidRPr="007926AE">
        <w:rPr>
          <w:rFonts w:ascii="Arial" w:hAnsi="Arial" w:cs="Arial"/>
          <w:color w:val="000000"/>
          <w:sz w:val="22"/>
          <w:szCs w:val="22"/>
        </w:rPr>
        <w:tab/>
        <w:t xml:space="preserve">Muz, B., de la Puente, P., Azab, F. &amp; Azab, A. K. The role of hypoxia in cancer progression, angiogenesis, metastasis, and resistance to therapy. </w:t>
      </w:r>
      <w:r w:rsidRPr="007926AE">
        <w:rPr>
          <w:rFonts w:ascii="Arial" w:hAnsi="Arial" w:cs="Arial"/>
          <w:i/>
          <w:iCs/>
          <w:color w:val="000000"/>
          <w:sz w:val="22"/>
          <w:szCs w:val="22"/>
        </w:rPr>
        <w:t>HP</w:t>
      </w:r>
      <w:r w:rsidRPr="007926AE">
        <w:rPr>
          <w:rFonts w:ascii="Arial" w:hAnsi="Arial" w:cs="Arial"/>
          <w:color w:val="000000"/>
          <w:sz w:val="22"/>
          <w:szCs w:val="22"/>
        </w:rPr>
        <w:t xml:space="preserve"> 83 (2015) doi:10.2147/HP.S93413.</w:t>
      </w:r>
    </w:p>
    <w:p w14:paraId="0160490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206.</w:t>
      </w:r>
      <w:r w:rsidRPr="007926AE">
        <w:rPr>
          <w:rFonts w:ascii="Arial" w:hAnsi="Arial" w:cs="Arial"/>
          <w:color w:val="000000"/>
          <w:sz w:val="22"/>
          <w:szCs w:val="22"/>
        </w:rPr>
        <w:tab/>
        <w:t xml:space="preserve">Lal, S., Clare, S. E. &amp; Halas, N. J. Nanoshell-Enabled Photothermal Cancer Therapy: Impending Clinical Impact. </w:t>
      </w:r>
      <w:r w:rsidRPr="007926AE">
        <w:rPr>
          <w:rFonts w:ascii="Arial" w:hAnsi="Arial" w:cs="Arial"/>
          <w:i/>
          <w:iCs/>
          <w:color w:val="000000"/>
          <w:sz w:val="22"/>
          <w:szCs w:val="22"/>
        </w:rPr>
        <w:t>Acc. Chem. Res.</w:t>
      </w:r>
      <w:r w:rsidRPr="007926AE">
        <w:rPr>
          <w:rFonts w:ascii="Arial" w:hAnsi="Arial" w:cs="Arial"/>
          <w:color w:val="000000"/>
          <w:sz w:val="22"/>
          <w:szCs w:val="22"/>
        </w:rPr>
        <w:t xml:space="preserve"> </w:t>
      </w:r>
      <w:r w:rsidRPr="007926AE">
        <w:rPr>
          <w:rFonts w:ascii="Arial" w:hAnsi="Arial" w:cs="Arial"/>
          <w:b/>
          <w:bCs/>
          <w:color w:val="000000"/>
          <w:sz w:val="22"/>
          <w:szCs w:val="22"/>
        </w:rPr>
        <w:t>41</w:t>
      </w:r>
      <w:r w:rsidRPr="007926AE">
        <w:rPr>
          <w:rFonts w:ascii="Arial" w:hAnsi="Arial" w:cs="Arial"/>
          <w:color w:val="000000"/>
          <w:sz w:val="22"/>
          <w:szCs w:val="22"/>
        </w:rPr>
        <w:t>, 1842–1851 (2008).</w:t>
      </w:r>
    </w:p>
    <w:p w14:paraId="65DD6A00"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207.</w:t>
      </w:r>
      <w:r w:rsidRPr="007926AE">
        <w:rPr>
          <w:rFonts w:ascii="Arial" w:hAnsi="Arial" w:cs="Arial"/>
          <w:color w:val="000000"/>
          <w:sz w:val="22"/>
          <w:szCs w:val="22"/>
        </w:rPr>
        <w:tab/>
        <w:t xml:space="preserve">Rastinehad, A. R. </w:t>
      </w:r>
      <w:r w:rsidRPr="007926AE">
        <w:rPr>
          <w:rFonts w:ascii="Arial" w:hAnsi="Arial" w:cs="Arial"/>
          <w:i/>
          <w:iCs/>
          <w:color w:val="000000"/>
          <w:sz w:val="22"/>
          <w:szCs w:val="22"/>
        </w:rPr>
        <w:t>et al.</w:t>
      </w:r>
      <w:r w:rsidRPr="007926AE">
        <w:rPr>
          <w:rFonts w:ascii="Arial" w:hAnsi="Arial" w:cs="Arial"/>
          <w:color w:val="000000"/>
          <w:sz w:val="22"/>
          <w:szCs w:val="22"/>
        </w:rPr>
        <w:t xml:space="preserve"> Gold nanoshell-localized photothermal ablation of prostate tumors in a clinical pilot device study. </w:t>
      </w:r>
      <w:r w:rsidRPr="007926AE">
        <w:rPr>
          <w:rFonts w:ascii="Arial" w:hAnsi="Arial" w:cs="Arial"/>
          <w:i/>
          <w:iCs/>
          <w:color w:val="000000"/>
          <w:sz w:val="22"/>
          <w:szCs w:val="22"/>
        </w:rPr>
        <w:t>Proc. Natl. Acad. Sci. U.S.A.</w:t>
      </w:r>
      <w:r w:rsidRPr="007926AE">
        <w:rPr>
          <w:rFonts w:ascii="Arial" w:hAnsi="Arial" w:cs="Arial"/>
          <w:color w:val="000000"/>
          <w:sz w:val="22"/>
          <w:szCs w:val="22"/>
        </w:rPr>
        <w:t xml:space="preserve"> </w:t>
      </w:r>
      <w:r w:rsidRPr="007926AE">
        <w:rPr>
          <w:rFonts w:ascii="Arial" w:hAnsi="Arial" w:cs="Arial"/>
          <w:b/>
          <w:bCs/>
          <w:color w:val="000000"/>
          <w:sz w:val="22"/>
          <w:szCs w:val="22"/>
        </w:rPr>
        <w:t>116</w:t>
      </w:r>
      <w:r w:rsidRPr="007926AE">
        <w:rPr>
          <w:rFonts w:ascii="Arial" w:hAnsi="Arial" w:cs="Arial"/>
          <w:color w:val="000000"/>
          <w:sz w:val="22"/>
          <w:szCs w:val="22"/>
        </w:rPr>
        <w:t>, 18590–18596 (2019).</w:t>
      </w:r>
    </w:p>
    <w:p w14:paraId="7A387C8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208.</w:t>
      </w:r>
      <w:r w:rsidRPr="007926AE">
        <w:rPr>
          <w:rFonts w:ascii="Arial" w:hAnsi="Arial" w:cs="Arial"/>
          <w:color w:val="000000"/>
          <w:sz w:val="22"/>
          <w:szCs w:val="22"/>
        </w:rPr>
        <w:tab/>
        <w:t xml:space="preserve">Stern, J. M. </w:t>
      </w:r>
      <w:r w:rsidRPr="007926AE">
        <w:rPr>
          <w:rFonts w:ascii="Arial" w:hAnsi="Arial" w:cs="Arial"/>
          <w:i/>
          <w:iCs/>
          <w:color w:val="000000"/>
          <w:sz w:val="22"/>
          <w:szCs w:val="22"/>
        </w:rPr>
        <w:t>et al.</w:t>
      </w:r>
      <w:r w:rsidRPr="007926AE">
        <w:rPr>
          <w:rFonts w:ascii="Arial" w:hAnsi="Arial" w:cs="Arial"/>
          <w:color w:val="000000"/>
          <w:sz w:val="22"/>
          <w:szCs w:val="22"/>
        </w:rPr>
        <w:t xml:space="preserve"> Initial Evaluation of the Safety of Nanoshell-Directed Photothermal Therapy in the Treatment of Prostate Disease. </w:t>
      </w:r>
      <w:r w:rsidRPr="007926AE">
        <w:rPr>
          <w:rFonts w:ascii="Arial" w:hAnsi="Arial" w:cs="Arial"/>
          <w:i/>
          <w:iCs/>
          <w:color w:val="000000"/>
          <w:sz w:val="22"/>
          <w:szCs w:val="22"/>
        </w:rPr>
        <w:t>Int J Toxicol</w:t>
      </w:r>
      <w:r w:rsidRPr="007926AE">
        <w:rPr>
          <w:rFonts w:ascii="Arial" w:hAnsi="Arial" w:cs="Arial"/>
          <w:color w:val="000000"/>
          <w:sz w:val="22"/>
          <w:szCs w:val="22"/>
        </w:rPr>
        <w:t xml:space="preserve"> </w:t>
      </w:r>
      <w:r w:rsidRPr="007926AE">
        <w:rPr>
          <w:rFonts w:ascii="Arial" w:hAnsi="Arial" w:cs="Arial"/>
          <w:b/>
          <w:bCs/>
          <w:color w:val="000000"/>
          <w:sz w:val="22"/>
          <w:szCs w:val="22"/>
        </w:rPr>
        <w:t>35</w:t>
      </w:r>
      <w:r w:rsidRPr="007926AE">
        <w:rPr>
          <w:rFonts w:ascii="Arial" w:hAnsi="Arial" w:cs="Arial"/>
          <w:color w:val="000000"/>
          <w:sz w:val="22"/>
          <w:szCs w:val="22"/>
        </w:rPr>
        <w:t>, 38–46 (2016).</w:t>
      </w:r>
    </w:p>
    <w:p w14:paraId="640D6BD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209.</w:t>
      </w:r>
      <w:r w:rsidRPr="007926AE">
        <w:rPr>
          <w:rFonts w:ascii="Arial" w:hAnsi="Arial" w:cs="Arial"/>
          <w:color w:val="000000"/>
          <w:sz w:val="22"/>
          <w:szCs w:val="22"/>
        </w:rPr>
        <w:tab/>
        <w:t>Monaco, H., Yokomizo, S., Choi, H. S. &amp; Kashiwagi, S. Quickly evolving near</w:t>
      </w:r>
      <w:r w:rsidRPr="007926AE">
        <w:rPr>
          <w:rFonts w:ascii="Cambria Math" w:hAnsi="Cambria Math" w:cs="Cambria Math"/>
          <w:color w:val="000000"/>
          <w:sz w:val="22"/>
          <w:szCs w:val="22"/>
        </w:rPr>
        <w:t>‐</w:t>
      </w:r>
      <w:r w:rsidRPr="007926AE">
        <w:rPr>
          <w:rFonts w:ascii="Arial" w:hAnsi="Arial" w:cs="Arial"/>
          <w:color w:val="000000"/>
          <w:sz w:val="22"/>
          <w:szCs w:val="22"/>
        </w:rPr>
        <w:t xml:space="preserve">infrared photoimmunotherapy provides multifaceted approach to modern cancer treatment. </w:t>
      </w:r>
      <w:r w:rsidRPr="007926AE">
        <w:rPr>
          <w:rFonts w:ascii="Arial" w:hAnsi="Arial" w:cs="Arial"/>
          <w:i/>
          <w:iCs/>
          <w:color w:val="000000"/>
          <w:sz w:val="22"/>
          <w:szCs w:val="22"/>
        </w:rPr>
        <w:t>VIEW</w:t>
      </w:r>
      <w:r w:rsidRPr="007926AE">
        <w:rPr>
          <w:rFonts w:ascii="Arial" w:hAnsi="Arial" w:cs="Arial"/>
          <w:color w:val="000000"/>
          <w:sz w:val="22"/>
          <w:szCs w:val="22"/>
        </w:rPr>
        <w:t xml:space="preserve"> </w:t>
      </w:r>
      <w:r w:rsidRPr="007926AE">
        <w:rPr>
          <w:rFonts w:ascii="Arial" w:hAnsi="Arial" w:cs="Arial"/>
          <w:b/>
          <w:bCs/>
          <w:color w:val="000000"/>
          <w:sz w:val="22"/>
          <w:szCs w:val="22"/>
        </w:rPr>
        <w:t>3</w:t>
      </w:r>
      <w:r w:rsidRPr="007926AE">
        <w:rPr>
          <w:rFonts w:ascii="Arial" w:hAnsi="Arial" w:cs="Arial"/>
          <w:color w:val="000000"/>
          <w:sz w:val="22"/>
          <w:szCs w:val="22"/>
        </w:rPr>
        <w:t>, 20200110 (2022).</w:t>
      </w:r>
    </w:p>
    <w:p w14:paraId="71EF884C"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210.</w:t>
      </w:r>
      <w:r w:rsidRPr="007926AE">
        <w:rPr>
          <w:rFonts w:ascii="Arial" w:hAnsi="Arial" w:cs="Arial"/>
          <w:color w:val="000000"/>
          <w:sz w:val="22"/>
          <w:szCs w:val="22"/>
        </w:rPr>
        <w:tab/>
        <w:t xml:space="preserve">Hansen, G. &amp; Sundset, A. Transbronchial laser ablation of benign and malignant tumors. </w:t>
      </w:r>
      <w:r w:rsidRPr="007926AE">
        <w:rPr>
          <w:rFonts w:ascii="Arial" w:hAnsi="Arial" w:cs="Arial"/>
          <w:i/>
          <w:iCs/>
          <w:color w:val="000000"/>
          <w:sz w:val="22"/>
          <w:szCs w:val="22"/>
        </w:rPr>
        <w:t>Minimally Invasive Therapy &amp; Allied Technologies</w:t>
      </w:r>
      <w:r w:rsidRPr="007926AE">
        <w:rPr>
          <w:rFonts w:ascii="Arial" w:hAnsi="Arial" w:cs="Arial"/>
          <w:color w:val="000000"/>
          <w:sz w:val="22"/>
          <w:szCs w:val="22"/>
        </w:rPr>
        <w:t xml:space="preserve"> </w:t>
      </w:r>
      <w:r w:rsidRPr="007926AE">
        <w:rPr>
          <w:rFonts w:ascii="Arial" w:hAnsi="Arial" w:cs="Arial"/>
          <w:b/>
          <w:bCs/>
          <w:color w:val="000000"/>
          <w:sz w:val="22"/>
          <w:szCs w:val="22"/>
        </w:rPr>
        <w:t>15</w:t>
      </w:r>
      <w:r w:rsidRPr="007926AE">
        <w:rPr>
          <w:rFonts w:ascii="Arial" w:hAnsi="Arial" w:cs="Arial"/>
          <w:color w:val="000000"/>
          <w:sz w:val="22"/>
          <w:szCs w:val="22"/>
        </w:rPr>
        <w:t>, 4–8 (2006).</w:t>
      </w:r>
    </w:p>
    <w:p w14:paraId="0D4CC05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211.</w:t>
      </w:r>
      <w:r w:rsidRPr="007926AE">
        <w:rPr>
          <w:rFonts w:ascii="Arial" w:hAnsi="Arial" w:cs="Arial"/>
          <w:color w:val="000000"/>
          <w:sz w:val="22"/>
          <w:szCs w:val="22"/>
        </w:rPr>
        <w:tab/>
        <w:t xml:space="preserve">Wenger, H., Yousuf, A., Oto, A. &amp; Eggener, S. Laser ablation as focal therapy for prostate cancer. </w:t>
      </w:r>
      <w:r w:rsidRPr="007926AE">
        <w:rPr>
          <w:rFonts w:ascii="Arial" w:hAnsi="Arial" w:cs="Arial"/>
          <w:i/>
          <w:iCs/>
          <w:color w:val="000000"/>
          <w:sz w:val="22"/>
          <w:szCs w:val="22"/>
        </w:rPr>
        <w:t>Current Opinion in Urology</w:t>
      </w:r>
      <w:r w:rsidRPr="007926AE">
        <w:rPr>
          <w:rFonts w:ascii="Arial" w:hAnsi="Arial" w:cs="Arial"/>
          <w:color w:val="000000"/>
          <w:sz w:val="22"/>
          <w:szCs w:val="22"/>
        </w:rPr>
        <w:t xml:space="preserve"> </w:t>
      </w:r>
      <w:r w:rsidRPr="007926AE">
        <w:rPr>
          <w:rFonts w:ascii="Arial" w:hAnsi="Arial" w:cs="Arial"/>
          <w:b/>
          <w:bCs/>
          <w:color w:val="000000"/>
          <w:sz w:val="22"/>
          <w:szCs w:val="22"/>
        </w:rPr>
        <w:t>24</w:t>
      </w:r>
      <w:r w:rsidRPr="007926AE">
        <w:rPr>
          <w:rFonts w:ascii="Arial" w:hAnsi="Arial" w:cs="Arial"/>
          <w:color w:val="000000"/>
          <w:sz w:val="22"/>
          <w:szCs w:val="22"/>
        </w:rPr>
        <w:t>, 236–240 (2014).</w:t>
      </w:r>
    </w:p>
    <w:p w14:paraId="547BF02C"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212.</w:t>
      </w:r>
      <w:r w:rsidRPr="007926AE">
        <w:rPr>
          <w:rFonts w:ascii="Arial" w:hAnsi="Arial" w:cs="Arial"/>
          <w:color w:val="000000"/>
          <w:sz w:val="22"/>
          <w:szCs w:val="22"/>
        </w:rPr>
        <w:tab/>
        <w:t xml:space="preserve">Gough-Palmer, A. L. &amp; Gedroyc, W. M. W. Laser ablation of hepatocellular carcinoma-A review. </w:t>
      </w:r>
      <w:r w:rsidRPr="007926AE">
        <w:rPr>
          <w:rFonts w:ascii="Arial" w:hAnsi="Arial" w:cs="Arial"/>
          <w:i/>
          <w:iCs/>
          <w:color w:val="000000"/>
          <w:sz w:val="22"/>
          <w:szCs w:val="22"/>
        </w:rPr>
        <w:t>WJG</w:t>
      </w:r>
      <w:r w:rsidRPr="007926AE">
        <w:rPr>
          <w:rFonts w:ascii="Arial" w:hAnsi="Arial" w:cs="Arial"/>
          <w:color w:val="000000"/>
          <w:sz w:val="22"/>
          <w:szCs w:val="22"/>
        </w:rPr>
        <w:t xml:space="preserve"> </w:t>
      </w:r>
      <w:r w:rsidRPr="007926AE">
        <w:rPr>
          <w:rFonts w:ascii="Arial" w:hAnsi="Arial" w:cs="Arial"/>
          <w:b/>
          <w:bCs/>
          <w:color w:val="000000"/>
          <w:sz w:val="22"/>
          <w:szCs w:val="22"/>
        </w:rPr>
        <w:t>14</w:t>
      </w:r>
      <w:r w:rsidRPr="007926AE">
        <w:rPr>
          <w:rFonts w:ascii="Arial" w:hAnsi="Arial" w:cs="Arial"/>
          <w:color w:val="000000"/>
          <w:sz w:val="22"/>
          <w:szCs w:val="22"/>
        </w:rPr>
        <w:t>, 7170 (2008).</w:t>
      </w:r>
    </w:p>
    <w:p w14:paraId="31B999A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213.</w:t>
      </w:r>
      <w:r w:rsidRPr="007926AE">
        <w:rPr>
          <w:rFonts w:ascii="Arial" w:hAnsi="Arial" w:cs="Arial"/>
          <w:color w:val="000000"/>
          <w:sz w:val="22"/>
          <w:szCs w:val="22"/>
        </w:rPr>
        <w:tab/>
        <w:t xml:space="preserve">Arienti, V. </w:t>
      </w:r>
      <w:r w:rsidRPr="007926AE">
        <w:rPr>
          <w:rFonts w:ascii="Arial" w:hAnsi="Arial" w:cs="Arial"/>
          <w:i/>
          <w:iCs/>
          <w:color w:val="000000"/>
          <w:sz w:val="22"/>
          <w:szCs w:val="22"/>
        </w:rPr>
        <w:t>et al.</w:t>
      </w:r>
      <w:r w:rsidRPr="007926AE">
        <w:rPr>
          <w:rFonts w:ascii="Arial" w:hAnsi="Arial" w:cs="Arial"/>
          <w:color w:val="000000"/>
          <w:sz w:val="22"/>
          <w:szCs w:val="22"/>
        </w:rPr>
        <w:t xml:space="preserve"> Complications of Laser Ablation for Hepatocellular Carcinoma: A Multicenter Study. </w:t>
      </w:r>
      <w:r w:rsidRPr="007926AE">
        <w:rPr>
          <w:rFonts w:ascii="Arial" w:hAnsi="Arial" w:cs="Arial"/>
          <w:i/>
          <w:iCs/>
          <w:color w:val="000000"/>
          <w:sz w:val="22"/>
          <w:szCs w:val="22"/>
        </w:rPr>
        <w:t>Radiology</w:t>
      </w:r>
      <w:r w:rsidRPr="007926AE">
        <w:rPr>
          <w:rFonts w:ascii="Arial" w:hAnsi="Arial" w:cs="Arial"/>
          <w:color w:val="000000"/>
          <w:sz w:val="22"/>
          <w:szCs w:val="22"/>
        </w:rPr>
        <w:t xml:space="preserve"> </w:t>
      </w:r>
      <w:r w:rsidRPr="007926AE">
        <w:rPr>
          <w:rFonts w:ascii="Arial" w:hAnsi="Arial" w:cs="Arial"/>
          <w:b/>
          <w:bCs/>
          <w:color w:val="000000"/>
          <w:sz w:val="22"/>
          <w:szCs w:val="22"/>
        </w:rPr>
        <w:t>246</w:t>
      </w:r>
      <w:r w:rsidRPr="007926AE">
        <w:rPr>
          <w:rFonts w:ascii="Arial" w:hAnsi="Arial" w:cs="Arial"/>
          <w:color w:val="000000"/>
          <w:sz w:val="22"/>
          <w:szCs w:val="22"/>
        </w:rPr>
        <w:t>, 947–955 (2008).</w:t>
      </w:r>
    </w:p>
    <w:p w14:paraId="38489B6C"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214.</w:t>
      </w:r>
      <w:r w:rsidRPr="007926AE">
        <w:rPr>
          <w:rFonts w:ascii="Arial" w:hAnsi="Arial" w:cs="Arial"/>
          <w:color w:val="000000"/>
          <w:sz w:val="22"/>
          <w:szCs w:val="22"/>
        </w:rPr>
        <w:tab/>
        <w:t xml:space="preserve">Vogl, T. J., Straub, R., Eichler, K., Söllner, O. &amp; Mack, M. G. Colorectal Carcinoma Metastases in Liver: Laser-induced Interstitial Thermotherapy—Local Tumor Control Rate and Survival Data. </w:t>
      </w:r>
      <w:r w:rsidRPr="007926AE">
        <w:rPr>
          <w:rFonts w:ascii="Arial" w:hAnsi="Arial" w:cs="Arial"/>
          <w:i/>
          <w:iCs/>
          <w:color w:val="000000"/>
          <w:sz w:val="22"/>
          <w:szCs w:val="22"/>
        </w:rPr>
        <w:t>Radiology</w:t>
      </w:r>
      <w:r w:rsidRPr="007926AE">
        <w:rPr>
          <w:rFonts w:ascii="Arial" w:hAnsi="Arial" w:cs="Arial"/>
          <w:color w:val="000000"/>
          <w:sz w:val="22"/>
          <w:szCs w:val="22"/>
        </w:rPr>
        <w:t xml:space="preserve"> </w:t>
      </w:r>
      <w:r w:rsidRPr="007926AE">
        <w:rPr>
          <w:rFonts w:ascii="Arial" w:hAnsi="Arial" w:cs="Arial"/>
          <w:b/>
          <w:bCs/>
          <w:color w:val="000000"/>
          <w:sz w:val="22"/>
          <w:szCs w:val="22"/>
        </w:rPr>
        <w:t>230</w:t>
      </w:r>
      <w:r w:rsidRPr="007926AE">
        <w:rPr>
          <w:rFonts w:ascii="Arial" w:hAnsi="Arial" w:cs="Arial"/>
          <w:color w:val="000000"/>
          <w:sz w:val="22"/>
          <w:szCs w:val="22"/>
        </w:rPr>
        <w:t>, 450–458 (2004).</w:t>
      </w:r>
    </w:p>
    <w:p w14:paraId="547F4C75"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215.</w:t>
      </w:r>
      <w:r w:rsidRPr="007926AE">
        <w:rPr>
          <w:rFonts w:ascii="Arial" w:hAnsi="Arial" w:cs="Arial"/>
          <w:color w:val="000000"/>
          <w:sz w:val="22"/>
          <w:szCs w:val="22"/>
        </w:rPr>
        <w:tab/>
        <w:t xml:space="preserve">Lagman, C. </w:t>
      </w:r>
      <w:r w:rsidRPr="007926AE">
        <w:rPr>
          <w:rFonts w:ascii="Arial" w:hAnsi="Arial" w:cs="Arial"/>
          <w:i/>
          <w:iCs/>
          <w:color w:val="000000"/>
          <w:sz w:val="22"/>
          <w:szCs w:val="22"/>
        </w:rPr>
        <w:t>et al.</w:t>
      </w:r>
      <w:r w:rsidRPr="007926AE">
        <w:rPr>
          <w:rFonts w:ascii="Arial" w:hAnsi="Arial" w:cs="Arial"/>
          <w:color w:val="000000"/>
          <w:sz w:val="22"/>
          <w:szCs w:val="22"/>
        </w:rPr>
        <w:t xml:space="preserve"> Laser neurosurgery: A systematic analysis of magnetic resonance-guided laser interstitial thermal therapies. </w:t>
      </w:r>
      <w:r w:rsidRPr="007926AE">
        <w:rPr>
          <w:rFonts w:ascii="Arial" w:hAnsi="Arial" w:cs="Arial"/>
          <w:i/>
          <w:iCs/>
          <w:color w:val="000000"/>
          <w:sz w:val="22"/>
          <w:szCs w:val="22"/>
        </w:rPr>
        <w:t>Journal of Clinical Neuroscience</w:t>
      </w:r>
      <w:r w:rsidRPr="007926AE">
        <w:rPr>
          <w:rFonts w:ascii="Arial" w:hAnsi="Arial" w:cs="Arial"/>
          <w:color w:val="000000"/>
          <w:sz w:val="22"/>
          <w:szCs w:val="22"/>
        </w:rPr>
        <w:t xml:space="preserve"> </w:t>
      </w:r>
      <w:r w:rsidRPr="007926AE">
        <w:rPr>
          <w:rFonts w:ascii="Arial" w:hAnsi="Arial" w:cs="Arial"/>
          <w:b/>
          <w:bCs/>
          <w:color w:val="000000"/>
          <w:sz w:val="22"/>
          <w:szCs w:val="22"/>
        </w:rPr>
        <w:t>36</w:t>
      </w:r>
      <w:r w:rsidRPr="007926AE">
        <w:rPr>
          <w:rFonts w:ascii="Arial" w:hAnsi="Arial" w:cs="Arial"/>
          <w:color w:val="000000"/>
          <w:sz w:val="22"/>
          <w:szCs w:val="22"/>
        </w:rPr>
        <w:t>, 20–26 (2017).</w:t>
      </w:r>
    </w:p>
    <w:p w14:paraId="32A5169F"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216.</w:t>
      </w:r>
      <w:r w:rsidRPr="007926AE">
        <w:rPr>
          <w:rFonts w:ascii="Arial" w:hAnsi="Arial" w:cs="Arial"/>
          <w:color w:val="000000"/>
          <w:sz w:val="22"/>
          <w:szCs w:val="22"/>
        </w:rPr>
        <w:tab/>
        <w:t xml:space="preserve">Chen, M. </w:t>
      </w:r>
      <w:r w:rsidRPr="007926AE">
        <w:rPr>
          <w:rFonts w:ascii="Arial" w:hAnsi="Arial" w:cs="Arial"/>
          <w:i/>
          <w:iCs/>
          <w:color w:val="000000"/>
          <w:sz w:val="22"/>
          <w:szCs w:val="22"/>
        </w:rPr>
        <w:t>et al.</w:t>
      </w:r>
      <w:r w:rsidRPr="007926AE">
        <w:rPr>
          <w:rFonts w:ascii="Arial" w:hAnsi="Arial" w:cs="Arial"/>
          <w:color w:val="000000"/>
          <w:sz w:val="22"/>
          <w:szCs w:val="22"/>
        </w:rPr>
        <w:t xml:space="preserve"> Interstitial Laser Ablation as Alternative to Surgical Treatment of Benign Breast Tumors. </w:t>
      </w:r>
      <w:r w:rsidRPr="007926AE">
        <w:rPr>
          <w:rFonts w:ascii="Arial" w:hAnsi="Arial" w:cs="Arial"/>
          <w:i/>
          <w:iCs/>
          <w:color w:val="000000"/>
          <w:sz w:val="22"/>
          <w:szCs w:val="22"/>
        </w:rPr>
        <w:t>Journal of the American College of Surgeons</w:t>
      </w:r>
      <w:r w:rsidRPr="007926AE">
        <w:rPr>
          <w:rFonts w:ascii="Arial" w:hAnsi="Arial" w:cs="Arial"/>
          <w:color w:val="000000"/>
          <w:sz w:val="22"/>
          <w:szCs w:val="22"/>
        </w:rPr>
        <w:t xml:space="preserve"> </w:t>
      </w:r>
      <w:r w:rsidRPr="007926AE">
        <w:rPr>
          <w:rFonts w:ascii="Arial" w:hAnsi="Arial" w:cs="Arial"/>
          <w:b/>
          <w:bCs/>
          <w:color w:val="000000"/>
          <w:sz w:val="22"/>
          <w:szCs w:val="22"/>
        </w:rPr>
        <w:t>227</w:t>
      </w:r>
      <w:r w:rsidRPr="007926AE">
        <w:rPr>
          <w:rFonts w:ascii="Arial" w:hAnsi="Arial" w:cs="Arial"/>
          <w:color w:val="000000"/>
          <w:sz w:val="22"/>
          <w:szCs w:val="22"/>
        </w:rPr>
        <w:t>, e83 (2018).</w:t>
      </w:r>
    </w:p>
    <w:p w14:paraId="02619DBE"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217.</w:t>
      </w:r>
      <w:r w:rsidRPr="007926AE">
        <w:rPr>
          <w:rFonts w:ascii="Arial" w:hAnsi="Arial" w:cs="Arial"/>
          <w:color w:val="000000"/>
          <w:sz w:val="22"/>
          <w:szCs w:val="22"/>
        </w:rPr>
        <w:tab/>
        <w:t xml:space="preserve">Schwartzberg, B. </w:t>
      </w:r>
      <w:r w:rsidRPr="007926AE">
        <w:rPr>
          <w:rFonts w:ascii="Arial" w:hAnsi="Arial" w:cs="Arial"/>
          <w:i/>
          <w:iCs/>
          <w:color w:val="000000"/>
          <w:sz w:val="22"/>
          <w:szCs w:val="22"/>
        </w:rPr>
        <w:t>et al.</w:t>
      </w:r>
      <w:r w:rsidRPr="007926AE">
        <w:rPr>
          <w:rFonts w:ascii="Arial" w:hAnsi="Arial" w:cs="Arial"/>
          <w:color w:val="000000"/>
          <w:sz w:val="22"/>
          <w:szCs w:val="22"/>
        </w:rPr>
        <w:t xml:space="preserve"> Phase 2 Open-Label Trial Investigating Percutaneous Laser Ablation for Treatment of Early-Stage Breast Cancer: MRI, Pathology, and Outcome Correlations. </w:t>
      </w:r>
      <w:r w:rsidRPr="007926AE">
        <w:rPr>
          <w:rFonts w:ascii="Arial" w:hAnsi="Arial" w:cs="Arial"/>
          <w:i/>
          <w:iCs/>
          <w:color w:val="000000"/>
          <w:sz w:val="22"/>
          <w:szCs w:val="22"/>
        </w:rPr>
        <w:t>Ann Surg Oncol</w:t>
      </w:r>
      <w:r w:rsidRPr="007926AE">
        <w:rPr>
          <w:rFonts w:ascii="Arial" w:hAnsi="Arial" w:cs="Arial"/>
          <w:color w:val="000000"/>
          <w:sz w:val="22"/>
          <w:szCs w:val="22"/>
        </w:rPr>
        <w:t xml:space="preserve"> </w:t>
      </w:r>
      <w:r w:rsidRPr="007926AE">
        <w:rPr>
          <w:rFonts w:ascii="Arial" w:hAnsi="Arial" w:cs="Arial"/>
          <w:b/>
          <w:bCs/>
          <w:color w:val="000000"/>
          <w:sz w:val="22"/>
          <w:szCs w:val="22"/>
        </w:rPr>
        <w:t>25</w:t>
      </w:r>
      <w:r w:rsidRPr="007926AE">
        <w:rPr>
          <w:rFonts w:ascii="Arial" w:hAnsi="Arial" w:cs="Arial"/>
          <w:color w:val="000000"/>
          <w:sz w:val="22"/>
          <w:szCs w:val="22"/>
        </w:rPr>
        <w:t>, 2958–2964 (2018).</w:t>
      </w:r>
    </w:p>
    <w:p w14:paraId="75ED3C8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218.</w:t>
      </w:r>
      <w:r w:rsidRPr="007926AE">
        <w:rPr>
          <w:rFonts w:ascii="Arial" w:hAnsi="Arial" w:cs="Arial"/>
          <w:color w:val="000000"/>
          <w:sz w:val="22"/>
          <w:szCs w:val="22"/>
        </w:rPr>
        <w:tab/>
        <w:t xml:space="preserve">Li, X. </w:t>
      </w:r>
      <w:r w:rsidRPr="007926AE">
        <w:rPr>
          <w:rFonts w:ascii="Arial" w:hAnsi="Arial" w:cs="Arial"/>
          <w:i/>
          <w:iCs/>
          <w:color w:val="000000"/>
          <w:sz w:val="22"/>
          <w:szCs w:val="22"/>
        </w:rPr>
        <w:t>et al.</w:t>
      </w:r>
      <w:r w:rsidRPr="007926AE">
        <w:rPr>
          <w:rFonts w:ascii="Arial" w:hAnsi="Arial" w:cs="Arial"/>
          <w:color w:val="000000"/>
          <w:sz w:val="22"/>
          <w:szCs w:val="22"/>
        </w:rPr>
        <w:t xml:space="preserve"> Preliminary safety and efficacy results of laser immunotherapy for the treatment of metastatic breast cancer patients. </w:t>
      </w:r>
      <w:r w:rsidRPr="007926AE">
        <w:rPr>
          <w:rFonts w:ascii="Arial" w:hAnsi="Arial" w:cs="Arial"/>
          <w:i/>
          <w:iCs/>
          <w:color w:val="000000"/>
          <w:sz w:val="22"/>
          <w:szCs w:val="22"/>
        </w:rPr>
        <w:t>Photochem. Photobiol. Sci.</w:t>
      </w:r>
      <w:r w:rsidRPr="007926AE">
        <w:rPr>
          <w:rFonts w:ascii="Arial" w:hAnsi="Arial" w:cs="Arial"/>
          <w:color w:val="000000"/>
          <w:sz w:val="22"/>
          <w:szCs w:val="22"/>
        </w:rPr>
        <w:t xml:space="preserve"> </w:t>
      </w:r>
      <w:r w:rsidRPr="007926AE">
        <w:rPr>
          <w:rFonts w:ascii="Arial" w:hAnsi="Arial" w:cs="Arial"/>
          <w:b/>
          <w:bCs/>
          <w:color w:val="000000"/>
          <w:sz w:val="22"/>
          <w:szCs w:val="22"/>
        </w:rPr>
        <w:t>10</w:t>
      </w:r>
      <w:r w:rsidRPr="007926AE">
        <w:rPr>
          <w:rFonts w:ascii="Arial" w:hAnsi="Arial" w:cs="Arial"/>
          <w:color w:val="000000"/>
          <w:sz w:val="22"/>
          <w:szCs w:val="22"/>
        </w:rPr>
        <w:t>, 817 (2011).</w:t>
      </w:r>
    </w:p>
    <w:p w14:paraId="29387505"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219.</w:t>
      </w:r>
      <w:r w:rsidRPr="007926AE">
        <w:rPr>
          <w:rFonts w:ascii="Arial" w:hAnsi="Arial" w:cs="Arial"/>
          <w:color w:val="000000"/>
          <w:sz w:val="22"/>
          <w:szCs w:val="22"/>
        </w:rPr>
        <w:tab/>
        <w:t xml:space="preserve">Braun, C. L. &amp; Smirnov, S. N. Why is water blue? </w:t>
      </w:r>
      <w:r w:rsidRPr="007926AE">
        <w:rPr>
          <w:rFonts w:ascii="Arial" w:hAnsi="Arial" w:cs="Arial"/>
          <w:i/>
          <w:iCs/>
          <w:color w:val="000000"/>
          <w:sz w:val="22"/>
          <w:szCs w:val="22"/>
        </w:rPr>
        <w:t>Journal of Chemical Education</w:t>
      </w:r>
      <w:r w:rsidRPr="007926AE">
        <w:rPr>
          <w:rFonts w:ascii="Arial" w:hAnsi="Arial" w:cs="Arial"/>
          <w:color w:val="000000"/>
          <w:sz w:val="22"/>
          <w:szCs w:val="22"/>
        </w:rPr>
        <w:t xml:space="preserve"> </w:t>
      </w:r>
      <w:r w:rsidRPr="007926AE">
        <w:rPr>
          <w:rFonts w:ascii="Arial" w:hAnsi="Arial" w:cs="Arial"/>
          <w:b/>
          <w:bCs/>
          <w:color w:val="000000"/>
          <w:sz w:val="22"/>
          <w:szCs w:val="22"/>
        </w:rPr>
        <w:t>70</w:t>
      </w:r>
      <w:r w:rsidRPr="007926AE">
        <w:rPr>
          <w:rFonts w:ascii="Arial" w:hAnsi="Arial" w:cs="Arial"/>
          <w:color w:val="000000"/>
          <w:sz w:val="22"/>
          <w:szCs w:val="22"/>
        </w:rPr>
        <w:t>, 612–614 (1993).</w:t>
      </w:r>
    </w:p>
    <w:p w14:paraId="75EE072C"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220.</w:t>
      </w:r>
      <w:r w:rsidRPr="007926AE">
        <w:rPr>
          <w:rFonts w:ascii="Arial" w:hAnsi="Arial" w:cs="Arial"/>
          <w:color w:val="000000"/>
          <w:sz w:val="22"/>
          <w:szCs w:val="22"/>
        </w:rPr>
        <w:tab/>
        <w:t xml:space="preserve">Weissleder, R. A clearer vision for in vivo imaging. </w:t>
      </w:r>
      <w:r w:rsidRPr="007926AE">
        <w:rPr>
          <w:rFonts w:ascii="Arial" w:hAnsi="Arial" w:cs="Arial"/>
          <w:i/>
          <w:iCs/>
          <w:color w:val="000000"/>
          <w:sz w:val="22"/>
          <w:szCs w:val="22"/>
        </w:rPr>
        <w:t>Nature Biotechnology</w:t>
      </w:r>
      <w:r w:rsidRPr="007926AE">
        <w:rPr>
          <w:rFonts w:ascii="Arial" w:hAnsi="Arial" w:cs="Arial"/>
          <w:color w:val="000000"/>
          <w:sz w:val="22"/>
          <w:szCs w:val="22"/>
        </w:rPr>
        <w:t xml:space="preserve"> </w:t>
      </w:r>
      <w:r w:rsidRPr="007926AE">
        <w:rPr>
          <w:rFonts w:ascii="Arial" w:hAnsi="Arial" w:cs="Arial"/>
          <w:b/>
          <w:bCs/>
          <w:color w:val="000000"/>
          <w:sz w:val="22"/>
          <w:szCs w:val="22"/>
        </w:rPr>
        <w:t>19</w:t>
      </w:r>
      <w:r w:rsidRPr="007926AE">
        <w:rPr>
          <w:rFonts w:ascii="Arial" w:hAnsi="Arial" w:cs="Arial"/>
          <w:color w:val="000000"/>
          <w:sz w:val="22"/>
          <w:szCs w:val="22"/>
        </w:rPr>
        <w:t>, (2001).</w:t>
      </w:r>
    </w:p>
    <w:p w14:paraId="4796125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221.</w:t>
      </w:r>
      <w:r w:rsidRPr="007926AE">
        <w:rPr>
          <w:rFonts w:ascii="Arial" w:hAnsi="Arial" w:cs="Arial"/>
          <w:color w:val="000000"/>
          <w:sz w:val="22"/>
          <w:szCs w:val="22"/>
        </w:rPr>
        <w:tab/>
        <w:t xml:space="preserve">Kastner, J. </w:t>
      </w:r>
      <w:r w:rsidRPr="007926AE">
        <w:rPr>
          <w:rFonts w:ascii="Arial" w:hAnsi="Arial" w:cs="Arial"/>
          <w:i/>
          <w:iCs/>
          <w:color w:val="000000"/>
          <w:sz w:val="22"/>
          <w:szCs w:val="22"/>
        </w:rPr>
        <w:t>et al.</w:t>
      </w:r>
      <w:r w:rsidRPr="007926AE">
        <w:rPr>
          <w:rFonts w:ascii="Arial" w:hAnsi="Arial" w:cs="Arial"/>
          <w:color w:val="000000"/>
          <w:sz w:val="22"/>
          <w:szCs w:val="22"/>
        </w:rPr>
        <w:t xml:space="preserve"> Resonance Raman and infrared spectroscopy of carbon nanotubes. </w:t>
      </w:r>
      <w:r w:rsidRPr="007926AE">
        <w:rPr>
          <w:rFonts w:ascii="Arial" w:hAnsi="Arial" w:cs="Arial"/>
          <w:i/>
          <w:iCs/>
          <w:color w:val="000000"/>
          <w:sz w:val="22"/>
          <w:szCs w:val="22"/>
        </w:rPr>
        <w:t>Chemical Physics Letters</w:t>
      </w:r>
      <w:r w:rsidRPr="007926AE">
        <w:rPr>
          <w:rFonts w:ascii="Arial" w:hAnsi="Arial" w:cs="Arial"/>
          <w:color w:val="000000"/>
          <w:sz w:val="22"/>
          <w:szCs w:val="22"/>
        </w:rPr>
        <w:t xml:space="preserve"> </w:t>
      </w:r>
      <w:r w:rsidRPr="007926AE">
        <w:rPr>
          <w:rFonts w:ascii="Arial" w:hAnsi="Arial" w:cs="Arial"/>
          <w:b/>
          <w:bCs/>
          <w:color w:val="000000"/>
          <w:sz w:val="22"/>
          <w:szCs w:val="22"/>
        </w:rPr>
        <w:t>221</w:t>
      </w:r>
      <w:r w:rsidRPr="007926AE">
        <w:rPr>
          <w:rFonts w:ascii="Arial" w:hAnsi="Arial" w:cs="Arial"/>
          <w:color w:val="000000"/>
          <w:sz w:val="22"/>
          <w:szCs w:val="22"/>
        </w:rPr>
        <w:t>, 53–58 (1994).</w:t>
      </w:r>
    </w:p>
    <w:p w14:paraId="6349F75B"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222.</w:t>
      </w:r>
      <w:r w:rsidRPr="007926AE">
        <w:rPr>
          <w:rFonts w:ascii="Arial" w:hAnsi="Arial" w:cs="Arial"/>
          <w:color w:val="000000"/>
          <w:sz w:val="22"/>
          <w:szCs w:val="22"/>
        </w:rPr>
        <w:tab/>
        <w:t xml:space="preserve">Hyochol Ahn, Michael Weaver, Debra Lyon, Eunyoung Choi, R. &amp; Roger B. Fillingim. Dual Wavelength Stimulation of Polymeric Nanoparticles for Photothermal Therapy. </w:t>
      </w:r>
      <w:r w:rsidRPr="007926AE">
        <w:rPr>
          <w:rFonts w:ascii="Arial" w:hAnsi="Arial" w:cs="Arial"/>
          <w:i/>
          <w:iCs/>
          <w:color w:val="000000"/>
          <w:sz w:val="22"/>
          <w:szCs w:val="22"/>
        </w:rPr>
        <w:t>Lasers Surg Med</w:t>
      </w:r>
      <w:r w:rsidRPr="007926AE">
        <w:rPr>
          <w:rFonts w:ascii="Arial" w:hAnsi="Arial" w:cs="Arial"/>
          <w:color w:val="000000"/>
          <w:sz w:val="22"/>
          <w:szCs w:val="22"/>
        </w:rPr>
        <w:t xml:space="preserve"> </w:t>
      </w:r>
      <w:r w:rsidRPr="007926AE">
        <w:rPr>
          <w:rFonts w:ascii="Arial" w:hAnsi="Arial" w:cs="Arial"/>
          <w:b/>
          <w:bCs/>
          <w:color w:val="000000"/>
          <w:sz w:val="22"/>
          <w:szCs w:val="22"/>
        </w:rPr>
        <w:t>176</w:t>
      </w:r>
      <w:r w:rsidRPr="007926AE">
        <w:rPr>
          <w:rFonts w:ascii="Arial" w:hAnsi="Arial" w:cs="Arial"/>
          <w:color w:val="000000"/>
          <w:sz w:val="22"/>
          <w:szCs w:val="22"/>
        </w:rPr>
        <w:t>, 139–148 (2017).</w:t>
      </w:r>
    </w:p>
    <w:p w14:paraId="27A34BE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223.</w:t>
      </w:r>
      <w:r w:rsidRPr="007926AE">
        <w:rPr>
          <w:rFonts w:ascii="Arial" w:hAnsi="Arial" w:cs="Arial"/>
          <w:color w:val="000000"/>
          <w:sz w:val="22"/>
          <w:szCs w:val="22"/>
        </w:rPr>
        <w:tab/>
        <w:t xml:space="preserve">Fuchs, Y. &amp; Steller, H. Programmed Cell Death in Animal Development and Disease. </w:t>
      </w:r>
      <w:r w:rsidRPr="007926AE">
        <w:rPr>
          <w:rFonts w:ascii="Arial" w:hAnsi="Arial" w:cs="Arial"/>
          <w:i/>
          <w:iCs/>
          <w:color w:val="000000"/>
          <w:sz w:val="22"/>
          <w:szCs w:val="22"/>
        </w:rPr>
        <w:t>Cell</w:t>
      </w:r>
      <w:r w:rsidRPr="007926AE">
        <w:rPr>
          <w:rFonts w:ascii="Arial" w:hAnsi="Arial" w:cs="Arial"/>
          <w:color w:val="000000"/>
          <w:sz w:val="22"/>
          <w:szCs w:val="22"/>
        </w:rPr>
        <w:t xml:space="preserve"> </w:t>
      </w:r>
      <w:r w:rsidRPr="007926AE">
        <w:rPr>
          <w:rFonts w:ascii="Arial" w:hAnsi="Arial" w:cs="Arial"/>
          <w:b/>
          <w:bCs/>
          <w:color w:val="000000"/>
          <w:sz w:val="22"/>
          <w:szCs w:val="22"/>
        </w:rPr>
        <w:t>147</w:t>
      </w:r>
      <w:r w:rsidRPr="007926AE">
        <w:rPr>
          <w:rFonts w:ascii="Arial" w:hAnsi="Arial" w:cs="Arial"/>
          <w:color w:val="000000"/>
          <w:sz w:val="22"/>
          <w:szCs w:val="22"/>
        </w:rPr>
        <w:t>, 742–758 (2011).</w:t>
      </w:r>
    </w:p>
    <w:p w14:paraId="3EA3C1B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224.</w:t>
      </w:r>
      <w:r w:rsidRPr="007926AE">
        <w:rPr>
          <w:rFonts w:ascii="Arial" w:hAnsi="Arial" w:cs="Arial"/>
          <w:color w:val="000000"/>
          <w:sz w:val="22"/>
          <w:szCs w:val="22"/>
        </w:rPr>
        <w:tab/>
        <w:t xml:space="preserve">Tang, D., Kang, R., Berghe, T. V., Vandenabeele, P. &amp; Kroemer, G. The molecular machinery of regulated cell death. </w:t>
      </w:r>
      <w:r w:rsidRPr="007926AE">
        <w:rPr>
          <w:rFonts w:ascii="Arial" w:hAnsi="Arial" w:cs="Arial"/>
          <w:i/>
          <w:iCs/>
          <w:color w:val="000000"/>
          <w:sz w:val="22"/>
          <w:szCs w:val="22"/>
        </w:rPr>
        <w:t>Cell Res</w:t>
      </w:r>
      <w:r w:rsidRPr="007926AE">
        <w:rPr>
          <w:rFonts w:ascii="Arial" w:hAnsi="Arial" w:cs="Arial"/>
          <w:color w:val="000000"/>
          <w:sz w:val="22"/>
          <w:szCs w:val="22"/>
        </w:rPr>
        <w:t xml:space="preserve"> </w:t>
      </w:r>
      <w:r w:rsidRPr="007926AE">
        <w:rPr>
          <w:rFonts w:ascii="Arial" w:hAnsi="Arial" w:cs="Arial"/>
          <w:b/>
          <w:bCs/>
          <w:color w:val="000000"/>
          <w:sz w:val="22"/>
          <w:szCs w:val="22"/>
        </w:rPr>
        <w:t>29</w:t>
      </w:r>
      <w:r w:rsidRPr="007926AE">
        <w:rPr>
          <w:rFonts w:ascii="Arial" w:hAnsi="Arial" w:cs="Arial"/>
          <w:color w:val="000000"/>
          <w:sz w:val="22"/>
          <w:szCs w:val="22"/>
        </w:rPr>
        <w:t>, 347–364 (2019).</w:t>
      </w:r>
    </w:p>
    <w:p w14:paraId="2B4AAF45"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225.</w:t>
      </w:r>
      <w:r w:rsidRPr="007926AE">
        <w:rPr>
          <w:rFonts w:ascii="Arial" w:hAnsi="Arial" w:cs="Arial"/>
          <w:color w:val="000000"/>
          <w:sz w:val="22"/>
          <w:szCs w:val="22"/>
        </w:rPr>
        <w:tab/>
        <w:t xml:space="preserve">Galluzzi, L., Buqué, A., Kepp, O., Zitvogel, L. &amp; Kroemer, G. Immunogenic cell death in cancer and infectious disease. </w:t>
      </w:r>
      <w:r w:rsidRPr="007926AE">
        <w:rPr>
          <w:rFonts w:ascii="Arial" w:hAnsi="Arial" w:cs="Arial"/>
          <w:i/>
          <w:iCs/>
          <w:color w:val="000000"/>
          <w:sz w:val="22"/>
          <w:szCs w:val="22"/>
        </w:rPr>
        <w:t>Nat Rev Immunol</w:t>
      </w:r>
      <w:r w:rsidRPr="007926AE">
        <w:rPr>
          <w:rFonts w:ascii="Arial" w:hAnsi="Arial" w:cs="Arial"/>
          <w:color w:val="000000"/>
          <w:sz w:val="22"/>
          <w:szCs w:val="22"/>
        </w:rPr>
        <w:t xml:space="preserve"> </w:t>
      </w:r>
      <w:r w:rsidRPr="007926AE">
        <w:rPr>
          <w:rFonts w:ascii="Arial" w:hAnsi="Arial" w:cs="Arial"/>
          <w:b/>
          <w:bCs/>
          <w:color w:val="000000"/>
          <w:sz w:val="22"/>
          <w:szCs w:val="22"/>
        </w:rPr>
        <w:t>17</w:t>
      </w:r>
      <w:r w:rsidRPr="007926AE">
        <w:rPr>
          <w:rFonts w:ascii="Arial" w:hAnsi="Arial" w:cs="Arial"/>
          <w:color w:val="000000"/>
          <w:sz w:val="22"/>
          <w:szCs w:val="22"/>
        </w:rPr>
        <w:t>, 97–111 (2017).</w:t>
      </w:r>
    </w:p>
    <w:p w14:paraId="6B32A93B"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226.</w:t>
      </w:r>
      <w:r w:rsidRPr="007926AE">
        <w:rPr>
          <w:rFonts w:ascii="Arial" w:hAnsi="Arial" w:cs="Arial"/>
          <w:color w:val="000000"/>
          <w:sz w:val="22"/>
          <w:szCs w:val="22"/>
        </w:rPr>
        <w:tab/>
        <w:t xml:space="preserve">Chen, D. S. &amp; Mellman, I. Oncology Meets Immunology: The Cancer-Immunity Cycle. </w:t>
      </w:r>
      <w:r w:rsidRPr="007926AE">
        <w:rPr>
          <w:rFonts w:ascii="Arial" w:hAnsi="Arial" w:cs="Arial"/>
          <w:i/>
          <w:iCs/>
          <w:color w:val="000000"/>
          <w:sz w:val="22"/>
          <w:szCs w:val="22"/>
        </w:rPr>
        <w:t>Immunity</w:t>
      </w:r>
      <w:r w:rsidRPr="007926AE">
        <w:rPr>
          <w:rFonts w:ascii="Arial" w:hAnsi="Arial" w:cs="Arial"/>
          <w:color w:val="000000"/>
          <w:sz w:val="22"/>
          <w:szCs w:val="22"/>
        </w:rPr>
        <w:t xml:space="preserve"> </w:t>
      </w:r>
      <w:r w:rsidRPr="007926AE">
        <w:rPr>
          <w:rFonts w:ascii="Arial" w:hAnsi="Arial" w:cs="Arial"/>
          <w:b/>
          <w:bCs/>
          <w:color w:val="000000"/>
          <w:sz w:val="22"/>
          <w:szCs w:val="22"/>
        </w:rPr>
        <w:t>39</w:t>
      </w:r>
      <w:r w:rsidRPr="007926AE">
        <w:rPr>
          <w:rFonts w:ascii="Arial" w:hAnsi="Arial" w:cs="Arial"/>
          <w:color w:val="000000"/>
          <w:sz w:val="22"/>
          <w:szCs w:val="22"/>
        </w:rPr>
        <w:t>, 1–10 (2013).</w:t>
      </w:r>
    </w:p>
    <w:p w14:paraId="11931AFF"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227.</w:t>
      </w:r>
      <w:r w:rsidRPr="007926AE">
        <w:rPr>
          <w:rFonts w:ascii="Arial" w:hAnsi="Arial" w:cs="Arial"/>
          <w:color w:val="000000"/>
          <w:sz w:val="22"/>
          <w:szCs w:val="22"/>
        </w:rPr>
        <w:tab/>
        <w:t xml:space="preserve">Palucka, A. K. &amp; Coussens, L. M. The Basis of Oncoimmunology. </w:t>
      </w:r>
      <w:r w:rsidRPr="007926AE">
        <w:rPr>
          <w:rFonts w:ascii="Arial" w:hAnsi="Arial" w:cs="Arial"/>
          <w:i/>
          <w:iCs/>
          <w:color w:val="000000"/>
          <w:sz w:val="22"/>
          <w:szCs w:val="22"/>
        </w:rPr>
        <w:t>Cell</w:t>
      </w:r>
      <w:r w:rsidRPr="007926AE">
        <w:rPr>
          <w:rFonts w:ascii="Arial" w:hAnsi="Arial" w:cs="Arial"/>
          <w:color w:val="000000"/>
          <w:sz w:val="22"/>
          <w:szCs w:val="22"/>
        </w:rPr>
        <w:t xml:space="preserve"> </w:t>
      </w:r>
      <w:r w:rsidRPr="007926AE">
        <w:rPr>
          <w:rFonts w:ascii="Arial" w:hAnsi="Arial" w:cs="Arial"/>
          <w:b/>
          <w:bCs/>
          <w:color w:val="000000"/>
          <w:sz w:val="22"/>
          <w:szCs w:val="22"/>
        </w:rPr>
        <w:t>164</w:t>
      </w:r>
      <w:r w:rsidRPr="007926AE">
        <w:rPr>
          <w:rFonts w:ascii="Arial" w:hAnsi="Arial" w:cs="Arial"/>
          <w:color w:val="000000"/>
          <w:sz w:val="22"/>
          <w:szCs w:val="22"/>
        </w:rPr>
        <w:t>, 1233–1247 (2016).</w:t>
      </w:r>
    </w:p>
    <w:p w14:paraId="537F651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228.</w:t>
      </w:r>
      <w:r w:rsidRPr="007926AE">
        <w:rPr>
          <w:rFonts w:ascii="Arial" w:hAnsi="Arial" w:cs="Arial"/>
          <w:color w:val="000000"/>
          <w:sz w:val="22"/>
          <w:szCs w:val="22"/>
        </w:rPr>
        <w:tab/>
        <w:t xml:space="preserve">Galluzzi, L. </w:t>
      </w:r>
      <w:r w:rsidRPr="007926AE">
        <w:rPr>
          <w:rFonts w:ascii="Arial" w:hAnsi="Arial" w:cs="Arial"/>
          <w:i/>
          <w:iCs/>
          <w:color w:val="000000"/>
          <w:sz w:val="22"/>
          <w:szCs w:val="22"/>
        </w:rPr>
        <w:t>et al.</w:t>
      </w:r>
      <w:r w:rsidRPr="007926AE">
        <w:rPr>
          <w:rFonts w:ascii="Arial" w:hAnsi="Arial" w:cs="Arial"/>
          <w:color w:val="000000"/>
          <w:sz w:val="22"/>
          <w:szCs w:val="22"/>
        </w:rPr>
        <w:t xml:space="preserve"> Consensus guidelines for the definition, detection and interpretation of immunogenic cell death. </w:t>
      </w:r>
      <w:r w:rsidRPr="007926AE">
        <w:rPr>
          <w:rFonts w:ascii="Arial" w:hAnsi="Arial" w:cs="Arial"/>
          <w:i/>
          <w:iCs/>
          <w:color w:val="000000"/>
          <w:sz w:val="22"/>
          <w:szCs w:val="22"/>
        </w:rPr>
        <w:t>J Immunother Cancer</w:t>
      </w:r>
      <w:r w:rsidRPr="007926AE">
        <w:rPr>
          <w:rFonts w:ascii="Arial" w:hAnsi="Arial" w:cs="Arial"/>
          <w:color w:val="000000"/>
          <w:sz w:val="22"/>
          <w:szCs w:val="22"/>
        </w:rPr>
        <w:t xml:space="preserve"> </w:t>
      </w:r>
      <w:r w:rsidRPr="007926AE">
        <w:rPr>
          <w:rFonts w:ascii="Arial" w:hAnsi="Arial" w:cs="Arial"/>
          <w:b/>
          <w:bCs/>
          <w:color w:val="000000"/>
          <w:sz w:val="22"/>
          <w:szCs w:val="22"/>
        </w:rPr>
        <w:t>8</w:t>
      </w:r>
      <w:r w:rsidRPr="007926AE">
        <w:rPr>
          <w:rFonts w:ascii="Arial" w:hAnsi="Arial" w:cs="Arial"/>
          <w:color w:val="000000"/>
          <w:sz w:val="22"/>
          <w:szCs w:val="22"/>
        </w:rPr>
        <w:t>, e000337 (2020).</w:t>
      </w:r>
    </w:p>
    <w:p w14:paraId="595686B0"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229.</w:t>
      </w:r>
      <w:r w:rsidRPr="007926AE">
        <w:rPr>
          <w:rFonts w:ascii="Arial" w:hAnsi="Arial" w:cs="Arial"/>
          <w:color w:val="000000"/>
          <w:sz w:val="22"/>
          <w:szCs w:val="22"/>
        </w:rPr>
        <w:tab/>
        <w:t xml:space="preserve">Hou, W. </w:t>
      </w:r>
      <w:r w:rsidRPr="007926AE">
        <w:rPr>
          <w:rFonts w:ascii="Arial" w:hAnsi="Arial" w:cs="Arial"/>
          <w:i/>
          <w:iCs/>
          <w:color w:val="000000"/>
          <w:sz w:val="22"/>
          <w:szCs w:val="22"/>
        </w:rPr>
        <w:t>et al.</w:t>
      </w:r>
      <w:r w:rsidRPr="007926AE">
        <w:rPr>
          <w:rFonts w:ascii="Arial" w:hAnsi="Arial" w:cs="Arial"/>
          <w:color w:val="000000"/>
          <w:sz w:val="22"/>
          <w:szCs w:val="22"/>
        </w:rPr>
        <w:t xml:space="preserve"> Strange attractors: DAMPs and autophagy link tumor cell death and immunity. </w:t>
      </w:r>
      <w:r w:rsidRPr="007926AE">
        <w:rPr>
          <w:rFonts w:ascii="Arial" w:hAnsi="Arial" w:cs="Arial"/>
          <w:i/>
          <w:iCs/>
          <w:color w:val="000000"/>
          <w:sz w:val="22"/>
          <w:szCs w:val="22"/>
        </w:rPr>
        <w:t>Cell Death Dis</w:t>
      </w:r>
      <w:r w:rsidRPr="007926AE">
        <w:rPr>
          <w:rFonts w:ascii="Arial" w:hAnsi="Arial" w:cs="Arial"/>
          <w:color w:val="000000"/>
          <w:sz w:val="22"/>
          <w:szCs w:val="22"/>
        </w:rPr>
        <w:t xml:space="preserve"> </w:t>
      </w:r>
      <w:r w:rsidRPr="007926AE">
        <w:rPr>
          <w:rFonts w:ascii="Arial" w:hAnsi="Arial" w:cs="Arial"/>
          <w:b/>
          <w:bCs/>
          <w:color w:val="000000"/>
          <w:sz w:val="22"/>
          <w:szCs w:val="22"/>
        </w:rPr>
        <w:t>4</w:t>
      </w:r>
      <w:r w:rsidRPr="007926AE">
        <w:rPr>
          <w:rFonts w:ascii="Arial" w:hAnsi="Arial" w:cs="Arial"/>
          <w:color w:val="000000"/>
          <w:sz w:val="22"/>
          <w:szCs w:val="22"/>
        </w:rPr>
        <w:t>, e966–e966 (2013).</w:t>
      </w:r>
    </w:p>
    <w:p w14:paraId="6779EB85"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230.</w:t>
      </w:r>
      <w:r w:rsidRPr="007926AE">
        <w:rPr>
          <w:rFonts w:ascii="Arial" w:hAnsi="Arial" w:cs="Arial"/>
          <w:color w:val="000000"/>
          <w:sz w:val="22"/>
          <w:szCs w:val="22"/>
        </w:rPr>
        <w:tab/>
        <w:t xml:space="preserve">Krysko, D. V. </w:t>
      </w:r>
      <w:r w:rsidRPr="007926AE">
        <w:rPr>
          <w:rFonts w:ascii="Arial" w:hAnsi="Arial" w:cs="Arial"/>
          <w:i/>
          <w:iCs/>
          <w:color w:val="000000"/>
          <w:sz w:val="22"/>
          <w:szCs w:val="22"/>
        </w:rPr>
        <w:t>et al.</w:t>
      </w:r>
      <w:r w:rsidRPr="007926AE">
        <w:rPr>
          <w:rFonts w:ascii="Arial" w:hAnsi="Arial" w:cs="Arial"/>
          <w:color w:val="000000"/>
          <w:sz w:val="22"/>
          <w:szCs w:val="22"/>
        </w:rPr>
        <w:t xml:space="preserve"> Immunogenic cell death and DAMPs in cancer therapy. </w:t>
      </w:r>
      <w:r w:rsidRPr="007926AE">
        <w:rPr>
          <w:rFonts w:ascii="Arial" w:hAnsi="Arial" w:cs="Arial"/>
          <w:i/>
          <w:iCs/>
          <w:color w:val="000000"/>
          <w:sz w:val="22"/>
          <w:szCs w:val="22"/>
        </w:rPr>
        <w:t>Nat Rev Cancer</w:t>
      </w:r>
      <w:r w:rsidRPr="007926AE">
        <w:rPr>
          <w:rFonts w:ascii="Arial" w:hAnsi="Arial" w:cs="Arial"/>
          <w:color w:val="000000"/>
          <w:sz w:val="22"/>
          <w:szCs w:val="22"/>
        </w:rPr>
        <w:t xml:space="preserve"> </w:t>
      </w:r>
      <w:r w:rsidRPr="007926AE">
        <w:rPr>
          <w:rFonts w:ascii="Arial" w:hAnsi="Arial" w:cs="Arial"/>
          <w:b/>
          <w:bCs/>
          <w:color w:val="000000"/>
          <w:sz w:val="22"/>
          <w:szCs w:val="22"/>
        </w:rPr>
        <w:t>12</w:t>
      </w:r>
      <w:r w:rsidRPr="007926AE">
        <w:rPr>
          <w:rFonts w:ascii="Arial" w:hAnsi="Arial" w:cs="Arial"/>
          <w:color w:val="000000"/>
          <w:sz w:val="22"/>
          <w:szCs w:val="22"/>
        </w:rPr>
        <w:t>, 860–875 (2012).</w:t>
      </w:r>
    </w:p>
    <w:p w14:paraId="4B4D4880"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231.</w:t>
      </w:r>
      <w:r w:rsidRPr="007926AE">
        <w:rPr>
          <w:rFonts w:ascii="Arial" w:hAnsi="Arial" w:cs="Arial"/>
          <w:color w:val="000000"/>
          <w:sz w:val="22"/>
          <w:szCs w:val="22"/>
        </w:rPr>
        <w:tab/>
        <w:t xml:space="preserve">Shang, T., Yu, X., Han, S. &amp; Yang, B. Nanomedicine-based tumor photothermal therapy synergized immunotherapy. </w:t>
      </w:r>
      <w:r w:rsidRPr="007926AE">
        <w:rPr>
          <w:rFonts w:ascii="Arial" w:hAnsi="Arial" w:cs="Arial"/>
          <w:i/>
          <w:iCs/>
          <w:color w:val="000000"/>
          <w:sz w:val="22"/>
          <w:szCs w:val="22"/>
        </w:rPr>
        <w:t>Biomater. Sci.</w:t>
      </w:r>
      <w:r w:rsidRPr="007926AE">
        <w:rPr>
          <w:rFonts w:ascii="Arial" w:hAnsi="Arial" w:cs="Arial"/>
          <w:color w:val="000000"/>
          <w:sz w:val="22"/>
          <w:szCs w:val="22"/>
        </w:rPr>
        <w:t xml:space="preserve"> </w:t>
      </w:r>
      <w:r w:rsidRPr="007926AE">
        <w:rPr>
          <w:rFonts w:ascii="Arial" w:hAnsi="Arial" w:cs="Arial"/>
          <w:b/>
          <w:bCs/>
          <w:color w:val="000000"/>
          <w:sz w:val="22"/>
          <w:szCs w:val="22"/>
        </w:rPr>
        <w:t>8</w:t>
      </w:r>
      <w:r w:rsidRPr="007926AE">
        <w:rPr>
          <w:rFonts w:ascii="Arial" w:hAnsi="Arial" w:cs="Arial"/>
          <w:color w:val="000000"/>
          <w:sz w:val="22"/>
          <w:szCs w:val="22"/>
        </w:rPr>
        <w:t>, 5241–5259 (2020).</w:t>
      </w:r>
    </w:p>
    <w:p w14:paraId="6EE321A7"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232.</w:t>
      </w:r>
      <w:r w:rsidRPr="007926AE">
        <w:rPr>
          <w:rFonts w:ascii="Arial" w:hAnsi="Arial" w:cs="Arial"/>
          <w:color w:val="000000"/>
          <w:sz w:val="22"/>
          <w:szCs w:val="22"/>
        </w:rPr>
        <w:tab/>
        <w:t xml:space="preserve">Maruoka, Y., Wakiyama, H., Choyke, P. L. &amp; Kobayashi, H. Near infrared photoimmunotherapy for cancers: A translational perspective. </w:t>
      </w:r>
      <w:r w:rsidRPr="007926AE">
        <w:rPr>
          <w:rFonts w:ascii="Arial" w:hAnsi="Arial" w:cs="Arial"/>
          <w:i/>
          <w:iCs/>
          <w:color w:val="000000"/>
          <w:sz w:val="22"/>
          <w:szCs w:val="22"/>
        </w:rPr>
        <w:t>EBioMedicine</w:t>
      </w:r>
      <w:r w:rsidRPr="007926AE">
        <w:rPr>
          <w:rFonts w:ascii="Arial" w:hAnsi="Arial" w:cs="Arial"/>
          <w:color w:val="000000"/>
          <w:sz w:val="22"/>
          <w:szCs w:val="22"/>
        </w:rPr>
        <w:t xml:space="preserve"> </w:t>
      </w:r>
      <w:r w:rsidRPr="007926AE">
        <w:rPr>
          <w:rFonts w:ascii="Arial" w:hAnsi="Arial" w:cs="Arial"/>
          <w:b/>
          <w:bCs/>
          <w:color w:val="000000"/>
          <w:sz w:val="22"/>
          <w:szCs w:val="22"/>
        </w:rPr>
        <w:t>70</w:t>
      </w:r>
      <w:r w:rsidRPr="007926AE">
        <w:rPr>
          <w:rFonts w:ascii="Arial" w:hAnsi="Arial" w:cs="Arial"/>
          <w:color w:val="000000"/>
          <w:sz w:val="22"/>
          <w:szCs w:val="22"/>
        </w:rPr>
        <w:t>, 103501 (2021).</w:t>
      </w:r>
    </w:p>
    <w:p w14:paraId="1A8EE4A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233.</w:t>
      </w:r>
      <w:r w:rsidRPr="007926AE">
        <w:rPr>
          <w:rFonts w:ascii="Arial" w:hAnsi="Arial" w:cs="Arial"/>
          <w:color w:val="000000"/>
          <w:sz w:val="22"/>
          <w:szCs w:val="22"/>
        </w:rPr>
        <w:tab/>
        <w:t xml:space="preserve">Kobayashi, H. &amp; Choyke, P. L. Near-Infrared Photoimmunotherapy of Cancer. </w:t>
      </w:r>
      <w:r w:rsidRPr="007926AE">
        <w:rPr>
          <w:rFonts w:ascii="Arial" w:hAnsi="Arial" w:cs="Arial"/>
          <w:i/>
          <w:iCs/>
          <w:color w:val="000000"/>
          <w:sz w:val="22"/>
          <w:szCs w:val="22"/>
        </w:rPr>
        <w:t>Acc. Chem. Res.</w:t>
      </w:r>
      <w:r w:rsidRPr="007926AE">
        <w:rPr>
          <w:rFonts w:ascii="Arial" w:hAnsi="Arial" w:cs="Arial"/>
          <w:color w:val="000000"/>
          <w:sz w:val="22"/>
          <w:szCs w:val="22"/>
        </w:rPr>
        <w:t xml:space="preserve"> </w:t>
      </w:r>
      <w:r w:rsidRPr="007926AE">
        <w:rPr>
          <w:rFonts w:ascii="Arial" w:hAnsi="Arial" w:cs="Arial"/>
          <w:b/>
          <w:bCs/>
          <w:color w:val="000000"/>
          <w:sz w:val="22"/>
          <w:szCs w:val="22"/>
        </w:rPr>
        <w:t>52</w:t>
      </w:r>
      <w:r w:rsidRPr="007926AE">
        <w:rPr>
          <w:rFonts w:ascii="Arial" w:hAnsi="Arial" w:cs="Arial"/>
          <w:color w:val="000000"/>
          <w:sz w:val="22"/>
          <w:szCs w:val="22"/>
        </w:rPr>
        <w:t>, 2332–2339 (2019).</w:t>
      </w:r>
    </w:p>
    <w:p w14:paraId="76E5A9C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234.</w:t>
      </w:r>
      <w:r w:rsidRPr="007926AE">
        <w:rPr>
          <w:rFonts w:ascii="Arial" w:hAnsi="Arial" w:cs="Arial"/>
          <w:color w:val="000000"/>
          <w:sz w:val="22"/>
          <w:szCs w:val="22"/>
        </w:rPr>
        <w:tab/>
        <w:t xml:space="preserve">Abbott, M. &amp; Ustoyev, Y. Cancer and the Immune System: The History and Background of Immunotherapy. </w:t>
      </w:r>
      <w:r w:rsidRPr="007926AE">
        <w:rPr>
          <w:rFonts w:ascii="Arial" w:hAnsi="Arial" w:cs="Arial"/>
          <w:i/>
          <w:iCs/>
          <w:color w:val="000000"/>
          <w:sz w:val="22"/>
          <w:szCs w:val="22"/>
        </w:rPr>
        <w:t>Seminars in Oncology Nursing</w:t>
      </w:r>
      <w:r w:rsidRPr="007926AE">
        <w:rPr>
          <w:rFonts w:ascii="Arial" w:hAnsi="Arial" w:cs="Arial"/>
          <w:color w:val="000000"/>
          <w:sz w:val="22"/>
          <w:szCs w:val="22"/>
        </w:rPr>
        <w:t xml:space="preserve"> </w:t>
      </w:r>
      <w:r w:rsidRPr="007926AE">
        <w:rPr>
          <w:rFonts w:ascii="Arial" w:hAnsi="Arial" w:cs="Arial"/>
          <w:b/>
          <w:bCs/>
          <w:color w:val="000000"/>
          <w:sz w:val="22"/>
          <w:szCs w:val="22"/>
        </w:rPr>
        <w:t>35</w:t>
      </w:r>
      <w:r w:rsidRPr="007926AE">
        <w:rPr>
          <w:rFonts w:ascii="Arial" w:hAnsi="Arial" w:cs="Arial"/>
          <w:color w:val="000000"/>
          <w:sz w:val="22"/>
          <w:szCs w:val="22"/>
        </w:rPr>
        <w:t>, 150923 (2019).</w:t>
      </w:r>
    </w:p>
    <w:p w14:paraId="63AE7D4C"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235.</w:t>
      </w:r>
      <w:r w:rsidRPr="007926AE">
        <w:rPr>
          <w:rFonts w:ascii="Arial" w:hAnsi="Arial" w:cs="Arial"/>
          <w:color w:val="000000"/>
          <w:sz w:val="22"/>
          <w:szCs w:val="22"/>
        </w:rPr>
        <w:tab/>
        <w:t xml:space="preserve">Russell, S. J., Peng, K.-W. &amp; Bell, J. C. Oncolytic virotherapy. </w:t>
      </w:r>
      <w:r w:rsidRPr="007926AE">
        <w:rPr>
          <w:rFonts w:ascii="Arial" w:hAnsi="Arial" w:cs="Arial"/>
          <w:i/>
          <w:iCs/>
          <w:color w:val="000000"/>
          <w:sz w:val="22"/>
          <w:szCs w:val="22"/>
        </w:rPr>
        <w:t>Nat Biotechnol</w:t>
      </w:r>
      <w:r w:rsidRPr="007926AE">
        <w:rPr>
          <w:rFonts w:ascii="Arial" w:hAnsi="Arial" w:cs="Arial"/>
          <w:color w:val="000000"/>
          <w:sz w:val="22"/>
          <w:szCs w:val="22"/>
        </w:rPr>
        <w:t xml:space="preserve"> </w:t>
      </w:r>
      <w:r w:rsidRPr="007926AE">
        <w:rPr>
          <w:rFonts w:ascii="Arial" w:hAnsi="Arial" w:cs="Arial"/>
          <w:b/>
          <w:bCs/>
          <w:color w:val="000000"/>
          <w:sz w:val="22"/>
          <w:szCs w:val="22"/>
        </w:rPr>
        <w:t>30</w:t>
      </w:r>
      <w:r w:rsidRPr="007926AE">
        <w:rPr>
          <w:rFonts w:ascii="Arial" w:hAnsi="Arial" w:cs="Arial"/>
          <w:color w:val="000000"/>
          <w:sz w:val="22"/>
          <w:szCs w:val="22"/>
        </w:rPr>
        <w:t>, 658–670 (2012).</w:t>
      </w:r>
    </w:p>
    <w:p w14:paraId="3809B656"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236.</w:t>
      </w:r>
      <w:r w:rsidRPr="007926AE">
        <w:rPr>
          <w:rFonts w:ascii="Arial" w:hAnsi="Arial" w:cs="Arial"/>
          <w:color w:val="000000"/>
          <w:sz w:val="22"/>
          <w:szCs w:val="22"/>
        </w:rPr>
        <w:tab/>
        <w:t xml:space="preserve">Mastelic-Gavillet, B., Balint, K., Boudousquie, C., Gannon, P. O. &amp; Kandalaft, L. E. Personalized Dendritic Cell Vaccines—Recent Breakthroughs and Encouraging Clinical Results. </w:t>
      </w:r>
      <w:r w:rsidRPr="007926AE">
        <w:rPr>
          <w:rFonts w:ascii="Arial" w:hAnsi="Arial" w:cs="Arial"/>
          <w:i/>
          <w:iCs/>
          <w:color w:val="000000"/>
          <w:sz w:val="22"/>
          <w:szCs w:val="22"/>
        </w:rPr>
        <w:t>Front. Immunol.</w:t>
      </w:r>
      <w:r w:rsidRPr="007926AE">
        <w:rPr>
          <w:rFonts w:ascii="Arial" w:hAnsi="Arial" w:cs="Arial"/>
          <w:color w:val="000000"/>
          <w:sz w:val="22"/>
          <w:szCs w:val="22"/>
        </w:rPr>
        <w:t xml:space="preserve"> </w:t>
      </w:r>
      <w:r w:rsidRPr="007926AE">
        <w:rPr>
          <w:rFonts w:ascii="Arial" w:hAnsi="Arial" w:cs="Arial"/>
          <w:b/>
          <w:bCs/>
          <w:color w:val="000000"/>
          <w:sz w:val="22"/>
          <w:szCs w:val="22"/>
        </w:rPr>
        <w:t>10</w:t>
      </w:r>
      <w:r w:rsidRPr="007926AE">
        <w:rPr>
          <w:rFonts w:ascii="Arial" w:hAnsi="Arial" w:cs="Arial"/>
          <w:color w:val="000000"/>
          <w:sz w:val="22"/>
          <w:szCs w:val="22"/>
        </w:rPr>
        <w:t>, 766 (2019).</w:t>
      </w:r>
    </w:p>
    <w:p w14:paraId="67A4C00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237.</w:t>
      </w:r>
      <w:r w:rsidRPr="007926AE">
        <w:rPr>
          <w:rFonts w:ascii="Arial" w:hAnsi="Arial" w:cs="Arial"/>
          <w:color w:val="000000"/>
          <w:sz w:val="22"/>
          <w:szCs w:val="22"/>
        </w:rPr>
        <w:tab/>
        <w:t xml:space="preserve">Dranoff, G. </w:t>
      </w:r>
      <w:r w:rsidRPr="007926AE">
        <w:rPr>
          <w:rFonts w:ascii="Arial" w:hAnsi="Arial" w:cs="Arial"/>
          <w:i/>
          <w:iCs/>
          <w:color w:val="000000"/>
          <w:sz w:val="22"/>
          <w:szCs w:val="22"/>
        </w:rPr>
        <w:t>et al.</w:t>
      </w:r>
      <w:r w:rsidRPr="007926AE">
        <w:rPr>
          <w:rFonts w:ascii="Arial" w:hAnsi="Arial" w:cs="Arial"/>
          <w:color w:val="000000"/>
          <w:sz w:val="22"/>
          <w:szCs w:val="22"/>
        </w:rPr>
        <w:t xml:space="preserve"> Vaccination with irradiated tumor cells engineered to secrete murine granulocyte-macrophage colony-stimulating factor stimulates potent, specific, and long-lasting anti-tumor immunity. </w:t>
      </w:r>
      <w:r w:rsidRPr="007926AE">
        <w:rPr>
          <w:rFonts w:ascii="Arial" w:hAnsi="Arial" w:cs="Arial"/>
          <w:i/>
          <w:iCs/>
          <w:color w:val="000000"/>
          <w:sz w:val="22"/>
          <w:szCs w:val="22"/>
        </w:rPr>
        <w:t>Proc. Natl. Acad. Sci. U.S.A.</w:t>
      </w:r>
      <w:r w:rsidRPr="007926AE">
        <w:rPr>
          <w:rFonts w:ascii="Arial" w:hAnsi="Arial" w:cs="Arial"/>
          <w:color w:val="000000"/>
          <w:sz w:val="22"/>
          <w:szCs w:val="22"/>
        </w:rPr>
        <w:t xml:space="preserve"> </w:t>
      </w:r>
      <w:r w:rsidRPr="007926AE">
        <w:rPr>
          <w:rFonts w:ascii="Arial" w:hAnsi="Arial" w:cs="Arial"/>
          <w:b/>
          <w:bCs/>
          <w:color w:val="000000"/>
          <w:sz w:val="22"/>
          <w:szCs w:val="22"/>
        </w:rPr>
        <w:t>90</w:t>
      </w:r>
      <w:r w:rsidRPr="007926AE">
        <w:rPr>
          <w:rFonts w:ascii="Arial" w:hAnsi="Arial" w:cs="Arial"/>
          <w:color w:val="000000"/>
          <w:sz w:val="22"/>
          <w:szCs w:val="22"/>
        </w:rPr>
        <w:t>, 3539–3543 (1993).</w:t>
      </w:r>
    </w:p>
    <w:p w14:paraId="3667D4FD"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238.</w:t>
      </w:r>
      <w:r w:rsidRPr="007926AE">
        <w:rPr>
          <w:rFonts w:ascii="Arial" w:hAnsi="Arial" w:cs="Arial"/>
          <w:color w:val="000000"/>
          <w:sz w:val="22"/>
          <w:szCs w:val="22"/>
        </w:rPr>
        <w:tab/>
        <w:t xml:space="preserve">Zitvogel, L., Galluzzi, L., Kepp, O., Smyth, M. J. &amp; Kroemer, G. Type I interferons in anticancer immunity. </w:t>
      </w:r>
      <w:r w:rsidRPr="007926AE">
        <w:rPr>
          <w:rFonts w:ascii="Arial" w:hAnsi="Arial" w:cs="Arial"/>
          <w:i/>
          <w:iCs/>
          <w:color w:val="000000"/>
          <w:sz w:val="22"/>
          <w:szCs w:val="22"/>
        </w:rPr>
        <w:t>Nat Rev Immunol</w:t>
      </w:r>
      <w:r w:rsidRPr="007926AE">
        <w:rPr>
          <w:rFonts w:ascii="Arial" w:hAnsi="Arial" w:cs="Arial"/>
          <w:color w:val="000000"/>
          <w:sz w:val="22"/>
          <w:szCs w:val="22"/>
        </w:rPr>
        <w:t xml:space="preserve"> </w:t>
      </w:r>
      <w:r w:rsidRPr="007926AE">
        <w:rPr>
          <w:rFonts w:ascii="Arial" w:hAnsi="Arial" w:cs="Arial"/>
          <w:b/>
          <w:bCs/>
          <w:color w:val="000000"/>
          <w:sz w:val="22"/>
          <w:szCs w:val="22"/>
        </w:rPr>
        <w:t>15</w:t>
      </w:r>
      <w:r w:rsidRPr="007926AE">
        <w:rPr>
          <w:rFonts w:ascii="Arial" w:hAnsi="Arial" w:cs="Arial"/>
          <w:color w:val="000000"/>
          <w:sz w:val="22"/>
          <w:szCs w:val="22"/>
        </w:rPr>
        <w:t>, 405–414 (2015).</w:t>
      </w:r>
    </w:p>
    <w:p w14:paraId="4862BED5"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239.</w:t>
      </w:r>
      <w:r w:rsidRPr="007926AE">
        <w:rPr>
          <w:rFonts w:ascii="Arial" w:hAnsi="Arial" w:cs="Arial"/>
          <w:color w:val="000000"/>
          <w:sz w:val="22"/>
          <w:szCs w:val="22"/>
        </w:rPr>
        <w:tab/>
        <w:t xml:space="preserve">Zhang, Y. &amp; Zhang, Z. The history and advances in cancer immunotherapy: understanding the characteristics of tumor-infiltrating immune cells and their therapeutic implications. </w:t>
      </w:r>
      <w:r w:rsidRPr="007926AE">
        <w:rPr>
          <w:rFonts w:ascii="Arial" w:hAnsi="Arial" w:cs="Arial"/>
          <w:i/>
          <w:iCs/>
          <w:color w:val="000000"/>
          <w:sz w:val="22"/>
          <w:szCs w:val="22"/>
        </w:rPr>
        <w:t>Cell Mol Immunol</w:t>
      </w:r>
      <w:r w:rsidRPr="007926AE">
        <w:rPr>
          <w:rFonts w:ascii="Arial" w:hAnsi="Arial" w:cs="Arial"/>
          <w:color w:val="000000"/>
          <w:sz w:val="22"/>
          <w:szCs w:val="22"/>
        </w:rPr>
        <w:t xml:space="preserve"> </w:t>
      </w:r>
      <w:r w:rsidRPr="007926AE">
        <w:rPr>
          <w:rFonts w:ascii="Arial" w:hAnsi="Arial" w:cs="Arial"/>
          <w:b/>
          <w:bCs/>
          <w:color w:val="000000"/>
          <w:sz w:val="22"/>
          <w:szCs w:val="22"/>
        </w:rPr>
        <w:t>17</w:t>
      </w:r>
      <w:r w:rsidRPr="007926AE">
        <w:rPr>
          <w:rFonts w:ascii="Arial" w:hAnsi="Arial" w:cs="Arial"/>
          <w:color w:val="000000"/>
          <w:sz w:val="22"/>
          <w:szCs w:val="22"/>
        </w:rPr>
        <w:t>, 807–821 (2020).</w:t>
      </w:r>
    </w:p>
    <w:p w14:paraId="0F3FD1D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240.</w:t>
      </w:r>
      <w:r w:rsidRPr="007926AE">
        <w:rPr>
          <w:rFonts w:ascii="Arial" w:hAnsi="Arial" w:cs="Arial"/>
          <w:color w:val="000000"/>
          <w:sz w:val="22"/>
          <w:szCs w:val="22"/>
        </w:rPr>
        <w:tab/>
        <w:t xml:space="preserve">Pardoll, D. M. The blockade of immune checkpoints in cancer immunotherapy. </w:t>
      </w:r>
      <w:r w:rsidRPr="007926AE">
        <w:rPr>
          <w:rFonts w:ascii="Arial" w:hAnsi="Arial" w:cs="Arial"/>
          <w:i/>
          <w:iCs/>
          <w:color w:val="000000"/>
          <w:sz w:val="22"/>
          <w:szCs w:val="22"/>
        </w:rPr>
        <w:t>Nat Rev Cancer</w:t>
      </w:r>
      <w:r w:rsidRPr="007926AE">
        <w:rPr>
          <w:rFonts w:ascii="Arial" w:hAnsi="Arial" w:cs="Arial"/>
          <w:color w:val="000000"/>
          <w:sz w:val="22"/>
          <w:szCs w:val="22"/>
        </w:rPr>
        <w:t xml:space="preserve"> </w:t>
      </w:r>
      <w:r w:rsidRPr="007926AE">
        <w:rPr>
          <w:rFonts w:ascii="Arial" w:hAnsi="Arial" w:cs="Arial"/>
          <w:b/>
          <w:bCs/>
          <w:color w:val="000000"/>
          <w:sz w:val="22"/>
          <w:szCs w:val="22"/>
        </w:rPr>
        <w:t>12</w:t>
      </w:r>
      <w:r w:rsidRPr="007926AE">
        <w:rPr>
          <w:rFonts w:ascii="Arial" w:hAnsi="Arial" w:cs="Arial"/>
          <w:color w:val="000000"/>
          <w:sz w:val="22"/>
          <w:szCs w:val="22"/>
        </w:rPr>
        <w:t>, 252–264 (2012).</w:t>
      </w:r>
    </w:p>
    <w:p w14:paraId="1E60E9A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241.</w:t>
      </w:r>
      <w:r w:rsidRPr="007926AE">
        <w:rPr>
          <w:rFonts w:ascii="Arial" w:hAnsi="Arial" w:cs="Arial"/>
          <w:color w:val="000000"/>
          <w:sz w:val="22"/>
          <w:szCs w:val="22"/>
        </w:rPr>
        <w:tab/>
        <w:t>Dermani, F. K., Samadi, P., Rahmani, G., Kohlan, A. K. &amp; Najafi, R. PD</w:t>
      </w:r>
      <w:r w:rsidRPr="007926AE">
        <w:rPr>
          <w:rFonts w:ascii="Cambria Math" w:hAnsi="Cambria Math" w:cs="Cambria Math"/>
          <w:color w:val="000000"/>
          <w:sz w:val="22"/>
          <w:szCs w:val="22"/>
        </w:rPr>
        <w:t>‐</w:t>
      </w:r>
      <w:r w:rsidRPr="007926AE">
        <w:rPr>
          <w:rFonts w:ascii="Arial" w:hAnsi="Arial" w:cs="Arial"/>
          <w:color w:val="000000"/>
          <w:sz w:val="22"/>
          <w:szCs w:val="22"/>
        </w:rPr>
        <w:t>1/PD</w:t>
      </w:r>
      <w:r w:rsidRPr="007926AE">
        <w:rPr>
          <w:rFonts w:ascii="Cambria Math" w:hAnsi="Cambria Math" w:cs="Cambria Math"/>
          <w:color w:val="000000"/>
          <w:sz w:val="22"/>
          <w:szCs w:val="22"/>
        </w:rPr>
        <w:t>‐</w:t>
      </w:r>
      <w:r w:rsidRPr="007926AE">
        <w:rPr>
          <w:rFonts w:ascii="Arial" w:hAnsi="Arial" w:cs="Arial"/>
          <w:color w:val="000000"/>
          <w:sz w:val="22"/>
          <w:szCs w:val="22"/>
        </w:rPr>
        <w:t xml:space="preserve">L1 immune checkpoint: Potential target for cancer therapy. </w:t>
      </w:r>
      <w:r w:rsidRPr="007926AE">
        <w:rPr>
          <w:rFonts w:ascii="Arial" w:hAnsi="Arial" w:cs="Arial"/>
          <w:i/>
          <w:iCs/>
          <w:color w:val="000000"/>
          <w:sz w:val="22"/>
          <w:szCs w:val="22"/>
        </w:rPr>
        <w:t>J Cell Physiol</w:t>
      </w:r>
      <w:r w:rsidRPr="007926AE">
        <w:rPr>
          <w:rFonts w:ascii="Arial" w:hAnsi="Arial" w:cs="Arial"/>
          <w:color w:val="000000"/>
          <w:sz w:val="22"/>
          <w:szCs w:val="22"/>
        </w:rPr>
        <w:t xml:space="preserve"> </w:t>
      </w:r>
      <w:r w:rsidRPr="007926AE">
        <w:rPr>
          <w:rFonts w:ascii="Arial" w:hAnsi="Arial" w:cs="Arial"/>
          <w:b/>
          <w:bCs/>
          <w:color w:val="000000"/>
          <w:sz w:val="22"/>
          <w:szCs w:val="22"/>
        </w:rPr>
        <w:t>234</w:t>
      </w:r>
      <w:r w:rsidRPr="007926AE">
        <w:rPr>
          <w:rFonts w:ascii="Arial" w:hAnsi="Arial" w:cs="Arial"/>
          <w:color w:val="000000"/>
          <w:sz w:val="22"/>
          <w:szCs w:val="22"/>
        </w:rPr>
        <w:t>, 1313–1325 (2019).</w:t>
      </w:r>
    </w:p>
    <w:p w14:paraId="06EFDA3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242.</w:t>
      </w:r>
      <w:r w:rsidRPr="007926AE">
        <w:rPr>
          <w:rFonts w:ascii="Arial" w:hAnsi="Arial" w:cs="Arial"/>
          <w:color w:val="000000"/>
          <w:sz w:val="22"/>
          <w:szCs w:val="22"/>
        </w:rPr>
        <w:tab/>
        <w:t xml:space="preserve">Liu, Y. &amp; Zheng, P. How Does an Anti-CTLA-4 Antibody Promote Cancer Immunity? </w:t>
      </w:r>
      <w:r w:rsidRPr="007926AE">
        <w:rPr>
          <w:rFonts w:ascii="Arial" w:hAnsi="Arial" w:cs="Arial"/>
          <w:i/>
          <w:iCs/>
          <w:color w:val="000000"/>
          <w:sz w:val="22"/>
          <w:szCs w:val="22"/>
        </w:rPr>
        <w:t>Trends in Immunology</w:t>
      </w:r>
      <w:r w:rsidRPr="007926AE">
        <w:rPr>
          <w:rFonts w:ascii="Arial" w:hAnsi="Arial" w:cs="Arial"/>
          <w:color w:val="000000"/>
          <w:sz w:val="22"/>
          <w:szCs w:val="22"/>
        </w:rPr>
        <w:t xml:space="preserve"> </w:t>
      </w:r>
      <w:r w:rsidRPr="007926AE">
        <w:rPr>
          <w:rFonts w:ascii="Arial" w:hAnsi="Arial" w:cs="Arial"/>
          <w:b/>
          <w:bCs/>
          <w:color w:val="000000"/>
          <w:sz w:val="22"/>
          <w:szCs w:val="22"/>
        </w:rPr>
        <w:t>39</w:t>
      </w:r>
      <w:r w:rsidRPr="007926AE">
        <w:rPr>
          <w:rFonts w:ascii="Arial" w:hAnsi="Arial" w:cs="Arial"/>
          <w:color w:val="000000"/>
          <w:sz w:val="22"/>
          <w:szCs w:val="22"/>
        </w:rPr>
        <w:t>, 953–956 (2018).</w:t>
      </w:r>
    </w:p>
    <w:p w14:paraId="3A93858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243.</w:t>
      </w:r>
      <w:r w:rsidRPr="007926AE">
        <w:rPr>
          <w:rFonts w:ascii="Arial" w:hAnsi="Arial" w:cs="Arial"/>
          <w:color w:val="000000"/>
          <w:sz w:val="22"/>
          <w:szCs w:val="22"/>
        </w:rPr>
        <w:tab/>
        <w:t xml:space="preserve">Alsaab, H. O. </w:t>
      </w:r>
      <w:r w:rsidRPr="007926AE">
        <w:rPr>
          <w:rFonts w:ascii="Arial" w:hAnsi="Arial" w:cs="Arial"/>
          <w:i/>
          <w:iCs/>
          <w:color w:val="000000"/>
          <w:sz w:val="22"/>
          <w:szCs w:val="22"/>
        </w:rPr>
        <w:t>et al.</w:t>
      </w:r>
      <w:r w:rsidRPr="007926AE">
        <w:rPr>
          <w:rFonts w:ascii="Arial" w:hAnsi="Arial" w:cs="Arial"/>
          <w:color w:val="000000"/>
          <w:sz w:val="22"/>
          <w:szCs w:val="22"/>
        </w:rPr>
        <w:t xml:space="preserve"> PD-1 and PD-L1 Checkpoint Signaling Inhibition for Cancer Immunotherapy: Mechanism, Combinations, and Clinical Outcome. </w:t>
      </w:r>
      <w:r w:rsidRPr="007926AE">
        <w:rPr>
          <w:rFonts w:ascii="Arial" w:hAnsi="Arial" w:cs="Arial"/>
          <w:i/>
          <w:iCs/>
          <w:color w:val="000000"/>
          <w:sz w:val="22"/>
          <w:szCs w:val="22"/>
        </w:rPr>
        <w:t>Front. Pharmacol.</w:t>
      </w:r>
      <w:r w:rsidRPr="007926AE">
        <w:rPr>
          <w:rFonts w:ascii="Arial" w:hAnsi="Arial" w:cs="Arial"/>
          <w:color w:val="000000"/>
          <w:sz w:val="22"/>
          <w:szCs w:val="22"/>
        </w:rPr>
        <w:t xml:space="preserve"> </w:t>
      </w:r>
      <w:r w:rsidRPr="007926AE">
        <w:rPr>
          <w:rFonts w:ascii="Arial" w:hAnsi="Arial" w:cs="Arial"/>
          <w:b/>
          <w:bCs/>
          <w:color w:val="000000"/>
          <w:sz w:val="22"/>
          <w:szCs w:val="22"/>
        </w:rPr>
        <w:t>8</w:t>
      </w:r>
      <w:r w:rsidRPr="007926AE">
        <w:rPr>
          <w:rFonts w:ascii="Arial" w:hAnsi="Arial" w:cs="Arial"/>
          <w:color w:val="000000"/>
          <w:sz w:val="22"/>
          <w:szCs w:val="22"/>
        </w:rPr>
        <w:t>, 561 (2017).</w:t>
      </w:r>
    </w:p>
    <w:p w14:paraId="4876C7E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244.</w:t>
      </w:r>
      <w:r w:rsidRPr="007926AE">
        <w:rPr>
          <w:rFonts w:ascii="Arial" w:hAnsi="Arial" w:cs="Arial"/>
          <w:color w:val="000000"/>
          <w:sz w:val="22"/>
          <w:szCs w:val="22"/>
        </w:rPr>
        <w:tab/>
        <w:t xml:space="preserve">Linette, G. P. &amp; Carreno, B. M. Tumor-Infiltrating Lymphocytes in the Checkpoint Inhibitor Era. </w:t>
      </w:r>
      <w:r w:rsidRPr="007926AE">
        <w:rPr>
          <w:rFonts w:ascii="Arial" w:hAnsi="Arial" w:cs="Arial"/>
          <w:i/>
          <w:iCs/>
          <w:color w:val="000000"/>
          <w:sz w:val="22"/>
          <w:szCs w:val="22"/>
        </w:rPr>
        <w:t>Curr Hematol Malig Rep</w:t>
      </w:r>
      <w:r w:rsidRPr="007926AE">
        <w:rPr>
          <w:rFonts w:ascii="Arial" w:hAnsi="Arial" w:cs="Arial"/>
          <w:color w:val="000000"/>
          <w:sz w:val="22"/>
          <w:szCs w:val="22"/>
        </w:rPr>
        <w:t xml:space="preserve"> </w:t>
      </w:r>
      <w:r w:rsidRPr="007926AE">
        <w:rPr>
          <w:rFonts w:ascii="Arial" w:hAnsi="Arial" w:cs="Arial"/>
          <w:b/>
          <w:bCs/>
          <w:color w:val="000000"/>
          <w:sz w:val="22"/>
          <w:szCs w:val="22"/>
        </w:rPr>
        <w:t>14</w:t>
      </w:r>
      <w:r w:rsidRPr="007926AE">
        <w:rPr>
          <w:rFonts w:ascii="Arial" w:hAnsi="Arial" w:cs="Arial"/>
          <w:color w:val="000000"/>
          <w:sz w:val="22"/>
          <w:szCs w:val="22"/>
        </w:rPr>
        <w:t>, 286–291 (2019).</w:t>
      </w:r>
    </w:p>
    <w:p w14:paraId="0FDF379E"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245.</w:t>
      </w:r>
      <w:r w:rsidRPr="007926AE">
        <w:rPr>
          <w:rFonts w:ascii="Arial" w:hAnsi="Arial" w:cs="Arial"/>
          <w:color w:val="000000"/>
          <w:sz w:val="22"/>
          <w:szCs w:val="22"/>
        </w:rPr>
        <w:tab/>
        <w:t xml:space="preserve">Noguchi, E., Shien, T. &amp; Iwata, H. Current status of PD-1/PD-L1 blockade immunotherapy in breast cancer. </w:t>
      </w:r>
      <w:r w:rsidRPr="007926AE">
        <w:rPr>
          <w:rFonts w:ascii="Arial" w:hAnsi="Arial" w:cs="Arial"/>
          <w:i/>
          <w:iCs/>
          <w:color w:val="000000"/>
          <w:sz w:val="22"/>
          <w:szCs w:val="22"/>
        </w:rPr>
        <w:t>Japanese Journal of Clinical Oncology</w:t>
      </w:r>
      <w:r w:rsidRPr="007926AE">
        <w:rPr>
          <w:rFonts w:ascii="Arial" w:hAnsi="Arial" w:cs="Arial"/>
          <w:color w:val="000000"/>
          <w:sz w:val="22"/>
          <w:szCs w:val="22"/>
        </w:rPr>
        <w:t xml:space="preserve"> </w:t>
      </w:r>
      <w:r w:rsidRPr="007926AE">
        <w:rPr>
          <w:rFonts w:ascii="Arial" w:hAnsi="Arial" w:cs="Arial"/>
          <w:b/>
          <w:bCs/>
          <w:color w:val="000000"/>
          <w:sz w:val="22"/>
          <w:szCs w:val="22"/>
        </w:rPr>
        <w:t>51</w:t>
      </w:r>
      <w:r w:rsidRPr="007926AE">
        <w:rPr>
          <w:rFonts w:ascii="Arial" w:hAnsi="Arial" w:cs="Arial"/>
          <w:color w:val="000000"/>
          <w:sz w:val="22"/>
          <w:szCs w:val="22"/>
        </w:rPr>
        <w:t>, 321–332 (2021).</w:t>
      </w:r>
    </w:p>
    <w:p w14:paraId="01656E50"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246.</w:t>
      </w:r>
      <w:r w:rsidRPr="007926AE">
        <w:rPr>
          <w:rFonts w:ascii="Arial" w:hAnsi="Arial" w:cs="Arial"/>
          <w:color w:val="000000"/>
          <w:sz w:val="22"/>
          <w:szCs w:val="22"/>
        </w:rPr>
        <w:tab/>
        <w:t xml:space="preserve">Naylor, M. F., Chen, W. R., Teague, T. K., Perry, L. A. &amp; Nordquist, R. E. </w:t>
      </w:r>
      <w:r w:rsidRPr="007926AE">
        <w:rPr>
          <w:rFonts w:ascii="Arial" w:hAnsi="Arial" w:cs="Arial"/>
          <w:i/>
          <w:iCs/>
          <w:color w:val="000000"/>
          <w:sz w:val="22"/>
          <w:szCs w:val="22"/>
        </w:rPr>
        <w:t>In situ</w:t>
      </w:r>
      <w:r w:rsidRPr="007926AE">
        <w:rPr>
          <w:rFonts w:ascii="Arial" w:hAnsi="Arial" w:cs="Arial"/>
          <w:color w:val="000000"/>
          <w:sz w:val="22"/>
          <w:szCs w:val="22"/>
        </w:rPr>
        <w:t xml:space="preserve"> photoimmunotherapy: a tumour-directed treatment for melanoma: ISPI: a tumour-directed treatment for melanoma. </w:t>
      </w:r>
      <w:r w:rsidRPr="007926AE">
        <w:rPr>
          <w:rFonts w:ascii="Arial" w:hAnsi="Arial" w:cs="Arial"/>
          <w:i/>
          <w:iCs/>
          <w:color w:val="000000"/>
          <w:sz w:val="22"/>
          <w:szCs w:val="22"/>
        </w:rPr>
        <w:t>British Journal of Dermatology</w:t>
      </w:r>
      <w:r w:rsidRPr="007926AE">
        <w:rPr>
          <w:rFonts w:ascii="Arial" w:hAnsi="Arial" w:cs="Arial"/>
          <w:color w:val="000000"/>
          <w:sz w:val="22"/>
          <w:szCs w:val="22"/>
        </w:rPr>
        <w:t xml:space="preserve"> </w:t>
      </w:r>
      <w:r w:rsidRPr="007926AE">
        <w:rPr>
          <w:rFonts w:ascii="Arial" w:hAnsi="Arial" w:cs="Arial"/>
          <w:b/>
          <w:bCs/>
          <w:color w:val="000000"/>
          <w:sz w:val="22"/>
          <w:szCs w:val="22"/>
        </w:rPr>
        <w:t>155</w:t>
      </w:r>
      <w:r w:rsidRPr="007926AE">
        <w:rPr>
          <w:rFonts w:ascii="Arial" w:hAnsi="Arial" w:cs="Arial"/>
          <w:color w:val="000000"/>
          <w:sz w:val="22"/>
          <w:szCs w:val="22"/>
        </w:rPr>
        <w:t>, 1287–1292 (2006).</w:t>
      </w:r>
    </w:p>
    <w:p w14:paraId="2B45923C"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247.</w:t>
      </w:r>
      <w:r w:rsidRPr="007926AE">
        <w:rPr>
          <w:rFonts w:ascii="Arial" w:hAnsi="Arial" w:cs="Arial"/>
          <w:color w:val="000000"/>
          <w:sz w:val="22"/>
          <w:szCs w:val="22"/>
        </w:rPr>
        <w:tab/>
        <w:t xml:space="preserve">Maruoka, Y., Wakiyama, H., Choyke, P. L. &amp; Kobayashi, H. Near infrared photoimmunotherapy for cancers: A translational perspective. </w:t>
      </w:r>
      <w:r w:rsidRPr="007926AE">
        <w:rPr>
          <w:rFonts w:ascii="Arial" w:hAnsi="Arial" w:cs="Arial"/>
          <w:i/>
          <w:iCs/>
          <w:color w:val="000000"/>
          <w:sz w:val="22"/>
          <w:szCs w:val="22"/>
        </w:rPr>
        <w:t>EBioMedicine</w:t>
      </w:r>
      <w:r w:rsidRPr="007926AE">
        <w:rPr>
          <w:rFonts w:ascii="Arial" w:hAnsi="Arial" w:cs="Arial"/>
          <w:color w:val="000000"/>
          <w:sz w:val="22"/>
          <w:szCs w:val="22"/>
        </w:rPr>
        <w:t xml:space="preserve"> </w:t>
      </w:r>
      <w:r w:rsidRPr="007926AE">
        <w:rPr>
          <w:rFonts w:ascii="Arial" w:hAnsi="Arial" w:cs="Arial"/>
          <w:b/>
          <w:bCs/>
          <w:color w:val="000000"/>
          <w:sz w:val="22"/>
          <w:szCs w:val="22"/>
        </w:rPr>
        <w:t>70</w:t>
      </w:r>
      <w:r w:rsidRPr="007926AE">
        <w:rPr>
          <w:rFonts w:ascii="Arial" w:hAnsi="Arial" w:cs="Arial"/>
          <w:color w:val="000000"/>
          <w:sz w:val="22"/>
          <w:szCs w:val="22"/>
        </w:rPr>
        <w:t>, 103501 (2021).</w:t>
      </w:r>
    </w:p>
    <w:p w14:paraId="2707D0DB"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248.</w:t>
      </w:r>
      <w:r w:rsidRPr="007926AE">
        <w:rPr>
          <w:rFonts w:ascii="Arial" w:hAnsi="Arial" w:cs="Arial"/>
          <w:color w:val="000000"/>
          <w:sz w:val="22"/>
          <w:szCs w:val="22"/>
        </w:rPr>
        <w:tab/>
        <w:t xml:space="preserve">Friedman, M. </w:t>
      </w:r>
      <w:r w:rsidRPr="007926AE">
        <w:rPr>
          <w:rFonts w:ascii="Arial" w:hAnsi="Arial" w:cs="Arial"/>
          <w:i/>
          <w:iCs/>
          <w:color w:val="000000"/>
          <w:sz w:val="22"/>
          <w:szCs w:val="22"/>
        </w:rPr>
        <w:t>et al.</w:t>
      </w:r>
      <w:r w:rsidRPr="007926AE">
        <w:rPr>
          <w:rFonts w:ascii="Arial" w:hAnsi="Arial" w:cs="Arial"/>
          <w:color w:val="000000"/>
          <w:sz w:val="22"/>
          <w:szCs w:val="22"/>
        </w:rPr>
        <w:t xml:space="preserve"> Radiofrequency Ablation of Cancer. </w:t>
      </w:r>
      <w:r w:rsidRPr="007926AE">
        <w:rPr>
          <w:rFonts w:ascii="Arial" w:hAnsi="Arial" w:cs="Arial"/>
          <w:i/>
          <w:iCs/>
          <w:color w:val="000000"/>
          <w:sz w:val="22"/>
          <w:szCs w:val="22"/>
        </w:rPr>
        <w:t>CVIR</w:t>
      </w:r>
      <w:r w:rsidRPr="007926AE">
        <w:rPr>
          <w:rFonts w:ascii="Arial" w:hAnsi="Arial" w:cs="Arial"/>
          <w:color w:val="000000"/>
          <w:sz w:val="22"/>
          <w:szCs w:val="22"/>
        </w:rPr>
        <w:t xml:space="preserve"> </w:t>
      </w:r>
      <w:r w:rsidRPr="007926AE">
        <w:rPr>
          <w:rFonts w:ascii="Arial" w:hAnsi="Arial" w:cs="Arial"/>
          <w:b/>
          <w:bCs/>
          <w:color w:val="000000"/>
          <w:sz w:val="22"/>
          <w:szCs w:val="22"/>
        </w:rPr>
        <w:t>27</w:t>
      </w:r>
      <w:r w:rsidRPr="007926AE">
        <w:rPr>
          <w:rFonts w:ascii="Arial" w:hAnsi="Arial" w:cs="Arial"/>
          <w:color w:val="000000"/>
          <w:sz w:val="22"/>
          <w:szCs w:val="22"/>
        </w:rPr>
        <w:t>, (2004).</w:t>
      </w:r>
    </w:p>
    <w:p w14:paraId="71E4245B"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249.</w:t>
      </w:r>
      <w:r w:rsidRPr="007926AE">
        <w:rPr>
          <w:rFonts w:ascii="Arial" w:hAnsi="Arial" w:cs="Arial"/>
          <w:color w:val="000000"/>
          <w:sz w:val="22"/>
          <w:szCs w:val="22"/>
        </w:rPr>
        <w:tab/>
        <w:t xml:space="preserve">Spliethoff, J. W. </w:t>
      </w:r>
      <w:r w:rsidRPr="007926AE">
        <w:rPr>
          <w:rFonts w:ascii="Arial" w:hAnsi="Arial" w:cs="Arial"/>
          <w:i/>
          <w:iCs/>
          <w:color w:val="000000"/>
          <w:sz w:val="22"/>
          <w:szCs w:val="22"/>
        </w:rPr>
        <w:t>et al.</w:t>
      </w:r>
      <w:r w:rsidRPr="007926AE">
        <w:rPr>
          <w:rFonts w:ascii="Arial" w:hAnsi="Arial" w:cs="Arial"/>
          <w:color w:val="000000"/>
          <w:sz w:val="22"/>
          <w:szCs w:val="22"/>
        </w:rPr>
        <w:t xml:space="preserve"> Monitoring of tumor radio frequency ablation using derivative spectroscopy. </w:t>
      </w:r>
      <w:r w:rsidRPr="007926AE">
        <w:rPr>
          <w:rFonts w:ascii="Arial" w:hAnsi="Arial" w:cs="Arial"/>
          <w:i/>
          <w:iCs/>
          <w:color w:val="000000"/>
          <w:sz w:val="22"/>
          <w:szCs w:val="22"/>
        </w:rPr>
        <w:t>J. Biomed. Opt</w:t>
      </w:r>
      <w:r w:rsidRPr="007926AE">
        <w:rPr>
          <w:rFonts w:ascii="Arial" w:hAnsi="Arial" w:cs="Arial"/>
          <w:color w:val="000000"/>
          <w:sz w:val="22"/>
          <w:szCs w:val="22"/>
        </w:rPr>
        <w:t xml:space="preserve"> </w:t>
      </w:r>
      <w:r w:rsidRPr="007926AE">
        <w:rPr>
          <w:rFonts w:ascii="Arial" w:hAnsi="Arial" w:cs="Arial"/>
          <w:b/>
          <w:bCs/>
          <w:color w:val="000000"/>
          <w:sz w:val="22"/>
          <w:szCs w:val="22"/>
        </w:rPr>
        <w:t>19</w:t>
      </w:r>
      <w:r w:rsidRPr="007926AE">
        <w:rPr>
          <w:rFonts w:ascii="Arial" w:hAnsi="Arial" w:cs="Arial"/>
          <w:color w:val="000000"/>
          <w:sz w:val="22"/>
          <w:szCs w:val="22"/>
        </w:rPr>
        <w:t>, 097004 (2014).</w:t>
      </w:r>
    </w:p>
    <w:p w14:paraId="5853A17E"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250.</w:t>
      </w:r>
      <w:r w:rsidRPr="007926AE">
        <w:rPr>
          <w:rFonts w:ascii="Arial" w:hAnsi="Arial" w:cs="Arial"/>
          <w:color w:val="000000"/>
          <w:sz w:val="22"/>
          <w:szCs w:val="22"/>
        </w:rPr>
        <w:tab/>
        <w:t xml:space="preserve">Izzo, F. </w:t>
      </w:r>
      <w:r w:rsidRPr="007926AE">
        <w:rPr>
          <w:rFonts w:ascii="Arial" w:hAnsi="Arial" w:cs="Arial"/>
          <w:i/>
          <w:iCs/>
          <w:color w:val="000000"/>
          <w:sz w:val="22"/>
          <w:szCs w:val="22"/>
        </w:rPr>
        <w:t>et al.</w:t>
      </w:r>
      <w:r w:rsidRPr="007926AE">
        <w:rPr>
          <w:rFonts w:ascii="Arial" w:hAnsi="Arial" w:cs="Arial"/>
          <w:color w:val="000000"/>
          <w:sz w:val="22"/>
          <w:szCs w:val="22"/>
        </w:rPr>
        <w:t xml:space="preserve"> Radiofrequency Ablation and Microwave Ablation in Liver Tumors: An Update. </w:t>
      </w:r>
      <w:r w:rsidRPr="007926AE">
        <w:rPr>
          <w:rFonts w:ascii="Arial" w:hAnsi="Arial" w:cs="Arial"/>
          <w:i/>
          <w:iCs/>
          <w:color w:val="000000"/>
          <w:sz w:val="22"/>
          <w:szCs w:val="22"/>
        </w:rPr>
        <w:t>The Oncol</w:t>
      </w:r>
      <w:r w:rsidRPr="007926AE">
        <w:rPr>
          <w:rFonts w:ascii="Arial" w:hAnsi="Arial" w:cs="Arial"/>
          <w:color w:val="000000"/>
          <w:sz w:val="22"/>
          <w:szCs w:val="22"/>
        </w:rPr>
        <w:t xml:space="preserve"> </w:t>
      </w:r>
      <w:r w:rsidRPr="007926AE">
        <w:rPr>
          <w:rFonts w:ascii="Arial" w:hAnsi="Arial" w:cs="Arial"/>
          <w:b/>
          <w:bCs/>
          <w:color w:val="000000"/>
          <w:sz w:val="22"/>
          <w:szCs w:val="22"/>
        </w:rPr>
        <w:t>24</w:t>
      </w:r>
      <w:r w:rsidRPr="007926AE">
        <w:rPr>
          <w:rFonts w:ascii="Arial" w:hAnsi="Arial" w:cs="Arial"/>
          <w:color w:val="000000"/>
          <w:sz w:val="22"/>
          <w:szCs w:val="22"/>
        </w:rPr>
        <w:t>, (2019).</w:t>
      </w:r>
    </w:p>
    <w:p w14:paraId="1B674CB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251.</w:t>
      </w:r>
      <w:r w:rsidRPr="007926AE">
        <w:rPr>
          <w:rFonts w:ascii="Arial" w:hAnsi="Arial" w:cs="Arial"/>
          <w:color w:val="000000"/>
          <w:sz w:val="22"/>
          <w:szCs w:val="22"/>
        </w:rPr>
        <w:tab/>
        <w:t xml:space="preserve">De Filippo, M. </w:t>
      </w:r>
      <w:r w:rsidRPr="007926AE">
        <w:rPr>
          <w:rFonts w:ascii="Arial" w:hAnsi="Arial" w:cs="Arial"/>
          <w:i/>
          <w:iCs/>
          <w:color w:val="000000"/>
          <w:sz w:val="22"/>
          <w:szCs w:val="22"/>
        </w:rPr>
        <w:t>et al.</w:t>
      </w:r>
      <w:r w:rsidRPr="007926AE">
        <w:rPr>
          <w:rFonts w:ascii="Arial" w:hAnsi="Arial" w:cs="Arial"/>
          <w:color w:val="000000"/>
          <w:sz w:val="22"/>
          <w:szCs w:val="22"/>
        </w:rPr>
        <w:t xml:space="preserve"> Radiofrequency ablation of osteoid osteoma. </w:t>
      </w:r>
      <w:r w:rsidRPr="007926AE">
        <w:rPr>
          <w:rFonts w:ascii="Arial" w:hAnsi="Arial" w:cs="Arial"/>
          <w:i/>
          <w:iCs/>
          <w:color w:val="000000"/>
          <w:sz w:val="22"/>
          <w:szCs w:val="22"/>
        </w:rPr>
        <w:t>Acta Biomedica Atenei Parmensis</w:t>
      </w:r>
      <w:r w:rsidRPr="007926AE">
        <w:rPr>
          <w:rFonts w:ascii="Arial" w:hAnsi="Arial" w:cs="Arial"/>
          <w:color w:val="000000"/>
          <w:sz w:val="22"/>
          <w:szCs w:val="22"/>
        </w:rPr>
        <w:t xml:space="preserve"> </w:t>
      </w:r>
      <w:r w:rsidRPr="007926AE">
        <w:rPr>
          <w:rFonts w:ascii="Arial" w:hAnsi="Arial" w:cs="Arial"/>
          <w:b/>
          <w:bCs/>
          <w:color w:val="000000"/>
          <w:sz w:val="22"/>
          <w:szCs w:val="22"/>
        </w:rPr>
        <w:t>89</w:t>
      </w:r>
      <w:r w:rsidRPr="007926AE">
        <w:rPr>
          <w:rFonts w:ascii="Arial" w:hAnsi="Arial" w:cs="Arial"/>
          <w:color w:val="000000"/>
          <w:sz w:val="22"/>
          <w:szCs w:val="22"/>
        </w:rPr>
        <w:t>, 175–185 (2018).</w:t>
      </w:r>
    </w:p>
    <w:p w14:paraId="64F60E0C"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252.</w:t>
      </w:r>
      <w:r w:rsidRPr="007926AE">
        <w:rPr>
          <w:rFonts w:ascii="Arial" w:hAnsi="Arial" w:cs="Arial"/>
          <w:color w:val="000000"/>
          <w:sz w:val="22"/>
          <w:szCs w:val="22"/>
        </w:rPr>
        <w:tab/>
        <w:t xml:space="preserve">Glazer, E. S. </w:t>
      </w:r>
      <w:r w:rsidRPr="007926AE">
        <w:rPr>
          <w:rFonts w:ascii="Arial" w:hAnsi="Arial" w:cs="Arial"/>
          <w:i/>
          <w:iCs/>
          <w:color w:val="000000"/>
          <w:sz w:val="22"/>
          <w:szCs w:val="22"/>
        </w:rPr>
        <w:t>et al.</w:t>
      </w:r>
      <w:r w:rsidRPr="007926AE">
        <w:rPr>
          <w:rFonts w:ascii="Arial" w:hAnsi="Arial" w:cs="Arial"/>
          <w:color w:val="000000"/>
          <w:sz w:val="22"/>
          <w:szCs w:val="22"/>
        </w:rPr>
        <w:t xml:space="preserve"> Noninvasive Radiofrequency Field Destruction of Pancreatic Adenocarcinoma Xenografts Treated with Targeted Gold Nanoparticles. </w:t>
      </w:r>
      <w:r w:rsidRPr="007926AE">
        <w:rPr>
          <w:rFonts w:ascii="Arial" w:hAnsi="Arial" w:cs="Arial"/>
          <w:i/>
          <w:iCs/>
          <w:color w:val="000000"/>
          <w:sz w:val="22"/>
          <w:szCs w:val="22"/>
        </w:rPr>
        <w:t>Clinical Cancer Research</w:t>
      </w:r>
      <w:r w:rsidRPr="007926AE">
        <w:rPr>
          <w:rFonts w:ascii="Arial" w:hAnsi="Arial" w:cs="Arial"/>
          <w:color w:val="000000"/>
          <w:sz w:val="22"/>
          <w:szCs w:val="22"/>
        </w:rPr>
        <w:t xml:space="preserve"> </w:t>
      </w:r>
      <w:r w:rsidRPr="007926AE">
        <w:rPr>
          <w:rFonts w:ascii="Arial" w:hAnsi="Arial" w:cs="Arial"/>
          <w:b/>
          <w:bCs/>
          <w:color w:val="000000"/>
          <w:sz w:val="22"/>
          <w:szCs w:val="22"/>
        </w:rPr>
        <w:t>16</w:t>
      </w:r>
      <w:r w:rsidRPr="007926AE">
        <w:rPr>
          <w:rFonts w:ascii="Arial" w:hAnsi="Arial" w:cs="Arial"/>
          <w:color w:val="000000"/>
          <w:sz w:val="22"/>
          <w:szCs w:val="22"/>
        </w:rPr>
        <w:t>, 5712–5721 (2010).</w:t>
      </w:r>
    </w:p>
    <w:p w14:paraId="4E85C3D7"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253.</w:t>
      </w:r>
      <w:r w:rsidRPr="007926AE">
        <w:rPr>
          <w:rFonts w:ascii="Arial" w:hAnsi="Arial" w:cs="Arial"/>
          <w:color w:val="000000"/>
          <w:sz w:val="22"/>
          <w:szCs w:val="22"/>
        </w:rPr>
        <w:tab/>
        <w:t xml:space="preserve">Rejinold, N. S., Jayakumar, R. &amp; Kim, Y.-C. Radio frequency responsive nano-biomaterials for cancer therapy. </w:t>
      </w:r>
      <w:r w:rsidRPr="007926AE">
        <w:rPr>
          <w:rFonts w:ascii="Arial" w:hAnsi="Arial" w:cs="Arial"/>
          <w:i/>
          <w:iCs/>
          <w:color w:val="000000"/>
          <w:sz w:val="22"/>
          <w:szCs w:val="22"/>
        </w:rPr>
        <w:t>Journal of Controlled Release</w:t>
      </w:r>
      <w:r w:rsidRPr="007926AE">
        <w:rPr>
          <w:rFonts w:ascii="Arial" w:hAnsi="Arial" w:cs="Arial"/>
          <w:color w:val="000000"/>
          <w:sz w:val="22"/>
          <w:szCs w:val="22"/>
        </w:rPr>
        <w:t xml:space="preserve"> </w:t>
      </w:r>
      <w:r w:rsidRPr="007926AE">
        <w:rPr>
          <w:rFonts w:ascii="Arial" w:hAnsi="Arial" w:cs="Arial"/>
          <w:b/>
          <w:bCs/>
          <w:color w:val="000000"/>
          <w:sz w:val="22"/>
          <w:szCs w:val="22"/>
        </w:rPr>
        <w:t>204</w:t>
      </w:r>
      <w:r w:rsidRPr="007926AE">
        <w:rPr>
          <w:rFonts w:ascii="Arial" w:hAnsi="Arial" w:cs="Arial"/>
          <w:color w:val="000000"/>
          <w:sz w:val="22"/>
          <w:szCs w:val="22"/>
        </w:rPr>
        <w:t>, 85–97 (2015).</w:t>
      </w:r>
    </w:p>
    <w:p w14:paraId="7CB6F50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254.</w:t>
      </w:r>
      <w:r w:rsidRPr="007926AE">
        <w:rPr>
          <w:rFonts w:ascii="Arial" w:hAnsi="Arial" w:cs="Arial"/>
          <w:color w:val="000000"/>
          <w:sz w:val="22"/>
          <w:szCs w:val="22"/>
        </w:rPr>
        <w:tab/>
        <w:t xml:space="preserve">Cherukuri, P., Glazer, E. S. &amp; Curley, S. A. Targeted hyperthermia using metal nanoparticles. </w:t>
      </w:r>
      <w:r w:rsidRPr="007926AE">
        <w:rPr>
          <w:rFonts w:ascii="Arial" w:hAnsi="Arial" w:cs="Arial"/>
          <w:i/>
          <w:iCs/>
          <w:color w:val="000000"/>
          <w:sz w:val="22"/>
          <w:szCs w:val="22"/>
        </w:rPr>
        <w:t>Advanced Drug Delivery Reviews</w:t>
      </w:r>
      <w:r w:rsidRPr="007926AE">
        <w:rPr>
          <w:rFonts w:ascii="Arial" w:hAnsi="Arial" w:cs="Arial"/>
          <w:color w:val="000000"/>
          <w:sz w:val="22"/>
          <w:szCs w:val="22"/>
        </w:rPr>
        <w:t xml:space="preserve"> </w:t>
      </w:r>
      <w:r w:rsidRPr="007926AE">
        <w:rPr>
          <w:rFonts w:ascii="Arial" w:hAnsi="Arial" w:cs="Arial"/>
          <w:b/>
          <w:bCs/>
          <w:color w:val="000000"/>
          <w:sz w:val="22"/>
          <w:szCs w:val="22"/>
        </w:rPr>
        <w:t>62</w:t>
      </w:r>
      <w:r w:rsidRPr="007926AE">
        <w:rPr>
          <w:rFonts w:ascii="Arial" w:hAnsi="Arial" w:cs="Arial"/>
          <w:color w:val="000000"/>
          <w:sz w:val="22"/>
          <w:szCs w:val="22"/>
        </w:rPr>
        <w:t>, 339–345 (2010).</w:t>
      </w:r>
    </w:p>
    <w:p w14:paraId="11E228C5"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255.</w:t>
      </w:r>
      <w:r w:rsidRPr="007926AE">
        <w:rPr>
          <w:rFonts w:ascii="Arial" w:hAnsi="Arial" w:cs="Arial"/>
          <w:color w:val="000000"/>
          <w:sz w:val="22"/>
          <w:szCs w:val="22"/>
        </w:rPr>
        <w:tab/>
        <w:t xml:space="preserve">Garcia-Sanchez, D. </w:t>
      </w:r>
      <w:r w:rsidRPr="007926AE">
        <w:rPr>
          <w:rFonts w:ascii="Arial" w:hAnsi="Arial" w:cs="Arial"/>
          <w:i/>
          <w:iCs/>
          <w:color w:val="000000"/>
          <w:sz w:val="22"/>
          <w:szCs w:val="22"/>
        </w:rPr>
        <w:t>et al.</w:t>
      </w:r>
      <w:r w:rsidRPr="007926AE">
        <w:rPr>
          <w:rFonts w:ascii="Arial" w:hAnsi="Arial" w:cs="Arial"/>
          <w:color w:val="000000"/>
          <w:sz w:val="22"/>
          <w:szCs w:val="22"/>
        </w:rPr>
        <w:t xml:space="preserve"> Mechanical Detection of Carbon Nanotube Resonator Vibrations. </w:t>
      </w:r>
      <w:r w:rsidRPr="007926AE">
        <w:rPr>
          <w:rFonts w:ascii="Arial" w:hAnsi="Arial" w:cs="Arial"/>
          <w:i/>
          <w:iCs/>
          <w:color w:val="000000"/>
          <w:sz w:val="22"/>
          <w:szCs w:val="22"/>
        </w:rPr>
        <w:t>Phys. Rev. Lett.</w:t>
      </w:r>
      <w:r w:rsidRPr="007926AE">
        <w:rPr>
          <w:rFonts w:ascii="Arial" w:hAnsi="Arial" w:cs="Arial"/>
          <w:color w:val="000000"/>
          <w:sz w:val="22"/>
          <w:szCs w:val="22"/>
        </w:rPr>
        <w:t xml:space="preserve"> </w:t>
      </w:r>
      <w:r w:rsidRPr="007926AE">
        <w:rPr>
          <w:rFonts w:ascii="Arial" w:hAnsi="Arial" w:cs="Arial"/>
          <w:b/>
          <w:bCs/>
          <w:color w:val="000000"/>
          <w:sz w:val="22"/>
          <w:szCs w:val="22"/>
        </w:rPr>
        <w:t>99</w:t>
      </w:r>
      <w:r w:rsidRPr="007926AE">
        <w:rPr>
          <w:rFonts w:ascii="Arial" w:hAnsi="Arial" w:cs="Arial"/>
          <w:color w:val="000000"/>
          <w:sz w:val="22"/>
          <w:szCs w:val="22"/>
        </w:rPr>
        <w:t>, 085501 (2007).</w:t>
      </w:r>
    </w:p>
    <w:p w14:paraId="2C42B55B"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256.</w:t>
      </w:r>
      <w:r w:rsidRPr="007926AE">
        <w:rPr>
          <w:rFonts w:ascii="Arial" w:hAnsi="Arial" w:cs="Arial"/>
          <w:color w:val="000000"/>
          <w:sz w:val="22"/>
          <w:szCs w:val="22"/>
        </w:rPr>
        <w:tab/>
        <w:t xml:space="preserve">Jensen, K., Weldon, J., Garcia, H. &amp; Zettl, A. Nanotube Radio. </w:t>
      </w:r>
      <w:r w:rsidRPr="007926AE">
        <w:rPr>
          <w:rFonts w:ascii="Arial" w:hAnsi="Arial" w:cs="Arial"/>
          <w:i/>
          <w:iCs/>
          <w:color w:val="000000"/>
          <w:sz w:val="22"/>
          <w:szCs w:val="22"/>
        </w:rPr>
        <w:t>Nano Lett.</w:t>
      </w:r>
      <w:r w:rsidRPr="007926AE">
        <w:rPr>
          <w:rFonts w:ascii="Arial" w:hAnsi="Arial" w:cs="Arial"/>
          <w:color w:val="000000"/>
          <w:sz w:val="22"/>
          <w:szCs w:val="22"/>
        </w:rPr>
        <w:t xml:space="preserve"> </w:t>
      </w:r>
      <w:r w:rsidRPr="007926AE">
        <w:rPr>
          <w:rFonts w:ascii="Arial" w:hAnsi="Arial" w:cs="Arial"/>
          <w:b/>
          <w:bCs/>
          <w:color w:val="000000"/>
          <w:sz w:val="22"/>
          <w:szCs w:val="22"/>
        </w:rPr>
        <w:t>7</w:t>
      </w:r>
      <w:r w:rsidRPr="007926AE">
        <w:rPr>
          <w:rFonts w:ascii="Arial" w:hAnsi="Arial" w:cs="Arial"/>
          <w:color w:val="000000"/>
          <w:sz w:val="22"/>
          <w:szCs w:val="22"/>
        </w:rPr>
        <w:t>, 3508–3511 (2007).</w:t>
      </w:r>
    </w:p>
    <w:p w14:paraId="163428D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257.</w:t>
      </w:r>
      <w:r w:rsidRPr="007926AE">
        <w:rPr>
          <w:rFonts w:ascii="Arial" w:hAnsi="Arial" w:cs="Arial"/>
          <w:color w:val="000000"/>
          <w:sz w:val="22"/>
          <w:szCs w:val="22"/>
        </w:rPr>
        <w:tab/>
        <w:t xml:space="preserve">Hüttel, A. K. </w:t>
      </w:r>
      <w:r w:rsidRPr="007926AE">
        <w:rPr>
          <w:rFonts w:ascii="Arial" w:hAnsi="Arial" w:cs="Arial"/>
          <w:i/>
          <w:iCs/>
          <w:color w:val="000000"/>
          <w:sz w:val="22"/>
          <w:szCs w:val="22"/>
        </w:rPr>
        <w:t>et al.</w:t>
      </w:r>
      <w:r w:rsidRPr="007926AE">
        <w:rPr>
          <w:rFonts w:ascii="Arial" w:hAnsi="Arial" w:cs="Arial"/>
          <w:color w:val="000000"/>
          <w:sz w:val="22"/>
          <w:szCs w:val="22"/>
        </w:rPr>
        <w:t xml:space="preserve"> Carbon Nanotubes as Ultrahigh Quality Factor Mechanical Resonators. </w:t>
      </w:r>
      <w:r w:rsidRPr="007926AE">
        <w:rPr>
          <w:rFonts w:ascii="Arial" w:hAnsi="Arial" w:cs="Arial"/>
          <w:i/>
          <w:iCs/>
          <w:color w:val="000000"/>
          <w:sz w:val="22"/>
          <w:szCs w:val="22"/>
        </w:rPr>
        <w:t>Nano Lett.</w:t>
      </w:r>
      <w:r w:rsidRPr="007926AE">
        <w:rPr>
          <w:rFonts w:ascii="Arial" w:hAnsi="Arial" w:cs="Arial"/>
          <w:color w:val="000000"/>
          <w:sz w:val="22"/>
          <w:szCs w:val="22"/>
        </w:rPr>
        <w:t xml:space="preserve"> </w:t>
      </w:r>
      <w:r w:rsidRPr="007926AE">
        <w:rPr>
          <w:rFonts w:ascii="Arial" w:hAnsi="Arial" w:cs="Arial"/>
          <w:b/>
          <w:bCs/>
          <w:color w:val="000000"/>
          <w:sz w:val="22"/>
          <w:szCs w:val="22"/>
        </w:rPr>
        <w:t>9</w:t>
      </w:r>
      <w:r w:rsidRPr="007926AE">
        <w:rPr>
          <w:rFonts w:ascii="Arial" w:hAnsi="Arial" w:cs="Arial"/>
          <w:color w:val="000000"/>
          <w:sz w:val="22"/>
          <w:szCs w:val="22"/>
        </w:rPr>
        <w:t>, 2547–2552 (2009).</w:t>
      </w:r>
    </w:p>
    <w:p w14:paraId="6A0FB69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258.</w:t>
      </w:r>
      <w:r w:rsidRPr="007926AE">
        <w:rPr>
          <w:rFonts w:ascii="Arial" w:hAnsi="Arial" w:cs="Arial"/>
          <w:color w:val="000000"/>
          <w:sz w:val="22"/>
          <w:szCs w:val="22"/>
        </w:rPr>
        <w:tab/>
        <w:t xml:space="preserve">Gannon, C. J. </w:t>
      </w:r>
      <w:r w:rsidRPr="007926AE">
        <w:rPr>
          <w:rFonts w:ascii="Arial" w:hAnsi="Arial" w:cs="Arial"/>
          <w:i/>
          <w:iCs/>
          <w:color w:val="000000"/>
          <w:sz w:val="22"/>
          <w:szCs w:val="22"/>
        </w:rPr>
        <w:t>et al.</w:t>
      </w:r>
      <w:r w:rsidRPr="007926AE">
        <w:rPr>
          <w:rFonts w:ascii="Arial" w:hAnsi="Arial" w:cs="Arial"/>
          <w:color w:val="000000"/>
          <w:sz w:val="22"/>
          <w:szCs w:val="22"/>
        </w:rPr>
        <w:t xml:space="preserve"> Carbon nanotube-enhanced thermal destruction of cancer cells in a noninvasive radiofrequency field: Nanotube Heating Kills Cancer Cells. </w:t>
      </w:r>
      <w:r w:rsidRPr="007926AE">
        <w:rPr>
          <w:rFonts w:ascii="Arial" w:hAnsi="Arial" w:cs="Arial"/>
          <w:i/>
          <w:iCs/>
          <w:color w:val="000000"/>
          <w:sz w:val="22"/>
          <w:szCs w:val="22"/>
        </w:rPr>
        <w:t>Cancer</w:t>
      </w:r>
      <w:r w:rsidRPr="007926AE">
        <w:rPr>
          <w:rFonts w:ascii="Arial" w:hAnsi="Arial" w:cs="Arial"/>
          <w:color w:val="000000"/>
          <w:sz w:val="22"/>
          <w:szCs w:val="22"/>
        </w:rPr>
        <w:t xml:space="preserve"> </w:t>
      </w:r>
      <w:r w:rsidRPr="007926AE">
        <w:rPr>
          <w:rFonts w:ascii="Arial" w:hAnsi="Arial" w:cs="Arial"/>
          <w:b/>
          <w:bCs/>
          <w:color w:val="000000"/>
          <w:sz w:val="22"/>
          <w:szCs w:val="22"/>
        </w:rPr>
        <w:t>110</w:t>
      </w:r>
      <w:r w:rsidRPr="007926AE">
        <w:rPr>
          <w:rFonts w:ascii="Arial" w:hAnsi="Arial" w:cs="Arial"/>
          <w:color w:val="000000"/>
          <w:sz w:val="22"/>
          <w:szCs w:val="22"/>
        </w:rPr>
        <w:t>, 2654–2665 (2007).</w:t>
      </w:r>
    </w:p>
    <w:p w14:paraId="77DBB92E"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259.</w:t>
      </w:r>
      <w:r w:rsidRPr="007926AE">
        <w:rPr>
          <w:rFonts w:ascii="Arial" w:hAnsi="Arial" w:cs="Arial"/>
          <w:color w:val="000000"/>
          <w:sz w:val="22"/>
          <w:szCs w:val="22"/>
        </w:rPr>
        <w:tab/>
        <w:t xml:space="preserve">Iijima, S. Helical microtubules of graphitic carbon. </w:t>
      </w:r>
      <w:r w:rsidRPr="007926AE">
        <w:rPr>
          <w:rFonts w:ascii="Arial" w:hAnsi="Arial" w:cs="Arial"/>
          <w:i/>
          <w:iCs/>
          <w:color w:val="000000"/>
          <w:sz w:val="22"/>
          <w:szCs w:val="22"/>
        </w:rPr>
        <w:t>Nature</w:t>
      </w:r>
      <w:r w:rsidRPr="007926AE">
        <w:rPr>
          <w:rFonts w:ascii="Arial" w:hAnsi="Arial" w:cs="Arial"/>
          <w:color w:val="000000"/>
          <w:sz w:val="22"/>
          <w:szCs w:val="22"/>
        </w:rPr>
        <w:t xml:space="preserve"> </w:t>
      </w:r>
      <w:r w:rsidRPr="007926AE">
        <w:rPr>
          <w:rFonts w:ascii="Arial" w:hAnsi="Arial" w:cs="Arial"/>
          <w:b/>
          <w:bCs/>
          <w:color w:val="000000"/>
          <w:sz w:val="22"/>
          <w:szCs w:val="22"/>
        </w:rPr>
        <w:t>354</w:t>
      </w:r>
      <w:r w:rsidRPr="007926AE">
        <w:rPr>
          <w:rFonts w:ascii="Arial" w:hAnsi="Arial" w:cs="Arial"/>
          <w:color w:val="000000"/>
          <w:sz w:val="22"/>
          <w:szCs w:val="22"/>
        </w:rPr>
        <w:t>, 56–58 (1991).</w:t>
      </w:r>
    </w:p>
    <w:p w14:paraId="435C181D"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260.</w:t>
      </w:r>
      <w:r w:rsidRPr="007926AE">
        <w:rPr>
          <w:rFonts w:ascii="Arial" w:hAnsi="Arial" w:cs="Arial"/>
          <w:color w:val="000000"/>
          <w:sz w:val="22"/>
          <w:szCs w:val="22"/>
        </w:rPr>
        <w:tab/>
        <w:t xml:space="preserve">Treacy, M. M. J., Ebbesen, T. W. &amp; Gibson, J. M. Exceptionally high Young’s modulus observed for individual carbon nanotubes. </w:t>
      </w:r>
      <w:r w:rsidRPr="007926AE">
        <w:rPr>
          <w:rFonts w:ascii="Arial" w:hAnsi="Arial" w:cs="Arial"/>
          <w:i/>
          <w:iCs/>
          <w:color w:val="000000"/>
          <w:sz w:val="22"/>
          <w:szCs w:val="22"/>
        </w:rPr>
        <w:t>Nature</w:t>
      </w:r>
      <w:r w:rsidRPr="007926AE">
        <w:rPr>
          <w:rFonts w:ascii="Arial" w:hAnsi="Arial" w:cs="Arial"/>
          <w:color w:val="000000"/>
          <w:sz w:val="22"/>
          <w:szCs w:val="22"/>
        </w:rPr>
        <w:t xml:space="preserve"> </w:t>
      </w:r>
      <w:r w:rsidRPr="007926AE">
        <w:rPr>
          <w:rFonts w:ascii="Arial" w:hAnsi="Arial" w:cs="Arial"/>
          <w:b/>
          <w:bCs/>
          <w:color w:val="000000"/>
          <w:sz w:val="22"/>
          <w:szCs w:val="22"/>
        </w:rPr>
        <w:t>381</w:t>
      </w:r>
      <w:r w:rsidRPr="007926AE">
        <w:rPr>
          <w:rFonts w:ascii="Arial" w:hAnsi="Arial" w:cs="Arial"/>
          <w:color w:val="000000"/>
          <w:sz w:val="22"/>
          <w:szCs w:val="22"/>
        </w:rPr>
        <w:t>, 678–680 (1996).</w:t>
      </w:r>
    </w:p>
    <w:p w14:paraId="3F15FADC"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261.</w:t>
      </w:r>
      <w:r w:rsidRPr="007926AE">
        <w:rPr>
          <w:rFonts w:ascii="Arial" w:hAnsi="Arial" w:cs="Arial"/>
          <w:color w:val="000000"/>
          <w:sz w:val="22"/>
          <w:szCs w:val="22"/>
        </w:rPr>
        <w:tab/>
        <w:t xml:space="preserve">Kataura, H. </w:t>
      </w:r>
      <w:r w:rsidRPr="007926AE">
        <w:rPr>
          <w:rFonts w:ascii="Arial" w:hAnsi="Arial" w:cs="Arial"/>
          <w:i/>
          <w:iCs/>
          <w:color w:val="000000"/>
          <w:sz w:val="22"/>
          <w:szCs w:val="22"/>
        </w:rPr>
        <w:t>et al.</w:t>
      </w:r>
      <w:r w:rsidRPr="007926AE">
        <w:rPr>
          <w:rFonts w:ascii="Arial" w:hAnsi="Arial" w:cs="Arial"/>
          <w:color w:val="000000"/>
          <w:sz w:val="22"/>
          <w:szCs w:val="22"/>
        </w:rPr>
        <w:t xml:space="preserve"> Optical properties of single-wall carbon nanotubes. </w:t>
      </w:r>
      <w:r w:rsidRPr="007926AE">
        <w:rPr>
          <w:rFonts w:ascii="Arial" w:hAnsi="Arial" w:cs="Arial"/>
          <w:i/>
          <w:iCs/>
          <w:color w:val="000000"/>
          <w:sz w:val="22"/>
          <w:szCs w:val="22"/>
        </w:rPr>
        <w:t>Synthetic Metals</w:t>
      </w:r>
      <w:r w:rsidRPr="007926AE">
        <w:rPr>
          <w:rFonts w:ascii="Arial" w:hAnsi="Arial" w:cs="Arial"/>
          <w:color w:val="000000"/>
          <w:sz w:val="22"/>
          <w:szCs w:val="22"/>
        </w:rPr>
        <w:t xml:space="preserve"> </w:t>
      </w:r>
      <w:r w:rsidRPr="007926AE">
        <w:rPr>
          <w:rFonts w:ascii="Arial" w:hAnsi="Arial" w:cs="Arial"/>
          <w:b/>
          <w:bCs/>
          <w:color w:val="000000"/>
          <w:sz w:val="22"/>
          <w:szCs w:val="22"/>
        </w:rPr>
        <w:t>103</w:t>
      </w:r>
      <w:r w:rsidRPr="007926AE">
        <w:rPr>
          <w:rFonts w:ascii="Arial" w:hAnsi="Arial" w:cs="Arial"/>
          <w:color w:val="000000"/>
          <w:sz w:val="22"/>
          <w:szCs w:val="22"/>
        </w:rPr>
        <w:t>, 2555–2558 (1999).</w:t>
      </w:r>
    </w:p>
    <w:p w14:paraId="49459A1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262.</w:t>
      </w:r>
      <w:r w:rsidRPr="007926AE">
        <w:rPr>
          <w:rFonts w:ascii="Arial" w:hAnsi="Arial" w:cs="Arial"/>
          <w:color w:val="000000"/>
          <w:sz w:val="22"/>
          <w:szCs w:val="22"/>
        </w:rPr>
        <w:tab/>
        <w:t xml:space="preserve">Pop, E., Mann, D., Wang, Q., Goodson, K. &amp; Dai, H. Thermal Conductance of an Individual Single-Wall Carbon Nanotube above Room Temperature. </w:t>
      </w:r>
      <w:r w:rsidRPr="007926AE">
        <w:rPr>
          <w:rFonts w:ascii="Arial" w:hAnsi="Arial" w:cs="Arial"/>
          <w:i/>
          <w:iCs/>
          <w:color w:val="000000"/>
          <w:sz w:val="22"/>
          <w:szCs w:val="22"/>
        </w:rPr>
        <w:t>Nano Lett.</w:t>
      </w:r>
      <w:r w:rsidRPr="007926AE">
        <w:rPr>
          <w:rFonts w:ascii="Arial" w:hAnsi="Arial" w:cs="Arial"/>
          <w:color w:val="000000"/>
          <w:sz w:val="22"/>
          <w:szCs w:val="22"/>
        </w:rPr>
        <w:t xml:space="preserve"> </w:t>
      </w:r>
      <w:r w:rsidRPr="007926AE">
        <w:rPr>
          <w:rFonts w:ascii="Arial" w:hAnsi="Arial" w:cs="Arial"/>
          <w:b/>
          <w:bCs/>
          <w:color w:val="000000"/>
          <w:sz w:val="22"/>
          <w:szCs w:val="22"/>
        </w:rPr>
        <w:t>6</w:t>
      </w:r>
      <w:r w:rsidRPr="007926AE">
        <w:rPr>
          <w:rFonts w:ascii="Arial" w:hAnsi="Arial" w:cs="Arial"/>
          <w:color w:val="000000"/>
          <w:sz w:val="22"/>
          <w:szCs w:val="22"/>
        </w:rPr>
        <w:t>, 96–100 (2006).</w:t>
      </w:r>
    </w:p>
    <w:p w14:paraId="0E35723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263.</w:t>
      </w:r>
      <w:r w:rsidRPr="007926AE">
        <w:rPr>
          <w:rFonts w:ascii="Arial" w:hAnsi="Arial" w:cs="Arial"/>
          <w:color w:val="000000"/>
          <w:sz w:val="22"/>
          <w:szCs w:val="22"/>
        </w:rPr>
        <w:tab/>
        <w:t xml:space="preserve">Koziol, K. K., Janas, D., Brown, E. &amp; Hao, L. Thermal properties of continuously spun carbon nanotube fibres. </w:t>
      </w:r>
      <w:r w:rsidRPr="007926AE">
        <w:rPr>
          <w:rFonts w:ascii="Arial" w:hAnsi="Arial" w:cs="Arial"/>
          <w:i/>
          <w:iCs/>
          <w:color w:val="000000"/>
          <w:sz w:val="22"/>
          <w:szCs w:val="22"/>
        </w:rPr>
        <w:t>Physica E: Low-dimensional Systems and Nanostructures</w:t>
      </w:r>
      <w:r w:rsidRPr="007926AE">
        <w:rPr>
          <w:rFonts w:ascii="Arial" w:hAnsi="Arial" w:cs="Arial"/>
          <w:color w:val="000000"/>
          <w:sz w:val="22"/>
          <w:szCs w:val="22"/>
        </w:rPr>
        <w:t xml:space="preserve"> </w:t>
      </w:r>
      <w:r w:rsidRPr="007926AE">
        <w:rPr>
          <w:rFonts w:ascii="Arial" w:hAnsi="Arial" w:cs="Arial"/>
          <w:b/>
          <w:bCs/>
          <w:color w:val="000000"/>
          <w:sz w:val="22"/>
          <w:szCs w:val="22"/>
        </w:rPr>
        <w:t>88</w:t>
      </w:r>
      <w:r w:rsidRPr="007926AE">
        <w:rPr>
          <w:rFonts w:ascii="Arial" w:hAnsi="Arial" w:cs="Arial"/>
          <w:color w:val="000000"/>
          <w:sz w:val="22"/>
          <w:szCs w:val="22"/>
        </w:rPr>
        <w:t>, 104–108 (2017).</w:t>
      </w:r>
    </w:p>
    <w:p w14:paraId="336ABC16"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264.</w:t>
      </w:r>
      <w:r w:rsidRPr="007926AE">
        <w:rPr>
          <w:rFonts w:ascii="Arial" w:hAnsi="Arial" w:cs="Arial"/>
          <w:color w:val="000000"/>
          <w:sz w:val="22"/>
          <w:szCs w:val="22"/>
        </w:rPr>
        <w:tab/>
        <w:t xml:space="preserve">Hodge, S. A., Bayazit, M. K., Coleman, K. S. &amp; Shaffer, M. S. P. Unweaving the rainbow: a review of the relationship between single-walled carbon nanotube molecular structures and their chemical reactivity. </w:t>
      </w:r>
      <w:r w:rsidRPr="007926AE">
        <w:rPr>
          <w:rFonts w:ascii="Arial" w:hAnsi="Arial" w:cs="Arial"/>
          <w:i/>
          <w:iCs/>
          <w:color w:val="000000"/>
          <w:sz w:val="22"/>
          <w:szCs w:val="22"/>
        </w:rPr>
        <w:t>Chem. Soc. Rev.</w:t>
      </w:r>
      <w:r w:rsidRPr="007926AE">
        <w:rPr>
          <w:rFonts w:ascii="Arial" w:hAnsi="Arial" w:cs="Arial"/>
          <w:color w:val="000000"/>
          <w:sz w:val="22"/>
          <w:szCs w:val="22"/>
        </w:rPr>
        <w:t xml:space="preserve"> </w:t>
      </w:r>
      <w:r w:rsidRPr="007926AE">
        <w:rPr>
          <w:rFonts w:ascii="Arial" w:hAnsi="Arial" w:cs="Arial"/>
          <w:b/>
          <w:bCs/>
          <w:color w:val="000000"/>
          <w:sz w:val="22"/>
          <w:szCs w:val="22"/>
        </w:rPr>
        <w:t>41</w:t>
      </w:r>
      <w:r w:rsidRPr="007926AE">
        <w:rPr>
          <w:rFonts w:ascii="Arial" w:hAnsi="Arial" w:cs="Arial"/>
          <w:color w:val="000000"/>
          <w:sz w:val="22"/>
          <w:szCs w:val="22"/>
        </w:rPr>
        <w:t>, 4409 (2012).</w:t>
      </w:r>
    </w:p>
    <w:p w14:paraId="20BE5C4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265.</w:t>
      </w:r>
      <w:r w:rsidRPr="007926AE">
        <w:rPr>
          <w:rFonts w:ascii="Arial" w:hAnsi="Arial" w:cs="Arial"/>
          <w:color w:val="000000"/>
          <w:sz w:val="22"/>
          <w:szCs w:val="22"/>
        </w:rPr>
        <w:tab/>
        <w:t xml:space="preserve">Dresselhaus, M. S., Dresselhaus, G., Saito, R. &amp; Jorio, A. Raman spectroscopy of carbon nanotubes. </w:t>
      </w:r>
      <w:r w:rsidRPr="007926AE">
        <w:rPr>
          <w:rFonts w:ascii="Arial" w:hAnsi="Arial" w:cs="Arial"/>
          <w:i/>
          <w:iCs/>
          <w:color w:val="000000"/>
          <w:sz w:val="22"/>
          <w:szCs w:val="22"/>
        </w:rPr>
        <w:t>Physics Reports</w:t>
      </w:r>
      <w:r w:rsidRPr="007926AE">
        <w:rPr>
          <w:rFonts w:ascii="Arial" w:hAnsi="Arial" w:cs="Arial"/>
          <w:color w:val="000000"/>
          <w:sz w:val="22"/>
          <w:szCs w:val="22"/>
        </w:rPr>
        <w:t xml:space="preserve"> </w:t>
      </w:r>
      <w:r w:rsidRPr="007926AE">
        <w:rPr>
          <w:rFonts w:ascii="Arial" w:hAnsi="Arial" w:cs="Arial"/>
          <w:b/>
          <w:bCs/>
          <w:color w:val="000000"/>
          <w:sz w:val="22"/>
          <w:szCs w:val="22"/>
        </w:rPr>
        <w:t>409</w:t>
      </w:r>
      <w:r w:rsidRPr="007926AE">
        <w:rPr>
          <w:rFonts w:ascii="Arial" w:hAnsi="Arial" w:cs="Arial"/>
          <w:color w:val="000000"/>
          <w:sz w:val="22"/>
          <w:szCs w:val="22"/>
        </w:rPr>
        <w:t>, 47–99 (2005).</w:t>
      </w:r>
    </w:p>
    <w:p w14:paraId="41E5EF4C"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266.</w:t>
      </w:r>
      <w:r w:rsidRPr="007926AE">
        <w:rPr>
          <w:rFonts w:ascii="Arial" w:hAnsi="Arial" w:cs="Arial"/>
          <w:color w:val="000000"/>
          <w:sz w:val="22"/>
          <w:szCs w:val="22"/>
        </w:rPr>
        <w:tab/>
        <w:t xml:space="preserve">Zhang, W. </w:t>
      </w:r>
      <w:r w:rsidRPr="007926AE">
        <w:rPr>
          <w:rFonts w:ascii="Arial" w:hAnsi="Arial" w:cs="Arial"/>
          <w:i/>
          <w:iCs/>
          <w:color w:val="000000"/>
          <w:sz w:val="22"/>
          <w:szCs w:val="22"/>
        </w:rPr>
        <w:t>et al.</w:t>
      </w:r>
      <w:r w:rsidRPr="007926AE">
        <w:rPr>
          <w:rFonts w:ascii="Arial" w:hAnsi="Arial" w:cs="Arial"/>
          <w:color w:val="000000"/>
          <w:sz w:val="22"/>
          <w:szCs w:val="22"/>
        </w:rPr>
        <w:t xml:space="preserve"> Chirality dependence of the thermal conductivity of carbon nanotubes. </w:t>
      </w:r>
      <w:r w:rsidRPr="007926AE">
        <w:rPr>
          <w:rFonts w:ascii="Arial" w:hAnsi="Arial" w:cs="Arial"/>
          <w:i/>
          <w:iCs/>
          <w:color w:val="000000"/>
          <w:sz w:val="22"/>
          <w:szCs w:val="22"/>
        </w:rPr>
        <w:t>Nanotechnology</w:t>
      </w:r>
      <w:r w:rsidRPr="007926AE">
        <w:rPr>
          <w:rFonts w:ascii="Arial" w:hAnsi="Arial" w:cs="Arial"/>
          <w:color w:val="000000"/>
          <w:sz w:val="22"/>
          <w:szCs w:val="22"/>
        </w:rPr>
        <w:t xml:space="preserve"> </w:t>
      </w:r>
      <w:r w:rsidRPr="007926AE">
        <w:rPr>
          <w:rFonts w:ascii="Arial" w:hAnsi="Arial" w:cs="Arial"/>
          <w:b/>
          <w:bCs/>
          <w:color w:val="000000"/>
          <w:sz w:val="22"/>
          <w:szCs w:val="22"/>
        </w:rPr>
        <w:t>15</w:t>
      </w:r>
      <w:r w:rsidRPr="007926AE">
        <w:rPr>
          <w:rFonts w:ascii="Arial" w:hAnsi="Arial" w:cs="Arial"/>
          <w:color w:val="000000"/>
          <w:sz w:val="22"/>
          <w:szCs w:val="22"/>
        </w:rPr>
        <w:t>, 936–939 (2004).</w:t>
      </w:r>
    </w:p>
    <w:p w14:paraId="2D1A0D9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267.</w:t>
      </w:r>
      <w:r w:rsidRPr="007926AE">
        <w:rPr>
          <w:rFonts w:ascii="Arial" w:hAnsi="Arial" w:cs="Arial"/>
          <w:color w:val="000000"/>
          <w:sz w:val="22"/>
          <w:szCs w:val="22"/>
        </w:rPr>
        <w:tab/>
        <w:t xml:space="preserve">Resasco, D. E. </w:t>
      </w:r>
      <w:r w:rsidRPr="007926AE">
        <w:rPr>
          <w:rFonts w:ascii="Arial" w:hAnsi="Arial" w:cs="Arial"/>
          <w:i/>
          <w:iCs/>
          <w:color w:val="000000"/>
          <w:sz w:val="22"/>
          <w:szCs w:val="22"/>
        </w:rPr>
        <w:t>et al.</w:t>
      </w:r>
      <w:r w:rsidRPr="007926AE">
        <w:rPr>
          <w:rFonts w:ascii="Arial" w:hAnsi="Arial" w:cs="Arial"/>
          <w:color w:val="000000"/>
          <w:sz w:val="22"/>
          <w:szCs w:val="22"/>
        </w:rPr>
        <w:t xml:space="preserve"> A Scalable Process for Production of Single-walled Carbon Nanotubes (SWNTs) by Catalytic Disproportionation of CO on a Solid Catalyst. 6.</w:t>
      </w:r>
    </w:p>
    <w:p w14:paraId="5B88A25D"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268.</w:t>
      </w:r>
      <w:r w:rsidRPr="007926AE">
        <w:rPr>
          <w:rFonts w:ascii="Arial" w:hAnsi="Arial" w:cs="Arial"/>
          <w:color w:val="000000"/>
          <w:sz w:val="22"/>
          <w:szCs w:val="22"/>
        </w:rPr>
        <w:tab/>
        <w:t xml:space="preserve">Bachilo, S. M. </w:t>
      </w:r>
      <w:r w:rsidRPr="007926AE">
        <w:rPr>
          <w:rFonts w:ascii="Arial" w:hAnsi="Arial" w:cs="Arial"/>
          <w:i/>
          <w:iCs/>
          <w:color w:val="000000"/>
          <w:sz w:val="22"/>
          <w:szCs w:val="22"/>
        </w:rPr>
        <w:t>et al.</w:t>
      </w:r>
      <w:r w:rsidRPr="007926AE">
        <w:rPr>
          <w:rFonts w:ascii="Arial" w:hAnsi="Arial" w:cs="Arial"/>
          <w:color w:val="000000"/>
          <w:sz w:val="22"/>
          <w:szCs w:val="22"/>
        </w:rPr>
        <w:t xml:space="preserve"> Narrow (n,m)-Distribution of Single-Walled Carbon Nanotubes Grown Using a Solid Supported Catalyst. </w:t>
      </w:r>
      <w:r w:rsidRPr="007926AE">
        <w:rPr>
          <w:rFonts w:ascii="Arial" w:hAnsi="Arial" w:cs="Arial"/>
          <w:i/>
          <w:iCs/>
          <w:color w:val="000000"/>
          <w:sz w:val="22"/>
          <w:szCs w:val="22"/>
        </w:rPr>
        <w:t>J. Am. Chem. Soc.</w:t>
      </w:r>
      <w:r w:rsidRPr="007926AE">
        <w:rPr>
          <w:rFonts w:ascii="Arial" w:hAnsi="Arial" w:cs="Arial"/>
          <w:color w:val="000000"/>
          <w:sz w:val="22"/>
          <w:szCs w:val="22"/>
        </w:rPr>
        <w:t xml:space="preserve"> </w:t>
      </w:r>
      <w:r w:rsidRPr="007926AE">
        <w:rPr>
          <w:rFonts w:ascii="Arial" w:hAnsi="Arial" w:cs="Arial"/>
          <w:b/>
          <w:bCs/>
          <w:color w:val="000000"/>
          <w:sz w:val="22"/>
          <w:szCs w:val="22"/>
        </w:rPr>
        <w:t>125</w:t>
      </w:r>
      <w:r w:rsidRPr="007926AE">
        <w:rPr>
          <w:rFonts w:ascii="Arial" w:hAnsi="Arial" w:cs="Arial"/>
          <w:color w:val="000000"/>
          <w:sz w:val="22"/>
          <w:szCs w:val="22"/>
        </w:rPr>
        <w:t>, 11186–11187 (2003).</w:t>
      </w:r>
    </w:p>
    <w:p w14:paraId="23C9A65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269.</w:t>
      </w:r>
      <w:r w:rsidRPr="007926AE">
        <w:rPr>
          <w:rFonts w:ascii="Arial" w:hAnsi="Arial" w:cs="Arial"/>
          <w:color w:val="000000"/>
          <w:sz w:val="22"/>
          <w:szCs w:val="22"/>
        </w:rPr>
        <w:tab/>
        <w:t xml:space="preserve">Lolli, G. </w:t>
      </w:r>
      <w:r w:rsidRPr="007926AE">
        <w:rPr>
          <w:rFonts w:ascii="Arial" w:hAnsi="Arial" w:cs="Arial"/>
          <w:i/>
          <w:iCs/>
          <w:color w:val="000000"/>
          <w:sz w:val="22"/>
          <w:szCs w:val="22"/>
        </w:rPr>
        <w:t>et al.</w:t>
      </w:r>
      <w:r w:rsidRPr="007926AE">
        <w:rPr>
          <w:rFonts w:ascii="Arial" w:hAnsi="Arial" w:cs="Arial"/>
          <w:color w:val="000000"/>
          <w:sz w:val="22"/>
          <w:szCs w:val="22"/>
        </w:rPr>
        <w:t xml:space="preserve"> Tailoring ( </w:t>
      </w:r>
      <w:r w:rsidRPr="007926AE">
        <w:rPr>
          <w:rFonts w:ascii="Arial" w:hAnsi="Arial" w:cs="Arial"/>
          <w:i/>
          <w:iCs/>
          <w:color w:val="000000"/>
          <w:sz w:val="22"/>
          <w:szCs w:val="22"/>
        </w:rPr>
        <w:t>n</w:t>
      </w:r>
      <w:r w:rsidRPr="007926AE">
        <w:rPr>
          <w:rFonts w:ascii="Arial" w:hAnsi="Arial" w:cs="Arial"/>
          <w:color w:val="000000"/>
          <w:sz w:val="22"/>
          <w:szCs w:val="22"/>
        </w:rPr>
        <w:t xml:space="preserve"> , </w:t>
      </w:r>
      <w:r w:rsidRPr="007926AE">
        <w:rPr>
          <w:rFonts w:ascii="Arial" w:hAnsi="Arial" w:cs="Arial"/>
          <w:i/>
          <w:iCs/>
          <w:color w:val="000000"/>
          <w:sz w:val="22"/>
          <w:szCs w:val="22"/>
        </w:rPr>
        <w:t>m</w:t>
      </w:r>
      <w:r w:rsidRPr="007926AE">
        <w:rPr>
          <w:rFonts w:ascii="Arial" w:hAnsi="Arial" w:cs="Arial"/>
          <w:color w:val="000000"/>
          <w:sz w:val="22"/>
          <w:szCs w:val="22"/>
        </w:rPr>
        <w:t xml:space="preserve"> ) Structure of Single-Walled Carbon Nanotubes by Modifying Reaction Conditions and the Nature of the Support of CoMo Catalysts. </w:t>
      </w:r>
      <w:r w:rsidRPr="007926AE">
        <w:rPr>
          <w:rFonts w:ascii="Arial" w:hAnsi="Arial" w:cs="Arial"/>
          <w:i/>
          <w:iCs/>
          <w:color w:val="000000"/>
          <w:sz w:val="22"/>
          <w:szCs w:val="22"/>
        </w:rPr>
        <w:t>J. Phys. Chem. B</w:t>
      </w:r>
      <w:r w:rsidRPr="007926AE">
        <w:rPr>
          <w:rFonts w:ascii="Arial" w:hAnsi="Arial" w:cs="Arial"/>
          <w:color w:val="000000"/>
          <w:sz w:val="22"/>
          <w:szCs w:val="22"/>
        </w:rPr>
        <w:t xml:space="preserve"> </w:t>
      </w:r>
      <w:r w:rsidRPr="007926AE">
        <w:rPr>
          <w:rFonts w:ascii="Arial" w:hAnsi="Arial" w:cs="Arial"/>
          <w:b/>
          <w:bCs/>
          <w:color w:val="000000"/>
          <w:sz w:val="22"/>
          <w:szCs w:val="22"/>
        </w:rPr>
        <w:t>110</w:t>
      </w:r>
      <w:r w:rsidRPr="007926AE">
        <w:rPr>
          <w:rFonts w:ascii="Arial" w:hAnsi="Arial" w:cs="Arial"/>
          <w:color w:val="000000"/>
          <w:sz w:val="22"/>
          <w:szCs w:val="22"/>
        </w:rPr>
        <w:t>, 2108–2115 (2006).</w:t>
      </w:r>
    </w:p>
    <w:p w14:paraId="09FE7E25"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270.</w:t>
      </w:r>
      <w:r w:rsidRPr="007926AE">
        <w:rPr>
          <w:rFonts w:ascii="Arial" w:hAnsi="Arial" w:cs="Arial"/>
          <w:color w:val="000000"/>
          <w:sz w:val="22"/>
          <w:szCs w:val="22"/>
        </w:rPr>
        <w:tab/>
        <w:t xml:space="preserve">Komatsu, N. &amp; Wang, F. A Comprehensive Review on Separation Methods and Techniques for Single-Walled Carbon Nanotubes. </w:t>
      </w:r>
      <w:r w:rsidRPr="007926AE">
        <w:rPr>
          <w:rFonts w:ascii="Arial" w:hAnsi="Arial" w:cs="Arial"/>
          <w:i/>
          <w:iCs/>
          <w:color w:val="000000"/>
          <w:sz w:val="22"/>
          <w:szCs w:val="22"/>
        </w:rPr>
        <w:t>Materials</w:t>
      </w:r>
      <w:r w:rsidRPr="007926AE">
        <w:rPr>
          <w:rFonts w:ascii="Arial" w:hAnsi="Arial" w:cs="Arial"/>
          <w:color w:val="000000"/>
          <w:sz w:val="22"/>
          <w:szCs w:val="22"/>
        </w:rPr>
        <w:t xml:space="preserve"> </w:t>
      </w:r>
      <w:r w:rsidRPr="007926AE">
        <w:rPr>
          <w:rFonts w:ascii="Arial" w:hAnsi="Arial" w:cs="Arial"/>
          <w:b/>
          <w:bCs/>
          <w:color w:val="000000"/>
          <w:sz w:val="22"/>
          <w:szCs w:val="22"/>
        </w:rPr>
        <w:t>3</w:t>
      </w:r>
      <w:r w:rsidRPr="007926AE">
        <w:rPr>
          <w:rFonts w:ascii="Arial" w:hAnsi="Arial" w:cs="Arial"/>
          <w:color w:val="000000"/>
          <w:sz w:val="22"/>
          <w:szCs w:val="22"/>
        </w:rPr>
        <w:t>, 3818–3844 (2010).</w:t>
      </w:r>
    </w:p>
    <w:p w14:paraId="033A099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271.</w:t>
      </w:r>
      <w:r w:rsidRPr="007926AE">
        <w:rPr>
          <w:rFonts w:ascii="Arial" w:hAnsi="Arial" w:cs="Arial"/>
          <w:color w:val="000000"/>
          <w:sz w:val="22"/>
          <w:szCs w:val="22"/>
        </w:rPr>
        <w:tab/>
        <w:t xml:space="preserve">Janas, D. Towards monochiral carbon nanotubes: a review of progress in the sorting of single-walled carbon nanotubes. </w:t>
      </w:r>
      <w:r w:rsidRPr="007926AE">
        <w:rPr>
          <w:rFonts w:ascii="Arial" w:hAnsi="Arial" w:cs="Arial"/>
          <w:i/>
          <w:iCs/>
          <w:color w:val="000000"/>
          <w:sz w:val="22"/>
          <w:szCs w:val="22"/>
        </w:rPr>
        <w:t>Mater. Chem. Front.</w:t>
      </w:r>
      <w:r w:rsidRPr="007926AE">
        <w:rPr>
          <w:rFonts w:ascii="Arial" w:hAnsi="Arial" w:cs="Arial"/>
          <w:color w:val="000000"/>
          <w:sz w:val="22"/>
          <w:szCs w:val="22"/>
        </w:rPr>
        <w:t xml:space="preserve"> </w:t>
      </w:r>
      <w:r w:rsidRPr="007926AE">
        <w:rPr>
          <w:rFonts w:ascii="Arial" w:hAnsi="Arial" w:cs="Arial"/>
          <w:b/>
          <w:bCs/>
          <w:color w:val="000000"/>
          <w:sz w:val="22"/>
          <w:szCs w:val="22"/>
        </w:rPr>
        <w:t>2</w:t>
      </w:r>
      <w:r w:rsidRPr="007926AE">
        <w:rPr>
          <w:rFonts w:ascii="Arial" w:hAnsi="Arial" w:cs="Arial"/>
          <w:color w:val="000000"/>
          <w:sz w:val="22"/>
          <w:szCs w:val="22"/>
        </w:rPr>
        <w:t>, 36–63 (2018).</w:t>
      </w:r>
    </w:p>
    <w:p w14:paraId="648DB506"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272.</w:t>
      </w:r>
      <w:r w:rsidRPr="007926AE">
        <w:rPr>
          <w:rFonts w:ascii="Arial" w:hAnsi="Arial" w:cs="Arial"/>
          <w:color w:val="000000"/>
          <w:sz w:val="22"/>
          <w:szCs w:val="22"/>
        </w:rPr>
        <w:tab/>
        <w:t xml:space="preserve">Agboola, A. E., Pike, R. W., Hertwig, T. A. &amp; Lou, H. H. Conceptual design of carbon nanotube processes. </w:t>
      </w:r>
      <w:r w:rsidRPr="007926AE">
        <w:rPr>
          <w:rFonts w:ascii="Arial" w:hAnsi="Arial" w:cs="Arial"/>
          <w:i/>
          <w:iCs/>
          <w:color w:val="000000"/>
          <w:sz w:val="22"/>
          <w:szCs w:val="22"/>
        </w:rPr>
        <w:t>Clean Techn Environ Policy</w:t>
      </w:r>
      <w:r w:rsidRPr="007926AE">
        <w:rPr>
          <w:rFonts w:ascii="Arial" w:hAnsi="Arial" w:cs="Arial"/>
          <w:color w:val="000000"/>
          <w:sz w:val="22"/>
          <w:szCs w:val="22"/>
        </w:rPr>
        <w:t xml:space="preserve"> </w:t>
      </w:r>
      <w:r w:rsidRPr="007926AE">
        <w:rPr>
          <w:rFonts w:ascii="Arial" w:hAnsi="Arial" w:cs="Arial"/>
          <w:b/>
          <w:bCs/>
          <w:color w:val="000000"/>
          <w:sz w:val="22"/>
          <w:szCs w:val="22"/>
        </w:rPr>
        <w:t>9</w:t>
      </w:r>
      <w:r w:rsidRPr="007926AE">
        <w:rPr>
          <w:rFonts w:ascii="Arial" w:hAnsi="Arial" w:cs="Arial"/>
          <w:color w:val="000000"/>
          <w:sz w:val="22"/>
          <w:szCs w:val="22"/>
        </w:rPr>
        <w:t>, 289–311 (2007).</w:t>
      </w:r>
    </w:p>
    <w:p w14:paraId="2B668D9C"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273.</w:t>
      </w:r>
      <w:r w:rsidRPr="007926AE">
        <w:rPr>
          <w:rFonts w:ascii="Arial" w:hAnsi="Arial" w:cs="Arial"/>
          <w:color w:val="000000"/>
          <w:sz w:val="22"/>
          <w:szCs w:val="22"/>
        </w:rPr>
        <w:tab/>
        <w:t xml:space="preserve">Rafique, M. M. A. &amp; Iqbal, J. Production of Carbon Nanotubes by Different Routes-A Review. </w:t>
      </w:r>
      <w:r w:rsidRPr="007926AE">
        <w:rPr>
          <w:rFonts w:ascii="Arial" w:hAnsi="Arial" w:cs="Arial"/>
          <w:i/>
          <w:iCs/>
          <w:color w:val="000000"/>
          <w:sz w:val="22"/>
          <w:szCs w:val="22"/>
        </w:rPr>
        <w:t>JEAS</w:t>
      </w:r>
      <w:r w:rsidRPr="007926AE">
        <w:rPr>
          <w:rFonts w:ascii="Arial" w:hAnsi="Arial" w:cs="Arial"/>
          <w:color w:val="000000"/>
          <w:sz w:val="22"/>
          <w:szCs w:val="22"/>
        </w:rPr>
        <w:t xml:space="preserve"> </w:t>
      </w:r>
      <w:r w:rsidRPr="007926AE">
        <w:rPr>
          <w:rFonts w:ascii="Arial" w:hAnsi="Arial" w:cs="Arial"/>
          <w:b/>
          <w:bCs/>
          <w:color w:val="000000"/>
          <w:sz w:val="22"/>
          <w:szCs w:val="22"/>
        </w:rPr>
        <w:t>01</w:t>
      </w:r>
      <w:r w:rsidRPr="007926AE">
        <w:rPr>
          <w:rFonts w:ascii="Arial" w:hAnsi="Arial" w:cs="Arial"/>
          <w:color w:val="000000"/>
          <w:sz w:val="22"/>
          <w:szCs w:val="22"/>
        </w:rPr>
        <w:t>, 29–34 (2011).</w:t>
      </w:r>
    </w:p>
    <w:p w14:paraId="18536FC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274.</w:t>
      </w:r>
      <w:r w:rsidRPr="007926AE">
        <w:rPr>
          <w:rFonts w:ascii="Arial" w:hAnsi="Arial" w:cs="Arial"/>
          <w:color w:val="000000"/>
          <w:sz w:val="22"/>
          <w:szCs w:val="22"/>
        </w:rPr>
        <w:tab/>
        <w:t xml:space="preserve">Resasco, D. E. </w:t>
      </w:r>
      <w:r w:rsidRPr="007926AE">
        <w:rPr>
          <w:rFonts w:ascii="Arial" w:hAnsi="Arial" w:cs="Arial"/>
          <w:i/>
          <w:iCs/>
          <w:color w:val="000000"/>
          <w:sz w:val="22"/>
          <w:szCs w:val="22"/>
        </w:rPr>
        <w:t>et al.</w:t>
      </w:r>
      <w:r w:rsidRPr="007926AE">
        <w:rPr>
          <w:rFonts w:ascii="Arial" w:hAnsi="Arial" w:cs="Arial"/>
          <w:color w:val="000000"/>
          <w:sz w:val="22"/>
          <w:szCs w:val="22"/>
        </w:rPr>
        <w:t xml:space="preserve"> A Scalable Process for Production of Single-walled Carbon Nanotubes (SWNTs) by Catalytic Disproportionation of CO on a Solid Catalyst. </w:t>
      </w:r>
      <w:r w:rsidRPr="007926AE">
        <w:rPr>
          <w:rFonts w:ascii="Arial" w:hAnsi="Arial" w:cs="Arial"/>
          <w:i/>
          <w:iCs/>
          <w:color w:val="000000"/>
          <w:sz w:val="22"/>
          <w:szCs w:val="22"/>
        </w:rPr>
        <w:t>Journal of Nanoparticle Research</w:t>
      </w:r>
      <w:r w:rsidRPr="007926AE">
        <w:rPr>
          <w:rFonts w:ascii="Arial" w:hAnsi="Arial" w:cs="Arial"/>
          <w:color w:val="000000"/>
          <w:sz w:val="22"/>
          <w:szCs w:val="22"/>
        </w:rPr>
        <w:t xml:space="preserve"> </w:t>
      </w:r>
      <w:r w:rsidRPr="007926AE">
        <w:rPr>
          <w:rFonts w:ascii="Arial" w:hAnsi="Arial" w:cs="Arial"/>
          <w:b/>
          <w:bCs/>
          <w:color w:val="000000"/>
          <w:sz w:val="22"/>
          <w:szCs w:val="22"/>
        </w:rPr>
        <w:t>4</w:t>
      </w:r>
      <w:r w:rsidRPr="007926AE">
        <w:rPr>
          <w:rFonts w:ascii="Arial" w:hAnsi="Arial" w:cs="Arial"/>
          <w:color w:val="000000"/>
          <w:sz w:val="22"/>
          <w:szCs w:val="22"/>
        </w:rPr>
        <w:t>, 131–136 (2002).</w:t>
      </w:r>
    </w:p>
    <w:p w14:paraId="53F380B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275.</w:t>
      </w:r>
      <w:r w:rsidRPr="007926AE">
        <w:rPr>
          <w:rFonts w:ascii="Arial" w:hAnsi="Arial" w:cs="Arial"/>
          <w:color w:val="000000"/>
          <w:sz w:val="22"/>
          <w:szCs w:val="22"/>
        </w:rPr>
        <w:tab/>
        <w:t xml:space="preserve">Kwon, I. K., Lee, S. C., Han, B. &amp; Park, K. Analysis on the current status of targeted drug delivery to tumors. </w:t>
      </w:r>
      <w:r w:rsidRPr="007926AE">
        <w:rPr>
          <w:rFonts w:ascii="Arial" w:hAnsi="Arial" w:cs="Arial"/>
          <w:i/>
          <w:iCs/>
          <w:color w:val="000000"/>
          <w:sz w:val="22"/>
          <w:szCs w:val="22"/>
        </w:rPr>
        <w:t>Journal of Controlled Release</w:t>
      </w:r>
      <w:r w:rsidRPr="007926AE">
        <w:rPr>
          <w:rFonts w:ascii="Arial" w:hAnsi="Arial" w:cs="Arial"/>
          <w:color w:val="000000"/>
          <w:sz w:val="22"/>
          <w:szCs w:val="22"/>
        </w:rPr>
        <w:t xml:space="preserve"> </w:t>
      </w:r>
      <w:r w:rsidRPr="007926AE">
        <w:rPr>
          <w:rFonts w:ascii="Arial" w:hAnsi="Arial" w:cs="Arial"/>
          <w:b/>
          <w:bCs/>
          <w:color w:val="000000"/>
          <w:sz w:val="22"/>
          <w:szCs w:val="22"/>
        </w:rPr>
        <w:t>164</w:t>
      </w:r>
      <w:r w:rsidRPr="007926AE">
        <w:rPr>
          <w:rFonts w:ascii="Arial" w:hAnsi="Arial" w:cs="Arial"/>
          <w:color w:val="000000"/>
          <w:sz w:val="22"/>
          <w:szCs w:val="22"/>
        </w:rPr>
        <w:t>, 108–114 (2012).</w:t>
      </w:r>
    </w:p>
    <w:p w14:paraId="3F9E473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276.</w:t>
      </w:r>
      <w:r w:rsidRPr="007926AE">
        <w:rPr>
          <w:rFonts w:ascii="Arial" w:hAnsi="Arial" w:cs="Arial"/>
          <w:color w:val="000000"/>
          <w:sz w:val="22"/>
          <w:szCs w:val="22"/>
        </w:rPr>
        <w:tab/>
        <w:t xml:space="preserve">Abolmaali, S. S., Tamaddon, A. M. &amp; Dinarvand, R. A review of therapeutic challenges and achievements of methotrexate delivery systems for treatment of cancer and rheumatoid arthritis. </w:t>
      </w:r>
      <w:r w:rsidRPr="007926AE">
        <w:rPr>
          <w:rFonts w:ascii="Arial" w:hAnsi="Arial" w:cs="Arial"/>
          <w:i/>
          <w:iCs/>
          <w:color w:val="000000"/>
          <w:sz w:val="22"/>
          <w:szCs w:val="22"/>
        </w:rPr>
        <w:t>Cancer Chemother Pharmacol</w:t>
      </w:r>
      <w:r w:rsidRPr="007926AE">
        <w:rPr>
          <w:rFonts w:ascii="Arial" w:hAnsi="Arial" w:cs="Arial"/>
          <w:color w:val="000000"/>
          <w:sz w:val="22"/>
          <w:szCs w:val="22"/>
        </w:rPr>
        <w:t xml:space="preserve"> </w:t>
      </w:r>
      <w:r w:rsidRPr="007926AE">
        <w:rPr>
          <w:rFonts w:ascii="Arial" w:hAnsi="Arial" w:cs="Arial"/>
          <w:b/>
          <w:bCs/>
          <w:color w:val="000000"/>
          <w:sz w:val="22"/>
          <w:szCs w:val="22"/>
        </w:rPr>
        <w:t>71</w:t>
      </w:r>
      <w:r w:rsidRPr="007926AE">
        <w:rPr>
          <w:rFonts w:ascii="Arial" w:hAnsi="Arial" w:cs="Arial"/>
          <w:color w:val="000000"/>
          <w:sz w:val="22"/>
          <w:szCs w:val="22"/>
        </w:rPr>
        <w:t>, 1115–1130 (2013).</w:t>
      </w:r>
    </w:p>
    <w:p w14:paraId="361E2B05"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277.</w:t>
      </w:r>
      <w:r w:rsidRPr="007926AE">
        <w:rPr>
          <w:rFonts w:ascii="Arial" w:hAnsi="Arial" w:cs="Arial"/>
          <w:color w:val="000000"/>
          <w:sz w:val="22"/>
          <w:szCs w:val="22"/>
        </w:rPr>
        <w:tab/>
        <w:t xml:space="preserve">Lopus, M. </w:t>
      </w:r>
      <w:r w:rsidRPr="007926AE">
        <w:rPr>
          <w:rFonts w:ascii="Arial" w:hAnsi="Arial" w:cs="Arial"/>
          <w:i/>
          <w:iCs/>
          <w:color w:val="000000"/>
          <w:sz w:val="22"/>
          <w:szCs w:val="22"/>
        </w:rPr>
        <w:t>et al.</w:t>
      </w:r>
      <w:r w:rsidRPr="007926AE">
        <w:rPr>
          <w:rFonts w:ascii="Arial" w:hAnsi="Arial" w:cs="Arial"/>
          <w:color w:val="000000"/>
          <w:sz w:val="22"/>
          <w:szCs w:val="22"/>
        </w:rPr>
        <w:t xml:space="preserve"> Maytansine and Cellular Metabolites of Antibody-Maytansinoid Conjugates Strongly Suppress Microtubule Dynamics by Binding to Microtubules. </w:t>
      </w:r>
      <w:r w:rsidRPr="007926AE">
        <w:rPr>
          <w:rFonts w:ascii="Arial" w:hAnsi="Arial" w:cs="Arial"/>
          <w:i/>
          <w:iCs/>
          <w:color w:val="000000"/>
          <w:sz w:val="22"/>
          <w:szCs w:val="22"/>
        </w:rPr>
        <w:t>Molecular Cancer Therapeutics</w:t>
      </w:r>
      <w:r w:rsidRPr="007926AE">
        <w:rPr>
          <w:rFonts w:ascii="Arial" w:hAnsi="Arial" w:cs="Arial"/>
          <w:color w:val="000000"/>
          <w:sz w:val="22"/>
          <w:szCs w:val="22"/>
        </w:rPr>
        <w:t xml:space="preserve"> </w:t>
      </w:r>
      <w:r w:rsidRPr="007926AE">
        <w:rPr>
          <w:rFonts w:ascii="Arial" w:hAnsi="Arial" w:cs="Arial"/>
          <w:b/>
          <w:bCs/>
          <w:color w:val="000000"/>
          <w:sz w:val="22"/>
          <w:szCs w:val="22"/>
        </w:rPr>
        <w:t>9</w:t>
      </w:r>
      <w:r w:rsidRPr="007926AE">
        <w:rPr>
          <w:rFonts w:ascii="Arial" w:hAnsi="Arial" w:cs="Arial"/>
          <w:color w:val="000000"/>
          <w:sz w:val="22"/>
          <w:szCs w:val="22"/>
        </w:rPr>
        <w:t>, 2689–2699 (2010).</w:t>
      </w:r>
    </w:p>
    <w:p w14:paraId="3E65413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278.</w:t>
      </w:r>
      <w:r w:rsidRPr="007926AE">
        <w:rPr>
          <w:rFonts w:ascii="Arial" w:hAnsi="Arial" w:cs="Arial"/>
          <w:color w:val="000000"/>
          <w:sz w:val="22"/>
          <w:szCs w:val="22"/>
        </w:rPr>
        <w:tab/>
        <w:t xml:space="preserve">Prota, A. E. </w:t>
      </w:r>
      <w:r w:rsidRPr="007926AE">
        <w:rPr>
          <w:rFonts w:ascii="Arial" w:hAnsi="Arial" w:cs="Arial"/>
          <w:i/>
          <w:iCs/>
          <w:color w:val="000000"/>
          <w:sz w:val="22"/>
          <w:szCs w:val="22"/>
        </w:rPr>
        <w:t>et al.</w:t>
      </w:r>
      <w:r w:rsidRPr="007926AE">
        <w:rPr>
          <w:rFonts w:ascii="Arial" w:hAnsi="Arial" w:cs="Arial"/>
          <w:color w:val="000000"/>
          <w:sz w:val="22"/>
          <w:szCs w:val="22"/>
        </w:rPr>
        <w:t xml:space="preserve"> A new tubulin-binding site and pharmacophore for microtubule-destabilizing anticancer drugs. </w:t>
      </w:r>
      <w:r w:rsidRPr="007926AE">
        <w:rPr>
          <w:rFonts w:ascii="Arial" w:hAnsi="Arial" w:cs="Arial"/>
          <w:i/>
          <w:iCs/>
          <w:color w:val="000000"/>
          <w:sz w:val="22"/>
          <w:szCs w:val="22"/>
        </w:rPr>
        <w:t>Proc. Natl. Acad. Sci. U.S.A.</w:t>
      </w:r>
      <w:r w:rsidRPr="007926AE">
        <w:rPr>
          <w:rFonts w:ascii="Arial" w:hAnsi="Arial" w:cs="Arial"/>
          <w:color w:val="000000"/>
          <w:sz w:val="22"/>
          <w:szCs w:val="22"/>
        </w:rPr>
        <w:t xml:space="preserve"> </w:t>
      </w:r>
      <w:r w:rsidRPr="007926AE">
        <w:rPr>
          <w:rFonts w:ascii="Arial" w:hAnsi="Arial" w:cs="Arial"/>
          <w:b/>
          <w:bCs/>
          <w:color w:val="000000"/>
          <w:sz w:val="22"/>
          <w:szCs w:val="22"/>
        </w:rPr>
        <w:t>111</w:t>
      </w:r>
      <w:r w:rsidRPr="007926AE">
        <w:rPr>
          <w:rFonts w:ascii="Arial" w:hAnsi="Arial" w:cs="Arial"/>
          <w:color w:val="000000"/>
          <w:sz w:val="22"/>
          <w:szCs w:val="22"/>
        </w:rPr>
        <w:t>, 13817–13821 (2014).</w:t>
      </w:r>
    </w:p>
    <w:p w14:paraId="4D8307F6"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279.</w:t>
      </w:r>
      <w:r w:rsidRPr="007926AE">
        <w:rPr>
          <w:rFonts w:ascii="Arial" w:hAnsi="Arial" w:cs="Arial"/>
          <w:color w:val="000000"/>
          <w:sz w:val="22"/>
          <w:szCs w:val="22"/>
        </w:rPr>
        <w:tab/>
        <w:t xml:space="preserve">Rosenthal, S., Harris, D. T., Horton, J. &amp; Glick, J. H. Phase II study of maytansine in patients with advanced lymphomas: an Eastern Cooperative Oncology Group pilot study. </w:t>
      </w:r>
      <w:r w:rsidRPr="007926AE">
        <w:rPr>
          <w:rFonts w:ascii="Arial" w:hAnsi="Arial" w:cs="Arial"/>
          <w:i/>
          <w:iCs/>
          <w:color w:val="000000"/>
          <w:sz w:val="22"/>
          <w:szCs w:val="22"/>
        </w:rPr>
        <w:t>Cancer Treat Rep</w:t>
      </w:r>
      <w:r w:rsidRPr="007926AE">
        <w:rPr>
          <w:rFonts w:ascii="Arial" w:hAnsi="Arial" w:cs="Arial"/>
          <w:color w:val="000000"/>
          <w:sz w:val="22"/>
          <w:szCs w:val="22"/>
        </w:rPr>
        <w:t xml:space="preserve"> </w:t>
      </w:r>
      <w:r w:rsidRPr="007926AE">
        <w:rPr>
          <w:rFonts w:ascii="Arial" w:hAnsi="Arial" w:cs="Arial"/>
          <w:b/>
          <w:bCs/>
          <w:color w:val="000000"/>
          <w:sz w:val="22"/>
          <w:szCs w:val="22"/>
        </w:rPr>
        <w:t>64</w:t>
      </w:r>
      <w:r w:rsidRPr="007926AE">
        <w:rPr>
          <w:rFonts w:ascii="Arial" w:hAnsi="Arial" w:cs="Arial"/>
          <w:color w:val="000000"/>
          <w:sz w:val="22"/>
          <w:szCs w:val="22"/>
        </w:rPr>
        <w:t>, 1115–1117 (1980).</w:t>
      </w:r>
    </w:p>
    <w:p w14:paraId="36D53851"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280.</w:t>
      </w:r>
      <w:r w:rsidRPr="007926AE">
        <w:rPr>
          <w:rFonts w:ascii="Arial" w:hAnsi="Arial" w:cs="Arial"/>
          <w:color w:val="000000"/>
          <w:sz w:val="22"/>
          <w:szCs w:val="22"/>
        </w:rPr>
        <w:tab/>
        <w:t xml:space="preserve">Franklin, R. </w:t>
      </w:r>
      <w:r w:rsidRPr="007926AE">
        <w:rPr>
          <w:rFonts w:ascii="Arial" w:hAnsi="Arial" w:cs="Arial"/>
          <w:i/>
          <w:iCs/>
          <w:color w:val="000000"/>
          <w:sz w:val="22"/>
          <w:szCs w:val="22"/>
        </w:rPr>
        <w:t>et al.</w:t>
      </w:r>
      <w:r w:rsidRPr="007926AE">
        <w:rPr>
          <w:rFonts w:ascii="Arial" w:hAnsi="Arial" w:cs="Arial"/>
          <w:color w:val="000000"/>
          <w:sz w:val="22"/>
          <w:szCs w:val="22"/>
        </w:rPr>
        <w:t xml:space="preserve"> A phase I-II study of maytansine utilizing a weekly schedule. </w:t>
      </w:r>
      <w:r w:rsidRPr="007926AE">
        <w:rPr>
          <w:rFonts w:ascii="Arial" w:hAnsi="Arial" w:cs="Arial"/>
          <w:i/>
          <w:iCs/>
          <w:color w:val="000000"/>
          <w:sz w:val="22"/>
          <w:szCs w:val="22"/>
        </w:rPr>
        <w:t>Cancer</w:t>
      </w:r>
      <w:r w:rsidRPr="007926AE">
        <w:rPr>
          <w:rFonts w:ascii="Arial" w:hAnsi="Arial" w:cs="Arial"/>
          <w:color w:val="000000"/>
          <w:sz w:val="22"/>
          <w:szCs w:val="22"/>
        </w:rPr>
        <w:t xml:space="preserve"> </w:t>
      </w:r>
      <w:r w:rsidRPr="007926AE">
        <w:rPr>
          <w:rFonts w:ascii="Arial" w:hAnsi="Arial" w:cs="Arial"/>
          <w:b/>
          <w:bCs/>
          <w:color w:val="000000"/>
          <w:sz w:val="22"/>
          <w:szCs w:val="22"/>
        </w:rPr>
        <w:t>46</w:t>
      </w:r>
      <w:r w:rsidRPr="007926AE">
        <w:rPr>
          <w:rFonts w:ascii="Arial" w:hAnsi="Arial" w:cs="Arial"/>
          <w:color w:val="000000"/>
          <w:sz w:val="22"/>
          <w:szCs w:val="22"/>
        </w:rPr>
        <w:t>, 1104–1108 (1980).</w:t>
      </w:r>
    </w:p>
    <w:p w14:paraId="2CDE4E00"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281.</w:t>
      </w:r>
      <w:r w:rsidRPr="007926AE">
        <w:rPr>
          <w:rFonts w:ascii="Arial" w:hAnsi="Arial" w:cs="Arial"/>
          <w:color w:val="000000"/>
          <w:sz w:val="22"/>
          <w:szCs w:val="22"/>
        </w:rPr>
        <w:tab/>
        <w:t xml:space="preserve">Virani, N. A. </w:t>
      </w:r>
      <w:r w:rsidRPr="007926AE">
        <w:rPr>
          <w:rFonts w:ascii="Arial" w:hAnsi="Arial" w:cs="Arial"/>
          <w:i/>
          <w:iCs/>
          <w:color w:val="000000"/>
          <w:sz w:val="22"/>
          <w:szCs w:val="22"/>
        </w:rPr>
        <w:t>et al.</w:t>
      </w:r>
      <w:r w:rsidRPr="007926AE">
        <w:rPr>
          <w:rFonts w:ascii="Arial" w:hAnsi="Arial" w:cs="Arial"/>
          <w:color w:val="000000"/>
          <w:sz w:val="22"/>
          <w:szCs w:val="22"/>
        </w:rPr>
        <w:t xml:space="preserve"> Enhanced computed tomography imaging of breast cancer via phosphatidylserine targeted gold nanoparticles. </w:t>
      </w:r>
      <w:r w:rsidRPr="007926AE">
        <w:rPr>
          <w:rFonts w:ascii="Arial" w:hAnsi="Arial" w:cs="Arial"/>
          <w:i/>
          <w:iCs/>
          <w:color w:val="000000"/>
          <w:sz w:val="22"/>
          <w:szCs w:val="22"/>
        </w:rPr>
        <w:t>Biomed. Phys. Eng. Express</w:t>
      </w:r>
      <w:r w:rsidRPr="007926AE">
        <w:rPr>
          <w:rFonts w:ascii="Arial" w:hAnsi="Arial" w:cs="Arial"/>
          <w:color w:val="000000"/>
          <w:sz w:val="22"/>
          <w:szCs w:val="22"/>
        </w:rPr>
        <w:t xml:space="preserve"> </w:t>
      </w:r>
      <w:r w:rsidRPr="007926AE">
        <w:rPr>
          <w:rFonts w:ascii="Arial" w:hAnsi="Arial" w:cs="Arial"/>
          <w:b/>
          <w:bCs/>
          <w:color w:val="000000"/>
          <w:sz w:val="22"/>
          <w:szCs w:val="22"/>
        </w:rPr>
        <w:t>5</w:t>
      </w:r>
      <w:r w:rsidRPr="007926AE">
        <w:rPr>
          <w:rFonts w:ascii="Arial" w:hAnsi="Arial" w:cs="Arial"/>
          <w:color w:val="000000"/>
          <w:sz w:val="22"/>
          <w:szCs w:val="22"/>
        </w:rPr>
        <w:t>, 065019 (2019).</w:t>
      </w:r>
    </w:p>
    <w:p w14:paraId="67630FEB"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282.</w:t>
      </w:r>
      <w:r w:rsidRPr="007926AE">
        <w:rPr>
          <w:rFonts w:ascii="Arial" w:hAnsi="Arial" w:cs="Arial"/>
          <w:color w:val="000000"/>
          <w:sz w:val="22"/>
          <w:szCs w:val="22"/>
        </w:rPr>
        <w:tab/>
        <w:t xml:space="preserve">Neves, L. F. F. </w:t>
      </w:r>
      <w:r w:rsidRPr="007926AE">
        <w:rPr>
          <w:rFonts w:ascii="Arial" w:hAnsi="Arial" w:cs="Arial"/>
          <w:i/>
          <w:iCs/>
          <w:color w:val="000000"/>
          <w:sz w:val="22"/>
          <w:szCs w:val="22"/>
        </w:rPr>
        <w:t>et al.</w:t>
      </w:r>
      <w:r w:rsidRPr="007926AE">
        <w:rPr>
          <w:rFonts w:ascii="Arial" w:hAnsi="Arial" w:cs="Arial"/>
          <w:color w:val="000000"/>
          <w:sz w:val="22"/>
          <w:szCs w:val="22"/>
        </w:rPr>
        <w:t xml:space="preserve"> Targeting single-walled carbon nanotubes for the treatment of breast cancer using photothermal therapy. </w:t>
      </w:r>
      <w:r w:rsidRPr="007926AE">
        <w:rPr>
          <w:rFonts w:ascii="Arial" w:hAnsi="Arial" w:cs="Arial"/>
          <w:i/>
          <w:iCs/>
          <w:color w:val="000000"/>
          <w:sz w:val="22"/>
          <w:szCs w:val="22"/>
        </w:rPr>
        <w:t>Nanotechnology</w:t>
      </w:r>
      <w:r w:rsidRPr="007926AE">
        <w:rPr>
          <w:rFonts w:ascii="Arial" w:hAnsi="Arial" w:cs="Arial"/>
          <w:color w:val="000000"/>
          <w:sz w:val="22"/>
          <w:szCs w:val="22"/>
        </w:rPr>
        <w:t xml:space="preserve"> </w:t>
      </w:r>
      <w:r w:rsidRPr="007926AE">
        <w:rPr>
          <w:rFonts w:ascii="Arial" w:hAnsi="Arial" w:cs="Arial"/>
          <w:b/>
          <w:bCs/>
          <w:color w:val="000000"/>
          <w:sz w:val="22"/>
          <w:szCs w:val="22"/>
        </w:rPr>
        <w:t>24</w:t>
      </w:r>
      <w:r w:rsidRPr="007926AE">
        <w:rPr>
          <w:rFonts w:ascii="Arial" w:hAnsi="Arial" w:cs="Arial"/>
          <w:color w:val="000000"/>
          <w:sz w:val="22"/>
          <w:szCs w:val="22"/>
        </w:rPr>
        <w:t>, 375104 (2013).</w:t>
      </w:r>
    </w:p>
    <w:p w14:paraId="5E6693DE"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283.</w:t>
      </w:r>
      <w:r w:rsidRPr="007926AE">
        <w:rPr>
          <w:rFonts w:ascii="Arial" w:hAnsi="Arial" w:cs="Arial"/>
          <w:color w:val="000000"/>
          <w:sz w:val="22"/>
          <w:szCs w:val="22"/>
        </w:rPr>
        <w:tab/>
        <w:t xml:space="preserve">McKernan, P. </w:t>
      </w:r>
      <w:r w:rsidRPr="007926AE">
        <w:rPr>
          <w:rFonts w:ascii="Arial" w:hAnsi="Arial" w:cs="Arial"/>
          <w:i/>
          <w:iCs/>
          <w:color w:val="000000"/>
          <w:sz w:val="22"/>
          <w:szCs w:val="22"/>
        </w:rPr>
        <w:t>et al.</w:t>
      </w:r>
      <w:r w:rsidRPr="007926AE">
        <w:rPr>
          <w:rFonts w:ascii="Arial" w:hAnsi="Arial" w:cs="Arial"/>
          <w:color w:val="000000"/>
          <w:sz w:val="22"/>
          <w:szCs w:val="22"/>
        </w:rPr>
        <w:t xml:space="preserve"> Targeted Single-Walled Carbon Nanotubes for Photothermal Therapy Combined with Immune Checkpoint Inhibition for the Treatment of Metastatic Breast Cancer. </w:t>
      </w:r>
      <w:r w:rsidRPr="007926AE">
        <w:rPr>
          <w:rFonts w:ascii="Arial" w:hAnsi="Arial" w:cs="Arial"/>
          <w:i/>
          <w:iCs/>
          <w:color w:val="000000"/>
          <w:sz w:val="22"/>
          <w:szCs w:val="22"/>
        </w:rPr>
        <w:t>Nanoscale Research Letters</w:t>
      </w:r>
      <w:r w:rsidRPr="007926AE">
        <w:rPr>
          <w:rFonts w:ascii="Arial" w:hAnsi="Arial" w:cs="Arial"/>
          <w:color w:val="000000"/>
          <w:sz w:val="22"/>
          <w:szCs w:val="22"/>
        </w:rPr>
        <w:t xml:space="preserve"> </w:t>
      </w:r>
      <w:r w:rsidRPr="007926AE">
        <w:rPr>
          <w:rFonts w:ascii="Arial" w:hAnsi="Arial" w:cs="Arial"/>
          <w:b/>
          <w:bCs/>
          <w:color w:val="000000"/>
          <w:sz w:val="22"/>
          <w:szCs w:val="22"/>
        </w:rPr>
        <w:t>16</w:t>
      </w:r>
      <w:r w:rsidRPr="007926AE">
        <w:rPr>
          <w:rFonts w:ascii="Arial" w:hAnsi="Arial" w:cs="Arial"/>
          <w:color w:val="000000"/>
          <w:sz w:val="22"/>
          <w:szCs w:val="22"/>
        </w:rPr>
        <w:t>, 9 (2021).</w:t>
      </w:r>
    </w:p>
    <w:p w14:paraId="2043A24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284.</w:t>
      </w:r>
      <w:r w:rsidRPr="007926AE">
        <w:rPr>
          <w:rFonts w:ascii="Arial" w:hAnsi="Arial" w:cs="Arial"/>
          <w:color w:val="000000"/>
          <w:sz w:val="22"/>
          <w:szCs w:val="22"/>
        </w:rPr>
        <w:tab/>
        <w:t xml:space="preserve">Liu, Z. </w:t>
      </w:r>
      <w:r w:rsidRPr="007926AE">
        <w:rPr>
          <w:rFonts w:ascii="Arial" w:hAnsi="Arial" w:cs="Arial"/>
          <w:i/>
          <w:iCs/>
          <w:color w:val="000000"/>
          <w:sz w:val="22"/>
          <w:szCs w:val="22"/>
        </w:rPr>
        <w:t>et al.</w:t>
      </w:r>
      <w:r w:rsidRPr="007926AE">
        <w:rPr>
          <w:rFonts w:ascii="Arial" w:hAnsi="Arial" w:cs="Arial"/>
          <w:color w:val="000000"/>
          <w:sz w:val="22"/>
          <w:szCs w:val="22"/>
        </w:rPr>
        <w:t xml:space="preserve"> Circulation and long-term fate of functionalized, biocompatible single-walled carbon nanotubes in mice probed by Raman spectroscopy. </w:t>
      </w:r>
      <w:r w:rsidRPr="007926AE">
        <w:rPr>
          <w:rFonts w:ascii="Arial" w:hAnsi="Arial" w:cs="Arial"/>
          <w:i/>
          <w:iCs/>
          <w:color w:val="000000"/>
          <w:sz w:val="22"/>
          <w:szCs w:val="22"/>
        </w:rPr>
        <w:t>Proc. Natl. Acad. Sci. U.S.A.</w:t>
      </w:r>
      <w:r w:rsidRPr="007926AE">
        <w:rPr>
          <w:rFonts w:ascii="Arial" w:hAnsi="Arial" w:cs="Arial"/>
          <w:color w:val="000000"/>
          <w:sz w:val="22"/>
          <w:szCs w:val="22"/>
        </w:rPr>
        <w:t xml:space="preserve"> </w:t>
      </w:r>
      <w:r w:rsidRPr="007926AE">
        <w:rPr>
          <w:rFonts w:ascii="Arial" w:hAnsi="Arial" w:cs="Arial"/>
          <w:b/>
          <w:bCs/>
          <w:color w:val="000000"/>
          <w:sz w:val="22"/>
          <w:szCs w:val="22"/>
        </w:rPr>
        <w:t>105</w:t>
      </w:r>
      <w:r w:rsidRPr="007926AE">
        <w:rPr>
          <w:rFonts w:ascii="Arial" w:hAnsi="Arial" w:cs="Arial"/>
          <w:color w:val="000000"/>
          <w:sz w:val="22"/>
          <w:szCs w:val="22"/>
        </w:rPr>
        <w:t>, 1410–1415 (2008).</w:t>
      </w:r>
    </w:p>
    <w:p w14:paraId="5DB4AC6B"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285.</w:t>
      </w:r>
      <w:r w:rsidRPr="007926AE">
        <w:rPr>
          <w:rFonts w:ascii="Arial" w:hAnsi="Arial" w:cs="Arial"/>
          <w:color w:val="000000"/>
          <w:sz w:val="22"/>
          <w:szCs w:val="22"/>
        </w:rPr>
        <w:tab/>
        <w:t xml:space="preserve">Li, J. </w:t>
      </w:r>
      <w:r w:rsidRPr="007926AE">
        <w:rPr>
          <w:rFonts w:ascii="Arial" w:hAnsi="Arial" w:cs="Arial"/>
          <w:i/>
          <w:iCs/>
          <w:color w:val="000000"/>
          <w:sz w:val="22"/>
          <w:szCs w:val="22"/>
        </w:rPr>
        <w:t>et al.</w:t>
      </w:r>
      <w:r w:rsidRPr="007926AE">
        <w:rPr>
          <w:rFonts w:ascii="Arial" w:hAnsi="Arial" w:cs="Arial"/>
          <w:color w:val="000000"/>
          <w:sz w:val="22"/>
          <w:szCs w:val="22"/>
        </w:rPr>
        <w:t xml:space="preserve"> In situ injectable hydrogel-loaded drugs induce anti-tumor immune responses in melanoma immunochemotherapy. </w:t>
      </w:r>
      <w:r w:rsidRPr="007926AE">
        <w:rPr>
          <w:rFonts w:ascii="Arial" w:hAnsi="Arial" w:cs="Arial"/>
          <w:i/>
          <w:iCs/>
          <w:color w:val="000000"/>
          <w:sz w:val="22"/>
          <w:szCs w:val="22"/>
        </w:rPr>
        <w:t>Materials Today Bio</w:t>
      </w:r>
      <w:r w:rsidRPr="007926AE">
        <w:rPr>
          <w:rFonts w:ascii="Arial" w:hAnsi="Arial" w:cs="Arial"/>
          <w:color w:val="000000"/>
          <w:sz w:val="22"/>
          <w:szCs w:val="22"/>
        </w:rPr>
        <w:t xml:space="preserve"> </w:t>
      </w:r>
      <w:r w:rsidRPr="007926AE">
        <w:rPr>
          <w:rFonts w:ascii="Arial" w:hAnsi="Arial" w:cs="Arial"/>
          <w:b/>
          <w:bCs/>
          <w:color w:val="000000"/>
          <w:sz w:val="22"/>
          <w:szCs w:val="22"/>
        </w:rPr>
        <w:t>14</w:t>
      </w:r>
      <w:r w:rsidRPr="007926AE">
        <w:rPr>
          <w:rFonts w:ascii="Arial" w:hAnsi="Arial" w:cs="Arial"/>
          <w:color w:val="000000"/>
          <w:sz w:val="22"/>
          <w:szCs w:val="22"/>
        </w:rPr>
        <w:t>, 100238 (2022).</w:t>
      </w:r>
    </w:p>
    <w:p w14:paraId="77477B0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286.</w:t>
      </w:r>
      <w:r w:rsidRPr="007926AE">
        <w:rPr>
          <w:rFonts w:ascii="Arial" w:hAnsi="Arial" w:cs="Arial"/>
          <w:color w:val="000000"/>
          <w:sz w:val="22"/>
          <w:szCs w:val="22"/>
        </w:rPr>
        <w:tab/>
        <w:t xml:space="preserve">Li, D. </w:t>
      </w:r>
      <w:r w:rsidRPr="007926AE">
        <w:rPr>
          <w:rFonts w:ascii="Arial" w:hAnsi="Arial" w:cs="Arial"/>
          <w:i/>
          <w:iCs/>
          <w:color w:val="000000"/>
          <w:sz w:val="22"/>
          <w:szCs w:val="22"/>
        </w:rPr>
        <w:t>et al.</w:t>
      </w:r>
      <w:r w:rsidRPr="007926AE">
        <w:rPr>
          <w:rFonts w:ascii="Arial" w:hAnsi="Arial" w:cs="Arial"/>
          <w:color w:val="000000"/>
          <w:sz w:val="22"/>
          <w:szCs w:val="22"/>
        </w:rPr>
        <w:t xml:space="preserve"> The Effect of Sample Holder Geometry on Electromagnetic Heating of Nanoparticle and NaCl Solutions at 13.56 MHz. </w:t>
      </w:r>
      <w:r w:rsidRPr="007926AE">
        <w:rPr>
          <w:rFonts w:ascii="Arial" w:hAnsi="Arial" w:cs="Arial"/>
          <w:i/>
          <w:iCs/>
          <w:color w:val="000000"/>
          <w:sz w:val="22"/>
          <w:szCs w:val="22"/>
        </w:rPr>
        <w:t>IEEE Trans. Biomed. Eng.</w:t>
      </w:r>
      <w:r w:rsidRPr="007926AE">
        <w:rPr>
          <w:rFonts w:ascii="Arial" w:hAnsi="Arial" w:cs="Arial"/>
          <w:color w:val="000000"/>
          <w:sz w:val="22"/>
          <w:szCs w:val="22"/>
        </w:rPr>
        <w:t xml:space="preserve"> </w:t>
      </w:r>
      <w:r w:rsidRPr="007926AE">
        <w:rPr>
          <w:rFonts w:ascii="Arial" w:hAnsi="Arial" w:cs="Arial"/>
          <w:b/>
          <w:bCs/>
          <w:color w:val="000000"/>
          <w:sz w:val="22"/>
          <w:szCs w:val="22"/>
        </w:rPr>
        <w:t>59</w:t>
      </w:r>
      <w:r w:rsidRPr="007926AE">
        <w:rPr>
          <w:rFonts w:ascii="Arial" w:hAnsi="Arial" w:cs="Arial"/>
          <w:color w:val="000000"/>
          <w:sz w:val="22"/>
          <w:szCs w:val="22"/>
        </w:rPr>
        <w:t>, 3468–3474 (2012).</w:t>
      </w:r>
    </w:p>
    <w:p w14:paraId="0C47CCE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287.</w:t>
      </w:r>
      <w:r w:rsidRPr="007926AE">
        <w:rPr>
          <w:rFonts w:ascii="Arial" w:hAnsi="Arial" w:cs="Arial"/>
          <w:color w:val="000000"/>
          <w:sz w:val="22"/>
          <w:szCs w:val="22"/>
        </w:rPr>
        <w:tab/>
        <w:t xml:space="preserve">Hainfeld, J. F. </w:t>
      </w:r>
      <w:r w:rsidRPr="007926AE">
        <w:rPr>
          <w:rFonts w:ascii="Arial" w:hAnsi="Arial" w:cs="Arial"/>
          <w:i/>
          <w:iCs/>
          <w:color w:val="000000"/>
          <w:sz w:val="22"/>
          <w:szCs w:val="22"/>
        </w:rPr>
        <w:t>et al.</w:t>
      </w:r>
      <w:r w:rsidRPr="007926AE">
        <w:rPr>
          <w:rFonts w:ascii="Arial" w:hAnsi="Arial" w:cs="Arial"/>
          <w:color w:val="000000"/>
          <w:sz w:val="22"/>
          <w:szCs w:val="22"/>
        </w:rPr>
        <w:t xml:space="preserve"> Micro-CT enables microlocalisation and quantification of Her2-targeted gold nanoparticles within tumour regions. </w:t>
      </w:r>
      <w:r w:rsidRPr="007926AE">
        <w:rPr>
          <w:rFonts w:ascii="Arial" w:hAnsi="Arial" w:cs="Arial"/>
          <w:i/>
          <w:iCs/>
          <w:color w:val="000000"/>
          <w:sz w:val="22"/>
          <w:szCs w:val="22"/>
        </w:rPr>
        <w:t>BJR</w:t>
      </w:r>
      <w:r w:rsidRPr="007926AE">
        <w:rPr>
          <w:rFonts w:ascii="Arial" w:hAnsi="Arial" w:cs="Arial"/>
          <w:color w:val="000000"/>
          <w:sz w:val="22"/>
          <w:szCs w:val="22"/>
        </w:rPr>
        <w:t xml:space="preserve"> </w:t>
      </w:r>
      <w:r w:rsidRPr="007926AE">
        <w:rPr>
          <w:rFonts w:ascii="Arial" w:hAnsi="Arial" w:cs="Arial"/>
          <w:b/>
          <w:bCs/>
          <w:color w:val="000000"/>
          <w:sz w:val="22"/>
          <w:szCs w:val="22"/>
        </w:rPr>
        <w:t>84</w:t>
      </w:r>
      <w:r w:rsidRPr="007926AE">
        <w:rPr>
          <w:rFonts w:ascii="Arial" w:hAnsi="Arial" w:cs="Arial"/>
          <w:color w:val="000000"/>
          <w:sz w:val="22"/>
          <w:szCs w:val="22"/>
        </w:rPr>
        <w:t>, 526–533 (2011).</w:t>
      </w:r>
    </w:p>
    <w:p w14:paraId="398CA27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288.</w:t>
      </w:r>
      <w:r w:rsidRPr="007926AE">
        <w:rPr>
          <w:rFonts w:ascii="Arial" w:hAnsi="Arial" w:cs="Arial"/>
          <w:color w:val="000000"/>
          <w:sz w:val="22"/>
          <w:szCs w:val="22"/>
        </w:rPr>
        <w:tab/>
        <w:t xml:space="preserve">Takae, S. </w:t>
      </w:r>
      <w:r w:rsidRPr="007926AE">
        <w:rPr>
          <w:rFonts w:ascii="Arial" w:hAnsi="Arial" w:cs="Arial"/>
          <w:i/>
          <w:iCs/>
          <w:color w:val="000000"/>
          <w:sz w:val="22"/>
          <w:szCs w:val="22"/>
        </w:rPr>
        <w:t>et al.</w:t>
      </w:r>
      <w:r w:rsidRPr="007926AE">
        <w:rPr>
          <w:rFonts w:ascii="Arial" w:hAnsi="Arial" w:cs="Arial"/>
          <w:color w:val="000000"/>
          <w:sz w:val="22"/>
          <w:szCs w:val="22"/>
        </w:rPr>
        <w:t xml:space="preserve"> Ligand Density Effect on Biorecognition by PEGylated Gold Nanoparticles: Regulated Interaction of RCA </w:t>
      </w:r>
      <w:r w:rsidRPr="007926AE">
        <w:rPr>
          <w:rFonts w:ascii="Arial" w:hAnsi="Arial" w:cs="Arial"/>
          <w:color w:val="000000"/>
          <w:sz w:val="22"/>
          <w:szCs w:val="22"/>
          <w:vertAlign w:val="subscript"/>
        </w:rPr>
        <w:t>120</w:t>
      </w:r>
      <w:r w:rsidRPr="007926AE">
        <w:rPr>
          <w:rFonts w:ascii="Arial" w:hAnsi="Arial" w:cs="Arial"/>
          <w:color w:val="000000"/>
          <w:sz w:val="22"/>
          <w:szCs w:val="22"/>
        </w:rPr>
        <w:t xml:space="preserve"> Lectin with Lactose Installed to the Distal End of Tethered PEG Strands on Gold Surface. </w:t>
      </w:r>
      <w:r w:rsidRPr="007926AE">
        <w:rPr>
          <w:rFonts w:ascii="Arial" w:hAnsi="Arial" w:cs="Arial"/>
          <w:i/>
          <w:iCs/>
          <w:color w:val="000000"/>
          <w:sz w:val="22"/>
          <w:szCs w:val="22"/>
        </w:rPr>
        <w:t>Biomacromolecules</w:t>
      </w:r>
      <w:r w:rsidRPr="007926AE">
        <w:rPr>
          <w:rFonts w:ascii="Arial" w:hAnsi="Arial" w:cs="Arial"/>
          <w:color w:val="000000"/>
          <w:sz w:val="22"/>
          <w:szCs w:val="22"/>
        </w:rPr>
        <w:t xml:space="preserve"> </w:t>
      </w:r>
      <w:r w:rsidRPr="007926AE">
        <w:rPr>
          <w:rFonts w:ascii="Arial" w:hAnsi="Arial" w:cs="Arial"/>
          <w:b/>
          <w:bCs/>
          <w:color w:val="000000"/>
          <w:sz w:val="22"/>
          <w:szCs w:val="22"/>
        </w:rPr>
        <w:t>6</w:t>
      </w:r>
      <w:r w:rsidRPr="007926AE">
        <w:rPr>
          <w:rFonts w:ascii="Arial" w:hAnsi="Arial" w:cs="Arial"/>
          <w:color w:val="000000"/>
          <w:sz w:val="22"/>
          <w:szCs w:val="22"/>
        </w:rPr>
        <w:t>, 818–824 (2005).</w:t>
      </w:r>
    </w:p>
    <w:p w14:paraId="6340B1CC"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289.</w:t>
      </w:r>
      <w:r w:rsidRPr="007926AE">
        <w:rPr>
          <w:rFonts w:ascii="Arial" w:hAnsi="Arial" w:cs="Arial"/>
          <w:color w:val="000000"/>
          <w:sz w:val="22"/>
          <w:szCs w:val="22"/>
        </w:rPr>
        <w:tab/>
        <w:t xml:space="preserve">Ba, H., Rodríguez-Fernández, J., Stefani, F. D. &amp; Feldmann, J. Immobilization of Gold Nanoparticles on Living Cell Membranes upon Controlled Lipid Binding. </w:t>
      </w:r>
      <w:r w:rsidRPr="007926AE">
        <w:rPr>
          <w:rFonts w:ascii="Arial" w:hAnsi="Arial" w:cs="Arial"/>
          <w:i/>
          <w:iCs/>
          <w:color w:val="000000"/>
          <w:sz w:val="22"/>
          <w:szCs w:val="22"/>
        </w:rPr>
        <w:t>Nano Lett.</w:t>
      </w:r>
      <w:r w:rsidRPr="007926AE">
        <w:rPr>
          <w:rFonts w:ascii="Arial" w:hAnsi="Arial" w:cs="Arial"/>
          <w:color w:val="000000"/>
          <w:sz w:val="22"/>
          <w:szCs w:val="22"/>
        </w:rPr>
        <w:t xml:space="preserve"> </w:t>
      </w:r>
      <w:r w:rsidRPr="007926AE">
        <w:rPr>
          <w:rFonts w:ascii="Arial" w:hAnsi="Arial" w:cs="Arial"/>
          <w:b/>
          <w:bCs/>
          <w:color w:val="000000"/>
          <w:sz w:val="22"/>
          <w:szCs w:val="22"/>
        </w:rPr>
        <w:t>10</w:t>
      </w:r>
      <w:r w:rsidRPr="007926AE">
        <w:rPr>
          <w:rFonts w:ascii="Arial" w:hAnsi="Arial" w:cs="Arial"/>
          <w:color w:val="000000"/>
          <w:sz w:val="22"/>
          <w:szCs w:val="22"/>
        </w:rPr>
        <w:t>, 3006–3012 (2010).</w:t>
      </w:r>
    </w:p>
    <w:p w14:paraId="43F1DCC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290.</w:t>
      </w:r>
      <w:r w:rsidRPr="007926AE">
        <w:rPr>
          <w:rFonts w:ascii="Arial" w:hAnsi="Arial" w:cs="Arial"/>
          <w:color w:val="000000"/>
          <w:sz w:val="22"/>
          <w:szCs w:val="22"/>
        </w:rPr>
        <w:tab/>
        <w:t xml:space="preserve">Fisher, J. W. </w:t>
      </w:r>
      <w:r w:rsidRPr="007926AE">
        <w:rPr>
          <w:rFonts w:ascii="Arial" w:hAnsi="Arial" w:cs="Arial"/>
          <w:i/>
          <w:iCs/>
          <w:color w:val="000000"/>
          <w:sz w:val="22"/>
          <w:szCs w:val="22"/>
        </w:rPr>
        <w:t>et al.</w:t>
      </w:r>
      <w:r w:rsidRPr="007926AE">
        <w:rPr>
          <w:rFonts w:ascii="Arial" w:hAnsi="Arial" w:cs="Arial"/>
          <w:color w:val="000000"/>
          <w:sz w:val="22"/>
          <w:szCs w:val="22"/>
        </w:rPr>
        <w:t xml:space="preserve"> Photothermal Response of Human and Murine Cancer Cells to Multiwalled Carbon Nanotubes after Laser Irradiation. </w:t>
      </w:r>
      <w:r w:rsidRPr="007926AE">
        <w:rPr>
          <w:rFonts w:ascii="Arial" w:hAnsi="Arial" w:cs="Arial"/>
          <w:i/>
          <w:iCs/>
          <w:color w:val="000000"/>
          <w:sz w:val="22"/>
          <w:szCs w:val="22"/>
        </w:rPr>
        <w:t>Cancer Research</w:t>
      </w:r>
      <w:r w:rsidRPr="007926AE">
        <w:rPr>
          <w:rFonts w:ascii="Arial" w:hAnsi="Arial" w:cs="Arial"/>
          <w:color w:val="000000"/>
          <w:sz w:val="22"/>
          <w:szCs w:val="22"/>
        </w:rPr>
        <w:t xml:space="preserve"> </w:t>
      </w:r>
      <w:r w:rsidRPr="007926AE">
        <w:rPr>
          <w:rFonts w:ascii="Arial" w:hAnsi="Arial" w:cs="Arial"/>
          <w:b/>
          <w:bCs/>
          <w:color w:val="000000"/>
          <w:sz w:val="22"/>
          <w:szCs w:val="22"/>
        </w:rPr>
        <w:t>70</w:t>
      </w:r>
      <w:r w:rsidRPr="007926AE">
        <w:rPr>
          <w:rFonts w:ascii="Arial" w:hAnsi="Arial" w:cs="Arial"/>
          <w:color w:val="000000"/>
          <w:sz w:val="22"/>
          <w:szCs w:val="22"/>
        </w:rPr>
        <w:t>, 9855–9864 (2010).</w:t>
      </w:r>
    </w:p>
    <w:p w14:paraId="30AF162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291.</w:t>
      </w:r>
      <w:r w:rsidRPr="007926AE">
        <w:rPr>
          <w:rFonts w:ascii="Arial" w:hAnsi="Arial" w:cs="Arial"/>
          <w:color w:val="000000"/>
          <w:sz w:val="22"/>
          <w:szCs w:val="22"/>
        </w:rPr>
        <w:tab/>
        <w:t xml:space="preserve">Yi, W. </w:t>
      </w:r>
      <w:r w:rsidRPr="007926AE">
        <w:rPr>
          <w:rFonts w:ascii="Arial" w:hAnsi="Arial" w:cs="Arial"/>
          <w:i/>
          <w:iCs/>
          <w:color w:val="000000"/>
          <w:sz w:val="22"/>
          <w:szCs w:val="22"/>
        </w:rPr>
        <w:t>et al.</w:t>
      </w:r>
      <w:r w:rsidRPr="007926AE">
        <w:rPr>
          <w:rFonts w:ascii="Arial" w:hAnsi="Arial" w:cs="Arial"/>
          <w:color w:val="000000"/>
          <w:sz w:val="22"/>
          <w:szCs w:val="22"/>
        </w:rPr>
        <w:t xml:space="preserve"> Enhanced response of tamoxifen toward the cancer cells using a combination of chemotherapy and photothermal ablation induced by lentinan-functionalized multi-walled carbon nanotubes. </w:t>
      </w:r>
      <w:r w:rsidRPr="007926AE">
        <w:rPr>
          <w:rFonts w:ascii="Arial" w:hAnsi="Arial" w:cs="Arial"/>
          <w:i/>
          <w:iCs/>
          <w:color w:val="000000"/>
          <w:sz w:val="22"/>
          <w:szCs w:val="22"/>
        </w:rPr>
        <w:t>International Journal of Biological Macromolecules</w:t>
      </w:r>
      <w:r w:rsidRPr="007926AE">
        <w:rPr>
          <w:rFonts w:ascii="Arial" w:hAnsi="Arial" w:cs="Arial"/>
          <w:color w:val="000000"/>
          <w:sz w:val="22"/>
          <w:szCs w:val="22"/>
        </w:rPr>
        <w:t xml:space="preserve"> </w:t>
      </w:r>
      <w:r w:rsidRPr="007926AE">
        <w:rPr>
          <w:rFonts w:ascii="Arial" w:hAnsi="Arial" w:cs="Arial"/>
          <w:b/>
          <w:bCs/>
          <w:color w:val="000000"/>
          <w:sz w:val="22"/>
          <w:szCs w:val="22"/>
        </w:rPr>
        <w:t>120</w:t>
      </w:r>
      <w:r w:rsidRPr="007926AE">
        <w:rPr>
          <w:rFonts w:ascii="Arial" w:hAnsi="Arial" w:cs="Arial"/>
          <w:color w:val="000000"/>
          <w:sz w:val="22"/>
          <w:szCs w:val="22"/>
        </w:rPr>
        <w:t>, 1525–1532 (2018).</w:t>
      </w:r>
    </w:p>
    <w:p w14:paraId="47F0E267"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292.</w:t>
      </w:r>
      <w:r w:rsidRPr="007926AE">
        <w:rPr>
          <w:rFonts w:ascii="Arial" w:hAnsi="Arial" w:cs="Arial"/>
          <w:color w:val="000000"/>
          <w:sz w:val="22"/>
          <w:szCs w:val="22"/>
        </w:rPr>
        <w:tab/>
        <w:t xml:space="preserve">Alexandru S. Biris </w:t>
      </w:r>
      <w:r w:rsidRPr="007926AE">
        <w:rPr>
          <w:rFonts w:ascii="Arial" w:hAnsi="Arial" w:cs="Arial"/>
          <w:i/>
          <w:iCs/>
          <w:color w:val="000000"/>
          <w:sz w:val="22"/>
          <w:szCs w:val="22"/>
        </w:rPr>
        <w:t>et al.</w:t>
      </w:r>
      <w:r w:rsidRPr="007926AE">
        <w:rPr>
          <w:rFonts w:ascii="Arial" w:hAnsi="Arial" w:cs="Arial"/>
          <w:color w:val="000000"/>
          <w:sz w:val="22"/>
          <w:szCs w:val="22"/>
        </w:rPr>
        <w:t xml:space="preserve"> Nanophotothermolysis of multiple scattered cancer cells with carbon nanotubes guided by time-resolved infrared thermal imaging. </w:t>
      </w:r>
      <w:r w:rsidRPr="007926AE">
        <w:rPr>
          <w:rFonts w:ascii="Arial" w:hAnsi="Arial" w:cs="Arial"/>
          <w:i/>
          <w:iCs/>
          <w:color w:val="000000"/>
          <w:sz w:val="22"/>
          <w:szCs w:val="22"/>
        </w:rPr>
        <w:t>J Biomed Opt</w:t>
      </w:r>
      <w:r w:rsidRPr="007926AE">
        <w:rPr>
          <w:rFonts w:ascii="Arial" w:hAnsi="Arial" w:cs="Arial"/>
          <w:color w:val="000000"/>
          <w:sz w:val="22"/>
          <w:szCs w:val="22"/>
        </w:rPr>
        <w:t xml:space="preserve"> </w:t>
      </w:r>
      <w:r w:rsidRPr="007926AE">
        <w:rPr>
          <w:rFonts w:ascii="Arial" w:hAnsi="Arial" w:cs="Arial"/>
          <w:b/>
          <w:bCs/>
          <w:color w:val="000000"/>
          <w:sz w:val="22"/>
          <w:szCs w:val="22"/>
        </w:rPr>
        <w:t>14</w:t>
      </w:r>
      <w:r w:rsidRPr="007926AE">
        <w:rPr>
          <w:rFonts w:ascii="Arial" w:hAnsi="Arial" w:cs="Arial"/>
          <w:color w:val="000000"/>
          <w:sz w:val="22"/>
          <w:szCs w:val="22"/>
        </w:rPr>
        <w:t>, (2009).</w:t>
      </w:r>
    </w:p>
    <w:p w14:paraId="7F2A714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293.</w:t>
      </w:r>
      <w:r w:rsidRPr="007926AE">
        <w:rPr>
          <w:rFonts w:ascii="Arial" w:hAnsi="Arial" w:cs="Arial"/>
          <w:color w:val="000000"/>
          <w:sz w:val="22"/>
          <w:szCs w:val="22"/>
        </w:rPr>
        <w:tab/>
        <w:t xml:space="preserve">Raffa, V., Ciofani, G., Vittorio, O., Riggio, C. &amp; Cuschieri, A. Physicochemical properties affecting cellular uptake of carbon nanotubes. </w:t>
      </w:r>
      <w:r w:rsidRPr="007926AE">
        <w:rPr>
          <w:rFonts w:ascii="Arial" w:hAnsi="Arial" w:cs="Arial"/>
          <w:i/>
          <w:iCs/>
          <w:color w:val="000000"/>
          <w:sz w:val="22"/>
          <w:szCs w:val="22"/>
        </w:rPr>
        <w:t>Nanomedicine</w:t>
      </w:r>
      <w:r w:rsidRPr="007926AE">
        <w:rPr>
          <w:rFonts w:ascii="Arial" w:hAnsi="Arial" w:cs="Arial"/>
          <w:color w:val="000000"/>
          <w:sz w:val="22"/>
          <w:szCs w:val="22"/>
        </w:rPr>
        <w:t xml:space="preserve"> </w:t>
      </w:r>
      <w:r w:rsidRPr="007926AE">
        <w:rPr>
          <w:rFonts w:ascii="Arial" w:hAnsi="Arial" w:cs="Arial"/>
          <w:b/>
          <w:bCs/>
          <w:color w:val="000000"/>
          <w:sz w:val="22"/>
          <w:szCs w:val="22"/>
        </w:rPr>
        <w:t>5</w:t>
      </w:r>
      <w:r w:rsidRPr="007926AE">
        <w:rPr>
          <w:rFonts w:ascii="Arial" w:hAnsi="Arial" w:cs="Arial"/>
          <w:color w:val="000000"/>
          <w:sz w:val="22"/>
          <w:szCs w:val="22"/>
        </w:rPr>
        <w:t>, 89–97 (2010).</w:t>
      </w:r>
    </w:p>
    <w:p w14:paraId="1A48347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294.</w:t>
      </w:r>
      <w:r w:rsidRPr="007926AE">
        <w:rPr>
          <w:rFonts w:ascii="Arial" w:hAnsi="Arial" w:cs="Arial"/>
          <w:color w:val="000000"/>
          <w:sz w:val="22"/>
          <w:szCs w:val="22"/>
        </w:rPr>
        <w:tab/>
        <w:t xml:space="preserve">Kenis, H. </w:t>
      </w:r>
      <w:r w:rsidRPr="007926AE">
        <w:rPr>
          <w:rFonts w:ascii="Arial" w:hAnsi="Arial" w:cs="Arial"/>
          <w:i/>
          <w:iCs/>
          <w:color w:val="000000"/>
          <w:sz w:val="22"/>
          <w:szCs w:val="22"/>
        </w:rPr>
        <w:t>et al.</w:t>
      </w:r>
      <w:r w:rsidRPr="007926AE">
        <w:rPr>
          <w:rFonts w:ascii="Arial" w:hAnsi="Arial" w:cs="Arial"/>
          <w:color w:val="000000"/>
          <w:sz w:val="22"/>
          <w:szCs w:val="22"/>
        </w:rPr>
        <w:t xml:space="preserve"> Cell Surface-expressed Phosphatidylserine and Annexin A5 Open a Novel Portal of Cell Entry. </w:t>
      </w:r>
      <w:r w:rsidRPr="007926AE">
        <w:rPr>
          <w:rFonts w:ascii="Arial" w:hAnsi="Arial" w:cs="Arial"/>
          <w:i/>
          <w:iCs/>
          <w:color w:val="000000"/>
          <w:sz w:val="22"/>
          <w:szCs w:val="22"/>
        </w:rPr>
        <w:t>Journal of Biological Chemistry</w:t>
      </w:r>
      <w:r w:rsidRPr="007926AE">
        <w:rPr>
          <w:rFonts w:ascii="Arial" w:hAnsi="Arial" w:cs="Arial"/>
          <w:color w:val="000000"/>
          <w:sz w:val="22"/>
          <w:szCs w:val="22"/>
        </w:rPr>
        <w:t xml:space="preserve"> </w:t>
      </w:r>
      <w:r w:rsidRPr="007926AE">
        <w:rPr>
          <w:rFonts w:ascii="Arial" w:hAnsi="Arial" w:cs="Arial"/>
          <w:b/>
          <w:bCs/>
          <w:color w:val="000000"/>
          <w:sz w:val="22"/>
          <w:szCs w:val="22"/>
        </w:rPr>
        <w:t>279</w:t>
      </w:r>
      <w:r w:rsidRPr="007926AE">
        <w:rPr>
          <w:rFonts w:ascii="Arial" w:hAnsi="Arial" w:cs="Arial"/>
          <w:color w:val="000000"/>
          <w:sz w:val="22"/>
          <w:szCs w:val="22"/>
        </w:rPr>
        <w:t>, 52623–52629 (2004).</w:t>
      </w:r>
    </w:p>
    <w:p w14:paraId="5F118F5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295.</w:t>
      </w:r>
      <w:r w:rsidRPr="007926AE">
        <w:rPr>
          <w:rFonts w:ascii="Arial" w:hAnsi="Arial" w:cs="Arial"/>
          <w:color w:val="000000"/>
          <w:sz w:val="22"/>
          <w:szCs w:val="22"/>
        </w:rPr>
        <w:tab/>
        <w:t xml:space="preserve">Krais, J. J., De Crescenzo, O. &amp; Harrison, R. G. Purine Nucleoside Phosphorylase Targeted by Annexin V to Breast Cancer Vasculature for Enzyme Prodrug Therapy. </w:t>
      </w:r>
      <w:r w:rsidRPr="007926AE">
        <w:rPr>
          <w:rFonts w:ascii="Arial" w:hAnsi="Arial" w:cs="Arial"/>
          <w:i/>
          <w:iCs/>
          <w:color w:val="000000"/>
          <w:sz w:val="22"/>
          <w:szCs w:val="22"/>
        </w:rPr>
        <w:t>PLoS ONE</w:t>
      </w:r>
      <w:r w:rsidRPr="007926AE">
        <w:rPr>
          <w:rFonts w:ascii="Arial" w:hAnsi="Arial" w:cs="Arial"/>
          <w:color w:val="000000"/>
          <w:sz w:val="22"/>
          <w:szCs w:val="22"/>
        </w:rPr>
        <w:t xml:space="preserve"> </w:t>
      </w:r>
      <w:r w:rsidRPr="007926AE">
        <w:rPr>
          <w:rFonts w:ascii="Arial" w:hAnsi="Arial" w:cs="Arial"/>
          <w:b/>
          <w:bCs/>
          <w:color w:val="000000"/>
          <w:sz w:val="22"/>
          <w:szCs w:val="22"/>
        </w:rPr>
        <w:t>8</w:t>
      </w:r>
      <w:r w:rsidRPr="007926AE">
        <w:rPr>
          <w:rFonts w:ascii="Arial" w:hAnsi="Arial" w:cs="Arial"/>
          <w:color w:val="000000"/>
          <w:sz w:val="22"/>
          <w:szCs w:val="22"/>
        </w:rPr>
        <w:t>, e76403 (2013).</w:t>
      </w:r>
    </w:p>
    <w:p w14:paraId="3FB431AD"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296.</w:t>
      </w:r>
      <w:r w:rsidRPr="007926AE">
        <w:rPr>
          <w:rFonts w:ascii="Arial" w:hAnsi="Arial" w:cs="Arial"/>
          <w:color w:val="000000"/>
          <w:sz w:val="22"/>
          <w:szCs w:val="22"/>
        </w:rPr>
        <w:tab/>
        <w:t xml:space="preserve">Xiao, Y. </w:t>
      </w:r>
      <w:r w:rsidRPr="007926AE">
        <w:rPr>
          <w:rFonts w:ascii="Arial" w:hAnsi="Arial" w:cs="Arial"/>
          <w:i/>
          <w:iCs/>
          <w:color w:val="000000"/>
          <w:sz w:val="22"/>
          <w:szCs w:val="22"/>
        </w:rPr>
        <w:t>et al.</w:t>
      </w:r>
      <w:r w:rsidRPr="007926AE">
        <w:rPr>
          <w:rFonts w:ascii="Arial" w:hAnsi="Arial" w:cs="Arial"/>
          <w:color w:val="000000"/>
          <w:sz w:val="22"/>
          <w:szCs w:val="22"/>
        </w:rPr>
        <w:t xml:space="preserve"> Anti-HER2 IgY antibody-functionalized single-walled carbon nanotubes for detection and selective destruction of breast cancer cells. </w:t>
      </w:r>
      <w:r w:rsidRPr="007926AE">
        <w:rPr>
          <w:rFonts w:ascii="Arial" w:hAnsi="Arial" w:cs="Arial"/>
          <w:i/>
          <w:iCs/>
          <w:color w:val="000000"/>
          <w:sz w:val="22"/>
          <w:szCs w:val="22"/>
        </w:rPr>
        <w:t>BMC Cancer</w:t>
      </w:r>
      <w:r w:rsidRPr="007926AE">
        <w:rPr>
          <w:rFonts w:ascii="Arial" w:hAnsi="Arial" w:cs="Arial"/>
          <w:color w:val="000000"/>
          <w:sz w:val="22"/>
          <w:szCs w:val="22"/>
        </w:rPr>
        <w:t xml:space="preserve"> </w:t>
      </w:r>
      <w:r w:rsidRPr="007926AE">
        <w:rPr>
          <w:rFonts w:ascii="Arial" w:hAnsi="Arial" w:cs="Arial"/>
          <w:b/>
          <w:bCs/>
          <w:color w:val="000000"/>
          <w:sz w:val="22"/>
          <w:szCs w:val="22"/>
        </w:rPr>
        <w:t>9</w:t>
      </w:r>
      <w:r w:rsidRPr="007926AE">
        <w:rPr>
          <w:rFonts w:ascii="Arial" w:hAnsi="Arial" w:cs="Arial"/>
          <w:color w:val="000000"/>
          <w:sz w:val="22"/>
          <w:szCs w:val="22"/>
        </w:rPr>
        <w:t>, 351 (2009).</w:t>
      </w:r>
    </w:p>
    <w:p w14:paraId="7EE2A17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297.</w:t>
      </w:r>
      <w:r w:rsidRPr="007926AE">
        <w:rPr>
          <w:rFonts w:ascii="Arial" w:hAnsi="Arial" w:cs="Arial"/>
          <w:color w:val="000000"/>
          <w:sz w:val="22"/>
          <w:szCs w:val="22"/>
        </w:rPr>
        <w:tab/>
        <w:t xml:space="preserve">Shao, N., Lu, S., Wickstrom, E. &amp; Panchapakesan, B. Integrated molecular targeting of IGF1R and HER2 surface receptors and destruction of breast cancer cells using single wall carbon nanotubes. </w:t>
      </w:r>
      <w:r w:rsidRPr="007926AE">
        <w:rPr>
          <w:rFonts w:ascii="Arial" w:hAnsi="Arial" w:cs="Arial"/>
          <w:i/>
          <w:iCs/>
          <w:color w:val="000000"/>
          <w:sz w:val="22"/>
          <w:szCs w:val="22"/>
        </w:rPr>
        <w:t>Nanotechnology</w:t>
      </w:r>
      <w:r w:rsidRPr="007926AE">
        <w:rPr>
          <w:rFonts w:ascii="Arial" w:hAnsi="Arial" w:cs="Arial"/>
          <w:color w:val="000000"/>
          <w:sz w:val="22"/>
          <w:szCs w:val="22"/>
        </w:rPr>
        <w:t xml:space="preserve"> </w:t>
      </w:r>
      <w:r w:rsidRPr="007926AE">
        <w:rPr>
          <w:rFonts w:ascii="Arial" w:hAnsi="Arial" w:cs="Arial"/>
          <w:b/>
          <w:bCs/>
          <w:color w:val="000000"/>
          <w:sz w:val="22"/>
          <w:szCs w:val="22"/>
        </w:rPr>
        <w:t>18</w:t>
      </w:r>
      <w:r w:rsidRPr="007926AE">
        <w:rPr>
          <w:rFonts w:ascii="Arial" w:hAnsi="Arial" w:cs="Arial"/>
          <w:color w:val="000000"/>
          <w:sz w:val="22"/>
          <w:szCs w:val="22"/>
        </w:rPr>
        <w:t>, (2007).</w:t>
      </w:r>
    </w:p>
    <w:p w14:paraId="575980D0"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298.</w:t>
      </w:r>
      <w:r w:rsidRPr="007926AE">
        <w:rPr>
          <w:rFonts w:ascii="Arial" w:hAnsi="Arial" w:cs="Arial"/>
          <w:color w:val="000000"/>
          <w:sz w:val="22"/>
          <w:szCs w:val="22"/>
        </w:rPr>
        <w:tab/>
        <w:t xml:space="preserve">Kam, N. W. S., O’Connell, M., Wisdom, J. A. &amp; Dai, H. Carbon nanotubes as multifunctional biological transporters and near-infrared agents for selective cancer cell destruction. </w:t>
      </w:r>
      <w:r w:rsidRPr="007926AE">
        <w:rPr>
          <w:rFonts w:ascii="Arial" w:hAnsi="Arial" w:cs="Arial"/>
          <w:i/>
          <w:iCs/>
          <w:color w:val="000000"/>
          <w:sz w:val="22"/>
          <w:szCs w:val="22"/>
        </w:rPr>
        <w:t>Proceedings of the National Academy of Sciences of the United States of America</w:t>
      </w:r>
      <w:r w:rsidRPr="007926AE">
        <w:rPr>
          <w:rFonts w:ascii="Arial" w:hAnsi="Arial" w:cs="Arial"/>
          <w:color w:val="000000"/>
          <w:sz w:val="22"/>
          <w:szCs w:val="22"/>
        </w:rPr>
        <w:t xml:space="preserve"> </w:t>
      </w:r>
      <w:r w:rsidRPr="007926AE">
        <w:rPr>
          <w:rFonts w:ascii="Arial" w:hAnsi="Arial" w:cs="Arial"/>
          <w:b/>
          <w:bCs/>
          <w:color w:val="000000"/>
          <w:sz w:val="22"/>
          <w:szCs w:val="22"/>
        </w:rPr>
        <w:t>102</w:t>
      </w:r>
      <w:r w:rsidRPr="007926AE">
        <w:rPr>
          <w:rFonts w:ascii="Arial" w:hAnsi="Arial" w:cs="Arial"/>
          <w:color w:val="000000"/>
          <w:sz w:val="22"/>
          <w:szCs w:val="22"/>
        </w:rPr>
        <w:t>, 11600–11605 (2005).</w:t>
      </w:r>
    </w:p>
    <w:p w14:paraId="1FAF8E1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299.</w:t>
      </w:r>
      <w:r w:rsidRPr="007926AE">
        <w:rPr>
          <w:rFonts w:ascii="Arial" w:hAnsi="Arial" w:cs="Arial"/>
          <w:color w:val="000000"/>
          <w:sz w:val="22"/>
          <w:szCs w:val="22"/>
        </w:rPr>
        <w:tab/>
        <w:t xml:space="preserve">Marches, R. </w:t>
      </w:r>
      <w:r w:rsidRPr="007926AE">
        <w:rPr>
          <w:rFonts w:ascii="Arial" w:hAnsi="Arial" w:cs="Arial"/>
          <w:i/>
          <w:iCs/>
          <w:color w:val="000000"/>
          <w:sz w:val="22"/>
          <w:szCs w:val="22"/>
        </w:rPr>
        <w:t>et al.</w:t>
      </w:r>
      <w:r w:rsidRPr="007926AE">
        <w:rPr>
          <w:rFonts w:ascii="Arial" w:hAnsi="Arial" w:cs="Arial"/>
          <w:color w:val="000000"/>
          <w:sz w:val="22"/>
          <w:szCs w:val="22"/>
        </w:rPr>
        <w:t xml:space="preserve"> The importance of cellular internalization of antibody-targeted carbon nanotubes in the photothermal ablation of breast cancer cells. </w:t>
      </w:r>
      <w:r w:rsidRPr="007926AE">
        <w:rPr>
          <w:rFonts w:ascii="Arial" w:hAnsi="Arial" w:cs="Arial"/>
          <w:i/>
          <w:iCs/>
          <w:color w:val="000000"/>
          <w:sz w:val="22"/>
          <w:szCs w:val="22"/>
        </w:rPr>
        <w:t>Nanotechnology</w:t>
      </w:r>
      <w:r w:rsidRPr="007926AE">
        <w:rPr>
          <w:rFonts w:ascii="Arial" w:hAnsi="Arial" w:cs="Arial"/>
          <w:color w:val="000000"/>
          <w:sz w:val="22"/>
          <w:szCs w:val="22"/>
        </w:rPr>
        <w:t xml:space="preserve"> </w:t>
      </w:r>
      <w:r w:rsidRPr="007926AE">
        <w:rPr>
          <w:rFonts w:ascii="Arial" w:hAnsi="Arial" w:cs="Arial"/>
          <w:b/>
          <w:bCs/>
          <w:color w:val="000000"/>
          <w:sz w:val="22"/>
          <w:szCs w:val="22"/>
        </w:rPr>
        <w:t>22</w:t>
      </w:r>
      <w:r w:rsidRPr="007926AE">
        <w:rPr>
          <w:rFonts w:ascii="Arial" w:hAnsi="Arial" w:cs="Arial"/>
          <w:color w:val="000000"/>
          <w:sz w:val="22"/>
          <w:szCs w:val="22"/>
        </w:rPr>
        <w:t>, (2011).</w:t>
      </w:r>
    </w:p>
    <w:p w14:paraId="2CEB0317"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300.</w:t>
      </w:r>
      <w:r w:rsidRPr="007926AE">
        <w:rPr>
          <w:rFonts w:ascii="Arial" w:hAnsi="Arial" w:cs="Arial"/>
          <w:color w:val="000000"/>
          <w:sz w:val="22"/>
          <w:szCs w:val="22"/>
        </w:rPr>
        <w:tab/>
        <w:t xml:space="preserve">Wang, C. H., Huang, Y. J., Chang, C. W., Hsu, W. M. &amp; Peng, C. A. Invitro photothermal destruction of neuroblastoma cells using carbon nanotubes conjugated with GD2 monoclonal antibody. </w:t>
      </w:r>
      <w:r w:rsidRPr="007926AE">
        <w:rPr>
          <w:rFonts w:ascii="Arial" w:hAnsi="Arial" w:cs="Arial"/>
          <w:i/>
          <w:iCs/>
          <w:color w:val="000000"/>
          <w:sz w:val="22"/>
          <w:szCs w:val="22"/>
        </w:rPr>
        <w:t>Nanotechnology</w:t>
      </w:r>
      <w:r w:rsidRPr="007926AE">
        <w:rPr>
          <w:rFonts w:ascii="Arial" w:hAnsi="Arial" w:cs="Arial"/>
          <w:color w:val="000000"/>
          <w:sz w:val="22"/>
          <w:szCs w:val="22"/>
        </w:rPr>
        <w:t xml:space="preserve"> </w:t>
      </w:r>
      <w:r w:rsidRPr="007926AE">
        <w:rPr>
          <w:rFonts w:ascii="Arial" w:hAnsi="Arial" w:cs="Arial"/>
          <w:b/>
          <w:bCs/>
          <w:color w:val="000000"/>
          <w:sz w:val="22"/>
          <w:szCs w:val="22"/>
        </w:rPr>
        <w:t>20</w:t>
      </w:r>
      <w:r w:rsidRPr="007926AE">
        <w:rPr>
          <w:rFonts w:ascii="Arial" w:hAnsi="Arial" w:cs="Arial"/>
          <w:color w:val="000000"/>
          <w:sz w:val="22"/>
          <w:szCs w:val="22"/>
        </w:rPr>
        <w:t>, (2009).</w:t>
      </w:r>
    </w:p>
    <w:p w14:paraId="4EE25110"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301.</w:t>
      </w:r>
      <w:r w:rsidRPr="007926AE">
        <w:rPr>
          <w:rFonts w:ascii="Arial" w:hAnsi="Arial" w:cs="Arial"/>
          <w:color w:val="000000"/>
          <w:sz w:val="22"/>
          <w:szCs w:val="22"/>
        </w:rPr>
        <w:tab/>
        <w:t xml:space="preserve">Iancu, C. </w:t>
      </w:r>
      <w:r w:rsidRPr="007926AE">
        <w:rPr>
          <w:rFonts w:ascii="Arial" w:hAnsi="Arial" w:cs="Arial"/>
          <w:i/>
          <w:iCs/>
          <w:color w:val="000000"/>
          <w:sz w:val="22"/>
          <w:szCs w:val="22"/>
        </w:rPr>
        <w:t>et al.</w:t>
      </w:r>
      <w:r w:rsidRPr="007926AE">
        <w:rPr>
          <w:rFonts w:ascii="Arial" w:hAnsi="Arial" w:cs="Arial"/>
          <w:color w:val="000000"/>
          <w:sz w:val="22"/>
          <w:szCs w:val="22"/>
        </w:rPr>
        <w:t xml:space="preserve"> Enhanced laser thermal ablation for the in vitro treatment of liver cancer by specific delivery of multiwalled carbon nanotubes functionalized with human serum albumin. </w:t>
      </w:r>
      <w:r w:rsidRPr="007926AE">
        <w:rPr>
          <w:rFonts w:ascii="Arial" w:hAnsi="Arial" w:cs="Arial"/>
          <w:i/>
          <w:iCs/>
          <w:color w:val="000000"/>
          <w:sz w:val="22"/>
          <w:szCs w:val="22"/>
        </w:rPr>
        <w:t>International Journal of Nanomedicine</w:t>
      </w:r>
      <w:r w:rsidRPr="007926AE">
        <w:rPr>
          <w:rFonts w:ascii="Arial" w:hAnsi="Arial" w:cs="Arial"/>
          <w:color w:val="000000"/>
          <w:sz w:val="22"/>
          <w:szCs w:val="22"/>
        </w:rPr>
        <w:t xml:space="preserve"> </w:t>
      </w:r>
      <w:r w:rsidRPr="007926AE">
        <w:rPr>
          <w:rFonts w:ascii="Arial" w:hAnsi="Arial" w:cs="Arial"/>
          <w:b/>
          <w:bCs/>
          <w:color w:val="000000"/>
          <w:sz w:val="22"/>
          <w:szCs w:val="22"/>
        </w:rPr>
        <w:t>6</w:t>
      </w:r>
      <w:r w:rsidRPr="007926AE">
        <w:rPr>
          <w:rFonts w:ascii="Arial" w:hAnsi="Arial" w:cs="Arial"/>
          <w:color w:val="000000"/>
          <w:sz w:val="22"/>
          <w:szCs w:val="22"/>
        </w:rPr>
        <w:t>, 129–141 (2011).</w:t>
      </w:r>
    </w:p>
    <w:p w14:paraId="5B4CA62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302.</w:t>
      </w:r>
      <w:r w:rsidRPr="007926AE">
        <w:rPr>
          <w:rFonts w:ascii="Arial" w:hAnsi="Arial" w:cs="Arial"/>
          <w:color w:val="000000"/>
          <w:sz w:val="22"/>
          <w:szCs w:val="22"/>
        </w:rPr>
        <w:tab/>
        <w:t xml:space="preserve">Chou, H. T., Wang, T. P., Lee, C. Y., Tai, N. H. &amp; Chang, H. Y. Photothermal effects of multi-walled carbon nanotubes on the viability of BT-474 cancer cells. </w:t>
      </w:r>
      <w:r w:rsidRPr="007926AE">
        <w:rPr>
          <w:rFonts w:ascii="Arial" w:hAnsi="Arial" w:cs="Arial"/>
          <w:i/>
          <w:iCs/>
          <w:color w:val="000000"/>
          <w:sz w:val="22"/>
          <w:szCs w:val="22"/>
        </w:rPr>
        <w:t>Materials Science and Engineering C</w:t>
      </w:r>
      <w:r w:rsidRPr="007926AE">
        <w:rPr>
          <w:rFonts w:ascii="Arial" w:hAnsi="Arial" w:cs="Arial"/>
          <w:color w:val="000000"/>
          <w:sz w:val="22"/>
          <w:szCs w:val="22"/>
        </w:rPr>
        <w:t xml:space="preserve"> </w:t>
      </w:r>
      <w:r w:rsidRPr="007926AE">
        <w:rPr>
          <w:rFonts w:ascii="Arial" w:hAnsi="Arial" w:cs="Arial"/>
          <w:b/>
          <w:bCs/>
          <w:color w:val="000000"/>
          <w:sz w:val="22"/>
          <w:szCs w:val="22"/>
        </w:rPr>
        <w:t>33</w:t>
      </w:r>
      <w:r w:rsidRPr="007926AE">
        <w:rPr>
          <w:rFonts w:ascii="Arial" w:hAnsi="Arial" w:cs="Arial"/>
          <w:color w:val="000000"/>
          <w:sz w:val="22"/>
          <w:szCs w:val="22"/>
        </w:rPr>
        <w:t>, 989–995 (2013).</w:t>
      </w:r>
    </w:p>
    <w:p w14:paraId="268E3F9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303.</w:t>
      </w:r>
      <w:r w:rsidRPr="007926AE">
        <w:rPr>
          <w:rFonts w:ascii="Arial" w:hAnsi="Arial" w:cs="Arial"/>
          <w:color w:val="000000"/>
          <w:sz w:val="22"/>
          <w:szCs w:val="22"/>
        </w:rPr>
        <w:tab/>
        <w:t xml:space="preserve">Katt, M. E., Placone, A. L., Wong, A. D., Xu, Z. S. &amp; Searson, P. C. In vitro tumor models: Advantages, disadvantages, variables, and selecting the right platform. </w:t>
      </w:r>
      <w:r w:rsidRPr="007926AE">
        <w:rPr>
          <w:rFonts w:ascii="Arial" w:hAnsi="Arial" w:cs="Arial"/>
          <w:i/>
          <w:iCs/>
          <w:color w:val="000000"/>
          <w:sz w:val="22"/>
          <w:szCs w:val="22"/>
        </w:rPr>
        <w:t>Frontiers in Bioengineering and Biotechnology</w:t>
      </w:r>
      <w:r w:rsidRPr="007926AE">
        <w:rPr>
          <w:rFonts w:ascii="Arial" w:hAnsi="Arial" w:cs="Arial"/>
          <w:color w:val="000000"/>
          <w:sz w:val="22"/>
          <w:szCs w:val="22"/>
        </w:rPr>
        <w:t xml:space="preserve"> </w:t>
      </w:r>
      <w:r w:rsidRPr="007926AE">
        <w:rPr>
          <w:rFonts w:ascii="Arial" w:hAnsi="Arial" w:cs="Arial"/>
          <w:b/>
          <w:bCs/>
          <w:color w:val="000000"/>
          <w:sz w:val="22"/>
          <w:szCs w:val="22"/>
        </w:rPr>
        <w:t>4</w:t>
      </w:r>
      <w:r w:rsidRPr="007926AE">
        <w:rPr>
          <w:rFonts w:ascii="Arial" w:hAnsi="Arial" w:cs="Arial"/>
          <w:color w:val="000000"/>
          <w:sz w:val="22"/>
          <w:szCs w:val="22"/>
        </w:rPr>
        <w:t>, (2016).</w:t>
      </w:r>
    </w:p>
    <w:p w14:paraId="3A2A6A8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304.</w:t>
      </w:r>
      <w:r w:rsidRPr="007926AE">
        <w:rPr>
          <w:rFonts w:ascii="Arial" w:hAnsi="Arial" w:cs="Arial"/>
          <w:color w:val="000000"/>
          <w:sz w:val="22"/>
          <w:szCs w:val="22"/>
        </w:rPr>
        <w:tab/>
        <w:t xml:space="preserve">Moon, H. K., Lee, S. H. &amp; Choi, H. C. In vivo near-infrared mediated tumor destruction by photothermal effect of carbon nanotubes. </w:t>
      </w:r>
      <w:r w:rsidRPr="007926AE">
        <w:rPr>
          <w:rFonts w:ascii="Arial" w:hAnsi="Arial" w:cs="Arial"/>
          <w:i/>
          <w:iCs/>
          <w:color w:val="000000"/>
          <w:sz w:val="22"/>
          <w:szCs w:val="22"/>
        </w:rPr>
        <w:t>ACS Nano</w:t>
      </w:r>
      <w:r w:rsidRPr="007926AE">
        <w:rPr>
          <w:rFonts w:ascii="Arial" w:hAnsi="Arial" w:cs="Arial"/>
          <w:color w:val="000000"/>
          <w:sz w:val="22"/>
          <w:szCs w:val="22"/>
        </w:rPr>
        <w:t xml:space="preserve"> </w:t>
      </w:r>
      <w:r w:rsidRPr="007926AE">
        <w:rPr>
          <w:rFonts w:ascii="Arial" w:hAnsi="Arial" w:cs="Arial"/>
          <w:b/>
          <w:bCs/>
          <w:color w:val="000000"/>
          <w:sz w:val="22"/>
          <w:szCs w:val="22"/>
        </w:rPr>
        <w:t>3</w:t>
      </w:r>
      <w:r w:rsidRPr="007926AE">
        <w:rPr>
          <w:rFonts w:ascii="Arial" w:hAnsi="Arial" w:cs="Arial"/>
          <w:color w:val="000000"/>
          <w:sz w:val="22"/>
          <w:szCs w:val="22"/>
        </w:rPr>
        <w:t>, 3707–3713 (2009).</w:t>
      </w:r>
    </w:p>
    <w:p w14:paraId="0844D13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305.</w:t>
      </w:r>
      <w:r w:rsidRPr="007926AE">
        <w:rPr>
          <w:rFonts w:ascii="Arial" w:hAnsi="Arial" w:cs="Arial"/>
          <w:color w:val="000000"/>
          <w:sz w:val="22"/>
          <w:szCs w:val="22"/>
        </w:rPr>
        <w:tab/>
        <w:t xml:space="preserve">Burke, A. </w:t>
      </w:r>
      <w:r w:rsidRPr="007926AE">
        <w:rPr>
          <w:rFonts w:ascii="Arial" w:hAnsi="Arial" w:cs="Arial"/>
          <w:i/>
          <w:iCs/>
          <w:color w:val="000000"/>
          <w:sz w:val="22"/>
          <w:szCs w:val="22"/>
        </w:rPr>
        <w:t>et al.</w:t>
      </w:r>
      <w:r w:rsidRPr="007926AE">
        <w:rPr>
          <w:rFonts w:ascii="Arial" w:hAnsi="Arial" w:cs="Arial"/>
          <w:color w:val="000000"/>
          <w:sz w:val="22"/>
          <w:szCs w:val="22"/>
        </w:rPr>
        <w:t xml:space="preserve"> Long-term survival following a single treatment of kidney tumors with multiwalled carbon nanotubes and near-infrared radiation. </w:t>
      </w:r>
      <w:r w:rsidRPr="007926AE">
        <w:rPr>
          <w:rFonts w:ascii="Arial" w:hAnsi="Arial" w:cs="Arial"/>
          <w:i/>
          <w:iCs/>
          <w:color w:val="000000"/>
          <w:sz w:val="22"/>
          <w:szCs w:val="22"/>
        </w:rPr>
        <w:t>Proceedings of the National Academy of Sciences of the United States of America</w:t>
      </w:r>
      <w:r w:rsidRPr="007926AE">
        <w:rPr>
          <w:rFonts w:ascii="Arial" w:hAnsi="Arial" w:cs="Arial"/>
          <w:color w:val="000000"/>
          <w:sz w:val="22"/>
          <w:szCs w:val="22"/>
        </w:rPr>
        <w:t xml:space="preserve"> </w:t>
      </w:r>
      <w:r w:rsidRPr="007926AE">
        <w:rPr>
          <w:rFonts w:ascii="Arial" w:hAnsi="Arial" w:cs="Arial"/>
          <w:b/>
          <w:bCs/>
          <w:color w:val="000000"/>
          <w:sz w:val="22"/>
          <w:szCs w:val="22"/>
        </w:rPr>
        <w:t>106</w:t>
      </w:r>
      <w:r w:rsidRPr="007926AE">
        <w:rPr>
          <w:rFonts w:ascii="Arial" w:hAnsi="Arial" w:cs="Arial"/>
          <w:color w:val="000000"/>
          <w:sz w:val="22"/>
          <w:szCs w:val="22"/>
        </w:rPr>
        <w:t>, 12897–12902 (2009).</w:t>
      </w:r>
    </w:p>
    <w:p w14:paraId="531B42EF"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306.</w:t>
      </w:r>
      <w:r w:rsidRPr="007926AE">
        <w:rPr>
          <w:rFonts w:ascii="Arial" w:hAnsi="Arial" w:cs="Arial"/>
          <w:color w:val="000000"/>
          <w:sz w:val="22"/>
          <w:szCs w:val="22"/>
        </w:rPr>
        <w:tab/>
        <w:t xml:space="preserve">Ghosh, S. </w:t>
      </w:r>
      <w:r w:rsidRPr="007926AE">
        <w:rPr>
          <w:rFonts w:ascii="Arial" w:hAnsi="Arial" w:cs="Arial"/>
          <w:i/>
          <w:iCs/>
          <w:color w:val="000000"/>
          <w:sz w:val="22"/>
          <w:szCs w:val="22"/>
        </w:rPr>
        <w:t>et al.</w:t>
      </w:r>
      <w:r w:rsidRPr="007926AE">
        <w:rPr>
          <w:rFonts w:ascii="Arial" w:hAnsi="Arial" w:cs="Arial"/>
          <w:color w:val="000000"/>
          <w:sz w:val="22"/>
          <w:szCs w:val="22"/>
        </w:rPr>
        <w:t xml:space="preserve"> Increased heating efficiency and selective thermal ablation of malignant tissue with DNA-encased multiwalled carbon nanotubes. </w:t>
      </w:r>
      <w:r w:rsidRPr="007926AE">
        <w:rPr>
          <w:rFonts w:ascii="Arial" w:hAnsi="Arial" w:cs="Arial"/>
          <w:i/>
          <w:iCs/>
          <w:color w:val="000000"/>
          <w:sz w:val="22"/>
          <w:szCs w:val="22"/>
        </w:rPr>
        <w:t>ACS Nano</w:t>
      </w:r>
      <w:r w:rsidRPr="007926AE">
        <w:rPr>
          <w:rFonts w:ascii="Arial" w:hAnsi="Arial" w:cs="Arial"/>
          <w:color w:val="000000"/>
          <w:sz w:val="22"/>
          <w:szCs w:val="22"/>
        </w:rPr>
        <w:t xml:space="preserve"> </w:t>
      </w:r>
      <w:r w:rsidRPr="007926AE">
        <w:rPr>
          <w:rFonts w:ascii="Arial" w:hAnsi="Arial" w:cs="Arial"/>
          <w:b/>
          <w:bCs/>
          <w:color w:val="000000"/>
          <w:sz w:val="22"/>
          <w:szCs w:val="22"/>
        </w:rPr>
        <w:t>3</w:t>
      </w:r>
      <w:r w:rsidRPr="007926AE">
        <w:rPr>
          <w:rFonts w:ascii="Arial" w:hAnsi="Arial" w:cs="Arial"/>
          <w:color w:val="000000"/>
          <w:sz w:val="22"/>
          <w:szCs w:val="22"/>
        </w:rPr>
        <w:t>, 2667–2673 (2009).</w:t>
      </w:r>
    </w:p>
    <w:p w14:paraId="57E3B2C0"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307.</w:t>
      </w:r>
      <w:r w:rsidRPr="007926AE">
        <w:rPr>
          <w:rFonts w:ascii="Arial" w:hAnsi="Arial" w:cs="Arial"/>
          <w:color w:val="000000"/>
          <w:sz w:val="22"/>
          <w:szCs w:val="22"/>
        </w:rPr>
        <w:tab/>
        <w:t xml:space="preserve">Huang, N. </w:t>
      </w:r>
      <w:r w:rsidRPr="007926AE">
        <w:rPr>
          <w:rFonts w:ascii="Arial" w:hAnsi="Arial" w:cs="Arial"/>
          <w:i/>
          <w:iCs/>
          <w:color w:val="000000"/>
          <w:sz w:val="22"/>
          <w:szCs w:val="22"/>
        </w:rPr>
        <w:t>et al.</w:t>
      </w:r>
      <w:r w:rsidRPr="007926AE">
        <w:rPr>
          <w:rFonts w:ascii="Arial" w:hAnsi="Arial" w:cs="Arial"/>
          <w:color w:val="000000"/>
          <w:sz w:val="22"/>
          <w:szCs w:val="22"/>
        </w:rPr>
        <w:t xml:space="preserve"> Single-wall carbon nanotubes assisted photothermal cancer therapy: Animal study with a murine model of squamous cell carcinoma. </w:t>
      </w:r>
      <w:r w:rsidRPr="007926AE">
        <w:rPr>
          <w:rFonts w:ascii="Arial" w:hAnsi="Arial" w:cs="Arial"/>
          <w:i/>
          <w:iCs/>
          <w:color w:val="000000"/>
          <w:sz w:val="22"/>
          <w:szCs w:val="22"/>
        </w:rPr>
        <w:t>Lasers in Surgery and Medicine</w:t>
      </w:r>
      <w:r w:rsidRPr="007926AE">
        <w:rPr>
          <w:rFonts w:ascii="Arial" w:hAnsi="Arial" w:cs="Arial"/>
          <w:color w:val="000000"/>
          <w:sz w:val="22"/>
          <w:szCs w:val="22"/>
        </w:rPr>
        <w:t xml:space="preserve"> </w:t>
      </w:r>
      <w:r w:rsidRPr="007926AE">
        <w:rPr>
          <w:rFonts w:ascii="Arial" w:hAnsi="Arial" w:cs="Arial"/>
          <w:b/>
          <w:bCs/>
          <w:color w:val="000000"/>
          <w:sz w:val="22"/>
          <w:szCs w:val="22"/>
        </w:rPr>
        <w:t>42</w:t>
      </w:r>
      <w:r w:rsidRPr="007926AE">
        <w:rPr>
          <w:rFonts w:ascii="Arial" w:hAnsi="Arial" w:cs="Arial"/>
          <w:color w:val="000000"/>
          <w:sz w:val="22"/>
          <w:szCs w:val="22"/>
        </w:rPr>
        <w:t>, 638–648 (2010).</w:t>
      </w:r>
    </w:p>
    <w:p w14:paraId="554D471E"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308.</w:t>
      </w:r>
      <w:r w:rsidRPr="007926AE">
        <w:rPr>
          <w:rFonts w:ascii="Arial" w:hAnsi="Arial" w:cs="Arial"/>
          <w:color w:val="000000"/>
          <w:sz w:val="22"/>
          <w:szCs w:val="22"/>
        </w:rPr>
        <w:tab/>
        <w:t xml:space="preserve">Zhou, F. </w:t>
      </w:r>
      <w:r w:rsidRPr="007926AE">
        <w:rPr>
          <w:rFonts w:ascii="Arial" w:hAnsi="Arial" w:cs="Arial"/>
          <w:i/>
          <w:iCs/>
          <w:color w:val="000000"/>
          <w:sz w:val="22"/>
          <w:szCs w:val="22"/>
        </w:rPr>
        <w:t>et al.</w:t>
      </w:r>
      <w:r w:rsidRPr="007926AE">
        <w:rPr>
          <w:rFonts w:ascii="Arial" w:hAnsi="Arial" w:cs="Arial"/>
          <w:color w:val="000000"/>
          <w:sz w:val="22"/>
          <w:szCs w:val="22"/>
        </w:rPr>
        <w:t xml:space="preserve"> Antitumor immunologically modified carbon nanotubes for photothermal therapy. </w:t>
      </w:r>
      <w:r w:rsidRPr="007926AE">
        <w:rPr>
          <w:rFonts w:ascii="Arial" w:hAnsi="Arial" w:cs="Arial"/>
          <w:i/>
          <w:iCs/>
          <w:color w:val="000000"/>
          <w:sz w:val="22"/>
          <w:szCs w:val="22"/>
        </w:rPr>
        <w:t>Biomaterials</w:t>
      </w:r>
      <w:r w:rsidRPr="007926AE">
        <w:rPr>
          <w:rFonts w:ascii="Arial" w:hAnsi="Arial" w:cs="Arial"/>
          <w:color w:val="000000"/>
          <w:sz w:val="22"/>
          <w:szCs w:val="22"/>
        </w:rPr>
        <w:t xml:space="preserve"> </w:t>
      </w:r>
      <w:r w:rsidRPr="007926AE">
        <w:rPr>
          <w:rFonts w:ascii="Arial" w:hAnsi="Arial" w:cs="Arial"/>
          <w:b/>
          <w:bCs/>
          <w:color w:val="000000"/>
          <w:sz w:val="22"/>
          <w:szCs w:val="22"/>
        </w:rPr>
        <w:t>33</w:t>
      </w:r>
      <w:r w:rsidRPr="007926AE">
        <w:rPr>
          <w:rFonts w:ascii="Arial" w:hAnsi="Arial" w:cs="Arial"/>
          <w:color w:val="000000"/>
          <w:sz w:val="22"/>
          <w:szCs w:val="22"/>
        </w:rPr>
        <w:t>, 3235–3242 (2012).</w:t>
      </w:r>
    </w:p>
    <w:p w14:paraId="10AE1BCC"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309.</w:t>
      </w:r>
      <w:r w:rsidRPr="007926AE">
        <w:rPr>
          <w:rFonts w:ascii="Arial" w:hAnsi="Arial" w:cs="Arial"/>
          <w:color w:val="000000"/>
          <w:sz w:val="22"/>
          <w:szCs w:val="22"/>
        </w:rPr>
        <w:tab/>
        <w:t xml:space="preserve">Zhou, F., Wu, S., Wu, B., Chen, W. R. &amp; Xing, D. Mitochondria-targeting single-walled carbon nanotubes for cancer photothermal therapy. </w:t>
      </w:r>
      <w:r w:rsidRPr="007926AE">
        <w:rPr>
          <w:rFonts w:ascii="Arial" w:hAnsi="Arial" w:cs="Arial"/>
          <w:i/>
          <w:iCs/>
          <w:color w:val="000000"/>
          <w:sz w:val="22"/>
          <w:szCs w:val="22"/>
        </w:rPr>
        <w:t>Small</w:t>
      </w:r>
      <w:r w:rsidRPr="007926AE">
        <w:rPr>
          <w:rFonts w:ascii="Arial" w:hAnsi="Arial" w:cs="Arial"/>
          <w:color w:val="000000"/>
          <w:sz w:val="22"/>
          <w:szCs w:val="22"/>
        </w:rPr>
        <w:t xml:space="preserve"> </w:t>
      </w:r>
      <w:r w:rsidRPr="007926AE">
        <w:rPr>
          <w:rFonts w:ascii="Arial" w:hAnsi="Arial" w:cs="Arial"/>
          <w:b/>
          <w:bCs/>
          <w:color w:val="000000"/>
          <w:sz w:val="22"/>
          <w:szCs w:val="22"/>
        </w:rPr>
        <w:t>7</w:t>
      </w:r>
      <w:r w:rsidRPr="007926AE">
        <w:rPr>
          <w:rFonts w:ascii="Arial" w:hAnsi="Arial" w:cs="Arial"/>
          <w:color w:val="000000"/>
          <w:sz w:val="22"/>
          <w:szCs w:val="22"/>
        </w:rPr>
        <w:t>, 2727–2735 (2011).</w:t>
      </w:r>
    </w:p>
    <w:p w14:paraId="026D290B"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310.</w:t>
      </w:r>
      <w:r w:rsidRPr="007926AE">
        <w:rPr>
          <w:rFonts w:ascii="Arial" w:hAnsi="Arial" w:cs="Arial"/>
          <w:color w:val="000000"/>
          <w:sz w:val="22"/>
          <w:szCs w:val="22"/>
        </w:rPr>
        <w:tab/>
        <w:t xml:space="preserve">Wang, C. </w:t>
      </w:r>
      <w:r w:rsidRPr="007926AE">
        <w:rPr>
          <w:rFonts w:ascii="Arial" w:hAnsi="Arial" w:cs="Arial"/>
          <w:i/>
          <w:iCs/>
          <w:color w:val="000000"/>
          <w:sz w:val="22"/>
          <w:szCs w:val="22"/>
        </w:rPr>
        <w:t>et al.</w:t>
      </w:r>
      <w:r w:rsidRPr="007926AE">
        <w:rPr>
          <w:rFonts w:ascii="Arial" w:hAnsi="Arial" w:cs="Arial"/>
          <w:color w:val="000000"/>
          <w:sz w:val="22"/>
          <w:szCs w:val="22"/>
        </w:rPr>
        <w:t xml:space="preserve"> Immunological responses triggered by photothermal therapy with carbon nanotubes in combination with anti-CTLA-4 therapy to inhibit cancer metastasis. </w:t>
      </w:r>
      <w:r w:rsidRPr="007926AE">
        <w:rPr>
          <w:rFonts w:ascii="Arial" w:hAnsi="Arial" w:cs="Arial"/>
          <w:i/>
          <w:iCs/>
          <w:color w:val="000000"/>
          <w:sz w:val="22"/>
          <w:szCs w:val="22"/>
        </w:rPr>
        <w:t>Advanced Materials</w:t>
      </w:r>
      <w:r w:rsidRPr="007926AE">
        <w:rPr>
          <w:rFonts w:ascii="Arial" w:hAnsi="Arial" w:cs="Arial"/>
          <w:color w:val="000000"/>
          <w:sz w:val="22"/>
          <w:szCs w:val="22"/>
        </w:rPr>
        <w:t xml:space="preserve"> </w:t>
      </w:r>
      <w:r w:rsidRPr="007926AE">
        <w:rPr>
          <w:rFonts w:ascii="Arial" w:hAnsi="Arial" w:cs="Arial"/>
          <w:b/>
          <w:bCs/>
          <w:color w:val="000000"/>
          <w:sz w:val="22"/>
          <w:szCs w:val="22"/>
        </w:rPr>
        <w:t>26</w:t>
      </w:r>
      <w:r w:rsidRPr="007926AE">
        <w:rPr>
          <w:rFonts w:ascii="Arial" w:hAnsi="Arial" w:cs="Arial"/>
          <w:color w:val="000000"/>
          <w:sz w:val="22"/>
          <w:szCs w:val="22"/>
        </w:rPr>
        <w:t>, 8154–8162 (2014).</w:t>
      </w:r>
    </w:p>
    <w:p w14:paraId="30CC4CDC"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311.</w:t>
      </w:r>
      <w:r w:rsidRPr="007926AE">
        <w:rPr>
          <w:rFonts w:ascii="Arial" w:hAnsi="Arial" w:cs="Arial"/>
          <w:color w:val="000000"/>
          <w:sz w:val="22"/>
          <w:szCs w:val="22"/>
        </w:rPr>
        <w:tab/>
        <w:t xml:space="preserve">Dong, X., Sun, Z., Wang, X. &amp; Leng, X. An innovative MWCNTs/DOX/TC nanosystem for chemo-photothermal combination therapy of cancer. </w:t>
      </w:r>
      <w:r w:rsidRPr="007926AE">
        <w:rPr>
          <w:rFonts w:ascii="Arial" w:hAnsi="Arial" w:cs="Arial"/>
          <w:i/>
          <w:iCs/>
          <w:color w:val="000000"/>
          <w:sz w:val="22"/>
          <w:szCs w:val="22"/>
        </w:rPr>
        <w:t>Nanomedicine: Nanotechnology, Biology, and Medicine</w:t>
      </w:r>
      <w:r w:rsidRPr="007926AE">
        <w:rPr>
          <w:rFonts w:ascii="Arial" w:hAnsi="Arial" w:cs="Arial"/>
          <w:color w:val="000000"/>
          <w:sz w:val="22"/>
          <w:szCs w:val="22"/>
        </w:rPr>
        <w:t xml:space="preserve"> </w:t>
      </w:r>
      <w:r w:rsidRPr="007926AE">
        <w:rPr>
          <w:rFonts w:ascii="Arial" w:hAnsi="Arial" w:cs="Arial"/>
          <w:b/>
          <w:bCs/>
          <w:color w:val="000000"/>
          <w:sz w:val="22"/>
          <w:szCs w:val="22"/>
        </w:rPr>
        <w:t>13</w:t>
      </w:r>
      <w:r w:rsidRPr="007926AE">
        <w:rPr>
          <w:rFonts w:ascii="Arial" w:hAnsi="Arial" w:cs="Arial"/>
          <w:color w:val="000000"/>
          <w:sz w:val="22"/>
          <w:szCs w:val="22"/>
        </w:rPr>
        <w:t>, 2271–2280 (2017).</w:t>
      </w:r>
    </w:p>
    <w:p w14:paraId="28AD60CD"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312.</w:t>
      </w:r>
      <w:r w:rsidRPr="007926AE">
        <w:rPr>
          <w:rFonts w:ascii="Arial" w:hAnsi="Arial" w:cs="Arial"/>
          <w:color w:val="000000"/>
          <w:sz w:val="22"/>
          <w:szCs w:val="22"/>
        </w:rPr>
        <w:tab/>
        <w:t xml:space="preserve">Li, Y. </w:t>
      </w:r>
      <w:r w:rsidRPr="007926AE">
        <w:rPr>
          <w:rFonts w:ascii="Arial" w:hAnsi="Arial" w:cs="Arial"/>
          <w:i/>
          <w:iCs/>
          <w:color w:val="000000"/>
          <w:sz w:val="22"/>
          <w:szCs w:val="22"/>
        </w:rPr>
        <w:t>et al.</w:t>
      </w:r>
      <w:r w:rsidRPr="007926AE">
        <w:rPr>
          <w:rFonts w:ascii="Arial" w:hAnsi="Arial" w:cs="Arial"/>
          <w:color w:val="000000"/>
          <w:sz w:val="22"/>
          <w:szCs w:val="22"/>
        </w:rPr>
        <w:t xml:space="preserve"> Phototherapy using immunologically modified carbon nanotubes to potentiate checkpoint blockade for metastatic breast cancer. </w:t>
      </w:r>
      <w:r w:rsidRPr="007926AE">
        <w:rPr>
          <w:rFonts w:ascii="Arial" w:hAnsi="Arial" w:cs="Arial"/>
          <w:i/>
          <w:iCs/>
          <w:color w:val="000000"/>
          <w:sz w:val="22"/>
          <w:szCs w:val="22"/>
        </w:rPr>
        <w:t>Nanomedicine: Nanotechnology, Biology, and Medicine</w:t>
      </w:r>
      <w:r w:rsidRPr="007926AE">
        <w:rPr>
          <w:rFonts w:ascii="Arial" w:hAnsi="Arial" w:cs="Arial"/>
          <w:color w:val="000000"/>
          <w:sz w:val="22"/>
          <w:szCs w:val="22"/>
        </w:rPr>
        <w:t xml:space="preserve"> </w:t>
      </w:r>
      <w:r w:rsidRPr="007926AE">
        <w:rPr>
          <w:rFonts w:ascii="Arial" w:hAnsi="Arial" w:cs="Arial"/>
          <w:b/>
          <w:bCs/>
          <w:color w:val="000000"/>
          <w:sz w:val="22"/>
          <w:szCs w:val="22"/>
        </w:rPr>
        <w:t>18</w:t>
      </w:r>
      <w:r w:rsidRPr="007926AE">
        <w:rPr>
          <w:rFonts w:ascii="Arial" w:hAnsi="Arial" w:cs="Arial"/>
          <w:color w:val="000000"/>
          <w:sz w:val="22"/>
          <w:szCs w:val="22"/>
        </w:rPr>
        <w:t>, 44–53 (2019).</w:t>
      </w:r>
    </w:p>
    <w:p w14:paraId="1E6770E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313.</w:t>
      </w:r>
      <w:r w:rsidRPr="007926AE">
        <w:rPr>
          <w:rFonts w:ascii="Arial" w:hAnsi="Arial" w:cs="Arial"/>
          <w:color w:val="000000"/>
          <w:sz w:val="22"/>
          <w:szCs w:val="22"/>
        </w:rPr>
        <w:tab/>
        <w:t xml:space="preserve">Ouzounova, M. </w:t>
      </w:r>
      <w:r w:rsidRPr="007926AE">
        <w:rPr>
          <w:rFonts w:ascii="Arial" w:hAnsi="Arial" w:cs="Arial"/>
          <w:i/>
          <w:iCs/>
          <w:color w:val="000000"/>
          <w:sz w:val="22"/>
          <w:szCs w:val="22"/>
        </w:rPr>
        <w:t>et al.</w:t>
      </w:r>
      <w:r w:rsidRPr="007926AE">
        <w:rPr>
          <w:rFonts w:ascii="Arial" w:hAnsi="Arial" w:cs="Arial"/>
          <w:color w:val="000000"/>
          <w:sz w:val="22"/>
          <w:szCs w:val="22"/>
        </w:rPr>
        <w:t xml:space="preserve"> Monocytic and granulocytic myeloid derived suppressor cells differentially regulate spatiotemporal tumour plasticity during metastatic cascade. </w:t>
      </w:r>
      <w:r w:rsidRPr="007926AE">
        <w:rPr>
          <w:rFonts w:ascii="Arial" w:hAnsi="Arial" w:cs="Arial"/>
          <w:i/>
          <w:iCs/>
          <w:color w:val="000000"/>
          <w:sz w:val="22"/>
          <w:szCs w:val="22"/>
        </w:rPr>
        <w:t>Nat Commun</w:t>
      </w:r>
      <w:r w:rsidRPr="007926AE">
        <w:rPr>
          <w:rFonts w:ascii="Arial" w:hAnsi="Arial" w:cs="Arial"/>
          <w:color w:val="000000"/>
          <w:sz w:val="22"/>
          <w:szCs w:val="22"/>
        </w:rPr>
        <w:t xml:space="preserve"> </w:t>
      </w:r>
      <w:r w:rsidRPr="007926AE">
        <w:rPr>
          <w:rFonts w:ascii="Arial" w:hAnsi="Arial" w:cs="Arial"/>
          <w:b/>
          <w:bCs/>
          <w:color w:val="000000"/>
          <w:sz w:val="22"/>
          <w:szCs w:val="22"/>
        </w:rPr>
        <w:t>8</w:t>
      </w:r>
      <w:r w:rsidRPr="007926AE">
        <w:rPr>
          <w:rFonts w:ascii="Arial" w:hAnsi="Arial" w:cs="Arial"/>
          <w:color w:val="000000"/>
          <w:sz w:val="22"/>
          <w:szCs w:val="22"/>
        </w:rPr>
        <w:t>, 14979 (2017).</w:t>
      </w:r>
    </w:p>
    <w:p w14:paraId="01629B32"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314.</w:t>
      </w:r>
      <w:r w:rsidRPr="007926AE">
        <w:rPr>
          <w:rFonts w:ascii="Arial" w:hAnsi="Arial" w:cs="Arial"/>
          <w:color w:val="000000"/>
          <w:sz w:val="22"/>
          <w:szCs w:val="22"/>
        </w:rPr>
        <w:tab/>
        <w:t xml:space="preserve">Erin, N. </w:t>
      </w:r>
      <w:r w:rsidRPr="007926AE">
        <w:rPr>
          <w:rFonts w:ascii="Arial" w:hAnsi="Arial" w:cs="Arial"/>
          <w:i/>
          <w:iCs/>
          <w:color w:val="000000"/>
          <w:sz w:val="22"/>
          <w:szCs w:val="22"/>
        </w:rPr>
        <w:t>et al.</w:t>
      </w:r>
      <w:r w:rsidRPr="007926AE">
        <w:rPr>
          <w:rFonts w:ascii="Arial" w:hAnsi="Arial" w:cs="Arial"/>
          <w:color w:val="000000"/>
          <w:sz w:val="22"/>
          <w:szCs w:val="22"/>
        </w:rPr>
        <w:t xml:space="preserve"> Bidirectional effect of CD200 on breast cancer development and metastasis, with ultimate outcome determined by tumor aggressiveness and a cancer-induced inflammatory response. </w:t>
      </w:r>
      <w:r w:rsidRPr="007926AE">
        <w:rPr>
          <w:rFonts w:ascii="Arial" w:hAnsi="Arial" w:cs="Arial"/>
          <w:i/>
          <w:iCs/>
          <w:color w:val="000000"/>
          <w:sz w:val="22"/>
          <w:szCs w:val="22"/>
        </w:rPr>
        <w:t>Oncogene</w:t>
      </w:r>
      <w:r w:rsidRPr="007926AE">
        <w:rPr>
          <w:rFonts w:ascii="Arial" w:hAnsi="Arial" w:cs="Arial"/>
          <w:color w:val="000000"/>
          <w:sz w:val="22"/>
          <w:szCs w:val="22"/>
        </w:rPr>
        <w:t xml:space="preserve"> </w:t>
      </w:r>
      <w:r w:rsidRPr="007926AE">
        <w:rPr>
          <w:rFonts w:ascii="Arial" w:hAnsi="Arial" w:cs="Arial"/>
          <w:b/>
          <w:bCs/>
          <w:color w:val="000000"/>
          <w:sz w:val="22"/>
          <w:szCs w:val="22"/>
        </w:rPr>
        <w:t>34</w:t>
      </w:r>
      <w:r w:rsidRPr="007926AE">
        <w:rPr>
          <w:rFonts w:ascii="Arial" w:hAnsi="Arial" w:cs="Arial"/>
          <w:color w:val="000000"/>
          <w:sz w:val="22"/>
          <w:szCs w:val="22"/>
        </w:rPr>
        <w:t>, 3860–3870 (2015).</w:t>
      </w:r>
    </w:p>
    <w:p w14:paraId="3EE881C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315.</w:t>
      </w:r>
      <w:r w:rsidRPr="007926AE">
        <w:rPr>
          <w:rFonts w:ascii="Arial" w:hAnsi="Arial" w:cs="Arial"/>
          <w:color w:val="000000"/>
          <w:sz w:val="22"/>
          <w:szCs w:val="22"/>
        </w:rPr>
        <w:tab/>
        <w:t xml:space="preserve">Ravindranathan, S. </w:t>
      </w:r>
      <w:r w:rsidRPr="007926AE">
        <w:rPr>
          <w:rFonts w:ascii="Arial" w:hAnsi="Arial" w:cs="Arial"/>
          <w:i/>
          <w:iCs/>
          <w:color w:val="000000"/>
          <w:sz w:val="22"/>
          <w:szCs w:val="22"/>
        </w:rPr>
        <w:t>et al.</w:t>
      </w:r>
      <w:r w:rsidRPr="007926AE">
        <w:rPr>
          <w:rFonts w:ascii="Arial" w:hAnsi="Arial" w:cs="Arial"/>
          <w:color w:val="000000"/>
          <w:sz w:val="22"/>
          <w:szCs w:val="22"/>
        </w:rPr>
        <w:t xml:space="preserve"> Tumor-derived granulocyte colony-stimulating factor diminishes efficacy of breast tumor cell vaccines. </w:t>
      </w:r>
      <w:r w:rsidRPr="007926AE">
        <w:rPr>
          <w:rFonts w:ascii="Arial" w:hAnsi="Arial" w:cs="Arial"/>
          <w:i/>
          <w:iCs/>
          <w:color w:val="000000"/>
          <w:sz w:val="22"/>
          <w:szCs w:val="22"/>
        </w:rPr>
        <w:t>Breast Cancer Res</w:t>
      </w:r>
      <w:r w:rsidRPr="007926AE">
        <w:rPr>
          <w:rFonts w:ascii="Arial" w:hAnsi="Arial" w:cs="Arial"/>
          <w:color w:val="000000"/>
          <w:sz w:val="22"/>
          <w:szCs w:val="22"/>
        </w:rPr>
        <w:t xml:space="preserve"> </w:t>
      </w:r>
      <w:r w:rsidRPr="007926AE">
        <w:rPr>
          <w:rFonts w:ascii="Arial" w:hAnsi="Arial" w:cs="Arial"/>
          <w:b/>
          <w:bCs/>
          <w:color w:val="000000"/>
          <w:sz w:val="22"/>
          <w:szCs w:val="22"/>
        </w:rPr>
        <w:t>20</w:t>
      </w:r>
      <w:r w:rsidRPr="007926AE">
        <w:rPr>
          <w:rFonts w:ascii="Arial" w:hAnsi="Arial" w:cs="Arial"/>
          <w:color w:val="000000"/>
          <w:sz w:val="22"/>
          <w:szCs w:val="22"/>
        </w:rPr>
        <w:t>, 126 (2018).</w:t>
      </w:r>
    </w:p>
    <w:p w14:paraId="78C7034F"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316.</w:t>
      </w:r>
      <w:r w:rsidRPr="007926AE">
        <w:rPr>
          <w:rFonts w:ascii="Arial" w:hAnsi="Arial" w:cs="Arial"/>
          <w:color w:val="000000"/>
          <w:sz w:val="22"/>
          <w:szCs w:val="22"/>
        </w:rPr>
        <w:tab/>
        <w:t xml:space="preserve">Broz, M. L. </w:t>
      </w:r>
      <w:r w:rsidRPr="007926AE">
        <w:rPr>
          <w:rFonts w:ascii="Arial" w:hAnsi="Arial" w:cs="Arial"/>
          <w:i/>
          <w:iCs/>
          <w:color w:val="000000"/>
          <w:sz w:val="22"/>
          <w:szCs w:val="22"/>
        </w:rPr>
        <w:t>et al.</w:t>
      </w:r>
      <w:r w:rsidRPr="007926AE">
        <w:rPr>
          <w:rFonts w:ascii="Arial" w:hAnsi="Arial" w:cs="Arial"/>
          <w:color w:val="000000"/>
          <w:sz w:val="22"/>
          <w:szCs w:val="22"/>
        </w:rPr>
        <w:t xml:space="preserve"> Dissecting the Tumor Myeloid Compartment Reveals Rare Activating Antigen-Presenting Cells Critical for T Cell Immunity. </w:t>
      </w:r>
      <w:r w:rsidRPr="007926AE">
        <w:rPr>
          <w:rFonts w:ascii="Arial" w:hAnsi="Arial" w:cs="Arial"/>
          <w:i/>
          <w:iCs/>
          <w:color w:val="000000"/>
          <w:sz w:val="22"/>
          <w:szCs w:val="22"/>
        </w:rPr>
        <w:t>Cancer Cell</w:t>
      </w:r>
      <w:r w:rsidRPr="007926AE">
        <w:rPr>
          <w:rFonts w:ascii="Arial" w:hAnsi="Arial" w:cs="Arial"/>
          <w:color w:val="000000"/>
          <w:sz w:val="22"/>
          <w:szCs w:val="22"/>
        </w:rPr>
        <w:t xml:space="preserve"> </w:t>
      </w:r>
      <w:r w:rsidRPr="007926AE">
        <w:rPr>
          <w:rFonts w:ascii="Arial" w:hAnsi="Arial" w:cs="Arial"/>
          <w:b/>
          <w:bCs/>
          <w:color w:val="000000"/>
          <w:sz w:val="22"/>
          <w:szCs w:val="22"/>
        </w:rPr>
        <w:t>26</w:t>
      </w:r>
      <w:r w:rsidRPr="007926AE">
        <w:rPr>
          <w:rFonts w:ascii="Arial" w:hAnsi="Arial" w:cs="Arial"/>
          <w:color w:val="000000"/>
          <w:sz w:val="22"/>
          <w:szCs w:val="22"/>
        </w:rPr>
        <w:t>, 638–652 (2014).</w:t>
      </w:r>
    </w:p>
    <w:p w14:paraId="05D6E17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317.</w:t>
      </w:r>
      <w:r w:rsidRPr="007926AE">
        <w:rPr>
          <w:rFonts w:ascii="Arial" w:hAnsi="Arial" w:cs="Arial"/>
          <w:color w:val="000000"/>
          <w:sz w:val="22"/>
          <w:szCs w:val="22"/>
        </w:rPr>
        <w:tab/>
        <w:t xml:space="preserve">Demaria, O. </w:t>
      </w:r>
      <w:r w:rsidRPr="007926AE">
        <w:rPr>
          <w:rFonts w:ascii="Arial" w:hAnsi="Arial" w:cs="Arial"/>
          <w:i/>
          <w:iCs/>
          <w:color w:val="000000"/>
          <w:sz w:val="22"/>
          <w:szCs w:val="22"/>
        </w:rPr>
        <w:t>et al.</w:t>
      </w:r>
      <w:r w:rsidRPr="007926AE">
        <w:rPr>
          <w:rFonts w:ascii="Arial" w:hAnsi="Arial" w:cs="Arial"/>
          <w:color w:val="000000"/>
          <w:sz w:val="22"/>
          <w:szCs w:val="22"/>
        </w:rPr>
        <w:t xml:space="preserve"> Harnessing innate immunity in cancer therapy. </w:t>
      </w:r>
      <w:r w:rsidRPr="007926AE">
        <w:rPr>
          <w:rFonts w:ascii="Arial" w:hAnsi="Arial" w:cs="Arial"/>
          <w:i/>
          <w:iCs/>
          <w:color w:val="000000"/>
          <w:sz w:val="22"/>
          <w:szCs w:val="22"/>
        </w:rPr>
        <w:t>Nature</w:t>
      </w:r>
      <w:r w:rsidRPr="007926AE">
        <w:rPr>
          <w:rFonts w:ascii="Arial" w:hAnsi="Arial" w:cs="Arial"/>
          <w:color w:val="000000"/>
          <w:sz w:val="22"/>
          <w:szCs w:val="22"/>
        </w:rPr>
        <w:t xml:space="preserve"> </w:t>
      </w:r>
      <w:r w:rsidRPr="007926AE">
        <w:rPr>
          <w:rFonts w:ascii="Arial" w:hAnsi="Arial" w:cs="Arial"/>
          <w:b/>
          <w:bCs/>
          <w:color w:val="000000"/>
          <w:sz w:val="22"/>
          <w:szCs w:val="22"/>
        </w:rPr>
        <w:t>574</w:t>
      </w:r>
      <w:r w:rsidRPr="007926AE">
        <w:rPr>
          <w:rFonts w:ascii="Arial" w:hAnsi="Arial" w:cs="Arial"/>
          <w:color w:val="000000"/>
          <w:sz w:val="22"/>
          <w:szCs w:val="22"/>
        </w:rPr>
        <w:t>, 45–56 (2019).</w:t>
      </w:r>
    </w:p>
    <w:p w14:paraId="1F945E2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318.</w:t>
      </w:r>
      <w:r w:rsidRPr="007926AE">
        <w:rPr>
          <w:rFonts w:ascii="Arial" w:hAnsi="Arial" w:cs="Arial"/>
          <w:color w:val="000000"/>
          <w:sz w:val="22"/>
          <w:szCs w:val="22"/>
        </w:rPr>
        <w:tab/>
        <w:t xml:space="preserve">Marabelle, A. </w:t>
      </w:r>
      <w:r w:rsidRPr="007926AE">
        <w:rPr>
          <w:rFonts w:ascii="Arial" w:hAnsi="Arial" w:cs="Arial"/>
          <w:i/>
          <w:iCs/>
          <w:color w:val="000000"/>
          <w:sz w:val="22"/>
          <w:szCs w:val="22"/>
        </w:rPr>
        <w:t>et al.</w:t>
      </w:r>
      <w:r w:rsidRPr="007926AE">
        <w:rPr>
          <w:rFonts w:ascii="Arial" w:hAnsi="Arial" w:cs="Arial"/>
          <w:color w:val="000000"/>
          <w:sz w:val="22"/>
          <w:szCs w:val="22"/>
        </w:rPr>
        <w:t xml:space="preserve"> Depleting tumor-specific Tregs at a single site eradicates disseminated tumors. </w:t>
      </w:r>
      <w:r w:rsidRPr="007926AE">
        <w:rPr>
          <w:rFonts w:ascii="Arial" w:hAnsi="Arial" w:cs="Arial"/>
          <w:i/>
          <w:iCs/>
          <w:color w:val="000000"/>
          <w:sz w:val="22"/>
          <w:szCs w:val="22"/>
        </w:rPr>
        <w:t>J. Clin. Invest.</w:t>
      </w:r>
      <w:r w:rsidRPr="007926AE">
        <w:rPr>
          <w:rFonts w:ascii="Arial" w:hAnsi="Arial" w:cs="Arial"/>
          <w:color w:val="000000"/>
          <w:sz w:val="22"/>
          <w:szCs w:val="22"/>
        </w:rPr>
        <w:t xml:space="preserve"> </w:t>
      </w:r>
      <w:r w:rsidRPr="007926AE">
        <w:rPr>
          <w:rFonts w:ascii="Arial" w:hAnsi="Arial" w:cs="Arial"/>
          <w:b/>
          <w:bCs/>
          <w:color w:val="000000"/>
          <w:sz w:val="22"/>
          <w:szCs w:val="22"/>
        </w:rPr>
        <w:t>123</w:t>
      </w:r>
      <w:r w:rsidRPr="007926AE">
        <w:rPr>
          <w:rFonts w:ascii="Arial" w:hAnsi="Arial" w:cs="Arial"/>
          <w:color w:val="000000"/>
          <w:sz w:val="22"/>
          <w:szCs w:val="22"/>
        </w:rPr>
        <w:t>, 2447–2463 (2013).</w:t>
      </w:r>
    </w:p>
    <w:p w14:paraId="19EC1845"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319.</w:t>
      </w:r>
      <w:r w:rsidRPr="007926AE">
        <w:rPr>
          <w:rFonts w:ascii="Arial" w:hAnsi="Arial" w:cs="Arial"/>
          <w:color w:val="000000"/>
          <w:sz w:val="22"/>
          <w:szCs w:val="22"/>
        </w:rPr>
        <w:tab/>
        <w:t xml:space="preserve">Houot, R. &amp; Levy, R. T-cell modulation combined with intratumoral CpG cures lymphoma in a mouse model without the need for chemotherapy. </w:t>
      </w:r>
      <w:r w:rsidRPr="007926AE">
        <w:rPr>
          <w:rFonts w:ascii="Arial" w:hAnsi="Arial" w:cs="Arial"/>
          <w:i/>
          <w:iCs/>
          <w:color w:val="000000"/>
          <w:sz w:val="22"/>
          <w:szCs w:val="22"/>
        </w:rPr>
        <w:t>Blood</w:t>
      </w:r>
      <w:r w:rsidRPr="007926AE">
        <w:rPr>
          <w:rFonts w:ascii="Arial" w:hAnsi="Arial" w:cs="Arial"/>
          <w:color w:val="000000"/>
          <w:sz w:val="22"/>
          <w:szCs w:val="22"/>
        </w:rPr>
        <w:t xml:space="preserve"> </w:t>
      </w:r>
      <w:r w:rsidRPr="007926AE">
        <w:rPr>
          <w:rFonts w:ascii="Arial" w:hAnsi="Arial" w:cs="Arial"/>
          <w:b/>
          <w:bCs/>
          <w:color w:val="000000"/>
          <w:sz w:val="22"/>
          <w:szCs w:val="22"/>
        </w:rPr>
        <w:t>113</w:t>
      </w:r>
      <w:r w:rsidRPr="007926AE">
        <w:rPr>
          <w:rFonts w:ascii="Arial" w:hAnsi="Arial" w:cs="Arial"/>
          <w:color w:val="000000"/>
          <w:sz w:val="22"/>
          <w:szCs w:val="22"/>
        </w:rPr>
        <w:t>, 3546–3552 (2009).</w:t>
      </w:r>
    </w:p>
    <w:p w14:paraId="116BC159"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320.</w:t>
      </w:r>
      <w:r w:rsidRPr="007926AE">
        <w:rPr>
          <w:rFonts w:ascii="Arial" w:hAnsi="Arial" w:cs="Arial"/>
          <w:color w:val="000000"/>
          <w:sz w:val="22"/>
          <w:szCs w:val="22"/>
        </w:rPr>
        <w:tab/>
        <w:t xml:space="preserve">Sagiv-Barfi, I. </w:t>
      </w:r>
      <w:r w:rsidRPr="007926AE">
        <w:rPr>
          <w:rFonts w:ascii="Arial" w:hAnsi="Arial" w:cs="Arial"/>
          <w:i/>
          <w:iCs/>
          <w:color w:val="000000"/>
          <w:sz w:val="22"/>
          <w:szCs w:val="22"/>
        </w:rPr>
        <w:t>et al.</w:t>
      </w:r>
      <w:r w:rsidRPr="007926AE">
        <w:rPr>
          <w:rFonts w:ascii="Arial" w:hAnsi="Arial" w:cs="Arial"/>
          <w:color w:val="000000"/>
          <w:sz w:val="22"/>
          <w:szCs w:val="22"/>
        </w:rPr>
        <w:t xml:space="preserve"> Eradication of spontaneous malignancy by local immunotherapy. </w:t>
      </w:r>
      <w:r w:rsidRPr="007926AE">
        <w:rPr>
          <w:rFonts w:ascii="Arial" w:hAnsi="Arial" w:cs="Arial"/>
          <w:i/>
          <w:iCs/>
          <w:color w:val="000000"/>
          <w:sz w:val="22"/>
          <w:szCs w:val="22"/>
        </w:rPr>
        <w:t>Sci. Transl. Med.</w:t>
      </w:r>
      <w:r w:rsidRPr="007926AE">
        <w:rPr>
          <w:rFonts w:ascii="Arial" w:hAnsi="Arial" w:cs="Arial"/>
          <w:color w:val="000000"/>
          <w:sz w:val="22"/>
          <w:szCs w:val="22"/>
        </w:rPr>
        <w:t xml:space="preserve"> </w:t>
      </w:r>
      <w:r w:rsidRPr="007926AE">
        <w:rPr>
          <w:rFonts w:ascii="Arial" w:hAnsi="Arial" w:cs="Arial"/>
          <w:b/>
          <w:bCs/>
          <w:color w:val="000000"/>
          <w:sz w:val="22"/>
          <w:szCs w:val="22"/>
        </w:rPr>
        <w:t>10</w:t>
      </w:r>
      <w:r w:rsidRPr="007926AE">
        <w:rPr>
          <w:rFonts w:ascii="Arial" w:hAnsi="Arial" w:cs="Arial"/>
          <w:color w:val="000000"/>
          <w:sz w:val="22"/>
          <w:szCs w:val="22"/>
        </w:rPr>
        <w:t>, eaan4488 (2018).</w:t>
      </w:r>
    </w:p>
    <w:p w14:paraId="6DE5223C"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321.</w:t>
      </w:r>
      <w:r w:rsidRPr="007926AE">
        <w:rPr>
          <w:rFonts w:ascii="Arial" w:hAnsi="Arial" w:cs="Arial"/>
          <w:color w:val="000000"/>
          <w:sz w:val="22"/>
          <w:szCs w:val="22"/>
        </w:rPr>
        <w:tab/>
        <w:t xml:space="preserve">Ribas, A. </w:t>
      </w:r>
      <w:r w:rsidRPr="007926AE">
        <w:rPr>
          <w:rFonts w:ascii="Arial" w:hAnsi="Arial" w:cs="Arial"/>
          <w:i/>
          <w:iCs/>
          <w:color w:val="000000"/>
          <w:sz w:val="22"/>
          <w:szCs w:val="22"/>
        </w:rPr>
        <w:t>et al.</w:t>
      </w:r>
      <w:r w:rsidRPr="007926AE">
        <w:rPr>
          <w:rFonts w:ascii="Arial" w:hAnsi="Arial" w:cs="Arial"/>
          <w:color w:val="000000"/>
          <w:sz w:val="22"/>
          <w:szCs w:val="22"/>
        </w:rPr>
        <w:t xml:space="preserve"> SD-101 in Combination with Pembrolizumab in Advanced Melanoma: Results of a Phase Ib, Multicenter Study. </w:t>
      </w:r>
      <w:r w:rsidRPr="007926AE">
        <w:rPr>
          <w:rFonts w:ascii="Arial" w:hAnsi="Arial" w:cs="Arial"/>
          <w:i/>
          <w:iCs/>
          <w:color w:val="000000"/>
          <w:sz w:val="22"/>
          <w:szCs w:val="22"/>
        </w:rPr>
        <w:t>Cancer Discov</w:t>
      </w:r>
      <w:r w:rsidRPr="007926AE">
        <w:rPr>
          <w:rFonts w:ascii="Arial" w:hAnsi="Arial" w:cs="Arial"/>
          <w:color w:val="000000"/>
          <w:sz w:val="22"/>
          <w:szCs w:val="22"/>
        </w:rPr>
        <w:t xml:space="preserve"> </w:t>
      </w:r>
      <w:r w:rsidRPr="007926AE">
        <w:rPr>
          <w:rFonts w:ascii="Arial" w:hAnsi="Arial" w:cs="Arial"/>
          <w:b/>
          <w:bCs/>
          <w:color w:val="000000"/>
          <w:sz w:val="22"/>
          <w:szCs w:val="22"/>
        </w:rPr>
        <w:t>8</w:t>
      </w:r>
      <w:r w:rsidRPr="007926AE">
        <w:rPr>
          <w:rFonts w:ascii="Arial" w:hAnsi="Arial" w:cs="Arial"/>
          <w:color w:val="000000"/>
          <w:sz w:val="22"/>
          <w:szCs w:val="22"/>
        </w:rPr>
        <w:t>, 1250–1257 (2018).</w:t>
      </w:r>
    </w:p>
    <w:p w14:paraId="0A5F4CC3"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322.</w:t>
      </w:r>
      <w:r w:rsidRPr="007926AE">
        <w:rPr>
          <w:rFonts w:ascii="Arial" w:hAnsi="Arial" w:cs="Arial"/>
          <w:color w:val="000000"/>
          <w:sz w:val="22"/>
          <w:szCs w:val="22"/>
        </w:rPr>
        <w:tab/>
        <w:t xml:space="preserve">Sivick, K. E. </w:t>
      </w:r>
      <w:r w:rsidRPr="007926AE">
        <w:rPr>
          <w:rFonts w:ascii="Arial" w:hAnsi="Arial" w:cs="Arial"/>
          <w:i/>
          <w:iCs/>
          <w:color w:val="000000"/>
          <w:sz w:val="22"/>
          <w:szCs w:val="22"/>
        </w:rPr>
        <w:t>et al.</w:t>
      </w:r>
      <w:r w:rsidRPr="007926AE">
        <w:rPr>
          <w:rFonts w:ascii="Arial" w:hAnsi="Arial" w:cs="Arial"/>
          <w:color w:val="000000"/>
          <w:sz w:val="22"/>
          <w:szCs w:val="22"/>
        </w:rPr>
        <w:t xml:space="preserve"> Magnitude of Therapeutic STING Activation Determines CD8+ T Cell-Mediated Anti-tumor Immunity. </w:t>
      </w:r>
      <w:r w:rsidRPr="007926AE">
        <w:rPr>
          <w:rFonts w:ascii="Arial" w:hAnsi="Arial" w:cs="Arial"/>
          <w:i/>
          <w:iCs/>
          <w:color w:val="000000"/>
          <w:sz w:val="22"/>
          <w:szCs w:val="22"/>
        </w:rPr>
        <w:t>Cell Reports</w:t>
      </w:r>
      <w:r w:rsidRPr="007926AE">
        <w:rPr>
          <w:rFonts w:ascii="Arial" w:hAnsi="Arial" w:cs="Arial"/>
          <w:color w:val="000000"/>
          <w:sz w:val="22"/>
          <w:szCs w:val="22"/>
        </w:rPr>
        <w:t xml:space="preserve"> </w:t>
      </w:r>
      <w:r w:rsidRPr="007926AE">
        <w:rPr>
          <w:rFonts w:ascii="Arial" w:hAnsi="Arial" w:cs="Arial"/>
          <w:b/>
          <w:bCs/>
          <w:color w:val="000000"/>
          <w:sz w:val="22"/>
          <w:szCs w:val="22"/>
        </w:rPr>
        <w:t>25</w:t>
      </w:r>
      <w:r w:rsidRPr="007926AE">
        <w:rPr>
          <w:rFonts w:ascii="Arial" w:hAnsi="Arial" w:cs="Arial"/>
          <w:color w:val="000000"/>
          <w:sz w:val="22"/>
          <w:szCs w:val="22"/>
        </w:rPr>
        <w:t>, 3074-3085.e5 (2018).</w:t>
      </w:r>
    </w:p>
    <w:p w14:paraId="05109D26"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323.</w:t>
      </w:r>
      <w:r w:rsidRPr="007926AE">
        <w:rPr>
          <w:rFonts w:ascii="Arial" w:hAnsi="Arial" w:cs="Arial"/>
          <w:color w:val="000000"/>
          <w:sz w:val="22"/>
          <w:szCs w:val="22"/>
        </w:rPr>
        <w:tab/>
        <w:t xml:space="preserve">Corrales, L. </w:t>
      </w:r>
      <w:r w:rsidRPr="007926AE">
        <w:rPr>
          <w:rFonts w:ascii="Arial" w:hAnsi="Arial" w:cs="Arial"/>
          <w:i/>
          <w:iCs/>
          <w:color w:val="000000"/>
          <w:sz w:val="22"/>
          <w:szCs w:val="22"/>
        </w:rPr>
        <w:t>et al.</w:t>
      </w:r>
      <w:r w:rsidRPr="007926AE">
        <w:rPr>
          <w:rFonts w:ascii="Arial" w:hAnsi="Arial" w:cs="Arial"/>
          <w:color w:val="000000"/>
          <w:sz w:val="22"/>
          <w:szCs w:val="22"/>
        </w:rPr>
        <w:t xml:space="preserve"> Direct Activation of STING in the Tumor Microenvironment Leads to Potent and Systemic Tumor Regression and Immunity. </w:t>
      </w:r>
      <w:r w:rsidRPr="007926AE">
        <w:rPr>
          <w:rFonts w:ascii="Arial" w:hAnsi="Arial" w:cs="Arial"/>
          <w:i/>
          <w:iCs/>
          <w:color w:val="000000"/>
          <w:sz w:val="22"/>
          <w:szCs w:val="22"/>
        </w:rPr>
        <w:t>Cell Reports</w:t>
      </w:r>
      <w:r w:rsidRPr="007926AE">
        <w:rPr>
          <w:rFonts w:ascii="Arial" w:hAnsi="Arial" w:cs="Arial"/>
          <w:color w:val="000000"/>
          <w:sz w:val="22"/>
          <w:szCs w:val="22"/>
        </w:rPr>
        <w:t xml:space="preserve"> </w:t>
      </w:r>
      <w:r w:rsidRPr="007926AE">
        <w:rPr>
          <w:rFonts w:ascii="Arial" w:hAnsi="Arial" w:cs="Arial"/>
          <w:b/>
          <w:bCs/>
          <w:color w:val="000000"/>
          <w:sz w:val="22"/>
          <w:szCs w:val="22"/>
        </w:rPr>
        <w:t>11</w:t>
      </w:r>
      <w:r w:rsidRPr="007926AE">
        <w:rPr>
          <w:rFonts w:ascii="Arial" w:hAnsi="Arial" w:cs="Arial"/>
          <w:color w:val="000000"/>
          <w:sz w:val="22"/>
          <w:szCs w:val="22"/>
        </w:rPr>
        <w:t>, 1018–1030 (2015).</w:t>
      </w:r>
    </w:p>
    <w:p w14:paraId="69697925"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324.</w:t>
      </w:r>
      <w:r w:rsidRPr="007926AE">
        <w:rPr>
          <w:rFonts w:ascii="Arial" w:hAnsi="Arial" w:cs="Arial"/>
          <w:color w:val="000000"/>
          <w:sz w:val="22"/>
          <w:szCs w:val="22"/>
        </w:rPr>
        <w:tab/>
        <w:t xml:space="preserve">Demaria, O. </w:t>
      </w:r>
      <w:r w:rsidRPr="007926AE">
        <w:rPr>
          <w:rFonts w:ascii="Arial" w:hAnsi="Arial" w:cs="Arial"/>
          <w:i/>
          <w:iCs/>
          <w:color w:val="000000"/>
          <w:sz w:val="22"/>
          <w:szCs w:val="22"/>
        </w:rPr>
        <w:t>et al.</w:t>
      </w:r>
      <w:r w:rsidRPr="007926AE">
        <w:rPr>
          <w:rFonts w:ascii="Arial" w:hAnsi="Arial" w:cs="Arial"/>
          <w:color w:val="000000"/>
          <w:sz w:val="22"/>
          <w:szCs w:val="22"/>
        </w:rPr>
        <w:t xml:space="preserve"> STING activation of tumor endothelial cells initiates spontaneous and therapeutic antitumor immunity. </w:t>
      </w:r>
      <w:r w:rsidRPr="007926AE">
        <w:rPr>
          <w:rFonts w:ascii="Arial" w:hAnsi="Arial" w:cs="Arial"/>
          <w:i/>
          <w:iCs/>
          <w:color w:val="000000"/>
          <w:sz w:val="22"/>
          <w:szCs w:val="22"/>
        </w:rPr>
        <w:t>Proc Natl Acad Sci USA</w:t>
      </w:r>
      <w:r w:rsidRPr="007926AE">
        <w:rPr>
          <w:rFonts w:ascii="Arial" w:hAnsi="Arial" w:cs="Arial"/>
          <w:color w:val="000000"/>
          <w:sz w:val="22"/>
          <w:szCs w:val="22"/>
        </w:rPr>
        <w:t xml:space="preserve"> </w:t>
      </w:r>
      <w:r w:rsidRPr="007926AE">
        <w:rPr>
          <w:rFonts w:ascii="Arial" w:hAnsi="Arial" w:cs="Arial"/>
          <w:b/>
          <w:bCs/>
          <w:color w:val="000000"/>
          <w:sz w:val="22"/>
          <w:szCs w:val="22"/>
        </w:rPr>
        <w:t>112</w:t>
      </w:r>
      <w:r w:rsidRPr="007926AE">
        <w:rPr>
          <w:rFonts w:ascii="Arial" w:hAnsi="Arial" w:cs="Arial"/>
          <w:color w:val="000000"/>
          <w:sz w:val="22"/>
          <w:szCs w:val="22"/>
        </w:rPr>
        <w:t>, 15408–15413 (2015).</w:t>
      </w:r>
    </w:p>
    <w:p w14:paraId="0E595F14"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325.</w:t>
      </w:r>
      <w:r w:rsidRPr="007926AE">
        <w:rPr>
          <w:rFonts w:ascii="Arial" w:hAnsi="Arial" w:cs="Arial"/>
          <w:color w:val="000000"/>
          <w:sz w:val="22"/>
          <w:szCs w:val="22"/>
        </w:rPr>
        <w:tab/>
        <w:t xml:space="preserve">Adams, S. Toll-like receptor agonists in cancer therapy. </w:t>
      </w:r>
      <w:r w:rsidRPr="007926AE">
        <w:rPr>
          <w:rFonts w:ascii="Arial" w:hAnsi="Arial" w:cs="Arial"/>
          <w:i/>
          <w:iCs/>
          <w:color w:val="000000"/>
          <w:sz w:val="22"/>
          <w:szCs w:val="22"/>
        </w:rPr>
        <w:t>Immunotherapy</w:t>
      </w:r>
      <w:r w:rsidRPr="007926AE">
        <w:rPr>
          <w:rFonts w:ascii="Arial" w:hAnsi="Arial" w:cs="Arial"/>
          <w:color w:val="000000"/>
          <w:sz w:val="22"/>
          <w:szCs w:val="22"/>
        </w:rPr>
        <w:t xml:space="preserve"> </w:t>
      </w:r>
      <w:r w:rsidRPr="007926AE">
        <w:rPr>
          <w:rFonts w:ascii="Arial" w:hAnsi="Arial" w:cs="Arial"/>
          <w:b/>
          <w:bCs/>
          <w:color w:val="000000"/>
          <w:sz w:val="22"/>
          <w:szCs w:val="22"/>
        </w:rPr>
        <w:t>1</w:t>
      </w:r>
      <w:r w:rsidRPr="007926AE">
        <w:rPr>
          <w:rFonts w:ascii="Arial" w:hAnsi="Arial" w:cs="Arial"/>
          <w:color w:val="000000"/>
          <w:sz w:val="22"/>
          <w:szCs w:val="22"/>
        </w:rPr>
        <w:t>, 949–964 (2009).</w:t>
      </w:r>
    </w:p>
    <w:p w14:paraId="15A1458E"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326.</w:t>
      </w:r>
      <w:r w:rsidRPr="007926AE">
        <w:rPr>
          <w:rFonts w:ascii="Arial" w:hAnsi="Arial" w:cs="Arial"/>
          <w:color w:val="000000"/>
          <w:sz w:val="22"/>
          <w:szCs w:val="22"/>
        </w:rPr>
        <w:tab/>
        <w:t xml:space="preserve">Adams, S. </w:t>
      </w:r>
      <w:r w:rsidRPr="007926AE">
        <w:rPr>
          <w:rFonts w:ascii="Arial" w:hAnsi="Arial" w:cs="Arial"/>
          <w:i/>
          <w:iCs/>
          <w:color w:val="000000"/>
          <w:sz w:val="22"/>
          <w:szCs w:val="22"/>
        </w:rPr>
        <w:t>et al.</w:t>
      </w:r>
      <w:r w:rsidRPr="007926AE">
        <w:rPr>
          <w:rFonts w:ascii="Arial" w:hAnsi="Arial" w:cs="Arial"/>
          <w:color w:val="000000"/>
          <w:sz w:val="22"/>
          <w:szCs w:val="22"/>
        </w:rPr>
        <w:t xml:space="preserve"> Immunization of Malignant Melanoma Patients with Full-Length NY-ESO-1 Protein Using TLR7 Agonist Imiquimod as Vaccine Adjuvant. </w:t>
      </w:r>
      <w:r w:rsidRPr="007926AE">
        <w:rPr>
          <w:rFonts w:ascii="Arial" w:hAnsi="Arial" w:cs="Arial"/>
          <w:i/>
          <w:iCs/>
          <w:color w:val="000000"/>
          <w:sz w:val="22"/>
          <w:szCs w:val="22"/>
        </w:rPr>
        <w:t>J Immunol</w:t>
      </w:r>
      <w:r w:rsidRPr="007926AE">
        <w:rPr>
          <w:rFonts w:ascii="Arial" w:hAnsi="Arial" w:cs="Arial"/>
          <w:color w:val="000000"/>
          <w:sz w:val="22"/>
          <w:szCs w:val="22"/>
        </w:rPr>
        <w:t xml:space="preserve"> </w:t>
      </w:r>
      <w:r w:rsidRPr="007926AE">
        <w:rPr>
          <w:rFonts w:ascii="Arial" w:hAnsi="Arial" w:cs="Arial"/>
          <w:b/>
          <w:bCs/>
          <w:color w:val="000000"/>
          <w:sz w:val="22"/>
          <w:szCs w:val="22"/>
        </w:rPr>
        <w:t>181</w:t>
      </w:r>
      <w:r w:rsidRPr="007926AE">
        <w:rPr>
          <w:rFonts w:ascii="Arial" w:hAnsi="Arial" w:cs="Arial"/>
          <w:color w:val="000000"/>
          <w:sz w:val="22"/>
          <w:szCs w:val="22"/>
        </w:rPr>
        <w:t>, 776–784 (2008).</w:t>
      </w:r>
    </w:p>
    <w:p w14:paraId="66F61068"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327.</w:t>
      </w:r>
      <w:r w:rsidRPr="007926AE">
        <w:rPr>
          <w:rFonts w:ascii="Arial" w:hAnsi="Arial" w:cs="Arial"/>
          <w:color w:val="000000"/>
          <w:sz w:val="22"/>
          <w:szCs w:val="22"/>
        </w:rPr>
        <w:tab/>
        <w:t xml:space="preserve">Adams, S. </w:t>
      </w:r>
      <w:r w:rsidRPr="007926AE">
        <w:rPr>
          <w:rFonts w:ascii="Arial" w:hAnsi="Arial" w:cs="Arial"/>
          <w:i/>
          <w:iCs/>
          <w:color w:val="000000"/>
          <w:sz w:val="22"/>
          <w:szCs w:val="22"/>
        </w:rPr>
        <w:t>et al.</w:t>
      </w:r>
      <w:r w:rsidRPr="007926AE">
        <w:rPr>
          <w:rFonts w:ascii="Arial" w:hAnsi="Arial" w:cs="Arial"/>
          <w:color w:val="000000"/>
          <w:sz w:val="22"/>
          <w:szCs w:val="22"/>
        </w:rPr>
        <w:t xml:space="preserve"> Topical TLR7 Agonist Imiquimod Can Induce Immune-Mediated Rejection of Skin Metastases in Patients with Breast Cancer. </w:t>
      </w:r>
      <w:r w:rsidRPr="007926AE">
        <w:rPr>
          <w:rFonts w:ascii="Arial" w:hAnsi="Arial" w:cs="Arial"/>
          <w:i/>
          <w:iCs/>
          <w:color w:val="000000"/>
          <w:sz w:val="22"/>
          <w:szCs w:val="22"/>
        </w:rPr>
        <w:t>Clinical Cancer Research</w:t>
      </w:r>
      <w:r w:rsidRPr="007926AE">
        <w:rPr>
          <w:rFonts w:ascii="Arial" w:hAnsi="Arial" w:cs="Arial"/>
          <w:color w:val="000000"/>
          <w:sz w:val="22"/>
          <w:szCs w:val="22"/>
        </w:rPr>
        <w:t xml:space="preserve"> </w:t>
      </w:r>
      <w:r w:rsidRPr="007926AE">
        <w:rPr>
          <w:rFonts w:ascii="Arial" w:hAnsi="Arial" w:cs="Arial"/>
          <w:b/>
          <w:bCs/>
          <w:color w:val="000000"/>
          <w:sz w:val="22"/>
          <w:szCs w:val="22"/>
        </w:rPr>
        <w:t>18</w:t>
      </w:r>
      <w:r w:rsidRPr="007926AE">
        <w:rPr>
          <w:rFonts w:ascii="Arial" w:hAnsi="Arial" w:cs="Arial"/>
          <w:color w:val="000000"/>
          <w:sz w:val="22"/>
          <w:szCs w:val="22"/>
        </w:rPr>
        <w:t>, 6748–6757 (2012).</w:t>
      </w:r>
    </w:p>
    <w:p w14:paraId="08E04BFD"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328.</w:t>
      </w:r>
      <w:r w:rsidRPr="007926AE">
        <w:rPr>
          <w:rFonts w:ascii="Arial" w:hAnsi="Arial" w:cs="Arial"/>
          <w:color w:val="000000"/>
          <w:sz w:val="22"/>
          <w:szCs w:val="22"/>
        </w:rPr>
        <w:tab/>
        <w:t xml:space="preserve">Dewan, M. Z. </w:t>
      </w:r>
      <w:r w:rsidRPr="007926AE">
        <w:rPr>
          <w:rFonts w:ascii="Arial" w:hAnsi="Arial" w:cs="Arial"/>
          <w:i/>
          <w:iCs/>
          <w:color w:val="000000"/>
          <w:sz w:val="22"/>
          <w:szCs w:val="22"/>
        </w:rPr>
        <w:t>et al.</w:t>
      </w:r>
      <w:r w:rsidRPr="007926AE">
        <w:rPr>
          <w:rFonts w:ascii="Arial" w:hAnsi="Arial" w:cs="Arial"/>
          <w:color w:val="000000"/>
          <w:sz w:val="22"/>
          <w:szCs w:val="22"/>
        </w:rPr>
        <w:t xml:space="preserve"> Synergy of Topical Toll-like Receptor 7 Agonist with Radiation and Low-Dose Cyclophosphamide in a Mouse Model of Cutaneous Breast Cancer. </w:t>
      </w:r>
      <w:r w:rsidRPr="007926AE">
        <w:rPr>
          <w:rFonts w:ascii="Arial" w:hAnsi="Arial" w:cs="Arial"/>
          <w:i/>
          <w:iCs/>
          <w:color w:val="000000"/>
          <w:sz w:val="22"/>
          <w:szCs w:val="22"/>
        </w:rPr>
        <w:t>Clinical Cancer Research</w:t>
      </w:r>
      <w:r w:rsidRPr="007926AE">
        <w:rPr>
          <w:rFonts w:ascii="Arial" w:hAnsi="Arial" w:cs="Arial"/>
          <w:color w:val="000000"/>
          <w:sz w:val="22"/>
          <w:szCs w:val="22"/>
        </w:rPr>
        <w:t xml:space="preserve"> </w:t>
      </w:r>
      <w:r w:rsidRPr="007926AE">
        <w:rPr>
          <w:rFonts w:ascii="Arial" w:hAnsi="Arial" w:cs="Arial"/>
          <w:b/>
          <w:bCs/>
          <w:color w:val="000000"/>
          <w:sz w:val="22"/>
          <w:szCs w:val="22"/>
        </w:rPr>
        <w:t>18</w:t>
      </w:r>
      <w:r w:rsidRPr="007926AE">
        <w:rPr>
          <w:rFonts w:ascii="Arial" w:hAnsi="Arial" w:cs="Arial"/>
          <w:color w:val="000000"/>
          <w:sz w:val="22"/>
          <w:szCs w:val="22"/>
        </w:rPr>
        <w:t>, 6668–6678 (2012).</w:t>
      </w:r>
    </w:p>
    <w:p w14:paraId="1FCFD319"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329.</w:t>
      </w:r>
      <w:r w:rsidRPr="007926AE">
        <w:rPr>
          <w:rFonts w:ascii="Arial" w:hAnsi="Arial" w:cs="Arial"/>
          <w:color w:val="000000"/>
          <w:sz w:val="22"/>
          <w:szCs w:val="22"/>
        </w:rPr>
        <w:tab/>
        <w:t xml:space="preserve">Lu, H. </w:t>
      </w:r>
      <w:r w:rsidRPr="007926AE">
        <w:rPr>
          <w:rFonts w:ascii="Arial" w:hAnsi="Arial" w:cs="Arial"/>
          <w:i/>
          <w:iCs/>
          <w:color w:val="000000"/>
          <w:sz w:val="22"/>
          <w:szCs w:val="22"/>
        </w:rPr>
        <w:t>et al.</w:t>
      </w:r>
      <w:r w:rsidRPr="007926AE">
        <w:rPr>
          <w:rFonts w:ascii="Arial" w:hAnsi="Arial" w:cs="Arial"/>
          <w:color w:val="000000"/>
          <w:sz w:val="22"/>
          <w:szCs w:val="22"/>
        </w:rPr>
        <w:t xml:space="preserve"> Treatment Failure of a TLR-7 Agonist Occurs Due to Self-Regulation of Acute Inflammation and Can Be Overcome by IL-10 Blockade. </w:t>
      </w:r>
      <w:r w:rsidRPr="007926AE">
        <w:rPr>
          <w:rFonts w:ascii="Arial" w:hAnsi="Arial" w:cs="Arial"/>
          <w:i/>
          <w:iCs/>
          <w:color w:val="000000"/>
          <w:sz w:val="22"/>
          <w:szCs w:val="22"/>
        </w:rPr>
        <w:t>J.I.</w:t>
      </w:r>
      <w:r w:rsidRPr="007926AE">
        <w:rPr>
          <w:rFonts w:ascii="Arial" w:hAnsi="Arial" w:cs="Arial"/>
          <w:color w:val="000000"/>
          <w:sz w:val="22"/>
          <w:szCs w:val="22"/>
        </w:rPr>
        <w:t xml:space="preserve"> </w:t>
      </w:r>
      <w:r w:rsidRPr="007926AE">
        <w:rPr>
          <w:rFonts w:ascii="Arial" w:hAnsi="Arial" w:cs="Arial"/>
          <w:b/>
          <w:bCs/>
          <w:color w:val="000000"/>
          <w:sz w:val="22"/>
          <w:szCs w:val="22"/>
        </w:rPr>
        <w:t>184</w:t>
      </w:r>
      <w:r w:rsidRPr="007926AE">
        <w:rPr>
          <w:rFonts w:ascii="Arial" w:hAnsi="Arial" w:cs="Arial"/>
          <w:color w:val="000000"/>
          <w:sz w:val="22"/>
          <w:szCs w:val="22"/>
        </w:rPr>
        <w:t>, 5360–5367 (2010).</w:t>
      </w:r>
    </w:p>
    <w:p w14:paraId="02E223AD"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330.</w:t>
      </w:r>
      <w:r w:rsidRPr="007926AE">
        <w:rPr>
          <w:rFonts w:ascii="Arial" w:hAnsi="Arial" w:cs="Arial"/>
          <w:color w:val="000000"/>
          <w:sz w:val="22"/>
          <w:szCs w:val="22"/>
        </w:rPr>
        <w:tab/>
        <w:t xml:space="preserve">Nerurkar, L., McColl, A., Graham, G. &amp; Cavanagh, J. The Systemic Response to Topical Aldara Treatment is Mediated Through Direct TLR7 Stimulation as Imiquimod Enters the Circulation. </w:t>
      </w:r>
      <w:r w:rsidRPr="007926AE">
        <w:rPr>
          <w:rFonts w:ascii="Arial" w:hAnsi="Arial" w:cs="Arial"/>
          <w:i/>
          <w:iCs/>
          <w:color w:val="000000"/>
          <w:sz w:val="22"/>
          <w:szCs w:val="22"/>
        </w:rPr>
        <w:t>Sci Rep</w:t>
      </w:r>
      <w:r w:rsidRPr="007926AE">
        <w:rPr>
          <w:rFonts w:ascii="Arial" w:hAnsi="Arial" w:cs="Arial"/>
          <w:color w:val="000000"/>
          <w:sz w:val="22"/>
          <w:szCs w:val="22"/>
        </w:rPr>
        <w:t xml:space="preserve"> </w:t>
      </w:r>
      <w:r w:rsidRPr="007926AE">
        <w:rPr>
          <w:rFonts w:ascii="Arial" w:hAnsi="Arial" w:cs="Arial"/>
          <w:b/>
          <w:bCs/>
          <w:color w:val="000000"/>
          <w:sz w:val="22"/>
          <w:szCs w:val="22"/>
        </w:rPr>
        <w:t>7</w:t>
      </w:r>
      <w:r w:rsidRPr="007926AE">
        <w:rPr>
          <w:rFonts w:ascii="Arial" w:hAnsi="Arial" w:cs="Arial"/>
          <w:color w:val="000000"/>
          <w:sz w:val="22"/>
          <w:szCs w:val="22"/>
        </w:rPr>
        <w:t>, 16570 (2017).</w:t>
      </w:r>
    </w:p>
    <w:p w14:paraId="387F632A"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331.</w:t>
      </w:r>
      <w:r w:rsidRPr="007926AE">
        <w:rPr>
          <w:rFonts w:ascii="Arial" w:hAnsi="Arial" w:cs="Arial"/>
          <w:color w:val="000000"/>
          <w:sz w:val="22"/>
          <w:szCs w:val="22"/>
        </w:rPr>
        <w:tab/>
        <w:t xml:space="preserve">Redondo, P. </w:t>
      </w:r>
      <w:r w:rsidRPr="007926AE">
        <w:rPr>
          <w:rFonts w:ascii="Arial" w:hAnsi="Arial" w:cs="Arial"/>
          <w:i/>
          <w:iCs/>
          <w:color w:val="000000"/>
          <w:sz w:val="22"/>
          <w:szCs w:val="22"/>
        </w:rPr>
        <w:t>et al.</w:t>
      </w:r>
      <w:r w:rsidRPr="007926AE">
        <w:rPr>
          <w:rFonts w:ascii="Arial" w:hAnsi="Arial" w:cs="Arial"/>
          <w:color w:val="000000"/>
          <w:sz w:val="22"/>
          <w:szCs w:val="22"/>
        </w:rPr>
        <w:t xml:space="preserve"> Imiquimod Enhances the Systemic Immunity Attained by Local Cryosurgery Destruction of Melanoma Lesions. </w:t>
      </w:r>
      <w:r w:rsidRPr="007926AE">
        <w:rPr>
          <w:rFonts w:ascii="Arial" w:hAnsi="Arial" w:cs="Arial"/>
          <w:i/>
          <w:iCs/>
          <w:color w:val="000000"/>
          <w:sz w:val="22"/>
          <w:szCs w:val="22"/>
        </w:rPr>
        <w:t>Journal of Investigative Dermatology</w:t>
      </w:r>
      <w:r w:rsidRPr="007926AE">
        <w:rPr>
          <w:rFonts w:ascii="Arial" w:hAnsi="Arial" w:cs="Arial"/>
          <w:color w:val="000000"/>
          <w:sz w:val="22"/>
          <w:szCs w:val="22"/>
        </w:rPr>
        <w:t xml:space="preserve"> </w:t>
      </w:r>
      <w:r w:rsidRPr="007926AE">
        <w:rPr>
          <w:rFonts w:ascii="Arial" w:hAnsi="Arial" w:cs="Arial"/>
          <w:b/>
          <w:bCs/>
          <w:color w:val="000000"/>
          <w:sz w:val="22"/>
          <w:szCs w:val="22"/>
        </w:rPr>
        <w:t>127</w:t>
      </w:r>
      <w:r w:rsidRPr="007926AE">
        <w:rPr>
          <w:rFonts w:ascii="Arial" w:hAnsi="Arial" w:cs="Arial"/>
          <w:color w:val="000000"/>
          <w:sz w:val="22"/>
          <w:szCs w:val="22"/>
        </w:rPr>
        <w:t>, 1673–1680 (2007).</w:t>
      </w:r>
    </w:p>
    <w:p w14:paraId="0A0C0866"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332.</w:t>
      </w:r>
      <w:r w:rsidRPr="007926AE">
        <w:rPr>
          <w:rFonts w:ascii="Arial" w:hAnsi="Arial" w:cs="Arial"/>
          <w:color w:val="000000"/>
          <w:sz w:val="22"/>
          <w:szCs w:val="22"/>
        </w:rPr>
        <w:tab/>
        <w:t xml:space="preserve">Scarfì, F. </w:t>
      </w:r>
      <w:r w:rsidRPr="007926AE">
        <w:rPr>
          <w:rFonts w:ascii="Arial" w:hAnsi="Arial" w:cs="Arial"/>
          <w:i/>
          <w:iCs/>
          <w:color w:val="000000"/>
          <w:sz w:val="22"/>
          <w:szCs w:val="22"/>
        </w:rPr>
        <w:t>et al.</w:t>
      </w:r>
      <w:r w:rsidRPr="007926AE">
        <w:rPr>
          <w:rFonts w:ascii="Arial" w:hAnsi="Arial" w:cs="Arial"/>
          <w:color w:val="000000"/>
          <w:sz w:val="22"/>
          <w:szCs w:val="22"/>
        </w:rPr>
        <w:t xml:space="preserve"> The role of topical imiquimod in melanoma cutaneous metastases: A critical review of the literature. </w:t>
      </w:r>
      <w:r w:rsidRPr="007926AE">
        <w:rPr>
          <w:rFonts w:ascii="Arial" w:hAnsi="Arial" w:cs="Arial"/>
          <w:i/>
          <w:iCs/>
          <w:color w:val="000000"/>
          <w:sz w:val="22"/>
          <w:szCs w:val="22"/>
        </w:rPr>
        <w:t>Dermatologic Therapy</w:t>
      </w:r>
      <w:r w:rsidRPr="007926AE">
        <w:rPr>
          <w:rFonts w:ascii="Arial" w:hAnsi="Arial" w:cs="Arial"/>
          <w:color w:val="000000"/>
          <w:sz w:val="22"/>
          <w:szCs w:val="22"/>
        </w:rPr>
        <w:t xml:space="preserve"> </w:t>
      </w:r>
      <w:r w:rsidRPr="007926AE">
        <w:rPr>
          <w:rFonts w:ascii="Arial" w:hAnsi="Arial" w:cs="Arial"/>
          <w:b/>
          <w:bCs/>
          <w:color w:val="000000"/>
          <w:sz w:val="22"/>
          <w:szCs w:val="22"/>
        </w:rPr>
        <w:t>33</w:t>
      </w:r>
      <w:r w:rsidRPr="007926AE">
        <w:rPr>
          <w:rFonts w:ascii="Arial" w:hAnsi="Arial" w:cs="Arial"/>
          <w:color w:val="000000"/>
          <w:sz w:val="22"/>
          <w:szCs w:val="22"/>
        </w:rPr>
        <w:t>, (2020).</w:t>
      </w:r>
    </w:p>
    <w:p w14:paraId="0AAAD5C6"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t>333.</w:t>
      </w:r>
      <w:r w:rsidRPr="007926AE">
        <w:rPr>
          <w:rFonts w:ascii="Arial" w:hAnsi="Arial" w:cs="Arial"/>
          <w:color w:val="000000"/>
          <w:sz w:val="22"/>
          <w:szCs w:val="22"/>
        </w:rPr>
        <w:tab/>
        <w:t xml:space="preserve">Lapin, N. A., Krzykawska-Serda, M., Ware, M. J., Curley, S. A. &amp; Corr, S. J. Intravital microscopy for evaluating tumor perfusion of nanoparticles exposed to non-invasive radiofrequency electric fields. </w:t>
      </w:r>
      <w:r w:rsidRPr="007926AE">
        <w:rPr>
          <w:rFonts w:ascii="Arial" w:hAnsi="Arial" w:cs="Arial"/>
          <w:i/>
          <w:iCs/>
          <w:color w:val="000000"/>
          <w:sz w:val="22"/>
          <w:szCs w:val="22"/>
        </w:rPr>
        <w:t>Cancer Nano</w:t>
      </w:r>
      <w:r w:rsidRPr="007926AE">
        <w:rPr>
          <w:rFonts w:ascii="Arial" w:hAnsi="Arial" w:cs="Arial"/>
          <w:color w:val="000000"/>
          <w:sz w:val="22"/>
          <w:szCs w:val="22"/>
        </w:rPr>
        <w:t xml:space="preserve"> </w:t>
      </w:r>
      <w:r w:rsidRPr="007926AE">
        <w:rPr>
          <w:rFonts w:ascii="Arial" w:hAnsi="Arial" w:cs="Arial"/>
          <w:b/>
          <w:bCs/>
          <w:color w:val="000000"/>
          <w:sz w:val="22"/>
          <w:szCs w:val="22"/>
        </w:rPr>
        <w:t>7</w:t>
      </w:r>
      <w:r w:rsidRPr="007926AE">
        <w:rPr>
          <w:rFonts w:ascii="Arial" w:hAnsi="Arial" w:cs="Arial"/>
          <w:color w:val="000000"/>
          <w:sz w:val="22"/>
          <w:szCs w:val="22"/>
        </w:rPr>
        <w:t>, 5 (2016).</w:t>
      </w:r>
    </w:p>
    <w:p w14:paraId="56D7C08E" w14:textId="77777777" w:rsidR="000F4F53" w:rsidRPr="007926AE" w:rsidRDefault="000F4F53" w:rsidP="000F4F53">
      <w:pPr>
        <w:pStyle w:val="Bibliography"/>
        <w:spacing w:line="360" w:lineRule="auto"/>
        <w:rPr>
          <w:rFonts w:ascii="Arial" w:hAnsi="Arial" w:cs="Arial"/>
          <w:color w:val="000000"/>
          <w:sz w:val="22"/>
          <w:szCs w:val="22"/>
        </w:rPr>
      </w:pPr>
      <w:r w:rsidRPr="007926AE">
        <w:rPr>
          <w:rFonts w:ascii="Arial" w:hAnsi="Arial" w:cs="Arial"/>
          <w:color w:val="000000"/>
          <w:sz w:val="22"/>
          <w:szCs w:val="22"/>
        </w:rPr>
        <w:lastRenderedPageBreak/>
        <w:t>334.</w:t>
      </w:r>
      <w:r w:rsidRPr="007926AE">
        <w:rPr>
          <w:rFonts w:ascii="Arial" w:hAnsi="Arial" w:cs="Arial"/>
          <w:color w:val="000000"/>
          <w:sz w:val="22"/>
          <w:szCs w:val="22"/>
        </w:rPr>
        <w:tab/>
        <w:t xml:space="preserve">Lapin, N. A. </w:t>
      </w:r>
      <w:r w:rsidRPr="007926AE">
        <w:rPr>
          <w:rFonts w:ascii="Arial" w:hAnsi="Arial" w:cs="Arial"/>
          <w:i/>
          <w:iCs/>
          <w:color w:val="000000"/>
          <w:sz w:val="22"/>
          <w:szCs w:val="22"/>
        </w:rPr>
        <w:t>et al.</w:t>
      </w:r>
      <w:r w:rsidRPr="007926AE">
        <w:rPr>
          <w:rFonts w:ascii="Arial" w:hAnsi="Arial" w:cs="Arial"/>
          <w:color w:val="000000"/>
          <w:sz w:val="22"/>
          <w:szCs w:val="22"/>
        </w:rPr>
        <w:t xml:space="preserve"> The effects of non-invasive radiofrequency electric field hyperthermia on biotransport and biodistribution of fluorescent [60]fullerene derivative in a murine orthotopic model of breast adenocarcinoma. </w:t>
      </w:r>
      <w:r w:rsidRPr="007926AE">
        <w:rPr>
          <w:rFonts w:ascii="Arial" w:hAnsi="Arial" w:cs="Arial"/>
          <w:i/>
          <w:iCs/>
          <w:color w:val="000000"/>
          <w:sz w:val="22"/>
          <w:szCs w:val="22"/>
        </w:rPr>
        <w:t>Journal of Controlled Release</w:t>
      </w:r>
      <w:r w:rsidRPr="007926AE">
        <w:rPr>
          <w:rFonts w:ascii="Arial" w:hAnsi="Arial" w:cs="Arial"/>
          <w:color w:val="000000"/>
          <w:sz w:val="22"/>
          <w:szCs w:val="22"/>
        </w:rPr>
        <w:t xml:space="preserve"> </w:t>
      </w:r>
      <w:r w:rsidRPr="007926AE">
        <w:rPr>
          <w:rFonts w:ascii="Arial" w:hAnsi="Arial" w:cs="Arial"/>
          <w:b/>
          <w:bCs/>
          <w:color w:val="000000"/>
          <w:sz w:val="22"/>
          <w:szCs w:val="22"/>
        </w:rPr>
        <w:t>260</w:t>
      </w:r>
      <w:r w:rsidRPr="007926AE">
        <w:rPr>
          <w:rFonts w:ascii="Arial" w:hAnsi="Arial" w:cs="Arial"/>
          <w:color w:val="000000"/>
          <w:sz w:val="22"/>
          <w:szCs w:val="22"/>
        </w:rPr>
        <w:t>, 92–99 (2017).</w:t>
      </w:r>
    </w:p>
    <w:p w14:paraId="53B7FCD1" w14:textId="2EE5624F" w:rsidR="00173BA5" w:rsidRPr="00D74025" w:rsidRDefault="00AB2CFB" w:rsidP="000F4F53">
      <w:pPr>
        <w:spacing w:line="360" w:lineRule="auto"/>
        <w:rPr>
          <w:color w:val="000000" w:themeColor="text1"/>
        </w:rPr>
      </w:pPr>
      <w:r w:rsidRPr="007926AE">
        <w:rPr>
          <w:rFonts w:ascii="Arial" w:hAnsi="Arial" w:cs="Arial"/>
          <w:color w:val="000000" w:themeColor="text1"/>
          <w:sz w:val="22"/>
          <w:szCs w:val="22"/>
        </w:rPr>
        <w:fldChar w:fldCharType="end"/>
      </w:r>
    </w:p>
    <w:p w14:paraId="32405A48" w14:textId="69D45A1D" w:rsidR="0029377A" w:rsidRDefault="0029377A" w:rsidP="00BF6C80">
      <w:pPr>
        <w:rPr>
          <w:rFonts w:ascii="Arial" w:hAnsi="Arial" w:cs="Arial"/>
          <w:b/>
          <w:bCs/>
          <w:color w:val="000000" w:themeColor="text1"/>
        </w:rPr>
      </w:pPr>
    </w:p>
    <w:p w14:paraId="12920233" w14:textId="55145CBB" w:rsidR="0029377A" w:rsidRDefault="0029377A" w:rsidP="0029377A">
      <w:r>
        <w:br w:type="page"/>
      </w:r>
    </w:p>
    <w:p w14:paraId="1CE7CE13" w14:textId="375AD23E" w:rsidR="00173BA5" w:rsidRPr="009C2B41" w:rsidRDefault="00DC1F58" w:rsidP="009C2B41">
      <w:pPr>
        <w:pStyle w:val="Heading1"/>
        <w:ind w:firstLine="0"/>
        <w:jc w:val="center"/>
        <w:rPr>
          <w:rFonts w:ascii="Arial" w:hAnsi="Arial" w:cs="Arial"/>
          <w:b/>
          <w:bCs/>
          <w:color w:val="000000" w:themeColor="text1"/>
        </w:rPr>
      </w:pPr>
      <w:bookmarkStart w:id="179" w:name="_Toc121217292"/>
      <w:r w:rsidRPr="009C2B41">
        <w:rPr>
          <w:rFonts w:ascii="Arial" w:hAnsi="Arial" w:cs="Arial"/>
          <w:b/>
          <w:bCs/>
          <w:color w:val="000000" w:themeColor="text1"/>
        </w:rPr>
        <w:lastRenderedPageBreak/>
        <w:t>APPENDIX</w:t>
      </w:r>
      <w:r w:rsidR="006454A4" w:rsidRPr="009C2B41">
        <w:rPr>
          <w:rFonts w:ascii="Arial" w:hAnsi="Arial" w:cs="Arial"/>
          <w:b/>
          <w:bCs/>
          <w:color w:val="000000" w:themeColor="text1"/>
        </w:rPr>
        <w:t xml:space="preserve"> </w:t>
      </w:r>
      <w:r w:rsidR="002B7173" w:rsidRPr="009C2B41">
        <w:rPr>
          <w:rFonts w:ascii="Arial" w:hAnsi="Arial" w:cs="Arial"/>
          <w:b/>
          <w:bCs/>
          <w:color w:val="000000" w:themeColor="text1"/>
        </w:rPr>
        <w:t xml:space="preserve">A – </w:t>
      </w:r>
      <w:r w:rsidR="00F17726" w:rsidRPr="009C2B41">
        <w:rPr>
          <w:rFonts w:ascii="Arial" w:hAnsi="Arial" w:cs="Arial"/>
          <w:b/>
          <w:bCs/>
          <w:color w:val="000000" w:themeColor="text1"/>
        </w:rPr>
        <w:t>Supplemental data</w:t>
      </w:r>
      <w:bookmarkEnd w:id="179"/>
    </w:p>
    <w:tbl>
      <w:tblPr>
        <w:tblStyle w:val="TableGrid"/>
        <w:tblW w:w="0" w:type="auto"/>
        <w:tblLook w:val="04A0" w:firstRow="1" w:lastRow="0" w:firstColumn="1" w:lastColumn="0" w:noHBand="0" w:noVBand="1"/>
      </w:tblPr>
      <w:tblGrid>
        <w:gridCol w:w="9350"/>
      </w:tblGrid>
      <w:tr w:rsidR="00D74025" w:rsidRPr="00D74025" w14:paraId="63AF8DCF" w14:textId="77777777" w:rsidTr="00E72F50">
        <w:tc>
          <w:tcPr>
            <w:tcW w:w="9350" w:type="dxa"/>
          </w:tcPr>
          <w:p w14:paraId="0A330E12" w14:textId="145A5DBE" w:rsidR="00E72F50" w:rsidRPr="00D74025" w:rsidRDefault="00E72F50" w:rsidP="006F781B">
            <w:pPr>
              <w:spacing w:beforeAutospacing="0"/>
              <w:ind w:firstLine="0"/>
              <w:rPr>
                <w:color w:val="000000" w:themeColor="text1"/>
              </w:rPr>
            </w:pPr>
            <w:r w:rsidRPr="00D74025">
              <w:rPr>
                <w:noProof/>
                <w:color w:val="000000" w:themeColor="text1"/>
              </w:rPr>
              <w:drawing>
                <wp:inline distT="0" distB="0" distL="0" distR="0" wp14:anchorId="69CAEF47" wp14:editId="24207F5E">
                  <wp:extent cx="5825748" cy="4070555"/>
                  <wp:effectExtent l="0" t="0" r="3810" b="6350"/>
                  <wp:docPr id="53" name="Picture 5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Chart, scatter chart&#10;&#10;Description automatically generated"/>
                          <pic:cNvPicPr/>
                        </pic:nvPicPr>
                        <pic:blipFill>
                          <a:blip r:embed="rId89"/>
                          <a:stretch>
                            <a:fillRect/>
                          </a:stretch>
                        </pic:blipFill>
                        <pic:spPr>
                          <a:xfrm>
                            <a:off x="0" y="0"/>
                            <a:ext cx="5829665" cy="4073292"/>
                          </a:xfrm>
                          <a:prstGeom prst="rect">
                            <a:avLst/>
                          </a:prstGeom>
                        </pic:spPr>
                      </pic:pic>
                    </a:graphicData>
                  </a:graphic>
                </wp:inline>
              </w:drawing>
            </w:r>
          </w:p>
        </w:tc>
      </w:tr>
      <w:tr w:rsidR="00E72F50" w:rsidRPr="00D74025" w14:paraId="127B1D03" w14:textId="77777777" w:rsidTr="00E72F50">
        <w:tc>
          <w:tcPr>
            <w:tcW w:w="9350" w:type="dxa"/>
          </w:tcPr>
          <w:p w14:paraId="60E02869" w14:textId="4109ED7C" w:rsidR="00E72F50" w:rsidRPr="00D74025" w:rsidRDefault="00946E89" w:rsidP="00A56A29">
            <w:pPr>
              <w:spacing w:line="360" w:lineRule="auto"/>
              <w:ind w:firstLine="0"/>
              <w:rPr>
                <w:rFonts w:ascii="Arial" w:hAnsi="Arial" w:cs="Arial"/>
                <w:color w:val="000000" w:themeColor="text1"/>
              </w:rPr>
            </w:pPr>
            <w:bookmarkStart w:id="180" w:name="_Toc121217390"/>
            <w:r w:rsidRPr="00705AE1">
              <w:rPr>
                <w:rFonts w:ascii="Arial" w:hAnsi="Arial" w:cs="Arial"/>
                <w:b/>
                <w:bCs/>
                <w:color w:val="000000" w:themeColor="text1"/>
              </w:rPr>
              <w:t xml:space="preserve">Figure </w:t>
            </w:r>
            <w:r w:rsidRPr="00705AE1">
              <w:rPr>
                <w:rFonts w:ascii="Arial" w:hAnsi="Arial" w:cs="Arial"/>
                <w:b/>
                <w:bCs/>
                <w:color w:val="000000" w:themeColor="text1"/>
              </w:rPr>
              <w:fldChar w:fldCharType="begin"/>
            </w:r>
            <w:r w:rsidRPr="00705AE1">
              <w:rPr>
                <w:rFonts w:ascii="Arial" w:hAnsi="Arial" w:cs="Arial"/>
                <w:b/>
                <w:bCs/>
                <w:color w:val="000000" w:themeColor="text1"/>
              </w:rPr>
              <w:instrText xml:space="preserve"> SEQ Figure \* ARABIC </w:instrText>
            </w:r>
            <w:r w:rsidRPr="00705AE1">
              <w:rPr>
                <w:rFonts w:ascii="Arial" w:hAnsi="Arial" w:cs="Arial"/>
                <w:b/>
                <w:bCs/>
                <w:color w:val="000000" w:themeColor="text1"/>
              </w:rPr>
              <w:fldChar w:fldCharType="separate"/>
            </w:r>
            <w:r w:rsidR="002C4B25">
              <w:rPr>
                <w:rFonts w:ascii="Arial" w:hAnsi="Arial" w:cs="Arial"/>
                <w:b/>
                <w:bCs/>
                <w:noProof/>
                <w:color w:val="000000" w:themeColor="text1"/>
              </w:rPr>
              <w:t>68</w:t>
            </w:r>
            <w:r w:rsidRPr="00705AE1">
              <w:rPr>
                <w:rFonts w:ascii="Arial" w:hAnsi="Arial" w:cs="Arial"/>
                <w:b/>
                <w:bCs/>
                <w:color w:val="000000" w:themeColor="text1"/>
              </w:rPr>
              <w:fldChar w:fldCharType="end"/>
            </w:r>
            <w:r w:rsidR="00E72F50" w:rsidRPr="00D74025">
              <w:rPr>
                <w:rFonts w:ascii="Arial" w:hAnsi="Arial" w:cs="Arial"/>
                <w:color w:val="000000" w:themeColor="text1"/>
              </w:rPr>
              <w:t xml:space="preserve">: Standard curve for low concentration SWCNT suspension using 250 </w:t>
            </w:r>
            <w:r w:rsidR="00045658" w:rsidRPr="00D74025">
              <w:rPr>
                <w:rFonts w:ascii="Arial" w:hAnsi="Arial" w:cs="Arial"/>
                <w:color w:val="000000" w:themeColor="text1"/>
              </w:rPr>
              <w:sym w:font="Symbol" w:char="F06D"/>
            </w:r>
            <w:r w:rsidR="00045658" w:rsidRPr="00D74025">
              <w:rPr>
                <w:rFonts w:ascii="Arial" w:hAnsi="Arial" w:cs="Arial"/>
                <w:color w:val="000000" w:themeColor="text1"/>
              </w:rPr>
              <w:t xml:space="preserve">L </w:t>
            </w:r>
            <w:r w:rsidR="00E51BB7" w:rsidRPr="00D74025">
              <w:rPr>
                <w:rFonts w:ascii="Arial" w:hAnsi="Arial" w:cs="Arial"/>
                <w:color w:val="000000" w:themeColor="text1"/>
              </w:rPr>
              <w:t>sample</w:t>
            </w:r>
            <w:r w:rsidR="001301E1">
              <w:rPr>
                <w:rFonts w:ascii="Arial" w:hAnsi="Arial" w:cs="Arial"/>
                <w:color w:val="000000" w:themeColor="text1"/>
              </w:rPr>
              <w:t>s</w:t>
            </w:r>
            <w:r w:rsidR="00E51BB7" w:rsidRPr="00D74025">
              <w:rPr>
                <w:rFonts w:ascii="Arial" w:hAnsi="Arial" w:cs="Arial"/>
                <w:color w:val="000000" w:themeColor="text1"/>
              </w:rPr>
              <w:t xml:space="preserve"> in 96-well plates.</w:t>
            </w:r>
            <w:bookmarkEnd w:id="180"/>
          </w:p>
        </w:tc>
      </w:tr>
    </w:tbl>
    <w:p w14:paraId="77406F48" w14:textId="13754164" w:rsidR="000428E2" w:rsidRPr="00D74025" w:rsidRDefault="000428E2" w:rsidP="000428E2">
      <w:pPr>
        <w:rPr>
          <w:color w:val="000000" w:themeColor="text1"/>
        </w:rPr>
      </w:pPr>
    </w:p>
    <w:tbl>
      <w:tblPr>
        <w:tblStyle w:val="TableGrid"/>
        <w:tblW w:w="0" w:type="auto"/>
        <w:tblLook w:val="04A0" w:firstRow="1" w:lastRow="0" w:firstColumn="1" w:lastColumn="0" w:noHBand="0" w:noVBand="1"/>
      </w:tblPr>
      <w:tblGrid>
        <w:gridCol w:w="9350"/>
      </w:tblGrid>
      <w:tr w:rsidR="00D74025" w:rsidRPr="00D74025" w14:paraId="464922F9" w14:textId="77777777" w:rsidTr="00E51BB7">
        <w:tc>
          <w:tcPr>
            <w:tcW w:w="9350" w:type="dxa"/>
          </w:tcPr>
          <w:p w14:paraId="592A4941" w14:textId="6B8BEA79" w:rsidR="00E51BB7" w:rsidRPr="00D74025" w:rsidRDefault="00E51BB7" w:rsidP="006F781B">
            <w:pPr>
              <w:spacing w:beforeAutospacing="0"/>
              <w:ind w:firstLine="0"/>
              <w:rPr>
                <w:color w:val="000000" w:themeColor="text1"/>
              </w:rPr>
            </w:pPr>
            <w:r w:rsidRPr="00D74025">
              <w:rPr>
                <w:noProof/>
                <w:color w:val="000000" w:themeColor="text1"/>
              </w:rPr>
              <w:lastRenderedPageBreak/>
              <w:drawing>
                <wp:inline distT="0" distB="0" distL="0" distR="0" wp14:anchorId="71AF21FC" wp14:editId="18C683BA">
                  <wp:extent cx="5766619" cy="4662583"/>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779493" cy="4672992"/>
                          </a:xfrm>
                          <a:prstGeom prst="rect">
                            <a:avLst/>
                          </a:prstGeom>
                        </pic:spPr>
                      </pic:pic>
                    </a:graphicData>
                  </a:graphic>
                </wp:inline>
              </w:drawing>
            </w:r>
          </w:p>
        </w:tc>
      </w:tr>
      <w:tr w:rsidR="00E51BB7" w:rsidRPr="00D74025" w14:paraId="77B78470" w14:textId="77777777" w:rsidTr="00E51BB7">
        <w:tc>
          <w:tcPr>
            <w:tcW w:w="9350" w:type="dxa"/>
          </w:tcPr>
          <w:p w14:paraId="7ECF748F" w14:textId="5F6DC485" w:rsidR="00E51BB7" w:rsidRPr="00D74025" w:rsidRDefault="003C3DFE" w:rsidP="00A56A29">
            <w:pPr>
              <w:spacing w:line="360" w:lineRule="auto"/>
              <w:ind w:firstLine="0"/>
              <w:rPr>
                <w:color w:val="000000" w:themeColor="text1"/>
              </w:rPr>
            </w:pPr>
            <w:bookmarkStart w:id="181" w:name="_Toc121217391"/>
            <w:r w:rsidRPr="00705AE1">
              <w:rPr>
                <w:rFonts w:ascii="Arial" w:hAnsi="Arial" w:cs="Arial"/>
                <w:b/>
                <w:bCs/>
                <w:color w:val="000000" w:themeColor="text1"/>
              </w:rPr>
              <w:t xml:space="preserve">Figure </w:t>
            </w:r>
            <w:r w:rsidRPr="00705AE1">
              <w:rPr>
                <w:rFonts w:ascii="Arial" w:hAnsi="Arial" w:cs="Arial"/>
                <w:b/>
                <w:bCs/>
                <w:color w:val="000000" w:themeColor="text1"/>
              </w:rPr>
              <w:fldChar w:fldCharType="begin"/>
            </w:r>
            <w:r w:rsidRPr="00705AE1">
              <w:rPr>
                <w:rFonts w:ascii="Arial" w:hAnsi="Arial" w:cs="Arial"/>
                <w:b/>
                <w:bCs/>
                <w:color w:val="000000" w:themeColor="text1"/>
              </w:rPr>
              <w:instrText xml:space="preserve"> SEQ Figure \* ARABIC </w:instrText>
            </w:r>
            <w:r w:rsidRPr="00705AE1">
              <w:rPr>
                <w:rFonts w:ascii="Arial" w:hAnsi="Arial" w:cs="Arial"/>
                <w:b/>
                <w:bCs/>
                <w:color w:val="000000" w:themeColor="text1"/>
              </w:rPr>
              <w:fldChar w:fldCharType="separate"/>
            </w:r>
            <w:r w:rsidR="002C4B25">
              <w:rPr>
                <w:rFonts w:ascii="Arial" w:hAnsi="Arial" w:cs="Arial"/>
                <w:b/>
                <w:bCs/>
                <w:noProof/>
                <w:color w:val="000000" w:themeColor="text1"/>
              </w:rPr>
              <w:t>69</w:t>
            </w:r>
            <w:r w:rsidRPr="00705AE1">
              <w:rPr>
                <w:rFonts w:ascii="Arial" w:hAnsi="Arial" w:cs="Arial"/>
                <w:b/>
                <w:bCs/>
                <w:color w:val="000000" w:themeColor="text1"/>
              </w:rPr>
              <w:fldChar w:fldCharType="end"/>
            </w:r>
            <w:r w:rsidR="00E51BB7" w:rsidRPr="00D74025">
              <w:rPr>
                <w:rFonts w:ascii="Arial" w:hAnsi="Arial" w:cs="Arial"/>
                <w:color w:val="000000" w:themeColor="text1"/>
              </w:rPr>
              <w:t xml:space="preserve">: Standard curve for high concentration SWCNT suspension using 100 </w:t>
            </w:r>
            <w:r w:rsidR="00E51BB7" w:rsidRPr="00D74025">
              <w:rPr>
                <w:rFonts w:ascii="Arial" w:hAnsi="Arial" w:cs="Arial"/>
                <w:color w:val="000000" w:themeColor="text1"/>
              </w:rPr>
              <w:sym w:font="Symbol" w:char="F06D"/>
            </w:r>
            <w:r w:rsidR="00E51BB7" w:rsidRPr="00D74025">
              <w:rPr>
                <w:rFonts w:ascii="Arial" w:hAnsi="Arial" w:cs="Arial"/>
                <w:color w:val="000000" w:themeColor="text1"/>
              </w:rPr>
              <w:t>L sample</w:t>
            </w:r>
            <w:r w:rsidR="00860167">
              <w:rPr>
                <w:rFonts w:ascii="Arial" w:hAnsi="Arial" w:cs="Arial"/>
                <w:color w:val="000000" w:themeColor="text1"/>
              </w:rPr>
              <w:t>s</w:t>
            </w:r>
            <w:r w:rsidR="00E51BB7" w:rsidRPr="00D74025">
              <w:rPr>
                <w:rFonts w:ascii="Arial" w:hAnsi="Arial" w:cs="Arial"/>
                <w:color w:val="000000" w:themeColor="text1"/>
              </w:rPr>
              <w:t xml:space="preserve"> in 96-well plates.</w:t>
            </w:r>
            <w:bookmarkEnd w:id="181"/>
          </w:p>
        </w:tc>
      </w:tr>
    </w:tbl>
    <w:p w14:paraId="26E98141" w14:textId="3055EDAE" w:rsidR="0036327C" w:rsidRPr="00D74025" w:rsidRDefault="0036327C" w:rsidP="000428E2">
      <w:pPr>
        <w:rPr>
          <w:color w:val="000000" w:themeColor="text1"/>
        </w:rPr>
      </w:pPr>
    </w:p>
    <w:tbl>
      <w:tblPr>
        <w:tblStyle w:val="TableGrid"/>
        <w:tblW w:w="0" w:type="auto"/>
        <w:tblLook w:val="04A0" w:firstRow="1" w:lastRow="0" w:firstColumn="1" w:lastColumn="0" w:noHBand="0" w:noVBand="1"/>
      </w:tblPr>
      <w:tblGrid>
        <w:gridCol w:w="9350"/>
      </w:tblGrid>
      <w:tr w:rsidR="00D74025" w:rsidRPr="00D74025" w14:paraId="06AAEE25" w14:textId="77777777" w:rsidTr="007362D2">
        <w:tc>
          <w:tcPr>
            <w:tcW w:w="9350" w:type="dxa"/>
          </w:tcPr>
          <w:p w14:paraId="3BFD7CD6" w14:textId="5BEFCA9D" w:rsidR="007362D2" w:rsidRPr="00D74025" w:rsidRDefault="00187795" w:rsidP="006F781B">
            <w:pPr>
              <w:spacing w:beforeAutospacing="0"/>
              <w:ind w:firstLine="0"/>
              <w:rPr>
                <w:color w:val="000000" w:themeColor="text1"/>
              </w:rPr>
            </w:pPr>
            <w:r w:rsidRPr="00187795">
              <w:rPr>
                <w:noProof/>
                <w:color w:val="000000" w:themeColor="text1"/>
              </w:rPr>
              <w:lastRenderedPageBreak/>
              <w:drawing>
                <wp:inline distT="0" distB="0" distL="0" distR="0" wp14:anchorId="193CBEAE" wp14:editId="328A7E9F">
                  <wp:extent cx="5782733" cy="4272915"/>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l="2707"/>
                          <a:stretch/>
                        </pic:blipFill>
                        <pic:spPr bwMode="auto">
                          <a:xfrm>
                            <a:off x="0" y="0"/>
                            <a:ext cx="5782733" cy="4272915"/>
                          </a:xfrm>
                          <a:prstGeom prst="rect">
                            <a:avLst/>
                          </a:prstGeom>
                          <a:ln>
                            <a:noFill/>
                          </a:ln>
                          <a:extLst>
                            <a:ext uri="{53640926-AAD7-44D8-BBD7-CCE9431645EC}">
                              <a14:shadowObscured xmlns:a14="http://schemas.microsoft.com/office/drawing/2010/main"/>
                            </a:ext>
                          </a:extLst>
                        </pic:spPr>
                      </pic:pic>
                    </a:graphicData>
                  </a:graphic>
                </wp:inline>
              </w:drawing>
            </w:r>
          </w:p>
        </w:tc>
      </w:tr>
      <w:tr w:rsidR="007362D2" w:rsidRPr="00D74025" w14:paraId="255CD3A4" w14:textId="77777777" w:rsidTr="007362D2">
        <w:tc>
          <w:tcPr>
            <w:tcW w:w="9350" w:type="dxa"/>
          </w:tcPr>
          <w:p w14:paraId="667EB118" w14:textId="34BB291D" w:rsidR="007362D2" w:rsidRPr="00D74025" w:rsidRDefault="003C3DFE" w:rsidP="00D11610">
            <w:pPr>
              <w:spacing w:line="360" w:lineRule="auto"/>
              <w:ind w:firstLine="0"/>
              <w:rPr>
                <w:rFonts w:ascii="Arial" w:hAnsi="Arial" w:cs="Arial"/>
                <w:color w:val="000000" w:themeColor="text1"/>
              </w:rPr>
            </w:pPr>
            <w:bookmarkStart w:id="182" w:name="_Toc121217392"/>
            <w:r w:rsidRPr="003C3DFE">
              <w:rPr>
                <w:rFonts w:ascii="Arial" w:hAnsi="Arial" w:cs="Arial"/>
                <w:b/>
                <w:bCs/>
                <w:color w:val="000000" w:themeColor="text1"/>
              </w:rPr>
              <w:t xml:space="preserve">Figure </w:t>
            </w:r>
            <w:r w:rsidRPr="003C3DFE">
              <w:rPr>
                <w:rFonts w:ascii="Arial" w:hAnsi="Arial" w:cs="Arial"/>
                <w:b/>
                <w:bCs/>
                <w:color w:val="000000" w:themeColor="text1"/>
              </w:rPr>
              <w:fldChar w:fldCharType="begin"/>
            </w:r>
            <w:r w:rsidRPr="003C3DFE">
              <w:rPr>
                <w:rFonts w:ascii="Arial" w:hAnsi="Arial" w:cs="Arial"/>
                <w:b/>
                <w:bCs/>
                <w:color w:val="000000" w:themeColor="text1"/>
              </w:rPr>
              <w:instrText xml:space="preserve"> SEQ Figure \* ARABIC </w:instrText>
            </w:r>
            <w:r w:rsidRPr="003C3DFE">
              <w:rPr>
                <w:rFonts w:ascii="Arial" w:hAnsi="Arial" w:cs="Arial"/>
                <w:b/>
                <w:bCs/>
                <w:color w:val="000000" w:themeColor="text1"/>
              </w:rPr>
              <w:fldChar w:fldCharType="separate"/>
            </w:r>
            <w:r w:rsidR="002C4B25">
              <w:rPr>
                <w:rFonts w:ascii="Arial" w:hAnsi="Arial" w:cs="Arial"/>
                <w:b/>
                <w:bCs/>
                <w:noProof/>
                <w:color w:val="000000" w:themeColor="text1"/>
              </w:rPr>
              <w:t>70</w:t>
            </w:r>
            <w:r w:rsidRPr="003C3DFE">
              <w:rPr>
                <w:rFonts w:ascii="Arial" w:hAnsi="Arial" w:cs="Arial"/>
                <w:b/>
                <w:bCs/>
                <w:color w:val="000000" w:themeColor="text1"/>
              </w:rPr>
              <w:fldChar w:fldCharType="end"/>
            </w:r>
            <w:r w:rsidR="0069378D" w:rsidRPr="00EA632D">
              <w:rPr>
                <w:rFonts w:ascii="Arial" w:hAnsi="Arial" w:cs="Arial"/>
                <w:b/>
                <w:bCs/>
                <w:color w:val="000000" w:themeColor="text1"/>
              </w:rPr>
              <w:t>: Protein standard</w:t>
            </w:r>
            <w:r w:rsidR="00EA632D" w:rsidRPr="00EA632D">
              <w:rPr>
                <w:rFonts w:ascii="Arial" w:hAnsi="Arial" w:cs="Arial"/>
                <w:b/>
                <w:bCs/>
                <w:color w:val="000000" w:themeColor="text1"/>
              </w:rPr>
              <w:t xml:space="preserve"> for Bradford </w:t>
            </w:r>
            <w:r w:rsidR="00860167">
              <w:rPr>
                <w:rFonts w:ascii="Arial" w:hAnsi="Arial" w:cs="Arial"/>
                <w:b/>
                <w:bCs/>
                <w:color w:val="000000" w:themeColor="text1"/>
              </w:rPr>
              <w:t>a</w:t>
            </w:r>
            <w:r w:rsidR="00EA632D" w:rsidRPr="00EA632D">
              <w:rPr>
                <w:rFonts w:ascii="Arial" w:hAnsi="Arial" w:cs="Arial"/>
                <w:b/>
                <w:bCs/>
                <w:color w:val="000000" w:themeColor="text1"/>
              </w:rPr>
              <w:t>ssay</w:t>
            </w:r>
            <w:r w:rsidR="0069378D" w:rsidRPr="00D74025">
              <w:rPr>
                <w:rFonts w:ascii="Arial" w:hAnsi="Arial" w:cs="Arial"/>
                <w:color w:val="000000" w:themeColor="text1"/>
              </w:rPr>
              <w:t xml:space="preserve">. The standard is </w:t>
            </w:r>
            <w:r w:rsidR="00860167">
              <w:rPr>
                <w:rFonts w:ascii="Arial" w:hAnsi="Arial" w:cs="Arial"/>
                <w:color w:val="000000" w:themeColor="text1"/>
              </w:rPr>
              <w:t>made</w:t>
            </w:r>
            <w:r w:rsidR="0069378D" w:rsidRPr="00D74025">
              <w:rPr>
                <w:rFonts w:ascii="Arial" w:hAnsi="Arial" w:cs="Arial"/>
                <w:color w:val="000000" w:themeColor="text1"/>
              </w:rPr>
              <w:t xml:space="preserve"> with bovine serum albumin (BSA)</w:t>
            </w:r>
            <w:r w:rsidR="00EA632D">
              <w:rPr>
                <w:rFonts w:ascii="Arial" w:hAnsi="Arial" w:cs="Arial"/>
                <w:color w:val="000000" w:themeColor="text1"/>
              </w:rPr>
              <w:t xml:space="preserve"> to create </w:t>
            </w:r>
            <w:r w:rsidR="00860167">
              <w:rPr>
                <w:rFonts w:ascii="Arial" w:hAnsi="Arial" w:cs="Arial"/>
                <w:color w:val="000000" w:themeColor="text1"/>
              </w:rPr>
              <w:t xml:space="preserve">the </w:t>
            </w:r>
            <w:r w:rsidR="00EA632D">
              <w:rPr>
                <w:rFonts w:ascii="Arial" w:hAnsi="Arial" w:cs="Arial"/>
                <w:color w:val="000000" w:themeColor="text1"/>
              </w:rPr>
              <w:t>standard solution</w:t>
            </w:r>
            <w:r w:rsidR="00860167">
              <w:rPr>
                <w:rFonts w:ascii="Arial" w:hAnsi="Arial" w:cs="Arial"/>
                <w:color w:val="000000" w:themeColor="text1"/>
              </w:rPr>
              <w:t>,</w:t>
            </w:r>
            <w:r w:rsidR="00B60BC5" w:rsidRPr="00D74025">
              <w:rPr>
                <w:rFonts w:ascii="Arial" w:hAnsi="Arial" w:cs="Arial"/>
                <w:color w:val="000000" w:themeColor="text1"/>
              </w:rPr>
              <w:t xml:space="preserve"> and it is used to assess the concentration of annexin A5 in solutions and conjugations.</w:t>
            </w:r>
            <w:r w:rsidR="006D25BF">
              <w:rPr>
                <w:rFonts w:ascii="Arial" w:hAnsi="Arial" w:cs="Arial"/>
                <w:color w:val="000000" w:themeColor="text1"/>
              </w:rPr>
              <w:t xml:space="preserve"> For that, 250 </w:t>
            </w:r>
            <w:r w:rsidR="006D25BF">
              <w:rPr>
                <w:rFonts w:ascii="Arial" w:hAnsi="Arial" w:cs="Arial"/>
                <w:color w:val="000000" w:themeColor="text1"/>
              </w:rPr>
              <w:sym w:font="Symbol" w:char="F06D"/>
            </w:r>
            <w:r w:rsidR="006D25BF">
              <w:rPr>
                <w:rFonts w:ascii="Arial" w:hAnsi="Arial" w:cs="Arial"/>
                <w:color w:val="000000" w:themeColor="text1"/>
              </w:rPr>
              <w:t xml:space="preserve">L of Bradford </w:t>
            </w:r>
            <w:r w:rsidR="008E2352">
              <w:rPr>
                <w:rFonts w:ascii="Arial" w:hAnsi="Arial" w:cs="Arial"/>
                <w:color w:val="000000" w:themeColor="text1"/>
              </w:rPr>
              <w:t>reagent</w:t>
            </w:r>
            <w:r w:rsidR="006D25BF">
              <w:rPr>
                <w:rFonts w:ascii="Arial" w:hAnsi="Arial" w:cs="Arial"/>
                <w:color w:val="000000" w:themeColor="text1"/>
              </w:rPr>
              <w:t xml:space="preserve"> and </w:t>
            </w:r>
            <w:r w:rsidR="008E2352">
              <w:rPr>
                <w:rFonts w:ascii="Arial" w:hAnsi="Arial" w:cs="Arial"/>
                <w:color w:val="000000" w:themeColor="text1"/>
              </w:rPr>
              <w:t xml:space="preserve">5 </w:t>
            </w:r>
            <w:r w:rsidR="008E2352">
              <w:rPr>
                <w:rFonts w:ascii="Arial" w:hAnsi="Arial" w:cs="Arial"/>
                <w:color w:val="000000" w:themeColor="text1"/>
              </w:rPr>
              <w:sym w:font="Symbol" w:char="F06D"/>
            </w:r>
            <w:r w:rsidR="008E2352">
              <w:rPr>
                <w:rFonts w:ascii="Arial" w:hAnsi="Arial" w:cs="Arial"/>
                <w:color w:val="000000" w:themeColor="text1"/>
              </w:rPr>
              <w:t>L of protein solution</w:t>
            </w:r>
            <w:r w:rsidR="00E41735">
              <w:rPr>
                <w:rFonts w:ascii="Arial" w:hAnsi="Arial" w:cs="Arial"/>
                <w:color w:val="000000" w:themeColor="text1"/>
              </w:rPr>
              <w:t xml:space="preserve"> is used</w:t>
            </w:r>
            <w:r w:rsidR="008E2352">
              <w:rPr>
                <w:rFonts w:ascii="Arial" w:hAnsi="Arial" w:cs="Arial"/>
                <w:color w:val="000000" w:themeColor="text1"/>
              </w:rPr>
              <w:t>. PBS in Bradford reagent is used as blank.</w:t>
            </w:r>
            <w:bookmarkEnd w:id="182"/>
          </w:p>
        </w:tc>
      </w:tr>
    </w:tbl>
    <w:p w14:paraId="0000E24C" w14:textId="2FF0698A" w:rsidR="0036327C" w:rsidRPr="00D74025" w:rsidRDefault="0036327C" w:rsidP="003C3DFE">
      <w:pPr>
        <w:pStyle w:val="Caption"/>
        <w:rPr>
          <w:color w:val="000000" w:themeColor="text1"/>
        </w:rPr>
      </w:pPr>
    </w:p>
    <w:tbl>
      <w:tblPr>
        <w:tblStyle w:val="TableGrid"/>
        <w:tblW w:w="0" w:type="auto"/>
        <w:tblLook w:val="04A0" w:firstRow="1" w:lastRow="0" w:firstColumn="1" w:lastColumn="0" w:noHBand="0" w:noVBand="1"/>
      </w:tblPr>
      <w:tblGrid>
        <w:gridCol w:w="9350"/>
      </w:tblGrid>
      <w:tr w:rsidR="00D74025" w:rsidRPr="00D74025" w14:paraId="6DDC1BD5" w14:textId="77777777" w:rsidTr="00AE78D0">
        <w:tc>
          <w:tcPr>
            <w:tcW w:w="9350" w:type="dxa"/>
          </w:tcPr>
          <w:p w14:paraId="757A3F52" w14:textId="30ECAC5A" w:rsidR="00AE78D0" w:rsidRPr="00D74025" w:rsidRDefault="00AE78D0" w:rsidP="00AA1AFF">
            <w:pPr>
              <w:spacing w:beforeAutospacing="0"/>
              <w:ind w:hanging="28"/>
              <w:jc w:val="center"/>
              <w:rPr>
                <w:color w:val="000000" w:themeColor="text1"/>
              </w:rPr>
            </w:pPr>
            <w:r w:rsidRPr="00D74025">
              <w:rPr>
                <w:noProof/>
                <w:color w:val="000000" w:themeColor="text1"/>
              </w:rPr>
              <w:lastRenderedPageBreak/>
              <w:drawing>
                <wp:inline distT="0" distB="0" distL="0" distR="0" wp14:anchorId="029CB95D" wp14:editId="517FCEE5">
                  <wp:extent cx="1945903" cy="2765685"/>
                  <wp:effectExtent l="0" t="0" r="0" b="3175"/>
                  <wp:docPr id="45" name="Picture 4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hart&#10;&#10;Description automatically generated"/>
                          <pic:cNvPicPr/>
                        </pic:nvPicPr>
                        <pic:blipFill>
                          <a:blip r:embed="rId92"/>
                          <a:stretch>
                            <a:fillRect/>
                          </a:stretch>
                        </pic:blipFill>
                        <pic:spPr>
                          <a:xfrm>
                            <a:off x="0" y="0"/>
                            <a:ext cx="1961205" cy="2787434"/>
                          </a:xfrm>
                          <a:prstGeom prst="rect">
                            <a:avLst/>
                          </a:prstGeom>
                        </pic:spPr>
                      </pic:pic>
                    </a:graphicData>
                  </a:graphic>
                </wp:inline>
              </w:drawing>
            </w:r>
          </w:p>
        </w:tc>
      </w:tr>
      <w:tr w:rsidR="00AE78D0" w:rsidRPr="00D74025" w14:paraId="07766D29" w14:textId="77777777" w:rsidTr="00AE78D0">
        <w:tc>
          <w:tcPr>
            <w:tcW w:w="9350" w:type="dxa"/>
          </w:tcPr>
          <w:p w14:paraId="30249BB6" w14:textId="2BC05D34" w:rsidR="00AE78D0" w:rsidRPr="00D74025" w:rsidRDefault="003C3DFE" w:rsidP="00A11808">
            <w:pPr>
              <w:spacing w:line="360" w:lineRule="auto"/>
              <w:ind w:firstLine="0"/>
              <w:rPr>
                <w:color w:val="000000" w:themeColor="text1"/>
              </w:rPr>
            </w:pPr>
            <w:bookmarkStart w:id="183" w:name="_Toc121217393"/>
            <w:r w:rsidRPr="003C3DFE">
              <w:rPr>
                <w:rFonts w:ascii="Arial" w:hAnsi="Arial" w:cs="Arial"/>
                <w:b/>
                <w:bCs/>
                <w:color w:val="000000" w:themeColor="text1"/>
              </w:rPr>
              <w:t xml:space="preserve">Figure </w:t>
            </w:r>
            <w:r w:rsidRPr="003C3DFE">
              <w:rPr>
                <w:rFonts w:ascii="Arial" w:hAnsi="Arial" w:cs="Arial"/>
                <w:b/>
                <w:bCs/>
                <w:color w:val="000000" w:themeColor="text1"/>
              </w:rPr>
              <w:fldChar w:fldCharType="begin"/>
            </w:r>
            <w:r w:rsidRPr="003C3DFE">
              <w:rPr>
                <w:rFonts w:ascii="Arial" w:hAnsi="Arial" w:cs="Arial"/>
                <w:b/>
                <w:bCs/>
                <w:color w:val="000000" w:themeColor="text1"/>
              </w:rPr>
              <w:instrText xml:space="preserve"> SEQ Figure \* ARABIC </w:instrText>
            </w:r>
            <w:r w:rsidRPr="003C3DFE">
              <w:rPr>
                <w:rFonts w:ascii="Arial" w:hAnsi="Arial" w:cs="Arial"/>
                <w:b/>
                <w:bCs/>
                <w:color w:val="000000" w:themeColor="text1"/>
              </w:rPr>
              <w:fldChar w:fldCharType="separate"/>
            </w:r>
            <w:r w:rsidR="002C4B25">
              <w:rPr>
                <w:rFonts w:ascii="Arial" w:hAnsi="Arial" w:cs="Arial"/>
                <w:b/>
                <w:bCs/>
                <w:noProof/>
                <w:color w:val="000000" w:themeColor="text1"/>
              </w:rPr>
              <w:t>71</w:t>
            </w:r>
            <w:r w:rsidRPr="003C3DFE">
              <w:rPr>
                <w:rFonts w:ascii="Arial" w:hAnsi="Arial" w:cs="Arial"/>
                <w:b/>
                <w:bCs/>
                <w:color w:val="000000" w:themeColor="text1"/>
              </w:rPr>
              <w:fldChar w:fldCharType="end"/>
            </w:r>
            <w:r w:rsidR="00AE78D0" w:rsidRPr="00D74025">
              <w:rPr>
                <w:rFonts w:ascii="Arial" w:hAnsi="Arial" w:cs="Arial"/>
                <w:b/>
                <w:bCs/>
                <w:color w:val="000000" w:themeColor="text1"/>
              </w:rPr>
              <w:t xml:space="preserve">: </w:t>
            </w:r>
            <w:r w:rsidR="00656BAA" w:rsidRPr="00D74025">
              <w:rPr>
                <w:rFonts w:ascii="Arial" w:hAnsi="Arial" w:cs="Arial"/>
                <w:b/>
                <w:bCs/>
                <w:color w:val="000000" w:themeColor="text1"/>
              </w:rPr>
              <w:t>IL-12 p70</w:t>
            </w:r>
            <w:r w:rsidR="00AE78D0" w:rsidRPr="00D74025">
              <w:rPr>
                <w:rFonts w:ascii="Arial" w:hAnsi="Arial" w:cs="Arial"/>
                <w:b/>
                <w:bCs/>
                <w:color w:val="000000" w:themeColor="text1"/>
              </w:rPr>
              <w:t xml:space="preserve"> concentration in serum 7 days after PTT in mice treated with </w:t>
            </w:r>
            <w:r w:rsidR="00656BAA" w:rsidRPr="00D74025">
              <w:rPr>
                <w:rFonts w:ascii="Arial" w:hAnsi="Arial" w:cs="Arial"/>
                <w:b/>
                <w:bCs/>
                <w:color w:val="000000" w:themeColor="text1"/>
              </w:rPr>
              <w:t xml:space="preserve">combination therapy of SWCNT-ANXA5 </w:t>
            </w:r>
            <w:r w:rsidR="00BF0638" w:rsidRPr="00D74025">
              <w:rPr>
                <w:rFonts w:ascii="Arial" w:hAnsi="Arial" w:cs="Arial"/>
                <w:b/>
                <w:bCs/>
                <w:color w:val="000000" w:themeColor="text1"/>
              </w:rPr>
              <w:t xml:space="preserve">mediated PTT and </w:t>
            </w:r>
            <w:r w:rsidR="00AE78D0" w:rsidRPr="00D74025">
              <w:rPr>
                <w:rFonts w:ascii="Arial" w:hAnsi="Arial" w:cs="Arial"/>
                <w:b/>
                <w:bCs/>
                <w:color w:val="000000" w:themeColor="text1"/>
              </w:rPr>
              <w:t>anti-CTLA</w:t>
            </w:r>
            <w:r w:rsidR="00BF0638" w:rsidRPr="00D74025">
              <w:rPr>
                <w:rFonts w:ascii="Arial" w:hAnsi="Arial" w:cs="Arial"/>
                <w:b/>
                <w:bCs/>
                <w:color w:val="000000" w:themeColor="text1"/>
              </w:rPr>
              <w:t>-</w:t>
            </w:r>
            <w:r w:rsidR="00AE78D0" w:rsidRPr="00D74025">
              <w:rPr>
                <w:rFonts w:ascii="Arial" w:hAnsi="Arial" w:cs="Arial"/>
                <w:b/>
                <w:bCs/>
                <w:color w:val="000000" w:themeColor="text1"/>
              </w:rPr>
              <w:t>4</w:t>
            </w:r>
            <w:r w:rsidR="00BF0638" w:rsidRPr="00D74025">
              <w:rPr>
                <w:rFonts w:ascii="Arial" w:hAnsi="Arial" w:cs="Arial"/>
                <w:b/>
                <w:bCs/>
                <w:color w:val="000000" w:themeColor="text1"/>
              </w:rPr>
              <w:t>:</w:t>
            </w:r>
            <w:r w:rsidR="00AE78D0" w:rsidRPr="00D74025">
              <w:rPr>
                <w:rFonts w:ascii="Arial" w:hAnsi="Arial" w:cs="Arial"/>
                <w:b/>
                <w:bCs/>
                <w:color w:val="000000" w:themeColor="text1"/>
              </w:rPr>
              <w:t xml:space="preserve"> </w:t>
            </w:r>
            <w:r w:rsidR="00083B6B" w:rsidRPr="00D74025">
              <w:rPr>
                <w:rFonts w:ascii="Arial" w:hAnsi="Arial" w:cs="Arial"/>
                <w:color w:val="000000" w:themeColor="text1"/>
              </w:rPr>
              <w:t xml:space="preserve">Levels of </w:t>
            </w:r>
            <w:r w:rsidR="00083B6B" w:rsidRPr="00D74025">
              <w:rPr>
                <w:rFonts w:ascii="Arial" w:eastAsiaTheme="minorEastAsia" w:hAnsi="Arial" w:cs="Arial"/>
                <w:color w:val="000000" w:themeColor="text1"/>
              </w:rPr>
              <w:t>TNF-</w:t>
            </w:r>
            <w:r w:rsidR="00083B6B" w:rsidRPr="00D74025">
              <w:rPr>
                <w:rFonts w:ascii="Arial" w:eastAsiaTheme="minorEastAsia" w:hAnsi="Arial" w:cs="Arial"/>
                <w:color w:val="000000" w:themeColor="text1"/>
              </w:rPr>
              <w:sym w:font="Symbol" w:char="F061"/>
            </w:r>
            <w:r w:rsidR="00083B6B" w:rsidRPr="00D74025">
              <w:rPr>
                <w:rFonts w:ascii="Arial" w:eastAsiaTheme="minorEastAsia" w:hAnsi="Arial" w:cs="Arial"/>
                <w:color w:val="000000" w:themeColor="text1"/>
              </w:rPr>
              <w:t>, IL-6, IFN-</w:t>
            </w:r>
            <w:r w:rsidR="00083B6B" w:rsidRPr="00D74025">
              <w:rPr>
                <w:rFonts w:ascii="Arial" w:eastAsiaTheme="minorEastAsia" w:hAnsi="Arial" w:cs="Arial"/>
                <w:color w:val="000000" w:themeColor="text1"/>
              </w:rPr>
              <w:sym w:font="Symbol" w:char="F067"/>
            </w:r>
            <w:r w:rsidR="00083B6B" w:rsidRPr="00D74025">
              <w:rPr>
                <w:rFonts w:ascii="Arial" w:eastAsiaTheme="minorEastAsia" w:hAnsi="Arial" w:cs="Arial"/>
                <w:color w:val="000000" w:themeColor="text1"/>
              </w:rPr>
              <w:t xml:space="preserve"> and </w:t>
            </w:r>
            <w:r w:rsidR="003E23A7" w:rsidRPr="00D74025">
              <w:rPr>
                <w:rFonts w:ascii="Arial" w:eastAsiaTheme="minorEastAsia" w:hAnsi="Arial" w:cs="Arial"/>
                <w:color w:val="000000" w:themeColor="text1"/>
              </w:rPr>
              <w:t xml:space="preserve">IL-12 p70 were measured </w:t>
            </w:r>
            <w:r w:rsidR="00AE78D0" w:rsidRPr="00D74025">
              <w:rPr>
                <w:rFonts w:ascii="Arial" w:hAnsi="Arial" w:cs="Arial"/>
                <w:color w:val="000000" w:themeColor="text1"/>
              </w:rPr>
              <w:t>in the serum of mice treated with I</w:t>
            </w:r>
            <w:r w:rsidR="00A11808" w:rsidRPr="00D74025">
              <w:rPr>
                <w:rFonts w:ascii="Arial" w:hAnsi="Arial" w:cs="Arial"/>
                <w:color w:val="000000" w:themeColor="text1"/>
              </w:rPr>
              <w:t>V</w:t>
            </w:r>
            <w:r w:rsidR="00AE78D0" w:rsidRPr="00D74025">
              <w:rPr>
                <w:rFonts w:ascii="Arial" w:hAnsi="Arial" w:cs="Arial"/>
                <w:color w:val="000000" w:themeColor="text1"/>
              </w:rPr>
              <w:t xml:space="preserve"> injections of conjugate, anti-CTLA-4 injection alone, I</w:t>
            </w:r>
            <w:r w:rsidR="00A11808" w:rsidRPr="00D74025">
              <w:rPr>
                <w:rFonts w:ascii="Arial" w:hAnsi="Arial" w:cs="Arial"/>
                <w:color w:val="000000" w:themeColor="text1"/>
              </w:rPr>
              <w:t>V</w:t>
            </w:r>
            <w:r w:rsidR="00AE78D0" w:rsidRPr="00D74025">
              <w:rPr>
                <w:rFonts w:ascii="Arial" w:hAnsi="Arial" w:cs="Arial"/>
                <w:color w:val="000000" w:themeColor="text1"/>
              </w:rPr>
              <w:t xml:space="preserve"> injections of conjugate combined with PTT, I</w:t>
            </w:r>
            <w:r w:rsidR="00A11808" w:rsidRPr="00D74025">
              <w:rPr>
                <w:rFonts w:ascii="Arial" w:hAnsi="Arial" w:cs="Arial"/>
                <w:color w:val="000000" w:themeColor="text1"/>
              </w:rPr>
              <w:t>V</w:t>
            </w:r>
            <w:r w:rsidR="00AE78D0" w:rsidRPr="00D74025">
              <w:rPr>
                <w:rFonts w:ascii="Arial" w:hAnsi="Arial" w:cs="Arial"/>
                <w:color w:val="000000" w:themeColor="text1"/>
              </w:rPr>
              <w:t xml:space="preserve"> injections of conjugate combined with PTT and anti-CTLA</w:t>
            </w:r>
            <w:r w:rsidR="00A11808" w:rsidRPr="00D74025">
              <w:rPr>
                <w:rFonts w:ascii="Arial" w:hAnsi="Arial" w:cs="Arial"/>
                <w:color w:val="000000" w:themeColor="text1"/>
              </w:rPr>
              <w:t>-</w:t>
            </w:r>
            <w:r w:rsidR="00AE78D0" w:rsidRPr="00D74025">
              <w:rPr>
                <w:rFonts w:ascii="Arial" w:hAnsi="Arial" w:cs="Arial"/>
                <w:color w:val="000000" w:themeColor="text1"/>
              </w:rPr>
              <w:t>4 injection, or untreated mice as a control. Laser wavelength was 9</w:t>
            </w:r>
            <w:r w:rsidR="00CC1A6E" w:rsidRPr="00D74025">
              <w:rPr>
                <w:rFonts w:ascii="Arial" w:hAnsi="Arial" w:cs="Arial"/>
                <w:color w:val="000000" w:themeColor="text1"/>
              </w:rPr>
              <w:t>80</w:t>
            </w:r>
            <w:r w:rsidR="00AE78D0" w:rsidRPr="00D74025">
              <w:rPr>
                <w:rFonts w:ascii="Arial" w:hAnsi="Arial" w:cs="Arial"/>
                <w:color w:val="000000" w:themeColor="text1"/>
              </w:rPr>
              <w:t xml:space="preserve"> nm and power density 1.0 W/cm² for 175 seconds. Blood samples were collected 7 days after photothermal therapy. For each treatment compared to the control, one-way ANOVA and Dunnett's multiple comparisons were carried out on the Graph</w:t>
            </w:r>
            <w:r w:rsidR="00D63F91">
              <w:rPr>
                <w:rFonts w:ascii="Arial" w:hAnsi="Arial" w:cs="Arial"/>
                <w:color w:val="000000" w:themeColor="text1"/>
              </w:rPr>
              <w:t>P</w:t>
            </w:r>
            <w:r w:rsidR="00AE78D0" w:rsidRPr="00D74025">
              <w:rPr>
                <w:rFonts w:ascii="Arial" w:hAnsi="Arial" w:cs="Arial"/>
                <w:color w:val="000000" w:themeColor="text1"/>
              </w:rPr>
              <w:t>ad Prism</w:t>
            </w:r>
            <w:r w:rsidR="00D63F91">
              <w:rPr>
                <w:rFonts w:ascii="Arial" w:hAnsi="Arial" w:cs="Arial"/>
                <w:color w:val="000000" w:themeColor="text1"/>
              </w:rPr>
              <w:t xml:space="preserve"> 8</w:t>
            </w:r>
            <w:r w:rsidR="00CC1A6E" w:rsidRPr="00D74025">
              <w:rPr>
                <w:rFonts w:ascii="Arial" w:hAnsi="Arial" w:cs="Arial"/>
                <w:color w:val="000000" w:themeColor="text1"/>
              </w:rPr>
              <w:t>. No statistical significance was found between groups for IL-12 p70.</w:t>
            </w:r>
            <w:bookmarkEnd w:id="183"/>
          </w:p>
        </w:tc>
      </w:tr>
    </w:tbl>
    <w:p w14:paraId="2DBA782E" w14:textId="33F5A4C6" w:rsidR="00AE78D0" w:rsidRPr="00D74025" w:rsidRDefault="00AE78D0" w:rsidP="003C3DFE">
      <w:pPr>
        <w:pStyle w:val="Caption"/>
        <w:rPr>
          <w:color w:val="000000" w:themeColor="text1"/>
        </w:rPr>
      </w:pPr>
    </w:p>
    <w:tbl>
      <w:tblPr>
        <w:tblStyle w:val="TableGrid"/>
        <w:tblW w:w="0" w:type="auto"/>
        <w:tblLook w:val="04A0" w:firstRow="1" w:lastRow="0" w:firstColumn="1" w:lastColumn="0" w:noHBand="0" w:noVBand="1"/>
      </w:tblPr>
      <w:tblGrid>
        <w:gridCol w:w="9350"/>
      </w:tblGrid>
      <w:tr w:rsidR="002A1847" w14:paraId="28C0E526" w14:textId="77777777" w:rsidTr="002A1847">
        <w:tc>
          <w:tcPr>
            <w:tcW w:w="9350" w:type="dxa"/>
          </w:tcPr>
          <w:p w14:paraId="02F2695E" w14:textId="08CCECDF" w:rsidR="002A1847" w:rsidRDefault="002E736A" w:rsidP="00AA1AFF">
            <w:pPr>
              <w:spacing w:beforeAutospacing="0"/>
              <w:ind w:firstLine="0"/>
              <w:jc w:val="center"/>
              <w:rPr>
                <w:color w:val="000000" w:themeColor="text1"/>
              </w:rPr>
            </w:pPr>
            <w:r w:rsidRPr="002E736A">
              <w:rPr>
                <w:noProof/>
                <w:color w:val="000000" w:themeColor="text1"/>
              </w:rPr>
              <w:lastRenderedPageBreak/>
              <w:drawing>
                <wp:inline distT="0" distB="0" distL="0" distR="0" wp14:anchorId="38A7DAA3" wp14:editId="0BC5C873">
                  <wp:extent cx="3429000" cy="5842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t="1287"/>
                          <a:stretch/>
                        </pic:blipFill>
                        <pic:spPr bwMode="auto">
                          <a:xfrm>
                            <a:off x="0" y="0"/>
                            <a:ext cx="3429000" cy="5842000"/>
                          </a:xfrm>
                          <a:prstGeom prst="rect">
                            <a:avLst/>
                          </a:prstGeom>
                          <a:ln>
                            <a:noFill/>
                          </a:ln>
                          <a:extLst>
                            <a:ext uri="{53640926-AAD7-44D8-BBD7-CCE9431645EC}">
                              <a14:shadowObscured xmlns:a14="http://schemas.microsoft.com/office/drawing/2010/main"/>
                            </a:ext>
                          </a:extLst>
                        </pic:spPr>
                      </pic:pic>
                    </a:graphicData>
                  </a:graphic>
                </wp:inline>
              </w:drawing>
            </w:r>
          </w:p>
        </w:tc>
      </w:tr>
      <w:tr w:rsidR="002A1847" w14:paraId="7110CC55" w14:textId="77777777" w:rsidTr="002A1847">
        <w:tc>
          <w:tcPr>
            <w:tcW w:w="9350" w:type="dxa"/>
          </w:tcPr>
          <w:p w14:paraId="0B23A22A" w14:textId="77D18F8F" w:rsidR="002A1847" w:rsidRDefault="003C3DFE" w:rsidP="0026553F">
            <w:pPr>
              <w:spacing w:line="360" w:lineRule="auto"/>
              <w:ind w:firstLine="0"/>
              <w:rPr>
                <w:color w:val="000000" w:themeColor="text1"/>
              </w:rPr>
            </w:pPr>
            <w:bookmarkStart w:id="184" w:name="_Toc121217394"/>
            <w:r w:rsidRPr="003C3DFE">
              <w:rPr>
                <w:rFonts w:ascii="Arial" w:hAnsi="Arial" w:cs="Arial"/>
                <w:b/>
                <w:bCs/>
                <w:color w:val="000000" w:themeColor="text1"/>
              </w:rPr>
              <w:t xml:space="preserve">Figure </w:t>
            </w:r>
            <w:r w:rsidRPr="003C3DFE">
              <w:rPr>
                <w:rFonts w:ascii="Arial" w:hAnsi="Arial" w:cs="Arial"/>
                <w:b/>
                <w:bCs/>
                <w:color w:val="000000" w:themeColor="text1"/>
              </w:rPr>
              <w:fldChar w:fldCharType="begin"/>
            </w:r>
            <w:r w:rsidRPr="003C3DFE">
              <w:rPr>
                <w:rFonts w:ascii="Arial" w:hAnsi="Arial" w:cs="Arial"/>
                <w:b/>
                <w:bCs/>
                <w:color w:val="000000" w:themeColor="text1"/>
              </w:rPr>
              <w:instrText xml:space="preserve"> SEQ Figure \* ARABIC </w:instrText>
            </w:r>
            <w:r w:rsidRPr="003C3DFE">
              <w:rPr>
                <w:rFonts w:ascii="Arial" w:hAnsi="Arial" w:cs="Arial"/>
                <w:b/>
                <w:bCs/>
                <w:color w:val="000000" w:themeColor="text1"/>
              </w:rPr>
              <w:fldChar w:fldCharType="separate"/>
            </w:r>
            <w:r w:rsidR="002C4B25">
              <w:rPr>
                <w:rFonts w:ascii="Arial" w:hAnsi="Arial" w:cs="Arial"/>
                <w:b/>
                <w:bCs/>
                <w:noProof/>
                <w:color w:val="000000" w:themeColor="text1"/>
              </w:rPr>
              <w:t>72</w:t>
            </w:r>
            <w:r w:rsidRPr="003C3DFE">
              <w:rPr>
                <w:rFonts w:ascii="Arial" w:hAnsi="Arial" w:cs="Arial"/>
                <w:b/>
                <w:bCs/>
                <w:color w:val="000000" w:themeColor="text1"/>
              </w:rPr>
              <w:fldChar w:fldCharType="end"/>
            </w:r>
            <w:r w:rsidR="0026553F" w:rsidRPr="00D74025">
              <w:rPr>
                <w:rFonts w:ascii="Arial" w:hAnsi="Arial" w:cs="Arial"/>
                <w:b/>
                <w:bCs/>
                <w:color w:val="000000" w:themeColor="text1"/>
              </w:rPr>
              <w:t xml:space="preserve">:  </w:t>
            </w:r>
            <w:r w:rsidR="00452089">
              <w:rPr>
                <w:rFonts w:ascii="Arial" w:hAnsi="Arial" w:cs="Arial"/>
                <w:b/>
                <w:bCs/>
                <w:color w:val="000000" w:themeColor="text1"/>
              </w:rPr>
              <w:t>Extra data from c</w:t>
            </w:r>
            <w:r w:rsidR="0026553F" w:rsidRPr="00D74025">
              <w:rPr>
                <w:rFonts w:ascii="Arial" w:hAnsi="Arial" w:cs="Arial"/>
                <w:b/>
                <w:bCs/>
                <w:color w:val="000000" w:themeColor="text1"/>
              </w:rPr>
              <w:t>ytokine concentrations in serum 1 day (24 h) and 7 days (168 h) after PTT with different final temperatures</w:t>
            </w:r>
            <w:r w:rsidR="00452089">
              <w:rPr>
                <w:rFonts w:ascii="Arial" w:hAnsi="Arial" w:cs="Arial"/>
                <w:b/>
                <w:bCs/>
                <w:color w:val="000000" w:themeColor="text1"/>
              </w:rPr>
              <w:t xml:space="preserve"> in EMT6 tumors</w:t>
            </w:r>
            <w:r w:rsidR="0026553F" w:rsidRPr="00D74025">
              <w:rPr>
                <w:rFonts w:ascii="Arial" w:hAnsi="Arial" w:cs="Arial"/>
                <w:b/>
                <w:bCs/>
                <w:color w:val="000000" w:themeColor="text1"/>
              </w:rPr>
              <w:t xml:space="preserve">. </w:t>
            </w:r>
            <w:r w:rsidR="0026553F" w:rsidRPr="00D74025">
              <w:rPr>
                <w:rFonts w:ascii="Arial" w:hAnsi="Arial" w:cs="Arial"/>
                <w:color w:val="000000" w:themeColor="text1"/>
              </w:rPr>
              <w:t>The diagram</w:t>
            </w:r>
            <w:r w:rsidR="00E41735">
              <w:rPr>
                <w:rFonts w:ascii="Arial" w:hAnsi="Arial" w:cs="Arial"/>
                <w:color w:val="000000" w:themeColor="text1"/>
              </w:rPr>
              <w:t>s</w:t>
            </w:r>
            <w:r w:rsidR="0026553F" w:rsidRPr="00D74025">
              <w:rPr>
                <w:rFonts w:ascii="Arial" w:hAnsi="Arial" w:cs="Arial"/>
                <w:color w:val="000000" w:themeColor="text1"/>
              </w:rPr>
              <w:t xml:space="preserve"> show the level of </w:t>
            </w:r>
            <w:r w:rsidR="000D3CDB">
              <w:rPr>
                <w:rFonts w:ascii="Arial" w:hAnsi="Arial" w:cs="Arial"/>
                <w:color w:val="000000" w:themeColor="text1"/>
              </w:rPr>
              <w:t>IFN-</w:t>
            </w:r>
            <w:r w:rsidR="000D3CDB">
              <w:rPr>
                <w:rFonts w:ascii="Arial" w:hAnsi="Arial" w:cs="Arial"/>
                <w:color w:val="000000" w:themeColor="text1"/>
              </w:rPr>
              <w:sym w:font="Symbol" w:char="F067"/>
            </w:r>
            <w:r w:rsidR="000D3CDB">
              <w:rPr>
                <w:rFonts w:ascii="Arial" w:hAnsi="Arial" w:cs="Arial"/>
                <w:color w:val="000000" w:themeColor="text1"/>
              </w:rPr>
              <w:t>, IL-6</w:t>
            </w:r>
            <w:r w:rsidR="0026553F" w:rsidRPr="00D74025">
              <w:rPr>
                <w:rFonts w:ascii="Arial" w:hAnsi="Arial" w:cs="Arial"/>
                <w:color w:val="000000" w:themeColor="text1"/>
                <w:lang w:val="el-GR"/>
              </w:rPr>
              <w:t xml:space="preserve"> </w:t>
            </w:r>
            <w:r w:rsidR="0026553F" w:rsidRPr="00D74025">
              <w:rPr>
                <w:rFonts w:ascii="Arial" w:hAnsi="Arial" w:cs="Arial"/>
                <w:color w:val="000000" w:themeColor="text1"/>
              </w:rPr>
              <w:t>and IL-12(p70) in the serum of mice treated with 980 nm-laser at power density 1.0 W/cm² after IT injection of SWCNT-ANXA5 conjugate. Blood samples were collected 1 day and 7 days after PTT</w:t>
            </w:r>
            <w:r w:rsidR="0026553F">
              <w:rPr>
                <w:rFonts w:ascii="Arial" w:hAnsi="Arial" w:cs="Arial"/>
                <w:color w:val="000000" w:themeColor="text1"/>
              </w:rPr>
              <w:t>,</w:t>
            </w:r>
            <w:r w:rsidR="0026553F" w:rsidRPr="00D74025">
              <w:rPr>
                <w:rFonts w:ascii="Arial" w:hAnsi="Arial" w:cs="Arial"/>
                <w:color w:val="000000" w:themeColor="text1"/>
              </w:rPr>
              <w:t xml:space="preserve"> and the levels of TNF-</w:t>
            </w:r>
            <w:r w:rsidR="0026553F" w:rsidRPr="00D74025">
              <w:rPr>
                <w:rFonts w:ascii="Arial" w:hAnsi="Arial" w:cs="Arial"/>
                <w:color w:val="000000" w:themeColor="text1"/>
              </w:rPr>
              <w:sym w:font="Symbol" w:char="F061"/>
            </w:r>
            <w:r w:rsidR="00450283">
              <w:rPr>
                <w:rFonts w:ascii="Arial" w:hAnsi="Arial" w:cs="Arial"/>
                <w:color w:val="000000" w:themeColor="text1"/>
              </w:rPr>
              <w:t xml:space="preserve"> IFN-</w:t>
            </w:r>
            <w:r w:rsidR="00450283">
              <w:rPr>
                <w:rFonts w:ascii="Arial" w:hAnsi="Arial" w:cs="Arial"/>
                <w:color w:val="000000" w:themeColor="text1"/>
              </w:rPr>
              <w:sym w:font="Symbol" w:char="F067"/>
            </w:r>
            <w:r w:rsidR="00450283">
              <w:rPr>
                <w:rFonts w:ascii="Arial" w:hAnsi="Arial" w:cs="Arial"/>
                <w:color w:val="000000" w:themeColor="text1"/>
              </w:rPr>
              <w:t>, IL-6</w:t>
            </w:r>
            <w:r w:rsidR="00450283" w:rsidRPr="00D74025">
              <w:rPr>
                <w:rFonts w:ascii="Arial" w:hAnsi="Arial" w:cs="Arial"/>
                <w:color w:val="000000" w:themeColor="text1"/>
                <w:lang w:val="el-GR"/>
              </w:rPr>
              <w:t xml:space="preserve"> </w:t>
            </w:r>
            <w:r w:rsidR="00450283" w:rsidRPr="00D74025">
              <w:rPr>
                <w:rFonts w:ascii="Arial" w:hAnsi="Arial" w:cs="Arial"/>
                <w:color w:val="000000" w:themeColor="text1"/>
              </w:rPr>
              <w:t>and IL-12(p70)</w:t>
            </w:r>
            <w:r w:rsidR="0026553F" w:rsidRPr="00D74025">
              <w:rPr>
                <w:rFonts w:ascii="Arial" w:hAnsi="Arial" w:cs="Arial"/>
                <w:color w:val="000000" w:themeColor="text1"/>
                <w:lang w:val="el-GR"/>
              </w:rPr>
              <w:t xml:space="preserve"> </w:t>
            </w:r>
            <w:r w:rsidR="0026553F" w:rsidRPr="00D74025">
              <w:rPr>
                <w:rFonts w:ascii="Arial" w:hAnsi="Arial" w:cs="Arial"/>
                <w:color w:val="000000" w:themeColor="text1"/>
              </w:rPr>
              <w:t xml:space="preserve">in the serum were analyzed by ELISA </w:t>
            </w:r>
            <w:r w:rsidR="0026553F">
              <w:rPr>
                <w:rFonts w:ascii="Arial" w:hAnsi="Arial" w:cs="Arial"/>
                <w:color w:val="000000" w:themeColor="text1"/>
              </w:rPr>
              <w:t>compared</w:t>
            </w:r>
            <w:r w:rsidR="0026553F" w:rsidRPr="00D74025">
              <w:rPr>
                <w:rFonts w:ascii="Arial" w:hAnsi="Arial" w:cs="Arial"/>
                <w:color w:val="000000" w:themeColor="text1"/>
              </w:rPr>
              <w:t xml:space="preserve"> to untreated control (injected intratumorally with SWCNT-ANXA5 but not treated with </w:t>
            </w:r>
            <w:r w:rsidR="0026553F" w:rsidRPr="00D74025">
              <w:rPr>
                <w:rFonts w:ascii="Arial" w:hAnsi="Arial" w:cs="Arial"/>
                <w:color w:val="000000" w:themeColor="text1"/>
              </w:rPr>
              <w:lastRenderedPageBreak/>
              <w:t xml:space="preserve">PTT). Photothermal therapy was performed until reaching final temperatures of 45, 50, 55, or 60°C </w:t>
            </w:r>
            <w:r w:rsidR="00F358CD">
              <w:rPr>
                <w:rFonts w:ascii="Arial" w:hAnsi="Arial" w:cs="Arial"/>
                <w:color w:val="000000" w:themeColor="text1"/>
              </w:rPr>
              <w:t>for each group</w:t>
            </w:r>
            <w:r w:rsidR="0026553F" w:rsidRPr="00D74025">
              <w:rPr>
                <w:rFonts w:ascii="Arial" w:hAnsi="Arial" w:cs="Arial"/>
                <w:color w:val="000000" w:themeColor="text1"/>
              </w:rPr>
              <w:t>. Data are presented as mean ± SE (n = 4–5). Statistical significance was analyzed for the treated groups compared to the untreated control group by one-way ANOVA with Dunnett’s multiple comparisons test. Statistical significance is indicated by *p &lt; 0.05 and **p &lt; 0.01.</w:t>
            </w:r>
            <w:bookmarkEnd w:id="184"/>
          </w:p>
        </w:tc>
      </w:tr>
    </w:tbl>
    <w:p w14:paraId="5EC8E2D6" w14:textId="5BB31F81" w:rsidR="000D385A" w:rsidRPr="00D74025" w:rsidRDefault="000D385A" w:rsidP="000428E2">
      <w:pPr>
        <w:rPr>
          <w:color w:val="000000" w:themeColor="text1"/>
        </w:rPr>
      </w:pPr>
    </w:p>
    <w:p w14:paraId="01CC8A0F" w14:textId="0176605A" w:rsidR="000D385A" w:rsidRPr="00D74025" w:rsidRDefault="000D385A" w:rsidP="000428E2">
      <w:pPr>
        <w:rPr>
          <w:color w:val="000000" w:themeColor="text1"/>
          <w:sz w:val="20"/>
          <w:szCs w:val="20"/>
        </w:rPr>
      </w:pPr>
    </w:p>
    <w:p w14:paraId="478E2666" w14:textId="0FCD1F3D" w:rsidR="00D8764E" w:rsidRPr="00D74025" w:rsidRDefault="00D8764E" w:rsidP="000428E2">
      <w:pPr>
        <w:rPr>
          <w:color w:val="000000" w:themeColor="text1"/>
          <w:sz w:val="20"/>
          <w:szCs w:val="20"/>
        </w:rPr>
      </w:pPr>
    </w:p>
    <w:tbl>
      <w:tblPr>
        <w:tblStyle w:val="TableGrid"/>
        <w:tblW w:w="0" w:type="auto"/>
        <w:tblLook w:val="04A0" w:firstRow="1" w:lastRow="0" w:firstColumn="1" w:lastColumn="0" w:noHBand="0" w:noVBand="1"/>
      </w:tblPr>
      <w:tblGrid>
        <w:gridCol w:w="9350"/>
      </w:tblGrid>
      <w:tr w:rsidR="00836550" w14:paraId="2C6F96D6" w14:textId="77777777" w:rsidTr="00836550">
        <w:tc>
          <w:tcPr>
            <w:tcW w:w="9350" w:type="dxa"/>
          </w:tcPr>
          <w:p w14:paraId="11D17B30" w14:textId="2F72D632" w:rsidR="00836550" w:rsidRDefault="004E16DF" w:rsidP="00D97547">
            <w:pPr>
              <w:spacing w:beforeAutospacing="0"/>
              <w:ind w:firstLine="0"/>
              <w:jc w:val="center"/>
              <w:rPr>
                <w:color w:val="000000" w:themeColor="text1"/>
              </w:rPr>
            </w:pPr>
            <w:r w:rsidRPr="004E16DF">
              <w:rPr>
                <w:noProof/>
                <w:color w:val="000000" w:themeColor="text1"/>
              </w:rPr>
              <w:drawing>
                <wp:inline distT="0" distB="0" distL="0" distR="0" wp14:anchorId="639018D9" wp14:editId="2A16311F">
                  <wp:extent cx="5435600" cy="52197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435600" cy="5219700"/>
                          </a:xfrm>
                          <a:prstGeom prst="rect">
                            <a:avLst/>
                          </a:prstGeom>
                        </pic:spPr>
                      </pic:pic>
                    </a:graphicData>
                  </a:graphic>
                </wp:inline>
              </w:drawing>
            </w:r>
          </w:p>
        </w:tc>
      </w:tr>
      <w:tr w:rsidR="00836550" w14:paraId="53F39356" w14:textId="77777777" w:rsidTr="00836550">
        <w:tc>
          <w:tcPr>
            <w:tcW w:w="9350" w:type="dxa"/>
          </w:tcPr>
          <w:p w14:paraId="4FFA64A3" w14:textId="4A41DD1B" w:rsidR="00836550" w:rsidRPr="00315BB7" w:rsidRDefault="003C3DFE" w:rsidP="00315BB7">
            <w:pPr>
              <w:spacing w:line="360" w:lineRule="auto"/>
              <w:ind w:firstLine="0"/>
            </w:pPr>
            <w:bookmarkStart w:id="185" w:name="_Toc121217395"/>
            <w:r w:rsidRPr="003C3DFE">
              <w:rPr>
                <w:rFonts w:ascii="Arial" w:hAnsi="Arial" w:cs="Arial"/>
                <w:b/>
                <w:bCs/>
                <w:color w:val="000000" w:themeColor="text1"/>
              </w:rPr>
              <w:t xml:space="preserve">Figure </w:t>
            </w:r>
            <w:r w:rsidRPr="003C3DFE">
              <w:rPr>
                <w:rFonts w:ascii="Arial" w:hAnsi="Arial" w:cs="Arial"/>
                <w:b/>
                <w:bCs/>
                <w:color w:val="000000" w:themeColor="text1"/>
              </w:rPr>
              <w:fldChar w:fldCharType="begin"/>
            </w:r>
            <w:r w:rsidRPr="003C3DFE">
              <w:rPr>
                <w:rFonts w:ascii="Arial" w:hAnsi="Arial" w:cs="Arial"/>
                <w:b/>
                <w:bCs/>
                <w:color w:val="000000" w:themeColor="text1"/>
              </w:rPr>
              <w:instrText xml:space="preserve"> SEQ Figure \* ARABIC </w:instrText>
            </w:r>
            <w:r w:rsidRPr="003C3DFE">
              <w:rPr>
                <w:rFonts w:ascii="Arial" w:hAnsi="Arial" w:cs="Arial"/>
                <w:b/>
                <w:bCs/>
                <w:color w:val="000000" w:themeColor="text1"/>
              </w:rPr>
              <w:fldChar w:fldCharType="separate"/>
            </w:r>
            <w:r w:rsidR="002C4B25">
              <w:rPr>
                <w:rFonts w:ascii="Arial" w:hAnsi="Arial" w:cs="Arial"/>
                <w:b/>
                <w:bCs/>
                <w:noProof/>
                <w:color w:val="000000" w:themeColor="text1"/>
              </w:rPr>
              <w:t>73</w:t>
            </w:r>
            <w:r w:rsidRPr="003C3DFE">
              <w:rPr>
                <w:rFonts w:ascii="Arial" w:hAnsi="Arial" w:cs="Arial"/>
                <w:b/>
                <w:bCs/>
                <w:color w:val="000000" w:themeColor="text1"/>
              </w:rPr>
              <w:fldChar w:fldCharType="end"/>
            </w:r>
            <w:r w:rsidR="00315BB7" w:rsidRPr="00D74025">
              <w:rPr>
                <w:rFonts w:ascii="Arial" w:hAnsi="Arial" w:cs="Arial"/>
                <w:b/>
                <w:bCs/>
                <w:color w:val="000000" w:themeColor="text1"/>
              </w:rPr>
              <w:t xml:space="preserve">: </w:t>
            </w:r>
            <w:r w:rsidR="00315BB7">
              <w:rPr>
                <w:rFonts w:ascii="Arial" w:hAnsi="Arial" w:cs="Arial"/>
                <w:b/>
                <w:bCs/>
                <w:color w:val="000000" w:themeColor="text1"/>
              </w:rPr>
              <w:t>Tumor volumes from</w:t>
            </w:r>
            <w:r w:rsidR="00315BB7" w:rsidRPr="00D74025">
              <w:rPr>
                <w:rFonts w:ascii="Arial" w:hAnsi="Arial" w:cs="Arial"/>
                <w:b/>
                <w:bCs/>
                <w:color w:val="000000" w:themeColor="text1"/>
              </w:rPr>
              <w:t xml:space="preserve"> combinatorial photothermal therapy (PTT) and checkpoint inhibition (anti-PD-1) in EMT6 tumors</w:t>
            </w:r>
            <w:r w:rsidR="00315BB7">
              <w:rPr>
                <w:rFonts w:ascii="Arial" w:hAnsi="Arial" w:cs="Arial"/>
                <w:b/>
                <w:bCs/>
                <w:color w:val="000000" w:themeColor="text1"/>
              </w:rPr>
              <w:t xml:space="preserve"> from days 5 to 25</w:t>
            </w:r>
            <w:r w:rsidR="00315BB7" w:rsidRPr="00D74025">
              <w:rPr>
                <w:rFonts w:ascii="Arial" w:hAnsi="Arial" w:cs="Arial"/>
                <w:b/>
                <w:bCs/>
                <w:color w:val="000000" w:themeColor="text1"/>
              </w:rPr>
              <w:t xml:space="preserve">. </w:t>
            </w:r>
            <w:r w:rsidR="00315BB7" w:rsidRPr="00D74025">
              <w:rPr>
                <w:rFonts w:ascii="Arial" w:hAnsi="Arial" w:cs="Arial"/>
                <w:color w:val="000000" w:themeColor="text1"/>
              </w:rPr>
              <w:t xml:space="preserve">Mice with well-developed orthotopic syngeneic tumors (d ≥ 5 mm) were administered an IT dose of </w:t>
            </w:r>
            <w:r w:rsidR="00315BB7" w:rsidRPr="00D74025">
              <w:rPr>
                <w:rFonts w:ascii="Arial" w:hAnsi="Arial" w:cs="Arial"/>
                <w:color w:val="000000" w:themeColor="text1"/>
              </w:rPr>
              <w:lastRenderedPageBreak/>
              <w:t xml:space="preserve">1.2 mg/kg SWCNT-ANXA5. Tumors were irradiated with </w:t>
            </w:r>
            <w:r w:rsidR="00F731B4">
              <w:rPr>
                <w:rFonts w:ascii="Arial" w:hAnsi="Arial" w:cs="Arial"/>
                <w:color w:val="000000" w:themeColor="text1"/>
              </w:rPr>
              <w:t xml:space="preserve">an </w:t>
            </w:r>
            <w:r w:rsidR="00315BB7" w:rsidRPr="00D74025">
              <w:rPr>
                <w:rFonts w:ascii="Arial" w:hAnsi="Arial" w:cs="Arial"/>
                <w:color w:val="000000" w:themeColor="text1"/>
              </w:rPr>
              <w:t>NIR laser at a power density of 1 W/cm</w:t>
            </w:r>
            <w:r w:rsidR="00315BB7" w:rsidRPr="00D74025">
              <w:rPr>
                <w:rFonts w:ascii="Arial" w:hAnsi="Arial" w:cs="Arial"/>
                <w:color w:val="000000" w:themeColor="text1"/>
                <w:vertAlign w:val="superscript"/>
              </w:rPr>
              <w:t xml:space="preserve">2 </w:t>
            </w:r>
            <w:r w:rsidR="00315BB7" w:rsidRPr="00D74025">
              <w:rPr>
                <w:rFonts w:ascii="Arial" w:hAnsi="Arial" w:cs="Arial"/>
                <w:color w:val="000000" w:themeColor="text1"/>
              </w:rPr>
              <w:t xml:space="preserve">until </w:t>
            </w:r>
            <w:r w:rsidR="00F358CD">
              <w:rPr>
                <w:rFonts w:ascii="Arial" w:hAnsi="Arial" w:cs="Arial"/>
                <w:color w:val="000000" w:themeColor="text1"/>
              </w:rPr>
              <w:t xml:space="preserve">the </w:t>
            </w:r>
            <w:r w:rsidR="00315BB7" w:rsidRPr="00D74025">
              <w:rPr>
                <w:rFonts w:ascii="Arial" w:hAnsi="Arial" w:cs="Arial"/>
                <w:color w:val="000000" w:themeColor="text1"/>
              </w:rPr>
              <w:t>tumor surface temperature reached 45</w:t>
            </w:r>
            <w:r w:rsidR="00315BB7" w:rsidRPr="00D74025">
              <w:rPr>
                <w:rFonts w:ascii="Arial" w:hAnsi="Arial" w:cs="Arial"/>
                <w:color w:val="000000" w:themeColor="text1"/>
              </w:rPr>
              <w:sym w:font="Symbol" w:char="F0B0"/>
            </w:r>
            <w:r w:rsidR="00315BB7" w:rsidRPr="00D74025">
              <w:rPr>
                <w:rFonts w:ascii="Arial" w:hAnsi="Arial" w:cs="Arial"/>
                <w:color w:val="000000" w:themeColor="text1"/>
              </w:rPr>
              <w:t>C. Select groups received anti-PD-1 (10 mg/kg) on days 8, 11, and 16.</w:t>
            </w:r>
            <w:r w:rsidR="00315BB7">
              <w:rPr>
                <w:rFonts w:ascii="Arial" w:hAnsi="Arial" w:cs="Arial"/>
                <w:color w:val="000000" w:themeColor="text1"/>
              </w:rPr>
              <w:t xml:space="preserve"> </w:t>
            </w:r>
            <w:r w:rsidR="00315BB7" w:rsidRPr="00D74025">
              <w:rPr>
                <w:rFonts w:ascii="Arial" w:hAnsi="Arial" w:cs="Arial"/>
                <w:color w:val="000000" w:themeColor="text1"/>
              </w:rPr>
              <w:t xml:space="preserve">Tumor volume </w:t>
            </w:r>
            <w:r w:rsidR="00315BB7">
              <w:rPr>
                <w:rFonts w:ascii="Arial" w:hAnsi="Arial" w:cs="Arial"/>
                <w:color w:val="000000" w:themeColor="text1"/>
              </w:rPr>
              <w:t>is shown</w:t>
            </w:r>
            <w:r w:rsidR="00315BB7" w:rsidRPr="00D74025">
              <w:rPr>
                <w:rFonts w:ascii="Arial" w:hAnsi="Arial" w:cs="Arial"/>
                <w:color w:val="000000" w:themeColor="text1"/>
              </w:rPr>
              <w:t xml:space="preserve"> as mean ± SE (n = 7). Statistical analysis </w:t>
            </w:r>
            <w:r w:rsidR="00315BB7">
              <w:rPr>
                <w:rFonts w:ascii="Arial" w:hAnsi="Arial" w:cs="Arial"/>
                <w:color w:val="000000" w:themeColor="text1"/>
              </w:rPr>
              <w:t xml:space="preserve">was performed comparing </w:t>
            </w:r>
            <w:r w:rsidR="00315BB7" w:rsidRPr="00D74025">
              <w:rPr>
                <w:rFonts w:ascii="Arial" w:hAnsi="Arial" w:cs="Arial"/>
                <w:color w:val="000000" w:themeColor="text1"/>
              </w:rPr>
              <w:t xml:space="preserve">each treatment </w:t>
            </w:r>
            <w:r w:rsidR="00315BB7">
              <w:rPr>
                <w:rFonts w:ascii="Arial" w:hAnsi="Arial" w:cs="Arial"/>
                <w:color w:val="000000" w:themeColor="text1"/>
              </w:rPr>
              <w:t>group</w:t>
            </w:r>
            <w:r w:rsidR="00315BB7" w:rsidRPr="00D74025">
              <w:rPr>
                <w:rFonts w:ascii="Arial" w:hAnsi="Arial" w:cs="Arial"/>
                <w:color w:val="000000" w:themeColor="text1"/>
              </w:rPr>
              <w:t xml:space="preserve"> to </w:t>
            </w:r>
            <w:r w:rsidR="00315BB7">
              <w:rPr>
                <w:rFonts w:ascii="Arial" w:hAnsi="Arial" w:cs="Arial"/>
                <w:color w:val="000000" w:themeColor="text1"/>
              </w:rPr>
              <w:t xml:space="preserve">the untreated </w:t>
            </w:r>
            <w:r w:rsidR="00315BB7" w:rsidRPr="00D74025">
              <w:rPr>
                <w:rFonts w:ascii="Arial" w:hAnsi="Arial" w:cs="Arial"/>
                <w:color w:val="000000" w:themeColor="text1"/>
              </w:rPr>
              <w:t>control</w:t>
            </w:r>
            <w:r w:rsidR="00315BB7">
              <w:rPr>
                <w:rFonts w:ascii="Arial" w:hAnsi="Arial" w:cs="Arial"/>
                <w:color w:val="000000" w:themeColor="text1"/>
              </w:rPr>
              <w:t>. O</w:t>
            </w:r>
            <w:r w:rsidR="00315BB7" w:rsidRPr="00D74025">
              <w:rPr>
                <w:rFonts w:ascii="Arial" w:hAnsi="Arial" w:cs="Arial"/>
                <w:color w:val="000000" w:themeColor="text1"/>
              </w:rPr>
              <w:t>ne-way ANOVA and Dunnett</w:t>
            </w:r>
            <w:r w:rsidR="00315BB7">
              <w:rPr>
                <w:rFonts w:ascii="Arial" w:hAnsi="Arial" w:cs="Arial"/>
                <w:color w:val="000000" w:themeColor="text1"/>
              </w:rPr>
              <w:t>’</w:t>
            </w:r>
            <w:r w:rsidR="00315BB7" w:rsidRPr="00D74025">
              <w:rPr>
                <w:rFonts w:ascii="Arial" w:hAnsi="Arial" w:cs="Arial"/>
                <w:color w:val="000000" w:themeColor="text1"/>
              </w:rPr>
              <w:t xml:space="preserve">s multiple comparisons were carried out on GraphPad Prism </w:t>
            </w:r>
            <w:r w:rsidR="00D63F91">
              <w:rPr>
                <w:rFonts w:ascii="Arial" w:hAnsi="Arial" w:cs="Arial"/>
                <w:color w:val="000000" w:themeColor="text1"/>
              </w:rPr>
              <w:t>8</w:t>
            </w:r>
            <w:r w:rsidR="00315BB7" w:rsidRPr="00D74025">
              <w:rPr>
                <w:rFonts w:ascii="Arial" w:hAnsi="Arial" w:cs="Arial"/>
                <w:color w:val="000000" w:themeColor="text1"/>
              </w:rPr>
              <w:t>.</w:t>
            </w:r>
            <w:r w:rsidR="00315BB7">
              <w:rPr>
                <w:rFonts w:ascii="Arial" w:hAnsi="Arial" w:cs="Arial"/>
                <w:color w:val="000000" w:themeColor="text1"/>
              </w:rPr>
              <w:t xml:space="preserve"> </w:t>
            </w:r>
            <w:r w:rsidR="00315BB7" w:rsidRPr="00D74025">
              <w:rPr>
                <w:rFonts w:ascii="Arial" w:hAnsi="Arial" w:cs="Arial"/>
                <w:color w:val="000000" w:themeColor="text1"/>
              </w:rPr>
              <w:t>(</w:t>
            </w:r>
            <w:r w:rsidR="00315BB7">
              <w:rPr>
                <w:rFonts w:ascii="Arial" w:hAnsi="Arial" w:cs="Arial"/>
                <w:color w:val="000000" w:themeColor="text1"/>
              </w:rPr>
              <w:t xml:space="preserve">ns = non-significant, </w:t>
            </w:r>
            <w:r w:rsidR="00315BB7" w:rsidRPr="00D74025">
              <w:rPr>
                <w:rFonts w:ascii="Arial" w:hAnsi="Arial" w:cs="Arial"/>
                <w:color w:val="000000" w:themeColor="text1"/>
              </w:rPr>
              <w:t xml:space="preserve">*p &lt; 0.05, </w:t>
            </w:r>
            <w:r w:rsidR="00315BB7">
              <w:rPr>
                <w:rFonts w:ascii="Arial" w:hAnsi="Arial" w:cs="Arial"/>
                <w:color w:val="000000" w:themeColor="text1"/>
              </w:rPr>
              <w:t>***p &lt; 0.001)</w:t>
            </w:r>
            <w:bookmarkEnd w:id="185"/>
          </w:p>
        </w:tc>
      </w:tr>
    </w:tbl>
    <w:p w14:paraId="7A1518B2" w14:textId="24A84A74" w:rsidR="003C3DFE" w:rsidRDefault="003C3DFE" w:rsidP="000428E2">
      <w:pPr>
        <w:rPr>
          <w:color w:val="000000" w:themeColor="text1"/>
        </w:rPr>
      </w:pPr>
    </w:p>
    <w:p w14:paraId="673D1942" w14:textId="2DFEE001" w:rsidR="003C3DFE" w:rsidRDefault="003C3DFE" w:rsidP="000428E2">
      <w:pPr>
        <w:rPr>
          <w:color w:val="000000" w:themeColor="text1"/>
        </w:rPr>
      </w:pPr>
    </w:p>
    <w:p w14:paraId="25E456D7" w14:textId="77777777" w:rsidR="003C3DFE" w:rsidRPr="00D74025" w:rsidRDefault="003C3DFE" w:rsidP="000428E2">
      <w:pPr>
        <w:rPr>
          <w:color w:val="000000" w:themeColor="text1"/>
        </w:rPr>
      </w:pPr>
    </w:p>
    <w:tbl>
      <w:tblPr>
        <w:tblStyle w:val="TableGrid"/>
        <w:tblW w:w="0" w:type="auto"/>
        <w:tblLook w:val="04A0" w:firstRow="1" w:lastRow="0" w:firstColumn="1" w:lastColumn="0" w:noHBand="0" w:noVBand="1"/>
      </w:tblPr>
      <w:tblGrid>
        <w:gridCol w:w="9350"/>
      </w:tblGrid>
      <w:tr w:rsidR="00315BB7" w14:paraId="23B60A0E" w14:textId="77777777" w:rsidTr="00315BB7">
        <w:tc>
          <w:tcPr>
            <w:tcW w:w="9350" w:type="dxa"/>
          </w:tcPr>
          <w:p w14:paraId="3F0E53EA" w14:textId="088A6C36" w:rsidR="00315BB7" w:rsidRDefault="00992486" w:rsidP="00AA1AFF">
            <w:pPr>
              <w:spacing w:beforeAutospacing="0"/>
              <w:ind w:firstLine="0"/>
              <w:jc w:val="center"/>
              <w:rPr>
                <w:color w:val="000000" w:themeColor="text1"/>
              </w:rPr>
            </w:pPr>
            <w:r w:rsidRPr="00992486">
              <w:rPr>
                <w:noProof/>
                <w:color w:val="000000" w:themeColor="text1"/>
              </w:rPr>
              <w:drawing>
                <wp:inline distT="0" distB="0" distL="0" distR="0" wp14:anchorId="41660EF6" wp14:editId="0358C7D1">
                  <wp:extent cx="5651500" cy="54102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651500" cy="5410200"/>
                          </a:xfrm>
                          <a:prstGeom prst="rect">
                            <a:avLst/>
                          </a:prstGeom>
                        </pic:spPr>
                      </pic:pic>
                    </a:graphicData>
                  </a:graphic>
                </wp:inline>
              </w:drawing>
            </w:r>
          </w:p>
        </w:tc>
      </w:tr>
      <w:tr w:rsidR="00315BB7" w14:paraId="0C41C0A1" w14:textId="77777777" w:rsidTr="00315BB7">
        <w:tc>
          <w:tcPr>
            <w:tcW w:w="9350" w:type="dxa"/>
          </w:tcPr>
          <w:p w14:paraId="19AC90F5" w14:textId="2DC00C44" w:rsidR="00315BB7" w:rsidRPr="00D63F91" w:rsidRDefault="003C3DFE" w:rsidP="00315BB7">
            <w:pPr>
              <w:spacing w:line="360" w:lineRule="auto"/>
              <w:ind w:firstLine="0"/>
              <w:rPr>
                <w:rFonts w:ascii="Arial" w:hAnsi="Arial" w:cs="Arial"/>
                <w:color w:val="000000" w:themeColor="text1"/>
              </w:rPr>
            </w:pPr>
            <w:bookmarkStart w:id="186" w:name="_Toc118986327"/>
            <w:bookmarkStart w:id="187" w:name="_Toc121217396"/>
            <w:r w:rsidRPr="003C3DFE">
              <w:rPr>
                <w:rFonts w:ascii="Arial" w:hAnsi="Arial" w:cs="Arial"/>
                <w:b/>
                <w:bCs/>
                <w:color w:val="000000" w:themeColor="text1"/>
              </w:rPr>
              <w:lastRenderedPageBreak/>
              <w:t xml:space="preserve">Figure </w:t>
            </w:r>
            <w:r w:rsidRPr="003C3DFE">
              <w:rPr>
                <w:rFonts w:ascii="Arial" w:hAnsi="Arial" w:cs="Arial"/>
                <w:b/>
                <w:bCs/>
                <w:color w:val="000000" w:themeColor="text1"/>
              </w:rPr>
              <w:fldChar w:fldCharType="begin"/>
            </w:r>
            <w:r w:rsidRPr="003C3DFE">
              <w:rPr>
                <w:rFonts w:ascii="Arial" w:hAnsi="Arial" w:cs="Arial"/>
                <w:b/>
                <w:bCs/>
                <w:color w:val="000000" w:themeColor="text1"/>
              </w:rPr>
              <w:instrText xml:space="preserve"> SEQ Figure \* ARABIC </w:instrText>
            </w:r>
            <w:r w:rsidRPr="003C3DFE">
              <w:rPr>
                <w:rFonts w:ascii="Arial" w:hAnsi="Arial" w:cs="Arial"/>
                <w:b/>
                <w:bCs/>
                <w:color w:val="000000" w:themeColor="text1"/>
              </w:rPr>
              <w:fldChar w:fldCharType="separate"/>
            </w:r>
            <w:r w:rsidR="002C4B25">
              <w:rPr>
                <w:rFonts w:ascii="Arial" w:hAnsi="Arial" w:cs="Arial"/>
                <w:b/>
                <w:bCs/>
                <w:noProof/>
                <w:color w:val="000000" w:themeColor="text1"/>
              </w:rPr>
              <w:t>74</w:t>
            </w:r>
            <w:r w:rsidRPr="003C3DFE">
              <w:rPr>
                <w:rFonts w:ascii="Arial" w:hAnsi="Arial" w:cs="Arial"/>
                <w:b/>
                <w:bCs/>
                <w:color w:val="000000" w:themeColor="text1"/>
              </w:rPr>
              <w:fldChar w:fldCharType="end"/>
            </w:r>
            <w:r w:rsidR="00315BB7" w:rsidRPr="00D74025">
              <w:rPr>
                <w:rFonts w:ascii="Arial" w:hAnsi="Arial" w:cs="Arial"/>
                <w:b/>
                <w:bCs/>
                <w:color w:val="000000" w:themeColor="text1"/>
              </w:rPr>
              <w:t xml:space="preserve">: </w:t>
            </w:r>
            <w:r w:rsidR="00315BB7">
              <w:rPr>
                <w:rFonts w:ascii="Arial" w:hAnsi="Arial" w:cs="Arial"/>
                <w:b/>
                <w:bCs/>
                <w:color w:val="000000" w:themeColor="text1"/>
              </w:rPr>
              <w:t>Tumor volumes from</w:t>
            </w:r>
            <w:r w:rsidR="00315BB7" w:rsidRPr="00D74025">
              <w:rPr>
                <w:rFonts w:ascii="Arial" w:hAnsi="Arial" w:cs="Arial"/>
                <w:b/>
                <w:bCs/>
                <w:color w:val="000000" w:themeColor="text1"/>
              </w:rPr>
              <w:t xml:space="preserve"> combinatorial photothermal therapy (PTT) and checkpoint inhibition (anti-PD-1) in EMT6 tumors</w:t>
            </w:r>
            <w:r w:rsidR="00315BB7">
              <w:rPr>
                <w:rFonts w:ascii="Arial" w:hAnsi="Arial" w:cs="Arial"/>
                <w:b/>
                <w:bCs/>
                <w:color w:val="000000" w:themeColor="text1"/>
              </w:rPr>
              <w:t xml:space="preserve"> from days 30 to 45</w:t>
            </w:r>
            <w:r w:rsidR="00315BB7" w:rsidRPr="00D74025">
              <w:rPr>
                <w:rFonts w:ascii="Arial" w:hAnsi="Arial" w:cs="Arial"/>
                <w:b/>
                <w:bCs/>
                <w:color w:val="000000" w:themeColor="text1"/>
              </w:rPr>
              <w:t xml:space="preserve">. </w:t>
            </w:r>
            <w:r w:rsidR="00315BB7" w:rsidRPr="00D74025">
              <w:rPr>
                <w:rFonts w:ascii="Arial" w:hAnsi="Arial" w:cs="Arial"/>
                <w:color w:val="000000" w:themeColor="text1"/>
              </w:rPr>
              <w:t>Mice with well-developed orthotopic syngeneic tumors (d ≥ 5 mm) were administered an IT dose of 1.2 mg/kg SWCNT-ANXA5. Tumors were irradiated with a</w:t>
            </w:r>
            <w:r w:rsidR="00F731B4">
              <w:rPr>
                <w:rFonts w:ascii="Arial" w:hAnsi="Arial" w:cs="Arial"/>
                <w:color w:val="000000" w:themeColor="text1"/>
              </w:rPr>
              <w:t>n</w:t>
            </w:r>
            <w:r w:rsidR="00315BB7" w:rsidRPr="00D74025">
              <w:rPr>
                <w:rFonts w:ascii="Arial" w:hAnsi="Arial" w:cs="Arial"/>
                <w:color w:val="000000" w:themeColor="text1"/>
              </w:rPr>
              <w:t xml:space="preserve"> NIR laser at a power density of 1 W/cm</w:t>
            </w:r>
            <w:r w:rsidR="00315BB7" w:rsidRPr="00D74025">
              <w:rPr>
                <w:rFonts w:ascii="Arial" w:hAnsi="Arial" w:cs="Arial"/>
                <w:color w:val="000000" w:themeColor="text1"/>
                <w:vertAlign w:val="superscript"/>
              </w:rPr>
              <w:t xml:space="preserve">2 </w:t>
            </w:r>
            <w:r w:rsidR="00315BB7" w:rsidRPr="00D74025">
              <w:rPr>
                <w:rFonts w:ascii="Arial" w:hAnsi="Arial" w:cs="Arial"/>
                <w:color w:val="000000" w:themeColor="text1"/>
              </w:rPr>
              <w:t xml:space="preserve">until </w:t>
            </w:r>
            <w:r w:rsidR="00F731B4">
              <w:rPr>
                <w:rFonts w:ascii="Arial" w:hAnsi="Arial" w:cs="Arial"/>
                <w:color w:val="000000" w:themeColor="text1"/>
              </w:rPr>
              <w:t xml:space="preserve">the </w:t>
            </w:r>
            <w:r w:rsidR="00315BB7" w:rsidRPr="00D74025">
              <w:rPr>
                <w:rFonts w:ascii="Arial" w:hAnsi="Arial" w:cs="Arial"/>
                <w:color w:val="000000" w:themeColor="text1"/>
              </w:rPr>
              <w:t>tumor surface temperature reached 45</w:t>
            </w:r>
            <w:r w:rsidR="00315BB7" w:rsidRPr="00D74025">
              <w:rPr>
                <w:rFonts w:ascii="Arial" w:hAnsi="Arial" w:cs="Arial"/>
                <w:color w:val="000000" w:themeColor="text1"/>
              </w:rPr>
              <w:sym w:font="Symbol" w:char="F0B0"/>
            </w:r>
            <w:r w:rsidR="00315BB7" w:rsidRPr="00D74025">
              <w:rPr>
                <w:rFonts w:ascii="Arial" w:hAnsi="Arial" w:cs="Arial"/>
                <w:color w:val="000000" w:themeColor="text1"/>
              </w:rPr>
              <w:t>C. Select groups received anti-PD-1 (10 mg/kg) on days 8, 11, and 16.</w:t>
            </w:r>
            <w:r w:rsidR="00315BB7">
              <w:rPr>
                <w:rFonts w:ascii="Arial" w:hAnsi="Arial" w:cs="Arial"/>
                <w:color w:val="000000" w:themeColor="text1"/>
              </w:rPr>
              <w:t xml:space="preserve"> </w:t>
            </w:r>
            <w:r w:rsidR="00315BB7" w:rsidRPr="00D74025">
              <w:rPr>
                <w:rFonts w:ascii="Arial" w:hAnsi="Arial" w:cs="Arial"/>
                <w:color w:val="000000" w:themeColor="text1"/>
              </w:rPr>
              <w:t xml:space="preserve">Tumor volume </w:t>
            </w:r>
            <w:r w:rsidR="00315BB7">
              <w:rPr>
                <w:rFonts w:ascii="Arial" w:hAnsi="Arial" w:cs="Arial"/>
                <w:color w:val="000000" w:themeColor="text1"/>
              </w:rPr>
              <w:t>is shown</w:t>
            </w:r>
            <w:r w:rsidR="00315BB7" w:rsidRPr="00D74025">
              <w:rPr>
                <w:rFonts w:ascii="Arial" w:hAnsi="Arial" w:cs="Arial"/>
                <w:color w:val="000000" w:themeColor="text1"/>
              </w:rPr>
              <w:t xml:space="preserve"> as mean ± SE (n = 7). </w:t>
            </w:r>
            <w:r w:rsidR="00074990" w:rsidRPr="00D74025">
              <w:rPr>
                <w:rFonts w:ascii="Arial" w:hAnsi="Arial" w:cs="Arial"/>
                <w:color w:val="000000" w:themeColor="text1"/>
              </w:rPr>
              <w:t xml:space="preserve">Statistical analysis </w:t>
            </w:r>
            <w:r w:rsidR="00074990">
              <w:rPr>
                <w:rFonts w:ascii="Arial" w:hAnsi="Arial" w:cs="Arial"/>
                <w:color w:val="000000" w:themeColor="text1"/>
              </w:rPr>
              <w:t xml:space="preserve">was performed comparing </w:t>
            </w:r>
            <w:r w:rsidR="00074990" w:rsidRPr="00D74025">
              <w:rPr>
                <w:rFonts w:ascii="Arial" w:hAnsi="Arial" w:cs="Arial"/>
                <w:color w:val="000000" w:themeColor="text1"/>
              </w:rPr>
              <w:t xml:space="preserve">each treatment </w:t>
            </w:r>
            <w:r w:rsidR="00074990">
              <w:rPr>
                <w:rFonts w:ascii="Arial" w:hAnsi="Arial" w:cs="Arial"/>
                <w:color w:val="000000" w:themeColor="text1"/>
              </w:rPr>
              <w:t>group</w:t>
            </w:r>
            <w:r w:rsidR="00074990" w:rsidRPr="00D74025">
              <w:rPr>
                <w:rFonts w:ascii="Arial" w:hAnsi="Arial" w:cs="Arial"/>
                <w:color w:val="000000" w:themeColor="text1"/>
              </w:rPr>
              <w:t xml:space="preserve"> to </w:t>
            </w:r>
            <w:r w:rsidR="00074990">
              <w:rPr>
                <w:rFonts w:ascii="Arial" w:hAnsi="Arial" w:cs="Arial"/>
                <w:color w:val="000000" w:themeColor="text1"/>
              </w:rPr>
              <w:t xml:space="preserve">the untreated </w:t>
            </w:r>
            <w:r w:rsidR="00074990" w:rsidRPr="00D74025">
              <w:rPr>
                <w:rFonts w:ascii="Arial" w:hAnsi="Arial" w:cs="Arial"/>
                <w:color w:val="000000" w:themeColor="text1"/>
              </w:rPr>
              <w:t>control</w:t>
            </w:r>
            <w:r w:rsidR="00074990">
              <w:rPr>
                <w:rFonts w:ascii="Arial" w:hAnsi="Arial" w:cs="Arial"/>
                <w:color w:val="000000" w:themeColor="text1"/>
              </w:rPr>
              <w:t>. O</w:t>
            </w:r>
            <w:r w:rsidR="00074990" w:rsidRPr="00D74025">
              <w:rPr>
                <w:rFonts w:ascii="Arial" w:hAnsi="Arial" w:cs="Arial"/>
                <w:color w:val="000000" w:themeColor="text1"/>
              </w:rPr>
              <w:t>ne-way ANOVA and Dunnett</w:t>
            </w:r>
            <w:r w:rsidR="00074990">
              <w:rPr>
                <w:rFonts w:ascii="Arial" w:hAnsi="Arial" w:cs="Arial"/>
                <w:color w:val="000000" w:themeColor="text1"/>
              </w:rPr>
              <w:t>’</w:t>
            </w:r>
            <w:r w:rsidR="00074990" w:rsidRPr="00D74025">
              <w:rPr>
                <w:rFonts w:ascii="Arial" w:hAnsi="Arial" w:cs="Arial"/>
                <w:color w:val="000000" w:themeColor="text1"/>
              </w:rPr>
              <w:t xml:space="preserve">s multiple comparisons were carried out on GraphPad Prism </w:t>
            </w:r>
            <w:r w:rsidR="00D63F91">
              <w:rPr>
                <w:rFonts w:ascii="Arial" w:hAnsi="Arial" w:cs="Arial"/>
                <w:color w:val="000000" w:themeColor="text1"/>
              </w:rPr>
              <w:t>8</w:t>
            </w:r>
            <w:r w:rsidR="00074990" w:rsidRPr="00D74025">
              <w:rPr>
                <w:rFonts w:ascii="Arial" w:hAnsi="Arial" w:cs="Arial"/>
                <w:color w:val="000000" w:themeColor="text1"/>
              </w:rPr>
              <w:t>.</w:t>
            </w:r>
            <w:r w:rsidR="00074990">
              <w:rPr>
                <w:rFonts w:ascii="Arial" w:hAnsi="Arial" w:cs="Arial"/>
                <w:color w:val="000000" w:themeColor="text1"/>
              </w:rPr>
              <w:t xml:space="preserve"> </w:t>
            </w:r>
            <w:r w:rsidR="00074990" w:rsidRPr="00D74025">
              <w:rPr>
                <w:rFonts w:ascii="Arial" w:hAnsi="Arial" w:cs="Arial"/>
                <w:color w:val="000000" w:themeColor="text1"/>
              </w:rPr>
              <w:t>(</w:t>
            </w:r>
            <w:r w:rsidR="00074990">
              <w:rPr>
                <w:rFonts w:ascii="Arial" w:hAnsi="Arial" w:cs="Arial"/>
                <w:color w:val="000000" w:themeColor="text1"/>
              </w:rPr>
              <w:t xml:space="preserve">ns = non-significant, </w:t>
            </w:r>
            <w:r w:rsidR="00074990" w:rsidRPr="00D74025">
              <w:rPr>
                <w:rFonts w:ascii="Arial" w:hAnsi="Arial" w:cs="Arial"/>
                <w:color w:val="000000" w:themeColor="text1"/>
              </w:rPr>
              <w:t xml:space="preserve">*p &lt; 0.05, </w:t>
            </w:r>
            <w:r w:rsidR="00074990">
              <w:rPr>
                <w:rFonts w:ascii="Arial" w:hAnsi="Arial" w:cs="Arial"/>
                <w:color w:val="000000" w:themeColor="text1"/>
              </w:rPr>
              <w:t>***p &lt; 0.001)</w:t>
            </w:r>
            <w:bookmarkEnd w:id="186"/>
            <w:bookmarkEnd w:id="187"/>
          </w:p>
        </w:tc>
      </w:tr>
    </w:tbl>
    <w:p w14:paraId="744DDB3F" w14:textId="6112FAFC" w:rsidR="00210AA1" w:rsidRPr="00D74025" w:rsidRDefault="00210AA1" w:rsidP="003C3DFE">
      <w:pPr>
        <w:pStyle w:val="Caption"/>
        <w:rPr>
          <w:color w:val="000000" w:themeColor="text1"/>
        </w:rPr>
      </w:pPr>
    </w:p>
    <w:tbl>
      <w:tblPr>
        <w:tblStyle w:val="TableGrid"/>
        <w:tblW w:w="0" w:type="auto"/>
        <w:tblLook w:val="04A0" w:firstRow="1" w:lastRow="0" w:firstColumn="1" w:lastColumn="0" w:noHBand="0" w:noVBand="1"/>
      </w:tblPr>
      <w:tblGrid>
        <w:gridCol w:w="9350"/>
      </w:tblGrid>
      <w:tr w:rsidR="00EB11F9" w14:paraId="06832AFB" w14:textId="77777777" w:rsidTr="00EB11F9">
        <w:tc>
          <w:tcPr>
            <w:tcW w:w="9350" w:type="dxa"/>
          </w:tcPr>
          <w:p w14:paraId="5932A224" w14:textId="2B3BE7D5" w:rsidR="00EB11F9" w:rsidRDefault="00A41CA9" w:rsidP="00AA1AFF">
            <w:pPr>
              <w:spacing w:beforeAutospacing="0"/>
              <w:ind w:firstLine="0"/>
              <w:jc w:val="center"/>
              <w:rPr>
                <w:color w:val="000000" w:themeColor="text1"/>
              </w:rPr>
            </w:pPr>
            <w:r w:rsidRPr="00A41CA9">
              <w:rPr>
                <w:noProof/>
                <w:color w:val="000000" w:themeColor="text1"/>
              </w:rPr>
              <w:lastRenderedPageBreak/>
              <w:drawing>
                <wp:inline distT="0" distB="0" distL="0" distR="0" wp14:anchorId="343992B2" wp14:editId="1FBD98F9">
                  <wp:extent cx="5321300" cy="725170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321300" cy="7251700"/>
                          </a:xfrm>
                          <a:prstGeom prst="rect">
                            <a:avLst/>
                          </a:prstGeom>
                        </pic:spPr>
                      </pic:pic>
                    </a:graphicData>
                  </a:graphic>
                </wp:inline>
              </w:drawing>
            </w:r>
          </w:p>
        </w:tc>
      </w:tr>
      <w:tr w:rsidR="00EB11F9" w14:paraId="3AC74C09" w14:textId="77777777" w:rsidTr="00EB11F9">
        <w:tc>
          <w:tcPr>
            <w:tcW w:w="9350" w:type="dxa"/>
          </w:tcPr>
          <w:p w14:paraId="711481DF" w14:textId="20079929" w:rsidR="00074990" w:rsidRDefault="00705AE1" w:rsidP="00977A3D">
            <w:pPr>
              <w:spacing w:line="360" w:lineRule="auto"/>
              <w:ind w:firstLine="0"/>
              <w:rPr>
                <w:color w:val="000000" w:themeColor="text1"/>
              </w:rPr>
            </w:pPr>
            <w:bookmarkStart w:id="188" w:name="_Toc121217397"/>
            <w:r w:rsidRPr="00705AE1">
              <w:rPr>
                <w:rFonts w:ascii="Arial" w:hAnsi="Arial" w:cs="Arial"/>
                <w:b/>
                <w:bCs/>
                <w:color w:val="000000" w:themeColor="text1"/>
              </w:rPr>
              <w:t xml:space="preserve">Figure </w:t>
            </w:r>
            <w:r w:rsidRPr="00705AE1">
              <w:rPr>
                <w:rFonts w:ascii="Arial" w:hAnsi="Arial" w:cs="Arial"/>
                <w:b/>
                <w:bCs/>
                <w:color w:val="000000" w:themeColor="text1"/>
              </w:rPr>
              <w:fldChar w:fldCharType="begin"/>
            </w:r>
            <w:r w:rsidRPr="00705AE1">
              <w:rPr>
                <w:rFonts w:ascii="Arial" w:hAnsi="Arial" w:cs="Arial"/>
                <w:b/>
                <w:bCs/>
                <w:color w:val="000000" w:themeColor="text1"/>
              </w:rPr>
              <w:instrText xml:space="preserve"> SEQ Figure \* ARABIC </w:instrText>
            </w:r>
            <w:r w:rsidRPr="00705AE1">
              <w:rPr>
                <w:rFonts w:ascii="Arial" w:hAnsi="Arial" w:cs="Arial"/>
                <w:b/>
                <w:bCs/>
                <w:color w:val="000000" w:themeColor="text1"/>
              </w:rPr>
              <w:fldChar w:fldCharType="separate"/>
            </w:r>
            <w:r w:rsidR="002C4B25">
              <w:rPr>
                <w:rFonts w:ascii="Arial" w:hAnsi="Arial" w:cs="Arial"/>
                <w:b/>
                <w:bCs/>
                <w:noProof/>
                <w:color w:val="000000" w:themeColor="text1"/>
              </w:rPr>
              <w:t>75</w:t>
            </w:r>
            <w:r w:rsidRPr="00705AE1">
              <w:rPr>
                <w:rFonts w:ascii="Arial" w:hAnsi="Arial" w:cs="Arial"/>
                <w:b/>
                <w:bCs/>
                <w:color w:val="000000" w:themeColor="text1"/>
              </w:rPr>
              <w:fldChar w:fldCharType="end"/>
            </w:r>
            <w:r w:rsidR="00A41CA9" w:rsidRPr="00705AE1">
              <w:rPr>
                <w:rFonts w:ascii="Arial" w:hAnsi="Arial" w:cs="Arial"/>
                <w:b/>
                <w:bCs/>
                <w:color w:val="000000" w:themeColor="text1"/>
              </w:rPr>
              <w:t>:</w:t>
            </w:r>
            <w:r w:rsidR="00A41CA9" w:rsidRPr="00D74025">
              <w:rPr>
                <w:rFonts w:ascii="Arial" w:hAnsi="Arial" w:cs="Arial"/>
                <w:b/>
                <w:bCs/>
                <w:color w:val="000000" w:themeColor="text1"/>
              </w:rPr>
              <w:t xml:space="preserve"> </w:t>
            </w:r>
            <w:r w:rsidR="00E245BC">
              <w:rPr>
                <w:rFonts w:ascii="Arial" w:hAnsi="Arial" w:cs="Arial"/>
                <w:b/>
                <w:bCs/>
                <w:color w:val="000000" w:themeColor="text1"/>
              </w:rPr>
              <w:t xml:space="preserve">Tumor volumes </w:t>
            </w:r>
            <w:r w:rsidR="00C02408">
              <w:rPr>
                <w:rFonts w:ascii="Arial" w:hAnsi="Arial" w:cs="Arial"/>
                <w:b/>
                <w:bCs/>
                <w:color w:val="000000" w:themeColor="text1"/>
              </w:rPr>
              <w:t xml:space="preserve">at various </w:t>
            </w:r>
            <w:r w:rsidR="00E245BC">
              <w:rPr>
                <w:rFonts w:ascii="Arial" w:hAnsi="Arial" w:cs="Arial"/>
                <w:b/>
                <w:bCs/>
                <w:color w:val="000000" w:themeColor="text1"/>
              </w:rPr>
              <w:t xml:space="preserve">days for </w:t>
            </w:r>
            <w:r w:rsidR="00A41CA9" w:rsidRPr="00D74025">
              <w:rPr>
                <w:rFonts w:ascii="Arial" w:hAnsi="Arial" w:cs="Arial"/>
                <w:b/>
                <w:bCs/>
                <w:color w:val="000000" w:themeColor="text1"/>
              </w:rPr>
              <w:t>combinatorial therapy of checkpoint inhibition (anti-PD-1) and photothermal therapy (PTT) at 45</w:t>
            </w:r>
            <w:r w:rsidR="00A41CA9" w:rsidRPr="00D74025">
              <w:rPr>
                <w:rFonts w:ascii="Arial" w:hAnsi="Arial" w:cs="Arial"/>
                <w:b/>
                <w:bCs/>
                <w:color w:val="000000" w:themeColor="text1"/>
              </w:rPr>
              <w:sym w:font="Symbol" w:char="F0B0"/>
            </w:r>
            <w:r w:rsidR="00A41CA9" w:rsidRPr="00D74025">
              <w:rPr>
                <w:rFonts w:ascii="Arial" w:hAnsi="Arial" w:cs="Arial"/>
                <w:b/>
                <w:bCs/>
                <w:color w:val="000000" w:themeColor="text1"/>
              </w:rPr>
              <w:t xml:space="preserve">C </w:t>
            </w:r>
            <w:r w:rsidR="00A41CA9" w:rsidRPr="00D74025">
              <w:rPr>
                <w:rFonts w:ascii="Arial" w:hAnsi="Arial" w:cs="Arial"/>
                <w:b/>
                <w:bCs/>
                <w:color w:val="000000" w:themeColor="text1"/>
              </w:rPr>
              <w:lastRenderedPageBreak/>
              <w:t xml:space="preserve">(immediately stopped or kept for 5 min) and in EMT6 tumors. </w:t>
            </w:r>
            <w:r w:rsidR="00A41CA9" w:rsidRPr="00D74025">
              <w:rPr>
                <w:rFonts w:ascii="Arial" w:hAnsi="Arial" w:cs="Arial"/>
                <w:color w:val="000000" w:themeColor="text1"/>
              </w:rPr>
              <w:t>Mice with well-developed orthotopic syngeneic tumors (d ≥ 5 mm) were administered an IT dose of 1.2 mg/kg SWCNT-ANXA5. Select groups received anti-PD-1 (10 mg/kg) on days 7, 10, and 15. Tumors were irradiated with a</w:t>
            </w:r>
            <w:r w:rsidR="00B11809">
              <w:rPr>
                <w:rFonts w:ascii="Arial" w:hAnsi="Arial" w:cs="Arial"/>
                <w:color w:val="000000" w:themeColor="text1"/>
              </w:rPr>
              <w:t>n</w:t>
            </w:r>
            <w:r w:rsidR="00A41CA9" w:rsidRPr="00D74025">
              <w:rPr>
                <w:rFonts w:ascii="Arial" w:hAnsi="Arial" w:cs="Arial"/>
                <w:color w:val="000000" w:themeColor="text1"/>
              </w:rPr>
              <w:t xml:space="preserve"> NIR laser at a power density of 1 W/cm</w:t>
            </w:r>
            <w:r w:rsidR="00A41CA9" w:rsidRPr="00D74025">
              <w:rPr>
                <w:rFonts w:ascii="Arial" w:hAnsi="Arial" w:cs="Arial"/>
                <w:color w:val="000000" w:themeColor="text1"/>
                <w:vertAlign w:val="superscript"/>
              </w:rPr>
              <w:t>2</w:t>
            </w:r>
            <w:r w:rsidR="00A41CA9" w:rsidRPr="00D74025">
              <w:rPr>
                <w:rFonts w:ascii="Arial" w:hAnsi="Arial" w:cs="Arial"/>
                <w:color w:val="000000" w:themeColor="text1"/>
              </w:rPr>
              <w:t xml:space="preserve">. </w:t>
            </w:r>
            <w:r w:rsidR="00B11809">
              <w:rPr>
                <w:rFonts w:ascii="Arial" w:hAnsi="Arial" w:cs="Arial"/>
                <w:color w:val="000000" w:themeColor="text1"/>
              </w:rPr>
              <w:t>The</w:t>
            </w:r>
            <w:r w:rsidR="00A41CA9" w:rsidRPr="00D74025">
              <w:rPr>
                <w:rFonts w:ascii="Arial" w:hAnsi="Arial" w:cs="Arial"/>
                <w:color w:val="000000" w:themeColor="text1"/>
              </w:rPr>
              <w:t xml:space="preserve"> anti-PD-1 + PTT (0 min) </w:t>
            </w:r>
            <w:r w:rsidR="00B11809">
              <w:rPr>
                <w:rFonts w:ascii="Arial" w:hAnsi="Arial" w:cs="Arial"/>
                <w:color w:val="000000" w:themeColor="text1"/>
              </w:rPr>
              <w:t xml:space="preserve">group </w:t>
            </w:r>
            <w:r w:rsidR="00A41CA9" w:rsidRPr="00D74025">
              <w:rPr>
                <w:rFonts w:ascii="Arial" w:hAnsi="Arial" w:cs="Arial"/>
                <w:color w:val="000000" w:themeColor="text1"/>
              </w:rPr>
              <w:t xml:space="preserve">received irradiation until </w:t>
            </w:r>
            <w:r w:rsidR="00A41CA9">
              <w:rPr>
                <w:rFonts w:ascii="Arial" w:hAnsi="Arial" w:cs="Arial"/>
                <w:color w:val="000000" w:themeColor="text1"/>
              </w:rPr>
              <w:t xml:space="preserve">the </w:t>
            </w:r>
            <w:r w:rsidR="00A41CA9" w:rsidRPr="00D74025">
              <w:rPr>
                <w:rFonts w:ascii="Arial" w:hAnsi="Arial" w:cs="Arial"/>
                <w:color w:val="000000" w:themeColor="text1"/>
              </w:rPr>
              <w:t>tumor surface temperature reached 45</w:t>
            </w:r>
            <w:r w:rsidR="00A41CA9" w:rsidRPr="00D74025">
              <w:rPr>
                <w:rFonts w:ascii="Arial" w:hAnsi="Arial" w:cs="Arial"/>
                <w:color w:val="000000" w:themeColor="text1"/>
              </w:rPr>
              <w:sym w:font="Symbol" w:char="F0B0"/>
            </w:r>
            <w:r w:rsidR="00A41CA9" w:rsidRPr="00D74025">
              <w:rPr>
                <w:rFonts w:ascii="Arial" w:hAnsi="Arial" w:cs="Arial"/>
                <w:color w:val="000000" w:themeColor="text1"/>
              </w:rPr>
              <w:t xml:space="preserve">C, whereas </w:t>
            </w:r>
            <w:r w:rsidR="006A6748">
              <w:rPr>
                <w:rFonts w:ascii="Arial" w:hAnsi="Arial" w:cs="Arial"/>
                <w:color w:val="000000" w:themeColor="text1"/>
              </w:rPr>
              <w:t xml:space="preserve">the </w:t>
            </w:r>
            <w:r w:rsidR="00A41CA9" w:rsidRPr="00D74025">
              <w:rPr>
                <w:rFonts w:ascii="Arial" w:hAnsi="Arial" w:cs="Arial"/>
                <w:color w:val="000000" w:themeColor="text1"/>
              </w:rPr>
              <w:t xml:space="preserve">anti-PD-1 + PTT (5 min) </w:t>
            </w:r>
            <w:r w:rsidR="00B11809">
              <w:rPr>
                <w:rFonts w:ascii="Arial" w:hAnsi="Arial" w:cs="Arial"/>
                <w:color w:val="000000" w:themeColor="text1"/>
              </w:rPr>
              <w:t xml:space="preserve">group </w:t>
            </w:r>
            <w:r w:rsidR="00A41CA9" w:rsidRPr="00D74025">
              <w:rPr>
                <w:rFonts w:ascii="Arial" w:hAnsi="Arial" w:cs="Arial"/>
                <w:color w:val="000000" w:themeColor="text1"/>
              </w:rPr>
              <w:t>received irradiation up to 45</w:t>
            </w:r>
            <w:r w:rsidR="00A41CA9" w:rsidRPr="00D74025">
              <w:rPr>
                <w:rFonts w:ascii="Arial" w:hAnsi="Arial" w:cs="Arial"/>
                <w:color w:val="000000" w:themeColor="text1"/>
              </w:rPr>
              <w:sym w:font="Symbol" w:char="F0B0"/>
            </w:r>
            <w:r w:rsidR="00A41CA9" w:rsidRPr="00D74025">
              <w:rPr>
                <w:rFonts w:ascii="Arial" w:hAnsi="Arial" w:cs="Arial"/>
                <w:color w:val="000000" w:themeColor="text1"/>
              </w:rPr>
              <w:t xml:space="preserve">C when </w:t>
            </w:r>
            <w:r w:rsidR="00A41CA9">
              <w:rPr>
                <w:rFonts w:ascii="Arial" w:hAnsi="Arial" w:cs="Arial"/>
                <w:color w:val="000000" w:themeColor="text1"/>
              </w:rPr>
              <w:t xml:space="preserve">the </w:t>
            </w:r>
            <w:r w:rsidR="00A41CA9" w:rsidRPr="00D74025">
              <w:rPr>
                <w:rFonts w:ascii="Arial" w:hAnsi="Arial" w:cs="Arial"/>
                <w:color w:val="000000" w:themeColor="text1"/>
              </w:rPr>
              <w:t>laser was cycled on/off to keep the tumor surface temperature at 45</w:t>
            </w:r>
            <w:r w:rsidR="00A41CA9" w:rsidRPr="00D74025">
              <w:rPr>
                <w:rFonts w:ascii="Arial" w:hAnsi="Arial" w:cs="Arial"/>
                <w:color w:val="000000" w:themeColor="text1"/>
              </w:rPr>
              <w:sym w:font="Symbol" w:char="F0B0"/>
            </w:r>
            <w:r w:rsidR="00A41CA9" w:rsidRPr="00D74025">
              <w:rPr>
                <w:rFonts w:ascii="Arial" w:hAnsi="Arial" w:cs="Arial"/>
                <w:color w:val="000000" w:themeColor="text1"/>
              </w:rPr>
              <w:t>C for 5 min.</w:t>
            </w:r>
            <w:r w:rsidR="00A24FA7">
              <w:rPr>
                <w:rFonts w:ascii="Arial" w:hAnsi="Arial" w:cs="Arial"/>
                <w:color w:val="000000" w:themeColor="text1"/>
              </w:rPr>
              <w:t xml:space="preserve"> </w:t>
            </w:r>
            <w:r w:rsidR="00A41CA9" w:rsidRPr="00D74025">
              <w:rPr>
                <w:rFonts w:ascii="Arial" w:hAnsi="Arial" w:cs="Arial"/>
                <w:color w:val="000000" w:themeColor="text1"/>
              </w:rPr>
              <w:t>Tumor volume</w:t>
            </w:r>
            <w:r w:rsidR="00A24FA7">
              <w:rPr>
                <w:rFonts w:ascii="Arial" w:hAnsi="Arial" w:cs="Arial"/>
                <w:color w:val="000000" w:themeColor="text1"/>
              </w:rPr>
              <w:t xml:space="preserve">s </w:t>
            </w:r>
            <w:proofErr w:type="gramStart"/>
            <w:r w:rsidR="00A24FA7">
              <w:rPr>
                <w:rFonts w:ascii="Arial" w:hAnsi="Arial" w:cs="Arial"/>
                <w:color w:val="000000" w:themeColor="text1"/>
              </w:rPr>
              <w:t>are</w:t>
            </w:r>
            <w:proofErr w:type="gramEnd"/>
            <w:r w:rsidR="00A41CA9" w:rsidRPr="00D74025">
              <w:rPr>
                <w:rFonts w:ascii="Arial" w:hAnsi="Arial" w:cs="Arial"/>
                <w:color w:val="000000" w:themeColor="text1"/>
              </w:rPr>
              <w:t xml:space="preserve"> shown as mean ± SE (n = 10). </w:t>
            </w:r>
            <w:r w:rsidR="00074990" w:rsidRPr="00D74025">
              <w:rPr>
                <w:rFonts w:ascii="Arial" w:hAnsi="Arial" w:cs="Arial"/>
                <w:color w:val="000000" w:themeColor="text1"/>
              </w:rPr>
              <w:t xml:space="preserve">Statistical analysis </w:t>
            </w:r>
            <w:r w:rsidR="00074990">
              <w:rPr>
                <w:rFonts w:ascii="Arial" w:hAnsi="Arial" w:cs="Arial"/>
                <w:color w:val="000000" w:themeColor="text1"/>
              </w:rPr>
              <w:t xml:space="preserve">was performed </w:t>
            </w:r>
            <w:r w:rsidR="00977A3D">
              <w:rPr>
                <w:rFonts w:ascii="Arial" w:hAnsi="Arial" w:cs="Arial"/>
                <w:color w:val="000000" w:themeColor="text1"/>
              </w:rPr>
              <w:t>by</w:t>
            </w:r>
            <w:r w:rsidR="00074990">
              <w:rPr>
                <w:rFonts w:ascii="Arial" w:hAnsi="Arial" w:cs="Arial"/>
                <w:color w:val="000000" w:themeColor="text1"/>
              </w:rPr>
              <w:t xml:space="preserve"> </w:t>
            </w:r>
            <w:r w:rsidR="00977A3D">
              <w:rPr>
                <w:rFonts w:ascii="Arial" w:hAnsi="Arial" w:cs="Arial"/>
                <w:color w:val="000000" w:themeColor="text1"/>
              </w:rPr>
              <w:t>o</w:t>
            </w:r>
            <w:r w:rsidR="00074990" w:rsidRPr="00D74025">
              <w:rPr>
                <w:rFonts w:ascii="Arial" w:hAnsi="Arial" w:cs="Arial"/>
                <w:color w:val="000000" w:themeColor="text1"/>
              </w:rPr>
              <w:t xml:space="preserve">ne-way ANOVA and </w:t>
            </w:r>
            <w:r w:rsidR="00074990">
              <w:rPr>
                <w:rFonts w:ascii="Arial" w:hAnsi="Arial" w:cs="Arial"/>
                <w:color w:val="000000" w:themeColor="text1"/>
              </w:rPr>
              <w:t>Tukey’s</w:t>
            </w:r>
            <w:r w:rsidR="00074990" w:rsidRPr="00D74025">
              <w:rPr>
                <w:rFonts w:ascii="Arial" w:hAnsi="Arial" w:cs="Arial"/>
                <w:color w:val="000000" w:themeColor="text1"/>
              </w:rPr>
              <w:t xml:space="preserve"> multiple comparisons were carried out on GraphPad Prism </w:t>
            </w:r>
            <w:r w:rsidR="0016324C">
              <w:rPr>
                <w:rFonts w:ascii="Arial" w:hAnsi="Arial" w:cs="Arial"/>
                <w:color w:val="000000" w:themeColor="text1"/>
              </w:rPr>
              <w:t>8</w:t>
            </w:r>
            <w:r w:rsidR="00B51799">
              <w:rPr>
                <w:rFonts w:ascii="Arial" w:hAnsi="Arial" w:cs="Arial"/>
                <w:color w:val="000000" w:themeColor="text1"/>
              </w:rPr>
              <w:t>, c</w:t>
            </w:r>
            <w:r w:rsidR="00074990">
              <w:rPr>
                <w:rFonts w:ascii="Arial" w:hAnsi="Arial" w:cs="Arial"/>
                <w:color w:val="000000" w:themeColor="text1"/>
              </w:rPr>
              <w:t xml:space="preserve">omparing the mean of each group with the mean of every other group. Statistical significance from treated groups to control untreated is shown by </w:t>
            </w:r>
            <w:r w:rsidR="00074990" w:rsidRPr="00D74025">
              <w:rPr>
                <w:rFonts w:ascii="Arial" w:hAnsi="Arial" w:cs="Arial"/>
                <w:color w:val="000000" w:themeColor="text1"/>
              </w:rPr>
              <w:t xml:space="preserve">*p &lt; 0.05, </w:t>
            </w:r>
            <w:r w:rsidR="00074990">
              <w:rPr>
                <w:rFonts w:ascii="Arial" w:hAnsi="Arial" w:cs="Arial"/>
                <w:color w:val="000000" w:themeColor="text1"/>
              </w:rPr>
              <w:t xml:space="preserve">***p &lt; 0.001 and ****p &lt; 0.0001. Statistical significance </w:t>
            </w:r>
            <w:r w:rsidR="00B51799">
              <w:rPr>
                <w:rFonts w:ascii="Arial" w:hAnsi="Arial" w:cs="Arial"/>
                <w:color w:val="000000" w:themeColor="text1"/>
              </w:rPr>
              <w:t xml:space="preserve">between </w:t>
            </w:r>
            <w:r w:rsidR="00B51799" w:rsidRPr="00D74025">
              <w:rPr>
                <w:rFonts w:ascii="Arial" w:hAnsi="Arial" w:cs="Arial"/>
                <w:color w:val="000000" w:themeColor="text1"/>
              </w:rPr>
              <w:t>anti-PD-1 + PTT (0 min) anti-PD-1 + PTT (5 min)</w:t>
            </w:r>
            <w:r w:rsidR="00B51799">
              <w:rPr>
                <w:rFonts w:ascii="Arial" w:hAnsi="Arial" w:cs="Arial"/>
                <w:color w:val="000000" w:themeColor="text1"/>
              </w:rPr>
              <w:t xml:space="preserve"> is shown by </w:t>
            </w:r>
            <w:r w:rsidR="00B51799" w:rsidRPr="006A6748">
              <w:rPr>
                <w:rFonts w:ascii="Arial" w:hAnsi="Arial" w:cs="Arial"/>
                <w:color w:val="000000" w:themeColor="text1"/>
                <w:vertAlign w:val="superscript"/>
              </w:rPr>
              <w:t>##</w:t>
            </w:r>
            <w:r w:rsidR="00B51799">
              <w:rPr>
                <w:rFonts w:ascii="Arial" w:hAnsi="Arial" w:cs="Arial"/>
                <w:color w:val="000000" w:themeColor="text1"/>
              </w:rPr>
              <w:t>p</w:t>
            </w:r>
            <w:r w:rsidR="006A6748">
              <w:rPr>
                <w:rFonts w:ascii="Arial" w:hAnsi="Arial" w:cs="Arial"/>
                <w:color w:val="000000" w:themeColor="text1"/>
              </w:rPr>
              <w:t> </w:t>
            </w:r>
            <w:r w:rsidR="00B51799">
              <w:rPr>
                <w:rFonts w:ascii="Arial" w:hAnsi="Arial" w:cs="Arial"/>
                <w:color w:val="000000" w:themeColor="text1"/>
              </w:rPr>
              <w:t>&lt; 0.01.</w:t>
            </w:r>
            <w:bookmarkEnd w:id="188"/>
          </w:p>
        </w:tc>
      </w:tr>
    </w:tbl>
    <w:p w14:paraId="41803E43" w14:textId="486A0660" w:rsidR="001D0C03" w:rsidRPr="00D74025" w:rsidRDefault="001D0C03" w:rsidP="000428E2">
      <w:pPr>
        <w:rPr>
          <w:color w:val="000000" w:themeColor="text1"/>
        </w:rPr>
      </w:pPr>
    </w:p>
    <w:p w14:paraId="2BFE8D4E" w14:textId="1AF49B04" w:rsidR="002A7EAC" w:rsidRDefault="002A7EAC" w:rsidP="00705AE1">
      <w:pPr>
        <w:pStyle w:val="Caption"/>
        <w:rPr>
          <w:color w:val="000000" w:themeColor="text1"/>
        </w:rPr>
      </w:pPr>
    </w:p>
    <w:tbl>
      <w:tblPr>
        <w:tblStyle w:val="TableGrid"/>
        <w:tblW w:w="0" w:type="auto"/>
        <w:tblLook w:val="04A0" w:firstRow="1" w:lastRow="0" w:firstColumn="1" w:lastColumn="0" w:noHBand="0" w:noVBand="1"/>
      </w:tblPr>
      <w:tblGrid>
        <w:gridCol w:w="9350"/>
      </w:tblGrid>
      <w:tr w:rsidR="00A7643A" w14:paraId="72D73855" w14:textId="77777777" w:rsidTr="00A7643A">
        <w:tc>
          <w:tcPr>
            <w:tcW w:w="9350" w:type="dxa"/>
          </w:tcPr>
          <w:p w14:paraId="39043E4F" w14:textId="1275749A" w:rsidR="00A7643A" w:rsidRDefault="008549E5" w:rsidP="00D97547">
            <w:pPr>
              <w:spacing w:beforeAutospacing="0"/>
              <w:ind w:firstLine="0"/>
              <w:jc w:val="center"/>
              <w:rPr>
                <w:color w:val="000000" w:themeColor="text1"/>
              </w:rPr>
            </w:pPr>
            <w:r w:rsidRPr="008549E5">
              <w:rPr>
                <w:noProof/>
                <w:color w:val="000000" w:themeColor="text1"/>
              </w:rPr>
              <w:lastRenderedPageBreak/>
              <w:drawing>
                <wp:inline distT="0" distB="0" distL="0" distR="0" wp14:anchorId="3F06E26E" wp14:editId="21FF9E17">
                  <wp:extent cx="5852161" cy="4131734"/>
                  <wp:effectExtent l="0" t="0" r="254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874483" cy="4147494"/>
                          </a:xfrm>
                          <a:prstGeom prst="rect">
                            <a:avLst/>
                          </a:prstGeom>
                        </pic:spPr>
                      </pic:pic>
                    </a:graphicData>
                  </a:graphic>
                </wp:inline>
              </w:drawing>
            </w:r>
          </w:p>
        </w:tc>
      </w:tr>
      <w:tr w:rsidR="00A7643A" w14:paraId="1DA22EC1" w14:textId="77777777" w:rsidTr="00A7643A">
        <w:tc>
          <w:tcPr>
            <w:tcW w:w="9350" w:type="dxa"/>
          </w:tcPr>
          <w:p w14:paraId="45991AB3" w14:textId="27AE992E" w:rsidR="00A7643A" w:rsidRPr="00A7643A" w:rsidRDefault="003C3DFE" w:rsidP="00A7643A">
            <w:pPr>
              <w:spacing w:line="360" w:lineRule="auto"/>
              <w:ind w:firstLine="0"/>
              <w:rPr>
                <w:rFonts w:ascii="Arial" w:hAnsi="Arial" w:cs="Arial"/>
                <w:color w:val="000000" w:themeColor="text1"/>
              </w:rPr>
            </w:pPr>
            <w:bookmarkStart w:id="189" w:name="_Toc121217398"/>
            <w:r w:rsidRPr="003C3DFE">
              <w:rPr>
                <w:rFonts w:ascii="Arial" w:hAnsi="Arial" w:cs="Arial"/>
                <w:b/>
                <w:bCs/>
                <w:color w:val="000000" w:themeColor="text1"/>
              </w:rPr>
              <w:t xml:space="preserve">Figure </w:t>
            </w:r>
            <w:r w:rsidRPr="003C3DFE">
              <w:rPr>
                <w:rFonts w:ascii="Arial" w:hAnsi="Arial" w:cs="Arial"/>
                <w:b/>
                <w:bCs/>
                <w:color w:val="000000" w:themeColor="text1"/>
              </w:rPr>
              <w:fldChar w:fldCharType="begin"/>
            </w:r>
            <w:r w:rsidRPr="003C3DFE">
              <w:rPr>
                <w:rFonts w:ascii="Arial" w:hAnsi="Arial" w:cs="Arial"/>
                <w:b/>
                <w:bCs/>
                <w:color w:val="000000" w:themeColor="text1"/>
              </w:rPr>
              <w:instrText xml:space="preserve"> SEQ Figure \* ARABIC </w:instrText>
            </w:r>
            <w:r w:rsidRPr="003C3DFE">
              <w:rPr>
                <w:rFonts w:ascii="Arial" w:hAnsi="Arial" w:cs="Arial"/>
                <w:b/>
                <w:bCs/>
                <w:color w:val="000000" w:themeColor="text1"/>
              </w:rPr>
              <w:fldChar w:fldCharType="separate"/>
            </w:r>
            <w:r w:rsidR="002C4B25">
              <w:rPr>
                <w:rFonts w:ascii="Arial" w:hAnsi="Arial" w:cs="Arial"/>
                <w:b/>
                <w:bCs/>
                <w:noProof/>
                <w:color w:val="000000" w:themeColor="text1"/>
              </w:rPr>
              <w:t>76</w:t>
            </w:r>
            <w:r w:rsidRPr="003C3DFE">
              <w:rPr>
                <w:rFonts w:ascii="Arial" w:hAnsi="Arial" w:cs="Arial"/>
                <w:b/>
                <w:bCs/>
                <w:color w:val="000000" w:themeColor="text1"/>
              </w:rPr>
              <w:fldChar w:fldCharType="end"/>
            </w:r>
            <w:r w:rsidR="00A7643A" w:rsidRPr="00A7643A">
              <w:rPr>
                <w:rFonts w:ascii="Arial" w:hAnsi="Arial" w:cs="Arial"/>
                <w:b/>
                <w:bCs/>
                <w:color w:val="000000" w:themeColor="text1"/>
              </w:rPr>
              <w:t>: Standard curve of imiquimod (IMQ) in methanol.</w:t>
            </w:r>
            <w:r w:rsidR="00A7643A" w:rsidRPr="00A7643A">
              <w:rPr>
                <w:rFonts w:ascii="Arial" w:hAnsi="Arial" w:cs="Arial"/>
                <w:color w:val="000000" w:themeColor="text1"/>
              </w:rPr>
              <w:t xml:space="preserve"> </w:t>
            </w:r>
            <w:r w:rsidR="00F53F0C">
              <w:rPr>
                <w:rFonts w:ascii="Arial" w:hAnsi="Arial" w:cs="Arial"/>
                <w:color w:val="000000" w:themeColor="text1"/>
              </w:rPr>
              <w:t>The s</w:t>
            </w:r>
            <w:r w:rsidR="00A7643A" w:rsidRPr="00A7643A">
              <w:rPr>
                <w:rFonts w:ascii="Arial" w:hAnsi="Arial" w:cs="Arial"/>
                <w:color w:val="000000" w:themeColor="text1"/>
              </w:rPr>
              <w:t>tandard solution was prepared by dissolving 3.0 mg of IMQ in 3.0 ml of methanol. Serial dilutions were performed in methanol. One hundred milliliter samples were placed in triplicate in 96-well plates, and endpoint absorbance was read at 245 nm.</w:t>
            </w:r>
            <w:bookmarkEnd w:id="189"/>
          </w:p>
        </w:tc>
      </w:tr>
    </w:tbl>
    <w:p w14:paraId="5429916A" w14:textId="30337B60" w:rsidR="002A7EAC" w:rsidRDefault="002A7EAC" w:rsidP="000428E2">
      <w:pPr>
        <w:rPr>
          <w:color w:val="000000" w:themeColor="text1"/>
        </w:rPr>
      </w:pPr>
    </w:p>
    <w:p w14:paraId="4210E5F2" w14:textId="77777777" w:rsidR="003C3DFE" w:rsidRDefault="003C3DFE" w:rsidP="000428E2">
      <w:pPr>
        <w:rPr>
          <w:color w:val="000000" w:themeColor="text1"/>
        </w:rPr>
      </w:pPr>
    </w:p>
    <w:tbl>
      <w:tblPr>
        <w:tblStyle w:val="TableGrid"/>
        <w:tblW w:w="0" w:type="auto"/>
        <w:tblLook w:val="04A0" w:firstRow="1" w:lastRow="0" w:firstColumn="1" w:lastColumn="0" w:noHBand="0" w:noVBand="1"/>
      </w:tblPr>
      <w:tblGrid>
        <w:gridCol w:w="9350"/>
      </w:tblGrid>
      <w:tr w:rsidR="00DE7FA1" w14:paraId="092B768D" w14:textId="77777777" w:rsidTr="00DE7FA1">
        <w:tc>
          <w:tcPr>
            <w:tcW w:w="9350" w:type="dxa"/>
          </w:tcPr>
          <w:p w14:paraId="18C2EDDA" w14:textId="0B41EBBE" w:rsidR="00DE7FA1" w:rsidRDefault="00AB2C3A" w:rsidP="00AA1AFF">
            <w:pPr>
              <w:spacing w:beforeAutospacing="0" w:line="360" w:lineRule="auto"/>
              <w:ind w:firstLine="0"/>
              <w:rPr>
                <w:color w:val="000000" w:themeColor="text1"/>
              </w:rPr>
            </w:pPr>
            <w:r w:rsidRPr="00AB2C3A">
              <w:rPr>
                <w:noProof/>
                <w:color w:val="000000" w:themeColor="text1"/>
              </w:rPr>
              <w:lastRenderedPageBreak/>
              <w:drawing>
                <wp:inline distT="0" distB="0" distL="0" distR="0" wp14:anchorId="7AFD9DDA" wp14:editId="6E9DBF7C">
                  <wp:extent cx="5943600" cy="7118350"/>
                  <wp:effectExtent l="0" t="0" r="0" b="635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943600" cy="7118350"/>
                          </a:xfrm>
                          <a:prstGeom prst="rect">
                            <a:avLst/>
                          </a:prstGeom>
                        </pic:spPr>
                      </pic:pic>
                    </a:graphicData>
                  </a:graphic>
                </wp:inline>
              </w:drawing>
            </w:r>
          </w:p>
        </w:tc>
      </w:tr>
      <w:tr w:rsidR="00DE7FA1" w14:paraId="4F834A8F" w14:textId="77777777" w:rsidTr="00DE7FA1">
        <w:tc>
          <w:tcPr>
            <w:tcW w:w="9350" w:type="dxa"/>
          </w:tcPr>
          <w:p w14:paraId="636FB518" w14:textId="4F60EC71" w:rsidR="00DE7FA1" w:rsidRDefault="003C3DFE" w:rsidP="00DE7FA1">
            <w:pPr>
              <w:spacing w:line="360" w:lineRule="auto"/>
              <w:ind w:firstLine="0"/>
              <w:rPr>
                <w:color w:val="000000" w:themeColor="text1"/>
              </w:rPr>
            </w:pPr>
            <w:bookmarkStart w:id="190" w:name="_Toc121217399"/>
            <w:r w:rsidRPr="003C3DFE">
              <w:rPr>
                <w:rFonts w:ascii="Arial" w:hAnsi="Arial" w:cs="Arial"/>
                <w:b/>
                <w:bCs/>
                <w:color w:val="000000" w:themeColor="text1"/>
              </w:rPr>
              <w:t xml:space="preserve">Figure </w:t>
            </w:r>
            <w:r w:rsidRPr="003C3DFE">
              <w:rPr>
                <w:rFonts w:ascii="Arial" w:hAnsi="Arial" w:cs="Arial"/>
                <w:b/>
                <w:bCs/>
                <w:color w:val="000000" w:themeColor="text1"/>
              </w:rPr>
              <w:fldChar w:fldCharType="begin"/>
            </w:r>
            <w:r w:rsidRPr="003C3DFE">
              <w:rPr>
                <w:rFonts w:ascii="Arial" w:hAnsi="Arial" w:cs="Arial"/>
                <w:b/>
                <w:bCs/>
                <w:color w:val="000000" w:themeColor="text1"/>
              </w:rPr>
              <w:instrText xml:space="preserve"> SEQ Figure \* ARABIC </w:instrText>
            </w:r>
            <w:r w:rsidRPr="003C3DFE">
              <w:rPr>
                <w:rFonts w:ascii="Arial" w:hAnsi="Arial" w:cs="Arial"/>
                <w:b/>
                <w:bCs/>
                <w:color w:val="000000" w:themeColor="text1"/>
              </w:rPr>
              <w:fldChar w:fldCharType="separate"/>
            </w:r>
            <w:r w:rsidR="002C4B25">
              <w:rPr>
                <w:rFonts w:ascii="Arial" w:hAnsi="Arial" w:cs="Arial"/>
                <w:b/>
                <w:bCs/>
                <w:noProof/>
                <w:color w:val="000000" w:themeColor="text1"/>
              </w:rPr>
              <w:t>77</w:t>
            </w:r>
            <w:r w:rsidRPr="003C3DFE">
              <w:rPr>
                <w:rFonts w:ascii="Arial" w:hAnsi="Arial" w:cs="Arial"/>
                <w:b/>
                <w:bCs/>
                <w:color w:val="000000" w:themeColor="text1"/>
              </w:rPr>
              <w:fldChar w:fldCharType="end"/>
            </w:r>
            <w:r w:rsidR="00DE7FA1" w:rsidRPr="00D74025">
              <w:rPr>
                <w:rFonts w:ascii="Arial" w:hAnsi="Arial" w:cs="Arial"/>
                <w:b/>
                <w:bCs/>
                <w:color w:val="000000" w:themeColor="text1"/>
              </w:rPr>
              <w:t xml:space="preserve">: </w:t>
            </w:r>
            <w:r w:rsidR="00DE7FA1">
              <w:rPr>
                <w:rFonts w:ascii="Arial" w:hAnsi="Arial" w:cs="Arial"/>
                <w:b/>
                <w:bCs/>
                <w:color w:val="000000" w:themeColor="text1"/>
              </w:rPr>
              <w:t>Long</w:t>
            </w:r>
            <w:r w:rsidR="007C04BE">
              <w:rPr>
                <w:rFonts w:ascii="Arial" w:hAnsi="Arial" w:cs="Arial"/>
                <w:b/>
                <w:bCs/>
                <w:color w:val="000000" w:themeColor="text1"/>
              </w:rPr>
              <w:t>-</w:t>
            </w:r>
            <w:r w:rsidR="00DE7FA1">
              <w:rPr>
                <w:rFonts w:ascii="Arial" w:hAnsi="Arial" w:cs="Arial"/>
                <w:b/>
                <w:bCs/>
                <w:color w:val="000000" w:themeColor="text1"/>
              </w:rPr>
              <w:t xml:space="preserve">term survival study of </w:t>
            </w:r>
            <w:r w:rsidR="00DE7FA1" w:rsidRPr="00D74025">
              <w:rPr>
                <w:rFonts w:ascii="Arial" w:hAnsi="Arial" w:cs="Arial"/>
                <w:b/>
                <w:bCs/>
                <w:color w:val="000000" w:themeColor="text1"/>
              </w:rPr>
              <w:t>combinatorial therapy of anti-PD-1, imiquimod-loaded hydrogel and photothermal therapy (PTT) at 55</w:t>
            </w:r>
            <w:r w:rsidR="00DE7FA1" w:rsidRPr="00D74025">
              <w:rPr>
                <w:rFonts w:ascii="Arial" w:hAnsi="Arial" w:cs="Arial"/>
                <w:b/>
                <w:bCs/>
                <w:color w:val="000000" w:themeColor="text1"/>
              </w:rPr>
              <w:sym w:font="Symbol" w:char="F0B0"/>
            </w:r>
            <w:r w:rsidR="00DE7FA1" w:rsidRPr="00D74025">
              <w:rPr>
                <w:rFonts w:ascii="Arial" w:hAnsi="Arial" w:cs="Arial"/>
                <w:b/>
                <w:bCs/>
                <w:color w:val="000000" w:themeColor="text1"/>
              </w:rPr>
              <w:t>C in 4T1 tumors</w:t>
            </w:r>
            <w:r w:rsidR="00DE7FA1" w:rsidRPr="00D74025">
              <w:rPr>
                <w:rFonts w:ascii="Arial" w:hAnsi="Arial" w:cs="Arial"/>
                <w:color w:val="000000" w:themeColor="text1"/>
              </w:rPr>
              <w:t xml:space="preserve">. Female </w:t>
            </w:r>
            <w:proofErr w:type="spellStart"/>
            <w:r w:rsidR="00DE7FA1" w:rsidRPr="00D74025">
              <w:rPr>
                <w:rFonts w:ascii="Arial" w:hAnsi="Arial" w:cs="Arial"/>
                <w:color w:val="000000" w:themeColor="text1"/>
              </w:rPr>
              <w:t>Balb</w:t>
            </w:r>
            <w:proofErr w:type="spellEnd"/>
            <w:r w:rsidR="00DE7FA1" w:rsidRPr="00D74025">
              <w:rPr>
                <w:rFonts w:ascii="Arial" w:hAnsi="Arial" w:cs="Arial"/>
                <w:color w:val="000000" w:themeColor="text1"/>
              </w:rPr>
              <w:t xml:space="preserve"> c/J mice bearing 4T1 orthotopic syngeneic tumors (d ~ 3 mm) </w:t>
            </w:r>
            <w:r w:rsidR="00DE7FA1" w:rsidRPr="00D74025">
              <w:rPr>
                <w:rFonts w:ascii="Arial" w:hAnsi="Arial" w:cs="Arial"/>
                <w:color w:val="000000" w:themeColor="text1"/>
              </w:rPr>
              <w:lastRenderedPageBreak/>
              <w:t>were treated with combinatorial therapy. Selected groups were administered with imiquimod (IMQ)-loaded hydrogel intratumorally (50 mg of IMQ) on day 7 after tumor inoculation. Select groups also received intraperitoneal injection of anti-PD-1 (10 mg/kg) on days 7, 10, and 15. On day 11, groups were administered with an IT dose of 1.2 mg/kg SWCNT-ANXA5. Tumors were irradiated with a NIR laser at a power density of 1 W/cm</w:t>
            </w:r>
            <w:r w:rsidR="00DE7FA1" w:rsidRPr="00D74025">
              <w:rPr>
                <w:rFonts w:ascii="Arial" w:hAnsi="Arial" w:cs="Arial"/>
                <w:color w:val="000000" w:themeColor="text1"/>
                <w:vertAlign w:val="superscript"/>
              </w:rPr>
              <w:t>2</w:t>
            </w:r>
            <w:r w:rsidR="00DE7FA1" w:rsidRPr="00D74025">
              <w:rPr>
                <w:rFonts w:ascii="Arial" w:hAnsi="Arial" w:cs="Arial"/>
                <w:color w:val="000000" w:themeColor="text1"/>
              </w:rPr>
              <w:t xml:space="preserve"> until tumor surface temperature reached 55ºC. A) </w:t>
            </w:r>
            <w:r w:rsidR="00101D04">
              <w:rPr>
                <w:rFonts w:ascii="Arial" w:hAnsi="Arial" w:cs="Arial"/>
                <w:color w:val="000000" w:themeColor="text1"/>
              </w:rPr>
              <w:t>Survival curves of treated groups that did not involve PTT</w:t>
            </w:r>
            <w:r w:rsidR="00DE7FA1" w:rsidRPr="00D74025">
              <w:rPr>
                <w:rFonts w:ascii="Arial" w:hAnsi="Arial" w:cs="Arial"/>
                <w:color w:val="000000" w:themeColor="text1"/>
              </w:rPr>
              <w:t>. B) </w:t>
            </w:r>
            <w:r w:rsidR="00101D04">
              <w:rPr>
                <w:rFonts w:ascii="Arial" w:hAnsi="Arial" w:cs="Arial"/>
                <w:color w:val="000000" w:themeColor="text1"/>
              </w:rPr>
              <w:t>Survival curves of treated groups that did not involve PTT</w:t>
            </w:r>
            <w:r w:rsidR="00DE7FA1" w:rsidRPr="00D74025">
              <w:rPr>
                <w:rFonts w:ascii="Arial" w:hAnsi="Arial" w:cs="Arial"/>
                <w:color w:val="000000" w:themeColor="text1"/>
              </w:rPr>
              <w:t xml:space="preserve">. </w:t>
            </w:r>
            <w:r w:rsidR="00DE7FA1" w:rsidRPr="00D74025">
              <w:rPr>
                <w:rFonts w:ascii="Calibri" w:hAnsi="Calibri" w:cs="Calibri"/>
                <w:color w:val="000000" w:themeColor="text1"/>
              </w:rPr>
              <w:t>﻿</w:t>
            </w:r>
            <w:r w:rsidR="00DE7FA1" w:rsidRPr="00D74025">
              <w:rPr>
                <w:rFonts w:ascii="Arial" w:hAnsi="Arial" w:cs="Arial"/>
                <w:color w:val="000000" w:themeColor="text1"/>
              </w:rPr>
              <w:t xml:space="preserve">Statistical significance of survival curves was determined by the Mantel–Haenszel log-rank test in GraphPad Prim 8, compared to untreated control. </w:t>
            </w:r>
            <w:r w:rsidR="00DE7FA1" w:rsidRPr="00C80797">
              <w:rPr>
                <w:rFonts w:ascii="Arial" w:hAnsi="Arial" w:cs="Arial"/>
                <w:color w:val="000000" w:themeColor="text1"/>
              </w:rPr>
              <w:t xml:space="preserve">Increase of survival from complete treatment (anti-PD-1 + IMQ + PTT) is statistically significant from control (****p &lt; 0.0001, n = 10). </w:t>
            </w:r>
            <w:r w:rsidR="00DE7FA1">
              <w:rPr>
                <w:rFonts w:ascii="Arial" w:hAnsi="Arial" w:cs="Arial"/>
                <w:color w:val="000000" w:themeColor="text1"/>
              </w:rPr>
              <w:t>Four mice in the complete treatment group are alive, healthy, and without tumors on day 65. Study will be terminated at day 100.</w:t>
            </w:r>
            <w:bookmarkEnd w:id="190"/>
          </w:p>
        </w:tc>
      </w:tr>
    </w:tbl>
    <w:p w14:paraId="2C72C962" w14:textId="4AA48DB1" w:rsidR="002A7EAC" w:rsidRDefault="002A7EAC" w:rsidP="000428E2">
      <w:pPr>
        <w:rPr>
          <w:color w:val="000000" w:themeColor="text1"/>
        </w:rPr>
      </w:pPr>
    </w:p>
    <w:p w14:paraId="25DC9805" w14:textId="62154551" w:rsidR="002A7EAC" w:rsidRDefault="002A7EAC" w:rsidP="003C3DFE">
      <w:pPr>
        <w:pStyle w:val="Caption"/>
        <w:rPr>
          <w:color w:val="000000" w:themeColor="text1"/>
        </w:rPr>
      </w:pPr>
    </w:p>
    <w:tbl>
      <w:tblPr>
        <w:tblStyle w:val="TableGrid"/>
        <w:tblW w:w="0" w:type="auto"/>
        <w:tblLook w:val="04A0" w:firstRow="1" w:lastRow="0" w:firstColumn="1" w:lastColumn="0" w:noHBand="0" w:noVBand="1"/>
      </w:tblPr>
      <w:tblGrid>
        <w:gridCol w:w="9350"/>
      </w:tblGrid>
      <w:tr w:rsidR="007C04BE" w14:paraId="1F6C2DC8" w14:textId="77777777" w:rsidTr="007C04BE">
        <w:tc>
          <w:tcPr>
            <w:tcW w:w="9350" w:type="dxa"/>
          </w:tcPr>
          <w:p w14:paraId="05260A77" w14:textId="04E36DA9" w:rsidR="007C04BE" w:rsidRDefault="001D0024" w:rsidP="00AA1AFF">
            <w:pPr>
              <w:spacing w:beforeAutospacing="0"/>
              <w:ind w:firstLine="0"/>
              <w:rPr>
                <w:color w:val="000000" w:themeColor="text1"/>
              </w:rPr>
            </w:pPr>
            <w:r w:rsidRPr="001D0024">
              <w:rPr>
                <w:noProof/>
                <w:color w:val="000000" w:themeColor="text1"/>
              </w:rPr>
              <w:lastRenderedPageBreak/>
              <w:drawing>
                <wp:inline distT="0" distB="0" distL="0" distR="0" wp14:anchorId="23F2A6C4" wp14:editId="37BF12D8">
                  <wp:extent cx="5818239" cy="6373537"/>
                  <wp:effectExtent l="0" t="0" r="0" b="190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l="744"/>
                          <a:stretch/>
                        </pic:blipFill>
                        <pic:spPr bwMode="auto">
                          <a:xfrm>
                            <a:off x="0" y="0"/>
                            <a:ext cx="5849612" cy="6407904"/>
                          </a:xfrm>
                          <a:prstGeom prst="rect">
                            <a:avLst/>
                          </a:prstGeom>
                          <a:ln>
                            <a:noFill/>
                          </a:ln>
                          <a:extLst>
                            <a:ext uri="{53640926-AAD7-44D8-BBD7-CCE9431645EC}">
                              <a14:shadowObscured xmlns:a14="http://schemas.microsoft.com/office/drawing/2010/main"/>
                            </a:ext>
                          </a:extLst>
                        </pic:spPr>
                      </pic:pic>
                    </a:graphicData>
                  </a:graphic>
                </wp:inline>
              </w:drawing>
            </w:r>
          </w:p>
        </w:tc>
      </w:tr>
      <w:tr w:rsidR="007C04BE" w14:paraId="6C9BAB80" w14:textId="77777777" w:rsidTr="007C04BE">
        <w:tc>
          <w:tcPr>
            <w:tcW w:w="9350" w:type="dxa"/>
          </w:tcPr>
          <w:p w14:paraId="14250E20" w14:textId="072FD7E0" w:rsidR="007C04BE" w:rsidRDefault="003C3DFE" w:rsidP="007C04BE">
            <w:pPr>
              <w:spacing w:line="360" w:lineRule="auto"/>
              <w:ind w:firstLine="0"/>
              <w:rPr>
                <w:color w:val="000000" w:themeColor="text1"/>
              </w:rPr>
            </w:pPr>
            <w:bookmarkStart w:id="191" w:name="_Toc121217400"/>
            <w:r w:rsidRPr="003C3DFE">
              <w:rPr>
                <w:rFonts w:ascii="Arial" w:hAnsi="Arial" w:cs="Arial"/>
                <w:b/>
                <w:bCs/>
                <w:color w:val="000000" w:themeColor="text1"/>
              </w:rPr>
              <w:t xml:space="preserve">Figure </w:t>
            </w:r>
            <w:r w:rsidRPr="003C3DFE">
              <w:rPr>
                <w:rFonts w:ascii="Arial" w:hAnsi="Arial" w:cs="Arial"/>
                <w:b/>
                <w:bCs/>
                <w:color w:val="000000" w:themeColor="text1"/>
              </w:rPr>
              <w:fldChar w:fldCharType="begin"/>
            </w:r>
            <w:r w:rsidRPr="003C3DFE">
              <w:rPr>
                <w:rFonts w:ascii="Arial" w:hAnsi="Arial" w:cs="Arial"/>
                <w:b/>
                <w:bCs/>
                <w:color w:val="000000" w:themeColor="text1"/>
              </w:rPr>
              <w:instrText xml:space="preserve"> SEQ Figure \* ARABIC </w:instrText>
            </w:r>
            <w:r w:rsidRPr="003C3DFE">
              <w:rPr>
                <w:rFonts w:ascii="Arial" w:hAnsi="Arial" w:cs="Arial"/>
                <w:b/>
                <w:bCs/>
                <w:color w:val="000000" w:themeColor="text1"/>
              </w:rPr>
              <w:fldChar w:fldCharType="separate"/>
            </w:r>
            <w:r w:rsidR="002C4B25">
              <w:rPr>
                <w:rFonts w:ascii="Arial" w:hAnsi="Arial" w:cs="Arial"/>
                <w:b/>
                <w:bCs/>
                <w:noProof/>
                <w:color w:val="000000" w:themeColor="text1"/>
              </w:rPr>
              <w:t>78</w:t>
            </w:r>
            <w:r w:rsidRPr="003C3DFE">
              <w:rPr>
                <w:rFonts w:ascii="Arial" w:hAnsi="Arial" w:cs="Arial"/>
                <w:b/>
                <w:bCs/>
                <w:color w:val="000000" w:themeColor="text1"/>
              </w:rPr>
              <w:fldChar w:fldCharType="end"/>
            </w:r>
            <w:r w:rsidR="007C04BE" w:rsidRPr="00D74025">
              <w:rPr>
                <w:rFonts w:ascii="Arial" w:hAnsi="Arial" w:cs="Arial"/>
                <w:b/>
                <w:bCs/>
                <w:color w:val="000000" w:themeColor="text1"/>
              </w:rPr>
              <w:t xml:space="preserve">: </w:t>
            </w:r>
            <w:r w:rsidR="002F0F9F">
              <w:rPr>
                <w:rFonts w:ascii="Arial" w:hAnsi="Arial" w:cs="Arial"/>
                <w:b/>
                <w:bCs/>
                <w:color w:val="000000" w:themeColor="text1"/>
              </w:rPr>
              <w:t>Survival curves of individual groups compared to control in l</w:t>
            </w:r>
            <w:r w:rsidR="007C04BE">
              <w:rPr>
                <w:rFonts w:ascii="Arial" w:hAnsi="Arial" w:cs="Arial"/>
                <w:b/>
                <w:bCs/>
                <w:color w:val="000000" w:themeColor="text1"/>
              </w:rPr>
              <w:t xml:space="preserve">ong-term survival study of </w:t>
            </w:r>
            <w:r w:rsidR="007C04BE" w:rsidRPr="00D74025">
              <w:rPr>
                <w:rFonts w:ascii="Arial" w:hAnsi="Arial" w:cs="Arial"/>
                <w:b/>
                <w:bCs/>
                <w:color w:val="000000" w:themeColor="text1"/>
              </w:rPr>
              <w:t>combinatorial therapy of anti-PD-1, imiquimod-loaded hydrogel and photothermal therapy (PTT) at 55</w:t>
            </w:r>
            <w:r w:rsidR="007C04BE" w:rsidRPr="00D74025">
              <w:rPr>
                <w:rFonts w:ascii="Arial" w:hAnsi="Arial" w:cs="Arial"/>
                <w:b/>
                <w:bCs/>
                <w:color w:val="000000" w:themeColor="text1"/>
              </w:rPr>
              <w:sym w:font="Symbol" w:char="F0B0"/>
            </w:r>
            <w:r w:rsidR="007C04BE" w:rsidRPr="00D74025">
              <w:rPr>
                <w:rFonts w:ascii="Arial" w:hAnsi="Arial" w:cs="Arial"/>
                <w:b/>
                <w:bCs/>
                <w:color w:val="000000" w:themeColor="text1"/>
              </w:rPr>
              <w:t>C in 4T1 tumors</w:t>
            </w:r>
            <w:r w:rsidR="007C04BE" w:rsidRPr="00D74025">
              <w:rPr>
                <w:rFonts w:ascii="Arial" w:hAnsi="Arial" w:cs="Arial"/>
                <w:color w:val="000000" w:themeColor="text1"/>
              </w:rPr>
              <w:t xml:space="preserve">. Female </w:t>
            </w:r>
            <w:proofErr w:type="spellStart"/>
            <w:r w:rsidR="007C04BE" w:rsidRPr="00D74025">
              <w:rPr>
                <w:rFonts w:ascii="Arial" w:hAnsi="Arial" w:cs="Arial"/>
                <w:color w:val="000000" w:themeColor="text1"/>
              </w:rPr>
              <w:t>Balb</w:t>
            </w:r>
            <w:proofErr w:type="spellEnd"/>
            <w:r w:rsidR="007C04BE" w:rsidRPr="00D74025">
              <w:rPr>
                <w:rFonts w:ascii="Arial" w:hAnsi="Arial" w:cs="Arial"/>
                <w:color w:val="000000" w:themeColor="text1"/>
              </w:rPr>
              <w:t xml:space="preserve"> c/J mice bearing 4T1 orthotopic syngeneic tumors (d ~ 3 mm) were treated with combinatorial therapy. Selected groups were administered with imiquimod (IMQ)-loaded hydrogel intratumorally (50 mg of IMQ) on day 7 after tumor inoculation. Select groups also </w:t>
            </w:r>
            <w:r w:rsidR="007C04BE" w:rsidRPr="00D74025">
              <w:rPr>
                <w:rFonts w:ascii="Arial" w:hAnsi="Arial" w:cs="Arial"/>
                <w:color w:val="000000" w:themeColor="text1"/>
              </w:rPr>
              <w:lastRenderedPageBreak/>
              <w:t>received intraperitoneal injection of anti-PD-1 (10 mg/kg) on days 7, 10, and 15. On day 11, groups were administered with an IT dose of 1.2 mg/kg SWCNT-ANXA5. Tumors were irradiated with a</w:t>
            </w:r>
            <w:r w:rsidR="002C4B25">
              <w:rPr>
                <w:rFonts w:ascii="Arial" w:hAnsi="Arial" w:cs="Arial"/>
                <w:color w:val="000000" w:themeColor="text1"/>
              </w:rPr>
              <w:t>n</w:t>
            </w:r>
            <w:r w:rsidR="007C04BE" w:rsidRPr="00D74025">
              <w:rPr>
                <w:rFonts w:ascii="Arial" w:hAnsi="Arial" w:cs="Arial"/>
                <w:color w:val="000000" w:themeColor="text1"/>
              </w:rPr>
              <w:t xml:space="preserve"> NIR laser at a power density of 1 W/cm</w:t>
            </w:r>
            <w:r w:rsidR="007C04BE" w:rsidRPr="00D74025">
              <w:rPr>
                <w:rFonts w:ascii="Arial" w:hAnsi="Arial" w:cs="Arial"/>
                <w:color w:val="000000" w:themeColor="text1"/>
                <w:vertAlign w:val="superscript"/>
              </w:rPr>
              <w:t>2</w:t>
            </w:r>
            <w:r w:rsidR="007C04BE" w:rsidRPr="00D74025">
              <w:rPr>
                <w:rFonts w:ascii="Arial" w:hAnsi="Arial" w:cs="Arial"/>
                <w:color w:val="000000" w:themeColor="text1"/>
              </w:rPr>
              <w:t xml:space="preserve"> until </w:t>
            </w:r>
            <w:r w:rsidR="002E22D9">
              <w:rPr>
                <w:rFonts w:ascii="Arial" w:hAnsi="Arial" w:cs="Arial"/>
                <w:color w:val="000000" w:themeColor="text1"/>
              </w:rPr>
              <w:t xml:space="preserve">the </w:t>
            </w:r>
            <w:r w:rsidR="007C04BE" w:rsidRPr="00D74025">
              <w:rPr>
                <w:rFonts w:ascii="Arial" w:hAnsi="Arial" w:cs="Arial"/>
                <w:color w:val="000000" w:themeColor="text1"/>
              </w:rPr>
              <w:t xml:space="preserve">tumor surface temperature reached 55ºC. Statistical significance of survival curves was determined by the Mantel–Haenszel log-rank test in GraphPad Prim 8, compared to untreated control. </w:t>
            </w:r>
            <w:r w:rsidR="00E165D4">
              <w:rPr>
                <w:rFonts w:ascii="Arial" w:hAnsi="Arial" w:cs="Arial"/>
                <w:color w:val="000000" w:themeColor="text1"/>
              </w:rPr>
              <w:t>*p &lt; 005, **p </w:t>
            </w:r>
            <w:r w:rsidR="006560B5">
              <w:rPr>
                <w:rFonts w:ascii="Arial" w:hAnsi="Arial" w:cs="Arial"/>
                <w:color w:val="000000" w:themeColor="text1"/>
              </w:rPr>
              <w:t xml:space="preserve">&lt; 0.01 </w:t>
            </w:r>
            <w:r w:rsidR="007C04BE" w:rsidRPr="00C80797">
              <w:rPr>
                <w:rFonts w:ascii="Arial" w:hAnsi="Arial" w:cs="Arial"/>
                <w:color w:val="000000" w:themeColor="text1"/>
              </w:rPr>
              <w:t xml:space="preserve">****p &lt; 0.0001, n = 10. </w:t>
            </w:r>
            <w:r w:rsidR="00C45437">
              <w:rPr>
                <w:rFonts w:ascii="Arial" w:hAnsi="Arial" w:cs="Arial"/>
                <w:color w:val="000000" w:themeColor="text1"/>
              </w:rPr>
              <w:t>Three</w:t>
            </w:r>
            <w:r w:rsidR="007C04BE">
              <w:rPr>
                <w:rFonts w:ascii="Arial" w:hAnsi="Arial" w:cs="Arial"/>
                <w:color w:val="000000" w:themeColor="text1"/>
              </w:rPr>
              <w:t xml:space="preserve"> mice in the complete treatment group </w:t>
            </w:r>
            <w:r w:rsidR="002E22D9">
              <w:rPr>
                <w:rFonts w:ascii="Arial" w:hAnsi="Arial" w:cs="Arial"/>
                <w:color w:val="000000" w:themeColor="text1"/>
              </w:rPr>
              <w:t>were</w:t>
            </w:r>
            <w:r w:rsidR="007C04BE">
              <w:rPr>
                <w:rFonts w:ascii="Arial" w:hAnsi="Arial" w:cs="Arial"/>
                <w:color w:val="000000" w:themeColor="text1"/>
              </w:rPr>
              <w:t xml:space="preserve"> alive, healthy, and without tumors on day</w:t>
            </w:r>
            <w:r w:rsidR="006060E1">
              <w:rPr>
                <w:rFonts w:ascii="Arial" w:hAnsi="Arial" w:cs="Arial"/>
                <w:color w:val="000000" w:themeColor="text1"/>
              </w:rPr>
              <w:t xml:space="preserve"> 94</w:t>
            </w:r>
            <w:r w:rsidR="007C04BE">
              <w:rPr>
                <w:rFonts w:ascii="Arial" w:hAnsi="Arial" w:cs="Arial"/>
                <w:color w:val="000000" w:themeColor="text1"/>
              </w:rPr>
              <w:t>. Study will be terminated at day 100.</w:t>
            </w:r>
            <w:bookmarkEnd w:id="191"/>
          </w:p>
        </w:tc>
      </w:tr>
    </w:tbl>
    <w:p w14:paraId="5A8276B1" w14:textId="77777777" w:rsidR="003C3DFE" w:rsidRDefault="003C3DFE" w:rsidP="000428E2">
      <w:pPr>
        <w:rPr>
          <w:color w:val="000000" w:themeColor="text1"/>
        </w:rPr>
      </w:pPr>
    </w:p>
    <w:p w14:paraId="7946002C" w14:textId="2F4C8B61" w:rsidR="0059642F" w:rsidRDefault="0059642F" w:rsidP="000428E2">
      <w:pPr>
        <w:rPr>
          <w:color w:val="000000" w:themeColor="text1"/>
        </w:rPr>
      </w:pPr>
    </w:p>
    <w:tbl>
      <w:tblPr>
        <w:tblStyle w:val="TableGrid"/>
        <w:tblW w:w="0" w:type="auto"/>
        <w:tblLook w:val="04A0" w:firstRow="1" w:lastRow="0" w:firstColumn="1" w:lastColumn="0" w:noHBand="0" w:noVBand="1"/>
      </w:tblPr>
      <w:tblGrid>
        <w:gridCol w:w="9350"/>
      </w:tblGrid>
      <w:tr w:rsidR="007C6292" w14:paraId="597118D5" w14:textId="77777777" w:rsidTr="007C6292">
        <w:tc>
          <w:tcPr>
            <w:tcW w:w="9350" w:type="dxa"/>
          </w:tcPr>
          <w:p w14:paraId="288D8D43" w14:textId="53F4A899" w:rsidR="007C6292" w:rsidRDefault="007C6292" w:rsidP="00D97547">
            <w:pPr>
              <w:spacing w:beforeAutospacing="0" w:line="360" w:lineRule="auto"/>
              <w:ind w:firstLine="0"/>
              <w:rPr>
                <w:color w:val="000000" w:themeColor="text1"/>
              </w:rPr>
            </w:pPr>
            <w:r w:rsidRPr="007C6292">
              <w:rPr>
                <w:noProof/>
                <w:color w:val="000000" w:themeColor="text1"/>
              </w:rPr>
              <w:drawing>
                <wp:inline distT="0" distB="0" distL="0" distR="0" wp14:anchorId="6BF4CE5F" wp14:editId="299DF5B8">
                  <wp:extent cx="5943600" cy="4542790"/>
                  <wp:effectExtent l="0" t="0" r="0" b="381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943600" cy="4542790"/>
                          </a:xfrm>
                          <a:prstGeom prst="rect">
                            <a:avLst/>
                          </a:prstGeom>
                        </pic:spPr>
                      </pic:pic>
                    </a:graphicData>
                  </a:graphic>
                </wp:inline>
              </w:drawing>
            </w:r>
          </w:p>
        </w:tc>
      </w:tr>
      <w:tr w:rsidR="007C6292" w14:paraId="418D6E55" w14:textId="77777777" w:rsidTr="007C6292">
        <w:tc>
          <w:tcPr>
            <w:tcW w:w="9350" w:type="dxa"/>
          </w:tcPr>
          <w:p w14:paraId="62D286E2" w14:textId="2EDF8766" w:rsidR="007C6292" w:rsidRDefault="003C3DFE" w:rsidP="00EB6CF8">
            <w:pPr>
              <w:spacing w:line="360" w:lineRule="auto"/>
              <w:ind w:firstLine="0"/>
              <w:rPr>
                <w:color w:val="000000" w:themeColor="text1"/>
              </w:rPr>
            </w:pPr>
            <w:bookmarkStart w:id="192" w:name="_Toc121217401"/>
            <w:r w:rsidRPr="003C3DFE">
              <w:rPr>
                <w:rFonts w:ascii="Arial" w:hAnsi="Arial" w:cs="Arial"/>
                <w:b/>
                <w:bCs/>
                <w:color w:val="000000" w:themeColor="text1"/>
              </w:rPr>
              <w:t xml:space="preserve">Figure </w:t>
            </w:r>
            <w:r w:rsidRPr="003C3DFE">
              <w:rPr>
                <w:rFonts w:ascii="Arial" w:hAnsi="Arial" w:cs="Arial"/>
                <w:b/>
                <w:bCs/>
                <w:color w:val="000000" w:themeColor="text1"/>
              </w:rPr>
              <w:fldChar w:fldCharType="begin"/>
            </w:r>
            <w:r w:rsidRPr="003C3DFE">
              <w:rPr>
                <w:rFonts w:ascii="Arial" w:hAnsi="Arial" w:cs="Arial"/>
                <w:b/>
                <w:bCs/>
                <w:color w:val="000000" w:themeColor="text1"/>
              </w:rPr>
              <w:instrText xml:space="preserve"> SEQ Figure \* ARABIC </w:instrText>
            </w:r>
            <w:r w:rsidRPr="003C3DFE">
              <w:rPr>
                <w:rFonts w:ascii="Arial" w:hAnsi="Arial" w:cs="Arial"/>
                <w:b/>
                <w:bCs/>
                <w:color w:val="000000" w:themeColor="text1"/>
              </w:rPr>
              <w:fldChar w:fldCharType="separate"/>
            </w:r>
            <w:r w:rsidR="002C4B25">
              <w:rPr>
                <w:rFonts w:ascii="Arial" w:hAnsi="Arial" w:cs="Arial"/>
                <w:b/>
                <w:bCs/>
                <w:noProof/>
                <w:color w:val="000000" w:themeColor="text1"/>
              </w:rPr>
              <w:t>79</w:t>
            </w:r>
            <w:r w:rsidRPr="003C3DFE">
              <w:rPr>
                <w:rFonts w:ascii="Arial" w:hAnsi="Arial" w:cs="Arial"/>
                <w:b/>
                <w:bCs/>
                <w:color w:val="000000" w:themeColor="text1"/>
              </w:rPr>
              <w:fldChar w:fldCharType="end"/>
            </w:r>
            <w:r w:rsidR="00EB6CF8" w:rsidRPr="00D74025">
              <w:rPr>
                <w:rFonts w:ascii="Arial" w:hAnsi="Arial" w:cs="Arial"/>
                <w:b/>
                <w:bCs/>
                <w:color w:val="000000" w:themeColor="text1"/>
              </w:rPr>
              <w:t xml:space="preserve">: </w:t>
            </w:r>
            <w:r w:rsidR="00EB6CF8">
              <w:rPr>
                <w:rFonts w:ascii="Arial" w:hAnsi="Arial" w:cs="Arial"/>
                <w:b/>
                <w:bCs/>
                <w:color w:val="000000" w:themeColor="text1"/>
              </w:rPr>
              <w:t xml:space="preserve">Tumor volumes </w:t>
            </w:r>
            <w:r w:rsidR="008337AC">
              <w:rPr>
                <w:rFonts w:ascii="Arial" w:hAnsi="Arial" w:cs="Arial"/>
                <w:b/>
                <w:bCs/>
                <w:color w:val="000000" w:themeColor="text1"/>
              </w:rPr>
              <w:t xml:space="preserve">from days 6 to 27 </w:t>
            </w:r>
            <w:r w:rsidR="00EB6CF8">
              <w:rPr>
                <w:rFonts w:ascii="Arial" w:hAnsi="Arial" w:cs="Arial"/>
                <w:b/>
                <w:bCs/>
                <w:color w:val="000000" w:themeColor="text1"/>
              </w:rPr>
              <w:t xml:space="preserve">in long-term survival study of </w:t>
            </w:r>
            <w:r w:rsidR="00EB6CF8" w:rsidRPr="00D74025">
              <w:rPr>
                <w:rFonts w:ascii="Arial" w:hAnsi="Arial" w:cs="Arial"/>
                <w:b/>
                <w:bCs/>
                <w:color w:val="000000" w:themeColor="text1"/>
              </w:rPr>
              <w:t>combinatorial therapy of anti-PD-1, imiquimod-loaded hydrogel and photothermal therapy (PTT) at 55</w:t>
            </w:r>
            <w:r w:rsidR="00EB6CF8" w:rsidRPr="00D74025">
              <w:rPr>
                <w:rFonts w:ascii="Arial" w:hAnsi="Arial" w:cs="Arial"/>
                <w:b/>
                <w:bCs/>
                <w:color w:val="000000" w:themeColor="text1"/>
              </w:rPr>
              <w:sym w:font="Symbol" w:char="F0B0"/>
            </w:r>
            <w:r w:rsidR="00EB6CF8" w:rsidRPr="00D74025">
              <w:rPr>
                <w:rFonts w:ascii="Arial" w:hAnsi="Arial" w:cs="Arial"/>
                <w:b/>
                <w:bCs/>
                <w:color w:val="000000" w:themeColor="text1"/>
              </w:rPr>
              <w:t>C in 4T1 tumors</w:t>
            </w:r>
            <w:r w:rsidR="00EB6CF8" w:rsidRPr="00D74025">
              <w:rPr>
                <w:rFonts w:ascii="Arial" w:hAnsi="Arial" w:cs="Arial"/>
                <w:color w:val="000000" w:themeColor="text1"/>
              </w:rPr>
              <w:t xml:space="preserve">. Female </w:t>
            </w:r>
            <w:proofErr w:type="spellStart"/>
            <w:r w:rsidR="00EB6CF8" w:rsidRPr="00D74025">
              <w:rPr>
                <w:rFonts w:ascii="Arial" w:hAnsi="Arial" w:cs="Arial"/>
                <w:color w:val="000000" w:themeColor="text1"/>
              </w:rPr>
              <w:t>Balb</w:t>
            </w:r>
            <w:proofErr w:type="spellEnd"/>
            <w:r w:rsidR="00EB6CF8" w:rsidRPr="00D74025">
              <w:rPr>
                <w:rFonts w:ascii="Arial" w:hAnsi="Arial" w:cs="Arial"/>
                <w:color w:val="000000" w:themeColor="text1"/>
              </w:rPr>
              <w:t xml:space="preserve"> c/J mice bearing </w:t>
            </w:r>
            <w:r w:rsidR="00EB6CF8" w:rsidRPr="00D74025">
              <w:rPr>
                <w:rFonts w:ascii="Arial" w:hAnsi="Arial" w:cs="Arial"/>
                <w:color w:val="000000" w:themeColor="text1"/>
              </w:rPr>
              <w:lastRenderedPageBreak/>
              <w:t>4T1 orthotopic syngeneic tumors (d</w:t>
            </w:r>
            <w:r w:rsidR="00EB6CF8">
              <w:rPr>
                <w:rFonts w:ascii="Arial" w:hAnsi="Arial" w:cs="Arial"/>
                <w:color w:val="000000" w:themeColor="text1"/>
              </w:rPr>
              <w:t> </w:t>
            </w:r>
            <w:r w:rsidR="00EB6CF8" w:rsidRPr="00D74025">
              <w:rPr>
                <w:rFonts w:ascii="Arial" w:hAnsi="Arial" w:cs="Arial"/>
                <w:color w:val="000000" w:themeColor="text1"/>
              </w:rPr>
              <w:t>~</w:t>
            </w:r>
            <w:r w:rsidR="00EB6CF8">
              <w:rPr>
                <w:rFonts w:ascii="Arial" w:hAnsi="Arial" w:cs="Arial"/>
                <w:color w:val="000000" w:themeColor="text1"/>
              </w:rPr>
              <w:t> </w:t>
            </w:r>
            <w:r w:rsidR="00EB6CF8" w:rsidRPr="00D74025">
              <w:rPr>
                <w:rFonts w:ascii="Arial" w:hAnsi="Arial" w:cs="Arial"/>
                <w:color w:val="000000" w:themeColor="text1"/>
              </w:rPr>
              <w:t>3</w:t>
            </w:r>
            <w:r w:rsidR="00EB6CF8">
              <w:rPr>
                <w:rFonts w:ascii="Arial" w:hAnsi="Arial" w:cs="Arial"/>
                <w:color w:val="000000" w:themeColor="text1"/>
              </w:rPr>
              <w:t> </w:t>
            </w:r>
            <w:r w:rsidR="00EB6CF8" w:rsidRPr="00D74025">
              <w:rPr>
                <w:rFonts w:ascii="Arial" w:hAnsi="Arial" w:cs="Arial"/>
                <w:color w:val="000000" w:themeColor="text1"/>
              </w:rPr>
              <w:t>mm) were treated with combinatorial therapy. Selected groups were administered with imiquimod (IMQ)-loaded hydrogel intratumorally (50 mg of IMQ) on day 7 after tumor inoculation. Select groups also received intraperitoneal injection of anti-PD-1 (10 mg/kg) on days 7, 10, and 15. On day 11, groups were administered with an IT dose of 1.2 mg/kg SWCNT-ANXA5. Tumors were irradiated with a</w:t>
            </w:r>
            <w:r w:rsidR="00B15EA2">
              <w:rPr>
                <w:rFonts w:ascii="Arial" w:hAnsi="Arial" w:cs="Arial"/>
                <w:color w:val="000000" w:themeColor="text1"/>
              </w:rPr>
              <w:t>n</w:t>
            </w:r>
            <w:r w:rsidR="00EB6CF8" w:rsidRPr="00D74025">
              <w:rPr>
                <w:rFonts w:ascii="Arial" w:hAnsi="Arial" w:cs="Arial"/>
                <w:color w:val="000000" w:themeColor="text1"/>
              </w:rPr>
              <w:t xml:space="preserve"> NIR laser at a power density of 1 W/cm</w:t>
            </w:r>
            <w:r w:rsidR="00EB6CF8" w:rsidRPr="00D74025">
              <w:rPr>
                <w:rFonts w:ascii="Arial" w:hAnsi="Arial" w:cs="Arial"/>
                <w:color w:val="000000" w:themeColor="text1"/>
                <w:vertAlign w:val="superscript"/>
              </w:rPr>
              <w:t>2</w:t>
            </w:r>
            <w:r w:rsidR="00EB6CF8" w:rsidRPr="00D74025">
              <w:rPr>
                <w:rFonts w:ascii="Arial" w:hAnsi="Arial" w:cs="Arial"/>
                <w:color w:val="000000" w:themeColor="text1"/>
              </w:rPr>
              <w:t xml:space="preserve"> until </w:t>
            </w:r>
            <w:r w:rsidR="00B15EA2">
              <w:rPr>
                <w:rFonts w:ascii="Arial" w:hAnsi="Arial" w:cs="Arial"/>
                <w:color w:val="000000" w:themeColor="text1"/>
              </w:rPr>
              <w:t xml:space="preserve">the </w:t>
            </w:r>
            <w:r w:rsidR="00EB6CF8" w:rsidRPr="00D74025">
              <w:rPr>
                <w:rFonts w:ascii="Arial" w:hAnsi="Arial" w:cs="Arial"/>
                <w:color w:val="000000" w:themeColor="text1"/>
              </w:rPr>
              <w:t xml:space="preserve">tumor surface temperature reached 55ºC. </w:t>
            </w:r>
            <w:r w:rsidR="00C40FF6" w:rsidRPr="00D74025">
              <w:rPr>
                <w:rFonts w:ascii="Arial" w:hAnsi="Arial" w:cs="Arial"/>
                <w:color w:val="000000" w:themeColor="text1"/>
              </w:rPr>
              <w:t xml:space="preserve">Tumor volume </w:t>
            </w:r>
            <w:r w:rsidR="00C40FF6">
              <w:rPr>
                <w:rFonts w:ascii="Arial" w:hAnsi="Arial" w:cs="Arial"/>
                <w:color w:val="000000" w:themeColor="text1"/>
              </w:rPr>
              <w:t>is shown</w:t>
            </w:r>
            <w:r w:rsidR="00C40FF6" w:rsidRPr="00D74025">
              <w:rPr>
                <w:rFonts w:ascii="Arial" w:hAnsi="Arial" w:cs="Arial"/>
                <w:color w:val="000000" w:themeColor="text1"/>
              </w:rPr>
              <w:t xml:space="preserve"> as mean ± SE (n = </w:t>
            </w:r>
            <w:r w:rsidR="00C40FF6">
              <w:rPr>
                <w:rFonts w:ascii="Arial" w:hAnsi="Arial" w:cs="Arial"/>
                <w:color w:val="000000" w:themeColor="text1"/>
              </w:rPr>
              <w:t>10</w:t>
            </w:r>
            <w:r w:rsidR="00C40FF6" w:rsidRPr="00D74025">
              <w:rPr>
                <w:rFonts w:ascii="Arial" w:hAnsi="Arial" w:cs="Arial"/>
                <w:color w:val="000000" w:themeColor="text1"/>
              </w:rPr>
              <w:t xml:space="preserve">). Statistical analysis </w:t>
            </w:r>
            <w:r w:rsidR="00C40FF6">
              <w:rPr>
                <w:rFonts w:ascii="Arial" w:hAnsi="Arial" w:cs="Arial"/>
                <w:color w:val="000000" w:themeColor="text1"/>
              </w:rPr>
              <w:t xml:space="preserve">was performed comparing </w:t>
            </w:r>
            <w:r w:rsidR="00C40FF6" w:rsidRPr="00D74025">
              <w:rPr>
                <w:rFonts w:ascii="Arial" w:hAnsi="Arial" w:cs="Arial"/>
                <w:color w:val="000000" w:themeColor="text1"/>
              </w:rPr>
              <w:t xml:space="preserve">each treatment </w:t>
            </w:r>
            <w:r w:rsidR="00C40FF6">
              <w:rPr>
                <w:rFonts w:ascii="Arial" w:hAnsi="Arial" w:cs="Arial"/>
                <w:color w:val="000000" w:themeColor="text1"/>
              </w:rPr>
              <w:t>group</w:t>
            </w:r>
            <w:r w:rsidR="00C40FF6" w:rsidRPr="00D74025">
              <w:rPr>
                <w:rFonts w:ascii="Arial" w:hAnsi="Arial" w:cs="Arial"/>
                <w:color w:val="000000" w:themeColor="text1"/>
              </w:rPr>
              <w:t xml:space="preserve"> to </w:t>
            </w:r>
            <w:r w:rsidR="00C40FF6">
              <w:rPr>
                <w:rFonts w:ascii="Arial" w:hAnsi="Arial" w:cs="Arial"/>
                <w:color w:val="000000" w:themeColor="text1"/>
              </w:rPr>
              <w:t xml:space="preserve">the untreated </w:t>
            </w:r>
            <w:r w:rsidR="00C40FF6" w:rsidRPr="00D74025">
              <w:rPr>
                <w:rFonts w:ascii="Arial" w:hAnsi="Arial" w:cs="Arial"/>
                <w:color w:val="000000" w:themeColor="text1"/>
              </w:rPr>
              <w:t>control</w:t>
            </w:r>
            <w:r w:rsidR="00C40FF6">
              <w:rPr>
                <w:rFonts w:ascii="Arial" w:hAnsi="Arial" w:cs="Arial"/>
                <w:color w:val="000000" w:themeColor="text1"/>
              </w:rPr>
              <w:t>. O</w:t>
            </w:r>
            <w:r w:rsidR="00C40FF6" w:rsidRPr="00D74025">
              <w:rPr>
                <w:rFonts w:ascii="Arial" w:hAnsi="Arial" w:cs="Arial"/>
                <w:color w:val="000000" w:themeColor="text1"/>
              </w:rPr>
              <w:t>ne-way ANOVA and Dunnett</w:t>
            </w:r>
            <w:r w:rsidR="00C40FF6">
              <w:rPr>
                <w:rFonts w:ascii="Arial" w:hAnsi="Arial" w:cs="Arial"/>
                <w:color w:val="000000" w:themeColor="text1"/>
              </w:rPr>
              <w:t>’</w:t>
            </w:r>
            <w:r w:rsidR="00C40FF6" w:rsidRPr="00D74025">
              <w:rPr>
                <w:rFonts w:ascii="Arial" w:hAnsi="Arial" w:cs="Arial"/>
                <w:color w:val="000000" w:themeColor="text1"/>
              </w:rPr>
              <w:t xml:space="preserve">s multiple comparisons were carried out on GraphPad Prism </w:t>
            </w:r>
            <w:r w:rsidR="0016324C">
              <w:rPr>
                <w:rFonts w:ascii="Arial" w:hAnsi="Arial" w:cs="Arial"/>
                <w:color w:val="000000" w:themeColor="text1"/>
              </w:rPr>
              <w:t>8</w:t>
            </w:r>
            <w:r w:rsidR="00C40FF6" w:rsidRPr="00D74025">
              <w:rPr>
                <w:rFonts w:ascii="Arial" w:hAnsi="Arial" w:cs="Arial"/>
                <w:color w:val="000000" w:themeColor="text1"/>
              </w:rPr>
              <w:t>.</w:t>
            </w:r>
            <w:r w:rsidR="00C40FF6">
              <w:rPr>
                <w:rFonts w:ascii="Arial" w:hAnsi="Arial" w:cs="Arial"/>
                <w:color w:val="000000" w:themeColor="text1"/>
              </w:rPr>
              <w:t xml:space="preserve"> </w:t>
            </w:r>
            <w:r w:rsidR="00C40FF6" w:rsidRPr="00D74025">
              <w:rPr>
                <w:rFonts w:ascii="Arial" w:hAnsi="Arial" w:cs="Arial"/>
                <w:color w:val="000000" w:themeColor="text1"/>
              </w:rPr>
              <w:t xml:space="preserve">(*p &lt; 0.05, </w:t>
            </w:r>
            <w:r w:rsidR="00A879F6">
              <w:rPr>
                <w:rFonts w:ascii="Arial" w:hAnsi="Arial" w:cs="Arial"/>
                <w:color w:val="000000" w:themeColor="text1"/>
              </w:rPr>
              <w:t xml:space="preserve">**p &lt; 0.01, ***p &lt; 0.001, </w:t>
            </w:r>
            <w:r w:rsidR="00C40FF6">
              <w:rPr>
                <w:rFonts w:ascii="Arial" w:hAnsi="Arial" w:cs="Arial"/>
                <w:color w:val="000000" w:themeColor="text1"/>
              </w:rPr>
              <w:t>***p &lt; 0.001)</w:t>
            </w:r>
            <w:bookmarkEnd w:id="192"/>
          </w:p>
        </w:tc>
      </w:tr>
    </w:tbl>
    <w:p w14:paraId="4484E137" w14:textId="38C0C5E9" w:rsidR="001517EC" w:rsidRDefault="001517EC" w:rsidP="000428E2">
      <w:pPr>
        <w:rPr>
          <w:color w:val="000000" w:themeColor="text1"/>
        </w:rPr>
      </w:pPr>
    </w:p>
    <w:p w14:paraId="567547B2" w14:textId="6C4C5F83" w:rsidR="001517EC" w:rsidRDefault="001517EC" w:rsidP="000428E2">
      <w:pPr>
        <w:rPr>
          <w:color w:val="000000" w:themeColor="text1"/>
        </w:rPr>
      </w:pPr>
    </w:p>
    <w:tbl>
      <w:tblPr>
        <w:tblStyle w:val="TableGrid"/>
        <w:tblW w:w="0" w:type="auto"/>
        <w:tblLook w:val="04A0" w:firstRow="1" w:lastRow="0" w:firstColumn="1" w:lastColumn="0" w:noHBand="0" w:noVBand="1"/>
      </w:tblPr>
      <w:tblGrid>
        <w:gridCol w:w="9350"/>
      </w:tblGrid>
      <w:tr w:rsidR="001517EC" w14:paraId="1DD88D36" w14:textId="77777777" w:rsidTr="001517EC">
        <w:tc>
          <w:tcPr>
            <w:tcW w:w="9350" w:type="dxa"/>
          </w:tcPr>
          <w:p w14:paraId="0B60DBAF" w14:textId="5A75E5E2" w:rsidR="001517EC" w:rsidRDefault="001517EC" w:rsidP="00D97547">
            <w:pPr>
              <w:spacing w:beforeAutospacing="0"/>
              <w:ind w:firstLine="0"/>
              <w:rPr>
                <w:color w:val="000000" w:themeColor="text1"/>
              </w:rPr>
            </w:pPr>
            <w:r w:rsidRPr="001517EC">
              <w:rPr>
                <w:noProof/>
                <w:color w:val="000000" w:themeColor="text1"/>
              </w:rPr>
              <w:drawing>
                <wp:inline distT="0" distB="0" distL="0" distR="0" wp14:anchorId="7800F500" wp14:editId="57C40266">
                  <wp:extent cx="5943600" cy="4606290"/>
                  <wp:effectExtent l="0" t="0" r="0" b="381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943600" cy="4606290"/>
                          </a:xfrm>
                          <a:prstGeom prst="rect">
                            <a:avLst/>
                          </a:prstGeom>
                        </pic:spPr>
                      </pic:pic>
                    </a:graphicData>
                  </a:graphic>
                </wp:inline>
              </w:drawing>
            </w:r>
          </w:p>
        </w:tc>
      </w:tr>
      <w:tr w:rsidR="00F64012" w14:paraId="0C13450C" w14:textId="77777777" w:rsidTr="001517EC">
        <w:tc>
          <w:tcPr>
            <w:tcW w:w="9350" w:type="dxa"/>
          </w:tcPr>
          <w:p w14:paraId="17AE12C8" w14:textId="6D4E96E9" w:rsidR="00F64012" w:rsidRDefault="003C3DFE" w:rsidP="00F64012">
            <w:pPr>
              <w:spacing w:line="360" w:lineRule="auto"/>
              <w:ind w:firstLine="0"/>
              <w:rPr>
                <w:color w:val="000000" w:themeColor="text1"/>
              </w:rPr>
            </w:pPr>
            <w:bookmarkStart w:id="193" w:name="_Toc121217402"/>
            <w:r w:rsidRPr="003C3DFE">
              <w:rPr>
                <w:rFonts w:ascii="Arial" w:hAnsi="Arial" w:cs="Arial"/>
                <w:b/>
                <w:bCs/>
                <w:color w:val="000000" w:themeColor="text1"/>
              </w:rPr>
              <w:lastRenderedPageBreak/>
              <w:t xml:space="preserve">Figure </w:t>
            </w:r>
            <w:r w:rsidRPr="003C3DFE">
              <w:rPr>
                <w:rFonts w:ascii="Arial" w:hAnsi="Arial" w:cs="Arial"/>
                <w:b/>
                <w:bCs/>
                <w:color w:val="000000" w:themeColor="text1"/>
              </w:rPr>
              <w:fldChar w:fldCharType="begin"/>
            </w:r>
            <w:r w:rsidRPr="003C3DFE">
              <w:rPr>
                <w:rFonts w:ascii="Arial" w:hAnsi="Arial" w:cs="Arial"/>
                <w:b/>
                <w:bCs/>
                <w:color w:val="000000" w:themeColor="text1"/>
              </w:rPr>
              <w:instrText xml:space="preserve"> SEQ Figure \* ARABIC </w:instrText>
            </w:r>
            <w:r w:rsidRPr="003C3DFE">
              <w:rPr>
                <w:rFonts w:ascii="Arial" w:hAnsi="Arial" w:cs="Arial"/>
                <w:b/>
                <w:bCs/>
                <w:color w:val="000000" w:themeColor="text1"/>
              </w:rPr>
              <w:fldChar w:fldCharType="separate"/>
            </w:r>
            <w:r w:rsidR="002C4B25">
              <w:rPr>
                <w:rFonts w:ascii="Arial" w:hAnsi="Arial" w:cs="Arial"/>
                <w:b/>
                <w:bCs/>
                <w:noProof/>
                <w:color w:val="000000" w:themeColor="text1"/>
              </w:rPr>
              <w:t>80</w:t>
            </w:r>
            <w:r w:rsidRPr="003C3DFE">
              <w:rPr>
                <w:rFonts w:ascii="Arial" w:hAnsi="Arial" w:cs="Arial"/>
                <w:b/>
                <w:bCs/>
                <w:color w:val="000000" w:themeColor="text1"/>
              </w:rPr>
              <w:fldChar w:fldCharType="end"/>
            </w:r>
            <w:r w:rsidR="00F64012" w:rsidRPr="00D74025">
              <w:rPr>
                <w:rFonts w:ascii="Arial" w:hAnsi="Arial" w:cs="Arial"/>
                <w:b/>
                <w:bCs/>
                <w:color w:val="000000" w:themeColor="text1"/>
              </w:rPr>
              <w:t xml:space="preserve">: </w:t>
            </w:r>
            <w:r w:rsidR="00F64012">
              <w:rPr>
                <w:rFonts w:ascii="Arial" w:hAnsi="Arial" w:cs="Arial"/>
                <w:b/>
                <w:bCs/>
                <w:color w:val="000000" w:themeColor="text1"/>
              </w:rPr>
              <w:t xml:space="preserve">Tumor volumes </w:t>
            </w:r>
            <w:r w:rsidR="008337AC">
              <w:rPr>
                <w:rFonts w:ascii="Arial" w:hAnsi="Arial" w:cs="Arial"/>
                <w:b/>
                <w:bCs/>
                <w:color w:val="000000" w:themeColor="text1"/>
              </w:rPr>
              <w:t xml:space="preserve">from days 31 to 50 </w:t>
            </w:r>
            <w:r w:rsidR="00F64012">
              <w:rPr>
                <w:rFonts w:ascii="Arial" w:hAnsi="Arial" w:cs="Arial"/>
                <w:b/>
                <w:bCs/>
                <w:color w:val="000000" w:themeColor="text1"/>
              </w:rPr>
              <w:t xml:space="preserve">in long-term survival study of </w:t>
            </w:r>
            <w:r w:rsidR="00F64012" w:rsidRPr="00D74025">
              <w:rPr>
                <w:rFonts w:ascii="Arial" w:hAnsi="Arial" w:cs="Arial"/>
                <w:b/>
                <w:bCs/>
                <w:color w:val="000000" w:themeColor="text1"/>
              </w:rPr>
              <w:t>combinatorial therapy of anti-PD-1, imiquimod-loaded hydrogel and photothermal therapy (PTT) at 55</w:t>
            </w:r>
            <w:r w:rsidR="00F64012" w:rsidRPr="00D74025">
              <w:rPr>
                <w:rFonts w:ascii="Arial" w:hAnsi="Arial" w:cs="Arial"/>
                <w:b/>
                <w:bCs/>
                <w:color w:val="000000" w:themeColor="text1"/>
              </w:rPr>
              <w:sym w:font="Symbol" w:char="F0B0"/>
            </w:r>
            <w:r w:rsidR="00F64012" w:rsidRPr="00D74025">
              <w:rPr>
                <w:rFonts w:ascii="Arial" w:hAnsi="Arial" w:cs="Arial"/>
                <w:b/>
                <w:bCs/>
                <w:color w:val="000000" w:themeColor="text1"/>
              </w:rPr>
              <w:t>C in 4T1 tumors</w:t>
            </w:r>
            <w:r w:rsidR="00F64012" w:rsidRPr="00D74025">
              <w:rPr>
                <w:rFonts w:ascii="Arial" w:hAnsi="Arial" w:cs="Arial"/>
                <w:color w:val="000000" w:themeColor="text1"/>
              </w:rPr>
              <w:t xml:space="preserve">. Female </w:t>
            </w:r>
            <w:proofErr w:type="spellStart"/>
            <w:r w:rsidR="00F64012" w:rsidRPr="00D74025">
              <w:rPr>
                <w:rFonts w:ascii="Arial" w:hAnsi="Arial" w:cs="Arial"/>
                <w:color w:val="000000" w:themeColor="text1"/>
              </w:rPr>
              <w:t>Balb</w:t>
            </w:r>
            <w:proofErr w:type="spellEnd"/>
            <w:r w:rsidR="00F64012" w:rsidRPr="00D74025">
              <w:rPr>
                <w:rFonts w:ascii="Arial" w:hAnsi="Arial" w:cs="Arial"/>
                <w:color w:val="000000" w:themeColor="text1"/>
              </w:rPr>
              <w:t xml:space="preserve"> c/J mice bearing 4T1 orthotopic syngeneic tumors (d</w:t>
            </w:r>
            <w:r w:rsidR="00F64012">
              <w:rPr>
                <w:rFonts w:ascii="Arial" w:hAnsi="Arial" w:cs="Arial"/>
                <w:color w:val="000000" w:themeColor="text1"/>
              </w:rPr>
              <w:t> </w:t>
            </w:r>
            <w:r w:rsidR="00F64012" w:rsidRPr="00D74025">
              <w:rPr>
                <w:rFonts w:ascii="Arial" w:hAnsi="Arial" w:cs="Arial"/>
                <w:color w:val="000000" w:themeColor="text1"/>
              </w:rPr>
              <w:t>~</w:t>
            </w:r>
            <w:r w:rsidR="00F64012">
              <w:rPr>
                <w:rFonts w:ascii="Arial" w:hAnsi="Arial" w:cs="Arial"/>
                <w:color w:val="000000" w:themeColor="text1"/>
              </w:rPr>
              <w:t> </w:t>
            </w:r>
            <w:r w:rsidR="00F64012" w:rsidRPr="00D74025">
              <w:rPr>
                <w:rFonts w:ascii="Arial" w:hAnsi="Arial" w:cs="Arial"/>
                <w:color w:val="000000" w:themeColor="text1"/>
              </w:rPr>
              <w:t>3</w:t>
            </w:r>
            <w:r w:rsidR="00F64012">
              <w:rPr>
                <w:rFonts w:ascii="Arial" w:hAnsi="Arial" w:cs="Arial"/>
                <w:color w:val="000000" w:themeColor="text1"/>
              </w:rPr>
              <w:t> </w:t>
            </w:r>
            <w:r w:rsidR="00F64012" w:rsidRPr="00D74025">
              <w:rPr>
                <w:rFonts w:ascii="Arial" w:hAnsi="Arial" w:cs="Arial"/>
                <w:color w:val="000000" w:themeColor="text1"/>
              </w:rPr>
              <w:t>mm) were treated with combinatorial therapy. Selected groups were administered with imiquimod (IMQ)-loaded hydrogel intratumorally (50 mg of IMQ) on day 7 after tumor inoculation. Select groups also received intraperitoneal injection of anti-PD-1 (10 mg/kg) on days 7, 10, and 15. On day 11, groups were administered with an IT dose of 1.2 mg/kg SWCNT-ANXA5. Tumors were irradiated with a</w:t>
            </w:r>
            <w:r w:rsidR="00B15EA2">
              <w:rPr>
                <w:rFonts w:ascii="Arial" w:hAnsi="Arial" w:cs="Arial"/>
                <w:color w:val="000000" w:themeColor="text1"/>
              </w:rPr>
              <w:t>n</w:t>
            </w:r>
            <w:r w:rsidR="00F64012" w:rsidRPr="00D74025">
              <w:rPr>
                <w:rFonts w:ascii="Arial" w:hAnsi="Arial" w:cs="Arial"/>
                <w:color w:val="000000" w:themeColor="text1"/>
              </w:rPr>
              <w:t xml:space="preserve"> NIR laser at a power density of 1 W/cm</w:t>
            </w:r>
            <w:r w:rsidR="00F64012" w:rsidRPr="00D74025">
              <w:rPr>
                <w:rFonts w:ascii="Arial" w:hAnsi="Arial" w:cs="Arial"/>
                <w:color w:val="000000" w:themeColor="text1"/>
                <w:vertAlign w:val="superscript"/>
              </w:rPr>
              <w:t>2</w:t>
            </w:r>
            <w:r w:rsidR="00F64012" w:rsidRPr="00D74025">
              <w:rPr>
                <w:rFonts w:ascii="Arial" w:hAnsi="Arial" w:cs="Arial"/>
                <w:color w:val="000000" w:themeColor="text1"/>
              </w:rPr>
              <w:t xml:space="preserve"> until </w:t>
            </w:r>
            <w:r w:rsidR="00B15EA2">
              <w:rPr>
                <w:rFonts w:ascii="Arial" w:hAnsi="Arial" w:cs="Arial"/>
                <w:color w:val="000000" w:themeColor="text1"/>
              </w:rPr>
              <w:t xml:space="preserve">the </w:t>
            </w:r>
            <w:r w:rsidR="00F64012" w:rsidRPr="00D74025">
              <w:rPr>
                <w:rFonts w:ascii="Arial" w:hAnsi="Arial" w:cs="Arial"/>
                <w:color w:val="000000" w:themeColor="text1"/>
              </w:rPr>
              <w:t xml:space="preserve">tumor surface temperature reached 55ºC. Tumor volume </w:t>
            </w:r>
            <w:r w:rsidR="00F64012">
              <w:rPr>
                <w:rFonts w:ascii="Arial" w:hAnsi="Arial" w:cs="Arial"/>
                <w:color w:val="000000" w:themeColor="text1"/>
              </w:rPr>
              <w:t>is shown</w:t>
            </w:r>
            <w:r w:rsidR="00F64012" w:rsidRPr="00D74025">
              <w:rPr>
                <w:rFonts w:ascii="Arial" w:hAnsi="Arial" w:cs="Arial"/>
                <w:color w:val="000000" w:themeColor="text1"/>
              </w:rPr>
              <w:t xml:space="preserve"> as mean ± SE (n = </w:t>
            </w:r>
            <w:r w:rsidR="00F64012">
              <w:rPr>
                <w:rFonts w:ascii="Arial" w:hAnsi="Arial" w:cs="Arial"/>
                <w:color w:val="000000" w:themeColor="text1"/>
              </w:rPr>
              <w:t>10</w:t>
            </w:r>
            <w:r w:rsidR="00F64012" w:rsidRPr="00D74025">
              <w:rPr>
                <w:rFonts w:ascii="Arial" w:hAnsi="Arial" w:cs="Arial"/>
                <w:color w:val="000000" w:themeColor="text1"/>
              </w:rPr>
              <w:t xml:space="preserve">). Statistical analysis </w:t>
            </w:r>
            <w:r w:rsidR="00F64012">
              <w:rPr>
                <w:rFonts w:ascii="Arial" w:hAnsi="Arial" w:cs="Arial"/>
                <w:color w:val="000000" w:themeColor="text1"/>
              </w:rPr>
              <w:t xml:space="preserve">was performed comparing </w:t>
            </w:r>
            <w:r w:rsidR="00F64012" w:rsidRPr="00D74025">
              <w:rPr>
                <w:rFonts w:ascii="Arial" w:hAnsi="Arial" w:cs="Arial"/>
                <w:color w:val="000000" w:themeColor="text1"/>
              </w:rPr>
              <w:t xml:space="preserve">each treatment </w:t>
            </w:r>
            <w:r w:rsidR="00F64012">
              <w:rPr>
                <w:rFonts w:ascii="Arial" w:hAnsi="Arial" w:cs="Arial"/>
                <w:color w:val="000000" w:themeColor="text1"/>
              </w:rPr>
              <w:t>group</w:t>
            </w:r>
            <w:r w:rsidR="00F64012" w:rsidRPr="00D74025">
              <w:rPr>
                <w:rFonts w:ascii="Arial" w:hAnsi="Arial" w:cs="Arial"/>
                <w:color w:val="000000" w:themeColor="text1"/>
              </w:rPr>
              <w:t xml:space="preserve"> to </w:t>
            </w:r>
            <w:r w:rsidR="00F64012">
              <w:rPr>
                <w:rFonts w:ascii="Arial" w:hAnsi="Arial" w:cs="Arial"/>
                <w:color w:val="000000" w:themeColor="text1"/>
              </w:rPr>
              <w:t xml:space="preserve">the untreated </w:t>
            </w:r>
            <w:r w:rsidR="00F64012" w:rsidRPr="00D74025">
              <w:rPr>
                <w:rFonts w:ascii="Arial" w:hAnsi="Arial" w:cs="Arial"/>
                <w:color w:val="000000" w:themeColor="text1"/>
              </w:rPr>
              <w:t>control</w:t>
            </w:r>
            <w:r w:rsidR="00F64012">
              <w:rPr>
                <w:rFonts w:ascii="Arial" w:hAnsi="Arial" w:cs="Arial"/>
                <w:color w:val="000000" w:themeColor="text1"/>
              </w:rPr>
              <w:t>. O</w:t>
            </w:r>
            <w:r w:rsidR="00F64012" w:rsidRPr="00D74025">
              <w:rPr>
                <w:rFonts w:ascii="Arial" w:hAnsi="Arial" w:cs="Arial"/>
                <w:color w:val="000000" w:themeColor="text1"/>
              </w:rPr>
              <w:t>ne-way ANOVA and Dunnett</w:t>
            </w:r>
            <w:r w:rsidR="00F64012">
              <w:rPr>
                <w:rFonts w:ascii="Arial" w:hAnsi="Arial" w:cs="Arial"/>
                <w:color w:val="000000" w:themeColor="text1"/>
              </w:rPr>
              <w:t>’</w:t>
            </w:r>
            <w:r w:rsidR="00F64012" w:rsidRPr="00D74025">
              <w:rPr>
                <w:rFonts w:ascii="Arial" w:hAnsi="Arial" w:cs="Arial"/>
                <w:color w:val="000000" w:themeColor="text1"/>
              </w:rPr>
              <w:t xml:space="preserve">s multiple comparisons were carried out on GraphPad Prism </w:t>
            </w:r>
            <w:r w:rsidR="0016324C">
              <w:rPr>
                <w:rFonts w:ascii="Arial" w:hAnsi="Arial" w:cs="Arial"/>
                <w:color w:val="000000" w:themeColor="text1"/>
              </w:rPr>
              <w:t>8</w:t>
            </w:r>
            <w:r w:rsidR="00F64012" w:rsidRPr="00D74025">
              <w:rPr>
                <w:rFonts w:ascii="Arial" w:hAnsi="Arial" w:cs="Arial"/>
                <w:color w:val="000000" w:themeColor="text1"/>
              </w:rPr>
              <w:t>.</w:t>
            </w:r>
            <w:r w:rsidR="00F64012">
              <w:rPr>
                <w:rFonts w:ascii="Arial" w:hAnsi="Arial" w:cs="Arial"/>
                <w:color w:val="000000" w:themeColor="text1"/>
              </w:rPr>
              <w:t xml:space="preserve"> </w:t>
            </w:r>
            <w:r w:rsidR="00F64012" w:rsidRPr="00D74025">
              <w:rPr>
                <w:rFonts w:ascii="Arial" w:hAnsi="Arial" w:cs="Arial"/>
                <w:color w:val="000000" w:themeColor="text1"/>
              </w:rPr>
              <w:t xml:space="preserve">(*p &lt; 0.05, </w:t>
            </w:r>
            <w:r w:rsidR="00F64012">
              <w:rPr>
                <w:rFonts w:ascii="Arial" w:hAnsi="Arial" w:cs="Arial"/>
                <w:color w:val="000000" w:themeColor="text1"/>
              </w:rPr>
              <w:t>**p &lt; 0.01, ***p &lt; 0.001, ***p &lt; 0.001).</w:t>
            </w:r>
            <w:bookmarkEnd w:id="193"/>
            <w:r w:rsidR="00F64012">
              <w:rPr>
                <w:rFonts w:ascii="Arial" w:hAnsi="Arial" w:cs="Arial"/>
                <w:color w:val="000000" w:themeColor="text1"/>
              </w:rPr>
              <w:t xml:space="preserve"> </w:t>
            </w:r>
          </w:p>
        </w:tc>
      </w:tr>
    </w:tbl>
    <w:p w14:paraId="6375E365" w14:textId="523B6F6A" w:rsidR="003C3DFE" w:rsidRDefault="003C3DFE" w:rsidP="000428E2">
      <w:pPr>
        <w:rPr>
          <w:color w:val="000000" w:themeColor="text1"/>
        </w:rPr>
      </w:pPr>
    </w:p>
    <w:p w14:paraId="61EBFAFF" w14:textId="77777777" w:rsidR="00EA4E71" w:rsidRDefault="00EA4E71" w:rsidP="000428E2">
      <w:pPr>
        <w:rPr>
          <w:color w:val="000000" w:themeColor="text1"/>
        </w:rPr>
      </w:pPr>
    </w:p>
    <w:tbl>
      <w:tblPr>
        <w:tblStyle w:val="TableGrid"/>
        <w:tblW w:w="0" w:type="auto"/>
        <w:tblLook w:val="04A0" w:firstRow="1" w:lastRow="0" w:firstColumn="1" w:lastColumn="0" w:noHBand="0" w:noVBand="1"/>
      </w:tblPr>
      <w:tblGrid>
        <w:gridCol w:w="9350"/>
      </w:tblGrid>
      <w:tr w:rsidR="00D85334" w14:paraId="6CE52F27" w14:textId="77777777" w:rsidTr="00D85334">
        <w:tc>
          <w:tcPr>
            <w:tcW w:w="9350" w:type="dxa"/>
          </w:tcPr>
          <w:p w14:paraId="065458F4" w14:textId="4D76DE4F" w:rsidR="00D85334" w:rsidRDefault="00576985" w:rsidP="00AA1AFF">
            <w:pPr>
              <w:spacing w:beforeAutospacing="0"/>
              <w:ind w:firstLine="0"/>
              <w:rPr>
                <w:color w:val="000000" w:themeColor="text1"/>
              </w:rPr>
            </w:pPr>
            <w:r>
              <w:rPr>
                <w:noProof/>
                <w:color w:val="000000" w:themeColor="text1"/>
              </w:rPr>
              <mc:AlternateContent>
                <mc:Choice Requires="wps">
                  <w:drawing>
                    <wp:anchor distT="0" distB="0" distL="114300" distR="114300" simplePos="0" relativeHeight="251658244" behindDoc="0" locked="0" layoutInCell="1" allowOverlap="1" wp14:anchorId="643B57A9" wp14:editId="41CC182E">
                      <wp:simplePos x="0" y="0"/>
                      <wp:positionH relativeFrom="column">
                        <wp:posOffset>3977731</wp:posOffset>
                      </wp:positionH>
                      <wp:positionV relativeFrom="paragraph">
                        <wp:posOffset>3497378</wp:posOffset>
                      </wp:positionV>
                      <wp:extent cx="311499" cy="208894"/>
                      <wp:effectExtent l="25400" t="25400" r="19050" b="20320"/>
                      <wp:wrapNone/>
                      <wp:docPr id="228" name="Straight Arrow Connector 228"/>
                      <wp:cNvGraphicFramePr/>
                      <a:graphic xmlns:a="http://schemas.openxmlformats.org/drawingml/2006/main">
                        <a:graphicData uri="http://schemas.microsoft.com/office/word/2010/wordprocessingShape">
                          <wps:wsp>
                            <wps:cNvCnPr/>
                            <wps:spPr>
                              <a:xfrm flipH="1" flipV="1">
                                <a:off x="0" y="0"/>
                                <a:ext cx="311499" cy="208894"/>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4896D9C" id="_x0000_t32" coordsize="21600,21600" o:spt="32" o:oned="t" path="m,l21600,21600e" filled="f">
                      <v:path arrowok="t" fillok="f" o:connecttype="none"/>
                      <o:lock v:ext="edit" shapetype="t"/>
                    </v:shapetype>
                    <v:shape id="Straight Arrow Connector 228" o:spid="_x0000_s1026" type="#_x0000_t32" style="position:absolute;margin-left:313.2pt;margin-top:275.4pt;width:24.55pt;height:16.45pt;flip:x y;z-index:25166233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" strokecolor="red" strokeweight="2.25pt">
                      <v:stroke endarrow="block" joinstyle="miter"/>
                    </v:shape>
                  </w:pict>
                </mc:Fallback>
              </mc:AlternateContent>
            </w:r>
            <w:r>
              <w:rPr>
                <w:noProof/>
                <w:color w:val="000000" w:themeColor="text1"/>
              </w:rPr>
              <mc:AlternateContent>
                <mc:Choice Requires="wps">
                  <w:drawing>
                    <wp:anchor distT="0" distB="0" distL="114300" distR="114300" simplePos="0" relativeHeight="251658243" behindDoc="0" locked="0" layoutInCell="1" allowOverlap="1" wp14:anchorId="77FB12E2" wp14:editId="10659597">
                      <wp:simplePos x="0" y="0"/>
                      <wp:positionH relativeFrom="column">
                        <wp:posOffset>3615802</wp:posOffset>
                      </wp:positionH>
                      <wp:positionV relativeFrom="paragraph">
                        <wp:posOffset>3314065</wp:posOffset>
                      </wp:positionV>
                      <wp:extent cx="301451" cy="180870"/>
                      <wp:effectExtent l="12700" t="12700" r="29210" b="22860"/>
                      <wp:wrapNone/>
                      <wp:docPr id="227" name="Rectangle 227"/>
                      <wp:cNvGraphicFramePr/>
                      <a:graphic xmlns:a="http://schemas.openxmlformats.org/drawingml/2006/main">
                        <a:graphicData uri="http://schemas.microsoft.com/office/word/2010/wordprocessingShape">
                          <wps:wsp>
                            <wps:cNvSpPr/>
                            <wps:spPr>
                              <a:xfrm>
                                <a:off x="0" y="0"/>
                                <a:ext cx="301451" cy="180870"/>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464AF7" id="Rectangle 227" o:spid="_x0000_s1026" style="position:absolute;margin-left:284.7pt;margin-top:260.95pt;width:23.75pt;height:14.25pt;z-index:25166131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" filled="f" strokecolor="red" strokeweight="3pt"/>
                  </w:pict>
                </mc:Fallback>
              </mc:AlternateContent>
            </w:r>
            <w:r w:rsidR="005766BF">
              <w:rPr>
                <w:noProof/>
                <w:color w:val="000000" w:themeColor="text1"/>
              </w:rPr>
              <w:drawing>
                <wp:inline distT="0" distB="0" distL="0" distR="0" wp14:anchorId="09D63062" wp14:editId="4B817AFD">
                  <wp:extent cx="5791187" cy="4099727"/>
                  <wp:effectExtent l="0" t="0" r="635" b="254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pic:cNvPicPr/>
                        </pic:nvPicPr>
                        <pic:blipFill rotWithShape="1">
                          <a:blip r:embed="rId102">
                            <a:extLst>
                              <a:ext uri="{28A0092B-C50C-407E-A947-70E740481C1C}">
                                <a14:useLocalDpi xmlns:a14="http://schemas.microsoft.com/office/drawing/2010/main" val="0"/>
                              </a:ext>
                            </a:extLst>
                          </a:blip>
                          <a:srcRect l="2030" t="21369" r="54497" b="29390"/>
                          <a:stretch/>
                        </pic:blipFill>
                        <pic:spPr bwMode="auto">
                          <a:xfrm>
                            <a:off x="0" y="0"/>
                            <a:ext cx="5852826" cy="4143363"/>
                          </a:xfrm>
                          <a:prstGeom prst="rect">
                            <a:avLst/>
                          </a:prstGeom>
                          <a:ln>
                            <a:noFill/>
                          </a:ln>
                          <a:extLst>
                            <a:ext uri="{53640926-AAD7-44D8-BBD7-CCE9431645EC}">
                              <a14:shadowObscured xmlns:a14="http://schemas.microsoft.com/office/drawing/2010/main"/>
                            </a:ext>
                          </a:extLst>
                        </pic:spPr>
                      </pic:pic>
                    </a:graphicData>
                  </a:graphic>
                </wp:inline>
              </w:drawing>
            </w:r>
          </w:p>
        </w:tc>
      </w:tr>
      <w:tr w:rsidR="00D85334" w14:paraId="7DFF576A" w14:textId="77777777" w:rsidTr="00D85334">
        <w:tc>
          <w:tcPr>
            <w:tcW w:w="9350" w:type="dxa"/>
          </w:tcPr>
          <w:p w14:paraId="2F4ED2F2" w14:textId="47952397" w:rsidR="00D85334" w:rsidRPr="00B07DD0" w:rsidRDefault="00705AE1" w:rsidP="00B73C4A">
            <w:pPr>
              <w:spacing w:line="360" w:lineRule="auto"/>
              <w:ind w:firstLine="0"/>
              <w:rPr>
                <w:rFonts w:ascii="Arial" w:hAnsi="Arial" w:cs="Arial"/>
                <w:color w:val="000000" w:themeColor="text1"/>
              </w:rPr>
            </w:pPr>
            <w:bookmarkStart w:id="194" w:name="_Toc121217403"/>
            <w:r w:rsidRPr="00705AE1">
              <w:rPr>
                <w:rFonts w:ascii="Arial" w:hAnsi="Arial" w:cs="Arial"/>
                <w:b/>
                <w:bCs/>
                <w:color w:val="000000" w:themeColor="text1"/>
              </w:rPr>
              <w:lastRenderedPageBreak/>
              <w:t xml:space="preserve">Figure </w:t>
            </w:r>
            <w:r w:rsidRPr="00705AE1">
              <w:rPr>
                <w:rFonts w:ascii="Arial" w:hAnsi="Arial" w:cs="Arial"/>
                <w:b/>
                <w:bCs/>
                <w:color w:val="000000" w:themeColor="text1"/>
              </w:rPr>
              <w:fldChar w:fldCharType="begin"/>
            </w:r>
            <w:r w:rsidRPr="00705AE1">
              <w:rPr>
                <w:rFonts w:ascii="Arial" w:hAnsi="Arial" w:cs="Arial"/>
                <w:b/>
                <w:bCs/>
                <w:color w:val="000000" w:themeColor="text1"/>
              </w:rPr>
              <w:instrText xml:space="preserve"> SEQ Figure \* ARABIC </w:instrText>
            </w:r>
            <w:r w:rsidRPr="00705AE1">
              <w:rPr>
                <w:rFonts w:ascii="Arial" w:hAnsi="Arial" w:cs="Arial"/>
                <w:b/>
                <w:bCs/>
                <w:color w:val="000000" w:themeColor="text1"/>
              </w:rPr>
              <w:fldChar w:fldCharType="separate"/>
            </w:r>
            <w:r w:rsidR="002C4B25">
              <w:rPr>
                <w:rFonts w:ascii="Arial" w:hAnsi="Arial" w:cs="Arial"/>
                <w:b/>
                <w:bCs/>
                <w:noProof/>
                <w:color w:val="000000" w:themeColor="text1"/>
              </w:rPr>
              <w:t>81</w:t>
            </w:r>
            <w:r w:rsidRPr="00705AE1">
              <w:rPr>
                <w:rFonts w:ascii="Arial" w:hAnsi="Arial" w:cs="Arial"/>
                <w:b/>
                <w:bCs/>
                <w:color w:val="000000" w:themeColor="text1"/>
              </w:rPr>
              <w:fldChar w:fldCharType="end"/>
            </w:r>
            <w:r w:rsidR="00D85334" w:rsidRPr="00B73C4A">
              <w:rPr>
                <w:rFonts w:ascii="Arial" w:hAnsi="Arial" w:cs="Arial"/>
                <w:b/>
                <w:bCs/>
                <w:color w:val="000000" w:themeColor="text1"/>
              </w:rPr>
              <w:t xml:space="preserve">: </w:t>
            </w:r>
            <w:r w:rsidR="00B07DD0" w:rsidRPr="00B73C4A">
              <w:rPr>
                <w:rFonts w:ascii="Arial" w:hAnsi="Arial" w:cs="Arial"/>
                <w:b/>
                <w:bCs/>
                <w:color w:val="000000" w:themeColor="text1"/>
              </w:rPr>
              <w:t xml:space="preserve">Thermal image analysis with </w:t>
            </w:r>
            <w:proofErr w:type="spellStart"/>
            <w:r w:rsidR="00DD77E6" w:rsidRPr="00B73C4A">
              <w:rPr>
                <w:rFonts w:ascii="Arial" w:hAnsi="Arial" w:cs="Arial"/>
                <w:b/>
                <w:bCs/>
                <w:color w:val="000000" w:themeColor="text1"/>
              </w:rPr>
              <w:t>ThermaCAM</w:t>
            </w:r>
            <w:proofErr w:type="spellEnd"/>
            <w:r w:rsidR="00DD77E6" w:rsidRPr="00B73C4A">
              <w:rPr>
                <w:rFonts w:ascii="Arial" w:hAnsi="Arial" w:cs="Arial"/>
                <w:b/>
                <w:bCs/>
                <w:color w:val="000000" w:themeColor="text1"/>
              </w:rPr>
              <w:t xml:space="preserve"> Researcher Pro 2.7 Software</w:t>
            </w:r>
            <w:r w:rsidR="00F6695C" w:rsidRPr="00B73C4A">
              <w:rPr>
                <w:rFonts w:ascii="Arial" w:hAnsi="Arial" w:cs="Arial"/>
                <w:b/>
                <w:bCs/>
                <w:color w:val="000000" w:themeColor="text1"/>
              </w:rPr>
              <w:t xml:space="preserve"> for experiment shown in Figure 58</w:t>
            </w:r>
            <w:r w:rsidR="00F6695C">
              <w:rPr>
                <w:rFonts w:ascii="Arial" w:hAnsi="Arial" w:cs="Arial"/>
                <w:color w:val="000000" w:themeColor="text1"/>
              </w:rPr>
              <w:t>.</w:t>
            </w:r>
            <w:r w:rsidR="00B07DD0" w:rsidRPr="00B07DD0">
              <w:rPr>
                <w:rFonts w:ascii="Arial" w:hAnsi="Arial" w:cs="Arial"/>
                <w:color w:val="000000" w:themeColor="text1"/>
              </w:rPr>
              <w:t xml:space="preserve"> </w:t>
            </w:r>
            <w:r w:rsidR="00B07DD0">
              <w:rPr>
                <w:rFonts w:ascii="Arial" w:hAnsi="Arial" w:cs="Arial"/>
                <w:color w:val="000000" w:themeColor="text1"/>
              </w:rPr>
              <w:t xml:space="preserve">Arrow indicates the </w:t>
            </w:r>
            <w:r w:rsidR="001B4A4E">
              <w:rPr>
                <w:rFonts w:ascii="Arial" w:hAnsi="Arial" w:cs="Arial"/>
                <w:color w:val="000000" w:themeColor="text1"/>
              </w:rPr>
              <w:t xml:space="preserve">average temperature evaluated by </w:t>
            </w:r>
            <w:r w:rsidR="00B73C4A">
              <w:rPr>
                <w:rFonts w:ascii="Arial" w:hAnsi="Arial" w:cs="Arial"/>
                <w:color w:val="000000" w:themeColor="text1"/>
              </w:rPr>
              <w:t xml:space="preserve">the </w:t>
            </w:r>
            <w:r w:rsidR="001B4A4E">
              <w:rPr>
                <w:rFonts w:ascii="Arial" w:hAnsi="Arial" w:cs="Arial"/>
                <w:color w:val="000000" w:themeColor="text1"/>
              </w:rPr>
              <w:t>software in area AR01</w:t>
            </w:r>
            <w:r w:rsidR="00B73C4A">
              <w:rPr>
                <w:rFonts w:ascii="Arial" w:hAnsi="Arial" w:cs="Arial"/>
                <w:color w:val="000000" w:themeColor="text1"/>
              </w:rPr>
              <w:t>, which</w:t>
            </w:r>
            <w:r w:rsidR="00EE7CA3">
              <w:rPr>
                <w:rFonts w:ascii="Arial" w:hAnsi="Arial" w:cs="Arial"/>
                <w:color w:val="000000" w:themeColor="text1"/>
              </w:rPr>
              <w:t xml:space="preserve"> was </w:t>
            </w:r>
            <w:r w:rsidR="00381347">
              <w:rPr>
                <w:rFonts w:ascii="Arial" w:hAnsi="Arial" w:cs="Arial"/>
                <w:color w:val="000000" w:themeColor="text1"/>
              </w:rPr>
              <w:t>set</w:t>
            </w:r>
            <w:r w:rsidR="00D72D05">
              <w:rPr>
                <w:rFonts w:ascii="Arial" w:hAnsi="Arial" w:cs="Arial"/>
                <w:color w:val="000000" w:themeColor="text1"/>
              </w:rPr>
              <w:t xml:space="preserve"> </w:t>
            </w:r>
            <w:r w:rsidR="00381347">
              <w:rPr>
                <w:rFonts w:ascii="Arial" w:hAnsi="Arial" w:cs="Arial"/>
                <w:color w:val="000000" w:themeColor="text1"/>
              </w:rPr>
              <w:t xml:space="preserve">up to capture the </w:t>
            </w:r>
            <w:r w:rsidR="00EE7CA3">
              <w:rPr>
                <w:rFonts w:ascii="Arial" w:hAnsi="Arial" w:cs="Arial"/>
                <w:color w:val="000000" w:themeColor="text1"/>
              </w:rPr>
              <w:t xml:space="preserve">lateral area of </w:t>
            </w:r>
            <w:r w:rsidR="00381347">
              <w:rPr>
                <w:rFonts w:ascii="Arial" w:hAnsi="Arial" w:cs="Arial"/>
                <w:color w:val="000000" w:themeColor="text1"/>
              </w:rPr>
              <w:t xml:space="preserve">cylindrical sample holder (shell vial) </w:t>
            </w:r>
            <w:r w:rsidR="00E00212">
              <w:rPr>
                <w:rFonts w:ascii="Arial" w:hAnsi="Arial" w:cs="Arial"/>
                <w:color w:val="000000" w:themeColor="text1"/>
              </w:rPr>
              <w:t xml:space="preserve">with </w:t>
            </w:r>
            <w:r w:rsidR="00381347">
              <w:rPr>
                <w:rFonts w:ascii="Arial" w:hAnsi="Arial" w:cs="Arial"/>
                <w:color w:val="000000" w:themeColor="text1"/>
              </w:rPr>
              <w:t xml:space="preserve">samples </w:t>
            </w:r>
            <w:r w:rsidR="00EE7CA3">
              <w:rPr>
                <w:rFonts w:ascii="Arial" w:hAnsi="Arial" w:cs="Arial"/>
                <w:color w:val="000000" w:themeColor="text1"/>
              </w:rPr>
              <w:t>being irradiated with</w:t>
            </w:r>
            <w:r w:rsidR="00D72D05">
              <w:rPr>
                <w:rFonts w:ascii="Arial" w:hAnsi="Arial" w:cs="Arial"/>
                <w:color w:val="000000" w:themeColor="text1"/>
              </w:rPr>
              <w:t xml:space="preserve"> a</w:t>
            </w:r>
            <w:r w:rsidR="00EE7CA3">
              <w:rPr>
                <w:rFonts w:ascii="Arial" w:hAnsi="Arial" w:cs="Arial"/>
                <w:color w:val="000000" w:themeColor="text1"/>
              </w:rPr>
              <w:t xml:space="preserve"> 13.56 MHz RF field.</w:t>
            </w:r>
            <w:bookmarkEnd w:id="194"/>
          </w:p>
        </w:tc>
      </w:tr>
    </w:tbl>
    <w:p w14:paraId="19AB767A" w14:textId="77777777" w:rsidR="00705AE1" w:rsidRDefault="00705AE1" w:rsidP="000428E2">
      <w:pPr>
        <w:rPr>
          <w:color w:val="000000" w:themeColor="text1"/>
        </w:rPr>
      </w:pPr>
    </w:p>
    <w:p w14:paraId="1DD360CA" w14:textId="77777777" w:rsidR="003C3DFE" w:rsidRDefault="003C3DFE" w:rsidP="000428E2">
      <w:pPr>
        <w:rPr>
          <w:color w:val="000000" w:themeColor="text1"/>
        </w:rPr>
      </w:pPr>
    </w:p>
    <w:tbl>
      <w:tblPr>
        <w:tblStyle w:val="TableGrid"/>
        <w:tblW w:w="0" w:type="auto"/>
        <w:tblLook w:val="04A0" w:firstRow="1" w:lastRow="0" w:firstColumn="1" w:lastColumn="0" w:noHBand="0" w:noVBand="1"/>
      </w:tblPr>
      <w:tblGrid>
        <w:gridCol w:w="9350"/>
      </w:tblGrid>
      <w:tr w:rsidR="00DE41A9" w14:paraId="1139D31D" w14:textId="77777777" w:rsidTr="00DE41A9">
        <w:tc>
          <w:tcPr>
            <w:tcW w:w="9350" w:type="dxa"/>
          </w:tcPr>
          <w:p w14:paraId="63676926" w14:textId="120AB817" w:rsidR="00DE41A9" w:rsidRDefault="00DE41A9" w:rsidP="00AA1AFF">
            <w:pPr>
              <w:spacing w:beforeAutospacing="0"/>
              <w:ind w:firstLine="0"/>
              <w:jc w:val="center"/>
              <w:rPr>
                <w:color w:val="000000" w:themeColor="text1"/>
              </w:rPr>
            </w:pPr>
            <w:r w:rsidRPr="00DE41A9">
              <w:rPr>
                <w:noProof/>
                <w:color w:val="000000" w:themeColor="text1"/>
              </w:rPr>
              <w:drawing>
                <wp:inline distT="0" distB="0" distL="0" distR="0" wp14:anchorId="4044F943" wp14:editId="13910A94">
                  <wp:extent cx="3921537" cy="4040694"/>
                  <wp:effectExtent l="3810" t="0" r="0" b="0"/>
                  <wp:docPr id="241" name="Picture 16" descr="A picture containing indoor, wall&#10;&#10;Description automatically generated">
                    <a:extLst xmlns:a="http://schemas.openxmlformats.org/drawingml/2006/main">
                      <a:ext uri="{FF2B5EF4-FFF2-40B4-BE49-F238E27FC236}">
                        <a16:creationId xmlns:a16="http://schemas.microsoft.com/office/drawing/2014/main" id="{21E66AC0-AE2D-B34A-E212-260CE55835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indoor, wall&#10;&#10;Description automatically generated">
                            <a:extLst>
                              <a:ext uri="{FF2B5EF4-FFF2-40B4-BE49-F238E27FC236}">
                                <a16:creationId xmlns:a16="http://schemas.microsoft.com/office/drawing/2014/main" id="{21E66AC0-AE2D-B34A-E212-260CE55835CD}"/>
                              </a:ext>
                            </a:extLst>
                          </pic:cNvPr>
                          <pic:cNvPicPr>
                            <a:picLocks noChangeAspect="1"/>
                          </pic:cNvPicPr>
                        </pic:nvPicPr>
                        <pic:blipFill rotWithShape="1">
                          <a:blip r:embed="rId103"/>
                          <a:srcRect l="20101" t="21591" r="22344" b="-662"/>
                          <a:stretch/>
                        </pic:blipFill>
                        <pic:spPr bwMode="auto">
                          <a:xfrm rot="5400000">
                            <a:off x="0" y="0"/>
                            <a:ext cx="3922522" cy="4041709"/>
                          </a:xfrm>
                          <a:prstGeom prst="rect">
                            <a:avLst/>
                          </a:prstGeom>
                          <a:ln>
                            <a:noFill/>
                          </a:ln>
                          <a:extLst>
                            <a:ext uri="{53640926-AAD7-44D8-BBD7-CCE9431645EC}">
                              <a14:shadowObscured xmlns:a14="http://schemas.microsoft.com/office/drawing/2010/main"/>
                            </a:ext>
                          </a:extLst>
                        </pic:spPr>
                      </pic:pic>
                    </a:graphicData>
                  </a:graphic>
                </wp:inline>
              </w:drawing>
            </w:r>
          </w:p>
        </w:tc>
      </w:tr>
      <w:tr w:rsidR="00DE41A9" w14:paraId="1E2B5522" w14:textId="77777777" w:rsidTr="00DE41A9">
        <w:trPr>
          <w:trHeight w:val="170"/>
        </w:trPr>
        <w:tc>
          <w:tcPr>
            <w:tcW w:w="9350" w:type="dxa"/>
          </w:tcPr>
          <w:p w14:paraId="7264C01F" w14:textId="5A61C8DE" w:rsidR="00DE41A9" w:rsidRPr="00DE41A9" w:rsidRDefault="003C3DFE" w:rsidP="00DE41A9">
            <w:pPr>
              <w:spacing w:line="360" w:lineRule="auto"/>
              <w:ind w:firstLine="0"/>
              <w:rPr>
                <w:rFonts w:ascii="Arial" w:hAnsi="Arial" w:cs="Arial"/>
                <w:color w:val="000000" w:themeColor="text1"/>
              </w:rPr>
            </w:pPr>
            <w:bookmarkStart w:id="195" w:name="_Toc121217404"/>
            <w:r w:rsidRPr="00705AE1">
              <w:rPr>
                <w:rFonts w:ascii="Arial" w:hAnsi="Arial" w:cs="Arial"/>
                <w:b/>
                <w:bCs/>
                <w:color w:val="000000" w:themeColor="text1"/>
              </w:rPr>
              <w:t xml:space="preserve">Figure </w:t>
            </w:r>
            <w:r w:rsidRPr="00705AE1">
              <w:rPr>
                <w:rFonts w:ascii="Arial" w:hAnsi="Arial" w:cs="Arial"/>
                <w:b/>
                <w:bCs/>
                <w:color w:val="000000" w:themeColor="text1"/>
              </w:rPr>
              <w:fldChar w:fldCharType="begin"/>
            </w:r>
            <w:r w:rsidRPr="00705AE1">
              <w:rPr>
                <w:rFonts w:ascii="Arial" w:hAnsi="Arial" w:cs="Arial"/>
                <w:b/>
                <w:bCs/>
                <w:color w:val="000000" w:themeColor="text1"/>
              </w:rPr>
              <w:instrText xml:space="preserve"> SEQ Figure \* ARABIC </w:instrText>
            </w:r>
            <w:r w:rsidRPr="00705AE1">
              <w:rPr>
                <w:rFonts w:ascii="Arial" w:hAnsi="Arial" w:cs="Arial"/>
                <w:b/>
                <w:bCs/>
                <w:color w:val="000000" w:themeColor="text1"/>
              </w:rPr>
              <w:fldChar w:fldCharType="separate"/>
            </w:r>
            <w:r w:rsidR="002C4B25">
              <w:rPr>
                <w:rFonts w:ascii="Arial" w:hAnsi="Arial" w:cs="Arial"/>
                <w:b/>
                <w:bCs/>
                <w:noProof/>
                <w:color w:val="000000" w:themeColor="text1"/>
              </w:rPr>
              <w:t>82</w:t>
            </w:r>
            <w:r w:rsidRPr="00705AE1">
              <w:rPr>
                <w:rFonts w:ascii="Arial" w:hAnsi="Arial" w:cs="Arial"/>
                <w:b/>
                <w:bCs/>
                <w:color w:val="000000" w:themeColor="text1"/>
              </w:rPr>
              <w:fldChar w:fldCharType="end"/>
            </w:r>
            <w:r w:rsidR="00DE41A9" w:rsidRPr="00DE41A9">
              <w:rPr>
                <w:rFonts w:ascii="Arial" w:hAnsi="Arial" w:cs="Arial"/>
                <w:color w:val="000000" w:themeColor="text1"/>
              </w:rPr>
              <w:t xml:space="preserve">: </w:t>
            </w:r>
            <w:r w:rsidR="00DE41A9" w:rsidRPr="00705AE1">
              <w:rPr>
                <w:rFonts w:ascii="Arial" w:hAnsi="Arial" w:cs="Arial"/>
                <w:b/>
                <w:bCs/>
                <w:color w:val="000000" w:themeColor="text1"/>
              </w:rPr>
              <w:t xml:space="preserve">Details of the setup to concentrate the RF field to </w:t>
            </w:r>
            <w:r w:rsidR="00D72D05">
              <w:rPr>
                <w:rFonts w:ascii="Arial" w:hAnsi="Arial" w:cs="Arial"/>
                <w:b/>
                <w:bCs/>
                <w:color w:val="000000" w:themeColor="text1"/>
              </w:rPr>
              <w:t xml:space="preserve">the </w:t>
            </w:r>
            <w:r w:rsidR="00DE41A9" w:rsidRPr="00705AE1">
              <w:rPr>
                <w:rFonts w:ascii="Arial" w:hAnsi="Arial" w:cs="Arial"/>
                <w:b/>
                <w:bCs/>
                <w:color w:val="000000" w:themeColor="text1"/>
              </w:rPr>
              <w:t>abdominal area of the mouse</w:t>
            </w:r>
            <w:r w:rsidR="00BC333F" w:rsidRPr="00705AE1">
              <w:rPr>
                <w:rFonts w:ascii="Arial" w:hAnsi="Arial" w:cs="Arial"/>
                <w:b/>
                <w:bCs/>
                <w:color w:val="000000" w:themeColor="text1"/>
              </w:rPr>
              <w:t xml:space="preserve"> with smaller</w:t>
            </w:r>
            <w:r w:rsidR="00D72D05">
              <w:rPr>
                <w:rFonts w:ascii="Arial" w:hAnsi="Arial" w:cs="Arial"/>
                <w:b/>
                <w:bCs/>
                <w:color w:val="000000" w:themeColor="text1"/>
              </w:rPr>
              <w:t xml:space="preserve"> plates</w:t>
            </w:r>
            <w:r w:rsidR="00DE41A9" w:rsidRPr="00DE41A9">
              <w:rPr>
                <w:rFonts w:ascii="Arial" w:hAnsi="Arial" w:cs="Arial"/>
                <w:color w:val="000000" w:themeColor="text1"/>
              </w:rPr>
              <w:t xml:space="preserve">. Plates </w:t>
            </w:r>
            <w:r w:rsidR="00BC333F">
              <w:rPr>
                <w:rFonts w:ascii="Arial" w:hAnsi="Arial" w:cs="Arial"/>
                <w:color w:val="000000" w:themeColor="text1"/>
              </w:rPr>
              <w:t xml:space="preserve">with </w:t>
            </w:r>
            <w:r w:rsidR="00DE41A9" w:rsidRPr="00DE41A9">
              <w:rPr>
                <w:rFonts w:ascii="Arial" w:hAnsi="Arial" w:cs="Arial"/>
                <w:color w:val="000000" w:themeColor="text1"/>
              </w:rPr>
              <w:t xml:space="preserve">width of 2 cm were built by Dr. </w:t>
            </w:r>
            <w:r w:rsidR="00841AEA">
              <w:rPr>
                <w:rFonts w:ascii="Arial" w:hAnsi="Arial" w:cs="Arial"/>
                <w:color w:val="000000" w:themeColor="text1"/>
              </w:rPr>
              <w:t xml:space="preserve">Caleb </w:t>
            </w:r>
            <w:r w:rsidR="00DE41A9" w:rsidRPr="00DE41A9">
              <w:rPr>
                <w:rFonts w:ascii="Arial" w:hAnsi="Arial" w:cs="Arial"/>
                <w:color w:val="000000" w:themeColor="text1"/>
              </w:rPr>
              <w:t xml:space="preserve">Fulton. Styrofoam was used to isolate lower plate. Cardboard was placed to avoid leaking of the field. This setup was not efficient to avoid overheating of regions outside of the irradiation area, which can be seen in </w:t>
            </w:r>
            <w:r w:rsidR="00DE41A9" w:rsidRPr="008D7498">
              <w:rPr>
                <w:rFonts w:ascii="Arial" w:hAnsi="Arial" w:cs="Arial"/>
                <w:b/>
                <w:bCs/>
                <w:color w:val="000000" w:themeColor="text1"/>
              </w:rPr>
              <w:t xml:space="preserve">Figure </w:t>
            </w:r>
            <w:r w:rsidR="008D7498" w:rsidRPr="008D7498">
              <w:rPr>
                <w:rFonts w:ascii="Arial" w:hAnsi="Arial" w:cs="Arial"/>
                <w:b/>
                <w:bCs/>
                <w:color w:val="000000" w:themeColor="text1"/>
              </w:rPr>
              <w:t>61</w:t>
            </w:r>
            <w:r w:rsidR="00DE41A9" w:rsidRPr="00DE41A9">
              <w:rPr>
                <w:rFonts w:ascii="Arial" w:hAnsi="Arial" w:cs="Arial"/>
                <w:color w:val="000000" w:themeColor="text1"/>
              </w:rPr>
              <w:t>.</w:t>
            </w:r>
            <w:bookmarkEnd w:id="195"/>
          </w:p>
        </w:tc>
      </w:tr>
    </w:tbl>
    <w:p w14:paraId="66BA78CE" w14:textId="4D8C3A47" w:rsidR="003C3DFE" w:rsidRDefault="003C3DFE" w:rsidP="000428E2">
      <w:pPr>
        <w:rPr>
          <w:color w:val="000000" w:themeColor="text1"/>
        </w:rPr>
      </w:pPr>
    </w:p>
    <w:p w14:paraId="17A49D6C" w14:textId="77777777" w:rsidR="003C3DFE" w:rsidRDefault="003C3DFE" w:rsidP="000428E2">
      <w:pPr>
        <w:rPr>
          <w:color w:val="000000" w:themeColor="text1"/>
        </w:rPr>
      </w:pPr>
    </w:p>
    <w:p w14:paraId="038A0C1D" w14:textId="61FF78A5" w:rsidR="00BC333F" w:rsidRDefault="00BC333F" w:rsidP="000428E2">
      <w:pPr>
        <w:rPr>
          <w:color w:val="000000" w:themeColor="text1"/>
        </w:rPr>
      </w:pPr>
    </w:p>
    <w:tbl>
      <w:tblPr>
        <w:tblStyle w:val="TableGrid"/>
        <w:tblW w:w="0" w:type="auto"/>
        <w:tblLook w:val="04A0" w:firstRow="1" w:lastRow="0" w:firstColumn="1" w:lastColumn="0" w:noHBand="0" w:noVBand="1"/>
      </w:tblPr>
      <w:tblGrid>
        <w:gridCol w:w="9350"/>
      </w:tblGrid>
      <w:tr w:rsidR="00BC333F" w14:paraId="6E0C3210" w14:textId="77777777" w:rsidTr="00BC333F">
        <w:tc>
          <w:tcPr>
            <w:tcW w:w="9350" w:type="dxa"/>
          </w:tcPr>
          <w:p w14:paraId="041328AD" w14:textId="6CAF9CCE" w:rsidR="00BC333F" w:rsidRDefault="00BC333F" w:rsidP="00AA1AFF">
            <w:pPr>
              <w:spacing w:beforeAutospacing="0"/>
              <w:ind w:firstLine="0"/>
              <w:rPr>
                <w:color w:val="000000" w:themeColor="text1"/>
              </w:rPr>
            </w:pPr>
            <w:r w:rsidRPr="00BC333F">
              <w:rPr>
                <w:noProof/>
                <w:color w:val="000000" w:themeColor="text1"/>
              </w:rPr>
              <w:lastRenderedPageBreak/>
              <w:drawing>
                <wp:inline distT="0" distB="0" distL="0" distR="0" wp14:anchorId="281F7A08" wp14:editId="0E42943B">
                  <wp:extent cx="5816167" cy="2260600"/>
                  <wp:effectExtent l="0" t="0" r="63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839520" cy="2269677"/>
                          </a:xfrm>
                          <a:prstGeom prst="rect">
                            <a:avLst/>
                          </a:prstGeom>
                        </pic:spPr>
                      </pic:pic>
                    </a:graphicData>
                  </a:graphic>
                </wp:inline>
              </w:drawing>
            </w:r>
          </w:p>
        </w:tc>
      </w:tr>
      <w:tr w:rsidR="00BC333F" w14:paraId="6BD442D3" w14:textId="77777777" w:rsidTr="00BC333F">
        <w:tc>
          <w:tcPr>
            <w:tcW w:w="9350" w:type="dxa"/>
          </w:tcPr>
          <w:p w14:paraId="64E97903" w14:textId="4F65728A" w:rsidR="00BC333F" w:rsidRDefault="003C3DFE" w:rsidP="00BC333F">
            <w:pPr>
              <w:spacing w:line="360" w:lineRule="auto"/>
              <w:ind w:firstLine="0"/>
              <w:rPr>
                <w:color w:val="000000" w:themeColor="text1"/>
              </w:rPr>
            </w:pPr>
            <w:bookmarkStart w:id="196" w:name="_Toc121217405"/>
            <w:r w:rsidRPr="00705AE1">
              <w:rPr>
                <w:rFonts w:ascii="Arial" w:hAnsi="Arial" w:cs="Arial"/>
                <w:b/>
                <w:bCs/>
                <w:color w:val="000000" w:themeColor="text1"/>
              </w:rPr>
              <w:t xml:space="preserve">Figure </w:t>
            </w:r>
            <w:r w:rsidRPr="00705AE1">
              <w:rPr>
                <w:rFonts w:ascii="Arial" w:hAnsi="Arial" w:cs="Arial"/>
                <w:b/>
                <w:bCs/>
                <w:color w:val="000000" w:themeColor="text1"/>
              </w:rPr>
              <w:fldChar w:fldCharType="begin"/>
            </w:r>
            <w:r w:rsidRPr="00705AE1">
              <w:rPr>
                <w:rFonts w:ascii="Arial" w:hAnsi="Arial" w:cs="Arial"/>
                <w:b/>
                <w:bCs/>
                <w:color w:val="000000" w:themeColor="text1"/>
              </w:rPr>
              <w:instrText xml:space="preserve"> SEQ Figure \* ARABIC </w:instrText>
            </w:r>
            <w:r w:rsidRPr="00705AE1">
              <w:rPr>
                <w:rFonts w:ascii="Arial" w:hAnsi="Arial" w:cs="Arial"/>
                <w:b/>
                <w:bCs/>
                <w:color w:val="000000" w:themeColor="text1"/>
              </w:rPr>
              <w:fldChar w:fldCharType="separate"/>
            </w:r>
            <w:r w:rsidR="002C4B25">
              <w:rPr>
                <w:rFonts w:ascii="Arial" w:hAnsi="Arial" w:cs="Arial"/>
                <w:b/>
                <w:bCs/>
                <w:noProof/>
                <w:color w:val="000000" w:themeColor="text1"/>
              </w:rPr>
              <w:t>83</w:t>
            </w:r>
            <w:r w:rsidRPr="00705AE1">
              <w:rPr>
                <w:rFonts w:ascii="Arial" w:hAnsi="Arial" w:cs="Arial"/>
                <w:b/>
                <w:bCs/>
                <w:color w:val="000000" w:themeColor="text1"/>
              </w:rPr>
              <w:fldChar w:fldCharType="end"/>
            </w:r>
            <w:r w:rsidR="00BC333F" w:rsidRPr="00705AE1">
              <w:rPr>
                <w:rFonts w:ascii="Arial" w:hAnsi="Arial" w:cs="Arial"/>
                <w:b/>
                <w:bCs/>
                <w:color w:val="000000" w:themeColor="text1"/>
              </w:rPr>
              <w:t>: Details of the setup to ground excess charges built up from RF irradiation on mouse extremities</w:t>
            </w:r>
            <w:r w:rsidR="00BC333F">
              <w:rPr>
                <w:rFonts w:ascii="Arial" w:hAnsi="Arial" w:cs="Arial"/>
                <w:color w:val="000000" w:themeColor="text1"/>
              </w:rPr>
              <w:t xml:space="preserve">. Aluminum stripes were </w:t>
            </w:r>
            <w:r w:rsidR="00841AEA">
              <w:rPr>
                <w:rFonts w:ascii="Arial" w:hAnsi="Arial" w:cs="Arial"/>
                <w:color w:val="000000" w:themeColor="text1"/>
              </w:rPr>
              <w:t>w</w:t>
            </w:r>
            <w:r w:rsidR="00BC333F">
              <w:rPr>
                <w:rFonts w:ascii="Arial" w:hAnsi="Arial" w:cs="Arial"/>
                <w:color w:val="000000" w:themeColor="text1"/>
              </w:rPr>
              <w:t>rapped around front and back paws, tail, and ears from one end and connected to</w:t>
            </w:r>
            <w:r w:rsidR="006A31C2">
              <w:rPr>
                <w:rFonts w:ascii="Arial" w:hAnsi="Arial" w:cs="Arial"/>
                <w:color w:val="000000" w:themeColor="text1"/>
              </w:rPr>
              <w:t xml:space="preserve"> the</w:t>
            </w:r>
            <w:r w:rsidR="00BC333F">
              <w:rPr>
                <w:rFonts w:ascii="Arial" w:hAnsi="Arial" w:cs="Arial"/>
                <w:color w:val="000000" w:themeColor="text1"/>
              </w:rPr>
              <w:t xml:space="preserve"> ground electrode from </w:t>
            </w:r>
            <w:r w:rsidR="006A31C2">
              <w:rPr>
                <w:rFonts w:ascii="Arial" w:hAnsi="Arial" w:cs="Arial"/>
                <w:color w:val="000000" w:themeColor="text1"/>
              </w:rPr>
              <w:t xml:space="preserve">the </w:t>
            </w:r>
            <w:r w:rsidR="00BC333F">
              <w:rPr>
                <w:rFonts w:ascii="Arial" w:hAnsi="Arial" w:cs="Arial"/>
                <w:color w:val="000000" w:themeColor="text1"/>
              </w:rPr>
              <w:t xml:space="preserve">RF </w:t>
            </w:r>
            <w:proofErr w:type="spellStart"/>
            <w:r w:rsidR="00BC333F">
              <w:rPr>
                <w:rFonts w:ascii="Arial" w:hAnsi="Arial" w:cs="Arial"/>
                <w:color w:val="000000" w:themeColor="text1"/>
              </w:rPr>
              <w:t>Comdel</w:t>
            </w:r>
            <w:proofErr w:type="spellEnd"/>
            <w:r w:rsidR="00BC333F">
              <w:rPr>
                <w:rFonts w:ascii="Arial" w:hAnsi="Arial" w:cs="Arial"/>
                <w:color w:val="000000" w:themeColor="text1"/>
              </w:rPr>
              <w:t xml:space="preserve"> system. This setup was not effective at avoiding overheating, especially in the head area because of the limitations of the grounding due to presence of </w:t>
            </w:r>
            <w:r w:rsidR="006A31C2">
              <w:rPr>
                <w:rFonts w:ascii="Arial" w:hAnsi="Arial" w:cs="Arial"/>
                <w:color w:val="000000" w:themeColor="text1"/>
              </w:rPr>
              <w:t xml:space="preserve">the </w:t>
            </w:r>
            <w:r w:rsidR="00BC333F">
              <w:rPr>
                <w:rFonts w:ascii="Arial" w:hAnsi="Arial" w:cs="Arial"/>
                <w:color w:val="000000" w:themeColor="text1"/>
              </w:rPr>
              <w:t>nose cone.</w:t>
            </w:r>
            <w:bookmarkEnd w:id="196"/>
          </w:p>
        </w:tc>
      </w:tr>
    </w:tbl>
    <w:p w14:paraId="20C4300E" w14:textId="37E5CD46" w:rsidR="00BC333F" w:rsidRDefault="00BC333F" w:rsidP="003C3DFE">
      <w:pPr>
        <w:pStyle w:val="Caption"/>
        <w:rPr>
          <w:color w:val="000000" w:themeColor="text1"/>
        </w:rPr>
      </w:pPr>
    </w:p>
    <w:tbl>
      <w:tblPr>
        <w:tblStyle w:val="TableGrid"/>
        <w:tblW w:w="0" w:type="auto"/>
        <w:tblLook w:val="04A0" w:firstRow="1" w:lastRow="0" w:firstColumn="1" w:lastColumn="0" w:noHBand="0" w:noVBand="1"/>
      </w:tblPr>
      <w:tblGrid>
        <w:gridCol w:w="9350"/>
      </w:tblGrid>
      <w:tr w:rsidR="008225CD" w14:paraId="08088954" w14:textId="77777777" w:rsidTr="008225CD">
        <w:tc>
          <w:tcPr>
            <w:tcW w:w="9350" w:type="dxa"/>
          </w:tcPr>
          <w:p w14:paraId="753EDF46" w14:textId="30C04919" w:rsidR="008225CD" w:rsidRDefault="003D568D" w:rsidP="00AA1AFF">
            <w:pPr>
              <w:spacing w:beforeAutospacing="0"/>
              <w:ind w:firstLine="0"/>
              <w:rPr>
                <w:color w:val="000000" w:themeColor="text1"/>
              </w:rPr>
            </w:pPr>
            <w:r w:rsidRPr="003D568D">
              <w:rPr>
                <w:noProof/>
                <w:color w:val="000000" w:themeColor="text1"/>
              </w:rPr>
              <w:drawing>
                <wp:inline distT="0" distB="0" distL="0" distR="0" wp14:anchorId="5BC118AD" wp14:editId="214FD89E">
                  <wp:extent cx="5800447" cy="3598607"/>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l="644"/>
                          <a:stretch/>
                        </pic:blipFill>
                        <pic:spPr bwMode="auto">
                          <a:xfrm>
                            <a:off x="0" y="0"/>
                            <a:ext cx="5815818" cy="3608143"/>
                          </a:xfrm>
                          <a:prstGeom prst="rect">
                            <a:avLst/>
                          </a:prstGeom>
                          <a:ln>
                            <a:noFill/>
                          </a:ln>
                          <a:extLst>
                            <a:ext uri="{53640926-AAD7-44D8-BBD7-CCE9431645EC}">
                              <a14:shadowObscured xmlns:a14="http://schemas.microsoft.com/office/drawing/2010/main"/>
                            </a:ext>
                          </a:extLst>
                        </pic:spPr>
                      </pic:pic>
                    </a:graphicData>
                  </a:graphic>
                </wp:inline>
              </w:drawing>
            </w:r>
          </w:p>
        </w:tc>
      </w:tr>
      <w:tr w:rsidR="008225CD" w14:paraId="06420143" w14:textId="77777777" w:rsidTr="008225CD">
        <w:tc>
          <w:tcPr>
            <w:tcW w:w="9350" w:type="dxa"/>
          </w:tcPr>
          <w:p w14:paraId="4A890999" w14:textId="494D0F20" w:rsidR="008225CD" w:rsidRPr="00E56710" w:rsidRDefault="003C3DFE" w:rsidP="00E56710">
            <w:pPr>
              <w:spacing w:line="360" w:lineRule="auto"/>
              <w:ind w:firstLine="0"/>
              <w:rPr>
                <w:rFonts w:ascii="Arial" w:hAnsi="Arial" w:cs="Arial"/>
                <w:color w:val="000000" w:themeColor="text1"/>
              </w:rPr>
            </w:pPr>
            <w:bookmarkStart w:id="197" w:name="_Toc121217406"/>
            <w:r w:rsidRPr="008D7498">
              <w:rPr>
                <w:rFonts w:ascii="Arial" w:hAnsi="Arial" w:cs="Arial"/>
                <w:b/>
                <w:bCs/>
                <w:color w:val="000000" w:themeColor="text1"/>
              </w:rPr>
              <w:lastRenderedPageBreak/>
              <w:t xml:space="preserve">Figure </w:t>
            </w:r>
            <w:r w:rsidRPr="008D7498">
              <w:rPr>
                <w:rFonts w:ascii="Arial" w:hAnsi="Arial" w:cs="Arial"/>
                <w:b/>
                <w:bCs/>
                <w:color w:val="000000" w:themeColor="text1"/>
              </w:rPr>
              <w:fldChar w:fldCharType="begin"/>
            </w:r>
            <w:r w:rsidRPr="008D7498">
              <w:rPr>
                <w:rFonts w:ascii="Arial" w:hAnsi="Arial" w:cs="Arial"/>
                <w:b/>
                <w:bCs/>
                <w:color w:val="000000" w:themeColor="text1"/>
              </w:rPr>
              <w:instrText xml:space="preserve"> SEQ Figure \* ARABIC </w:instrText>
            </w:r>
            <w:r w:rsidRPr="008D7498">
              <w:rPr>
                <w:rFonts w:ascii="Arial" w:hAnsi="Arial" w:cs="Arial"/>
                <w:b/>
                <w:bCs/>
                <w:color w:val="000000" w:themeColor="text1"/>
              </w:rPr>
              <w:fldChar w:fldCharType="separate"/>
            </w:r>
            <w:r w:rsidR="002C4B25">
              <w:rPr>
                <w:rFonts w:ascii="Arial" w:hAnsi="Arial" w:cs="Arial"/>
                <w:b/>
                <w:bCs/>
                <w:noProof/>
                <w:color w:val="000000" w:themeColor="text1"/>
              </w:rPr>
              <w:t>84</w:t>
            </w:r>
            <w:r w:rsidRPr="008D7498">
              <w:rPr>
                <w:rFonts w:ascii="Arial" w:hAnsi="Arial" w:cs="Arial"/>
                <w:b/>
                <w:bCs/>
                <w:color w:val="000000" w:themeColor="text1"/>
              </w:rPr>
              <w:fldChar w:fldCharType="end"/>
            </w:r>
            <w:r w:rsidR="001C3AD7" w:rsidRPr="008D7498">
              <w:rPr>
                <w:rFonts w:ascii="Arial" w:hAnsi="Arial" w:cs="Arial"/>
                <w:b/>
                <w:bCs/>
                <w:color w:val="000000" w:themeColor="text1"/>
              </w:rPr>
              <w:t>: Standard curve of AuNP</w:t>
            </w:r>
            <w:r w:rsidR="001C3AD7" w:rsidRPr="00E56710">
              <w:rPr>
                <w:rFonts w:ascii="Arial" w:hAnsi="Arial" w:cs="Arial"/>
                <w:color w:val="000000" w:themeColor="text1"/>
              </w:rPr>
              <w:t xml:space="preserve">. </w:t>
            </w:r>
            <w:r w:rsidR="00236970" w:rsidRPr="00E56710">
              <w:rPr>
                <w:rFonts w:ascii="Arial" w:hAnsi="Arial" w:cs="Arial"/>
                <w:color w:val="000000" w:themeColor="text1"/>
              </w:rPr>
              <w:t xml:space="preserve">After serial dilutions from </w:t>
            </w:r>
            <w:r w:rsidR="00A57268">
              <w:rPr>
                <w:rFonts w:ascii="Arial" w:hAnsi="Arial" w:cs="Arial"/>
                <w:color w:val="000000" w:themeColor="text1"/>
              </w:rPr>
              <w:t xml:space="preserve">the </w:t>
            </w:r>
            <w:r w:rsidR="00236970" w:rsidRPr="00E56710">
              <w:rPr>
                <w:rFonts w:ascii="Arial" w:hAnsi="Arial" w:cs="Arial"/>
                <w:color w:val="000000" w:themeColor="text1"/>
              </w:rPr>
              <w:t xml:space="preserve">standard solution, samples </w:t>
            </w:r>
            <w:r w:rsidR="00A57268">
              <w:rPr>
                <w:rFonts w:ascii="Arial" w:hAnsi="Arial" w:cs="Arial"/>
                <w:color w:val="000000" w:themeColor="text1"/>
              </w:rPr>
              <w:t xml:space="preserve">(100 </w:t>
            </w:r>
            <w:r w:rsidR="00D22332">
              <w:rPr>
                <w:rFonts w:ascii="Arial" w:hAnsi="Arial" w:cs="Arial"/>
                <w:color w:val="000000" w:themeColor="text1"/>
              </w:rPr>
              <w:sym w:font="Symbol" w:char="F06D"/>
            </w:r>
            <w:r w:rsidR="00D22332">
              <w:rPr>
                <w:rFonts w:ascii="Arial" w:hAnsi="Arial" w:cs="Arial"/>
                <w:color w:val="000000" w:themeColor="text1"/>
              </w:rPr>
              <w:t xml:space="preserve">L) </w:t>
            </w:r>
            <w:r w:rsidR="00236970" w:rsidRPr="00E56710">
              <w:rPr>
                <w:rFonts w:ascii="Arial" w:hAnsi="Arial" w:cs="Arial"/>
                <w:color w:val="000000" w:themeColor="text1"/>
              </w:rPr>
              <w:t xml:space="preserve">were placed in individual wells in </w:t>
            </w:r>
            <w:r w:rsidR="00D22332">
              <w:rPr>
                <w:rFonts w:ascii="Arial" w:hAnsi="Arial" w:cs="Arial"/>
                <w:color w:val="000000" w:themeColor="text1"/>
              </w:rPr>
              <w:t xml:space="preserve">a </w:t>
            </w:r>
            <w:r w:rsidR="00236970" w:rsidRPr="00E56710">
              <w:rPr>
                <w:rFonts w:ascii="Arial" w:hAnsi="Arial" w:cs="Arial"/>
                <w:color w:val="000000" w:themeColor="text1"/>
              </w:rPr>
              <w:t xml:space="preserve">96-well plate. </w:t>
            </w:r>
            <w:r w:rsidR="000B3B39" w:rsidRPr="00E56710">
              <w:rPr>
                <w:rFonts w:ascii="Arial" w:hAnsi="Arial" w:cs="Arial"/>
                <w:color w:val="000000" w:themeColor="text1"/>
              </w:rPr>
              <w:t>PBS was used as blank. Endpoint absorbance was read at 520 nm.</w:t>
            </w:r>
            <w:bookmarkEnd w:id="197"/>
          </w:p>
        </w:tc>
      </w:tr>
    </w:tbl>
    <w:p w14:paraId="128E6457" w14:textId="7BAC07B6" w:rsidR="002A7EAC" w:rsidRDefault="002A7EAC" w:rsidP="000428E2">
      <w:pPr>
        <w:rPr>
          <w:color w:val="000000" w:themeColor="text1"/>
        </w:rPr>
      </w:pPr>
    </w:p>
    <w:p w14:paraId="11B0D478" w14:textId="601ACE37" w:rsidR="00705AE1" w:rsidRDefault="00705AE1" w:rsidP="000428E2">
      <w:pPr>
        <w:rPr>
          <w:color w:val="000000" w:themeColor="text1"/>
        </w:rPr>
      </w:pPr>
      <w:r>
        <w:rPr>
          <w:color w:val="000000" w:themeColor="text1"/>
        </w:rPr>
        <w:br w:type="page"/>
      </w:r>
    </w:p>
    <w:p w14:paraId="0DD82AD1" w14:textId="272B3958" w:rsidR="00960E40" w:rsidRPr="00705AE1" w:rsidRDefault="002B7173" w:rsidP="00705AE1">
      <w:pPr>
        <w:pStyle w:val="Heading1"/>
        <w:ind w:firstLine="0"/>
        <w:jc w:val="center"/>
        <w:rPr>
          <w:rFonts w:ascii="Arial" w:hAnsi="Arial" w:cs="Arial"/>
          <w:b/>
          <w:bCs/>
          <w:color w:val="000000" w:themeColor="text1"/>
        </w:rPr>
      </w:pPr>
      <w:bookmarkStart w:id="198" w:name="_Toc121217293"/>
      <w:r w:rsidRPr="009C2B41">
        <w:rPr>
          <w:rFonts w:ascii="Arial" w:hAnsi="Arial" w:cs="Arial"/>
          <w:b/>
          <w:bCs/>
          <w:color w:val="000000" w:themeColor="text1"/>
        </w:rPr>
        <w:lastRenderedPageBreak/>
        <w:t xml:space="preserve">APPENDIX B </w:t>
      </w:r>
      <w:r w:rsidR="00960E40" w:rsidRPr="009C2B41">
        <w:rPr>
          <w:rFonts w:ascii="Arial" w:hAnsi="Arial" w:cs="Arial"/>
          <w:b/>
          <w:bCs/>
          <w:color w:val="000000" w:themeColor="text1"/>
        </w:rPr>
        <w:t>–</w:t>
      </w:r>
      <w:r w:rsidRPr="009C2B41">
        <w:rPr>
          <w:rFonts w:ascii="Arial" w:hAnsi="Arial" w:cs="Arial"/>
          <w:b/>
          <w:bCs/>
          <w:color w:val="000000" w:themeColor="text1"/>
        </w:rPr>
        <w:t xml:space="preserve"> </w:t>
      </w:r>
      <w:r w:rsidR="00F17726" w:rsidRPr="009C2B41">
        <w:rPr>
          <w:rFonts w:ascii="Arial" w:hAnsi="Arial" w:cs="Arial"/>
          <w:b/>
          <w:bCs/>
          <w:color w:val="000000" w:themeColor="text1"/>
        </w:rPr>
        <w:t>Protein Protocol</w:t>
      </w:r>
      <w:r w:rsidR="00705AE1">
        <w:rPr>
          <w:rFonts w:ascii="Arial" w:hAnsi="Arial" w:cs="Arial"/>
          <w:b/>
          <w:bCs/>
          <w:color w:val="000000" w:themeColor="text1"/>
        </w:rPr>
        <w:t>s</w:t>
      </w:r>
      <w:bookmarkEnd w:id="198"/>
    </w:p>
    <w:p w14:paraId="04115D86" w14:textId="293D97D3" w:rsidR="00E60AF2" w:rsidRPr="00D74025" w:rsidRDefault="00E60AF2" w:rsidP="00173BA5">
      <w:pPr>
        <w:rPr>
          <w:color w:val="000000" w:themeColor="text1"/>
        </w:rPr>
      </w:pPr>
    </w:p>
    <w:p w14:paraId="3AF651B2" w14:textId="5378D248" w:rsidR="00E60AF2" w:rsidRPr="00507014" w:rsidRDefault="00E60AF2" w:rsidP="00507014">
      <w:pPr>
        <w:pStyle w:val="Heading2"/>
        <w:ind w:firstLine="0"/>
        <w:rPr>
          <w:rFonts w:ascii="Arial" w:hAnsi="Arial" w:cs="Arial"/>
          <w:b/>
          <w:bCs/>
          <w:color w:val="000000" w:themeColor="text1"/>
          <w:sz w:val="24"/>
          <w:szCs w:val="24"/>
          <w:u w:val="single"/>
        </w:rPr>
      </w:pPr>
      <w:bookmarkStart w:id="199" w:name="_Toc121217294"/>
      <w:r w:rsidRPr="00507014">
        <w:rPr>
          <w:rFonts w:ascii="Arial" w:hAnsi="Arial" w:cs="Arial"/>
          <w:b/>
          <w:bCs/>
          <w:color w:val="000000" w:themeColor="text1"/>
          <w:sz w:val="24"/>
          <w:szCs w:val="24"/>
          <w:u w:val="single"/>
        </w:rPr>
        <w:t>B1</w:t>
      </w:r>
      <w:r w:rsidR="00223D02" w:rsidRPr="00507014">
        <w:rPr>
          <w:rFonts w:ascii="Arial" w:hAnsi="Arial" w:cs="Arial"/>
          <w:b/>
          <w:bCs/>
          <w:color w:val="000000" w:themeColor="text1"/>
          <w:sz w:val="24"/>
          <w:szCs w:val="24"/>
          <w:u w:val="single"/>
        </w:rPr>
        <w:t>.</w:t>
      </w:r>
      <w:r w:rsidRPr="00507014">
        <w:rPr>
          <w:rFonts w:ascii="Arial" w:hAnsi="Arial" w:cs="Arial"/>
          <w:b/>
          <w:bCs/>
          <w:color w:val="000000" w:themeColor="text1"/>
          <w:sz w:val="24"/>
          <w:szCs w:val="24"/>
          <w:u w:val="single"/>
        </w:rPr>
        <w:t xml:space="preserve"> Annexin </w:t>
      </w:r>
      <w:r w:rsidR="00B86DA1">
        <w:rPr>
          <w:rFonts w:ascii="Arial" w:hAnsi="Arial" w:cs="Arial"/>
          <w:b/>
          <w:bCs/>
          <w:color w:val="000000" w:themeColor="text1"/>
          <w:sz w:val="24"/>
          <w:szCs w:val="24"/>
          <w:u w:val="single"/>
        </w:rPr>
        <w:t>p</w:t>
      </w:r>
      <w:r w:rsidRPr="00507014">
        <w:rPr>
          <w:rFonts w:ascii="Arial" w:hAnsi="Arial" w:cs="Arial"/>
          <w:b/>
          <w:bCs/>
          <w:color w:val="000000" w:themeColor="text1"/>
          <w:sz w:val="24"/>
          <w:szCs w:val="24"/>
          <w:u w:val="single"/>
        </w:rPr>
        <w:t>roduction using LB media</w:t>
      </w:r>
      <w:bookmarkEnd w:id="199"/>
    </w:p>
    <w:p w14:paraId="3ACA511B" w14:textId="77777777" w:rsidR="003F6AFE" w:rsidRPr="00D74025" w:rsidRDefault="003F6AFE" w:rsidP="00173BA5">
      <w:pPr>
        <w:rPr>
          <w:color w:val="000000" w:themeColor="text1"/>
        </w:rPr>
      </w:pPr>
    </w:p>
    <w:p w14:paraId="7096258C" w14:textId="77777777" w:rsidR="001C5EDD" w:rsidRPr="00D74025" w:rsidRDefault="001C5EDD" w:rsidP="00F6020C">
      <w:pPr>
        <w:spacing w:line="276" w:lineRule="auto"/>
        <w:rPr>
          <w:rFonts w:ascii="Arial" w:hAnsi="Arial" w:cs="Arial"/>
          <w:color w:val="000000" w:themeColor="text1"/>
        </w:rPr>
      </w:pPr>
      <w:bookmarkStart w:id="200" w:name="_Toc172440517"/>
      <w:r w:rsidRPr="00D74025">
        <w:rPr>
          <w:rFonts w:ascii="Arial" w:hAnsi="Arial" w:cs="Arial"/>
          <w:color w:val="000000" w:themeColor="text1"/>
        </w:rPr>
        <w:t xml:space="preserve">Day before starting, autoclave the following items:   </w:t>
      </w:r>
    </w:p>
    <w:p w14:paraId="4B2B58A8" w14:textId="77777777" w:rsidR="001C5EDD" w:rsidRPr="00D74025" w:rsidRDefault="001C5EDD">
      <w:pPr>
        <w:pStyle w:val="ListParagraph"/>
        <w:numPr>
          <w:ilvl w:val="0"/>
          <w:numId w:val="74"/>
        </w:numPr>
        <w:spacing w:line="276" w:lineRule="auto"/>
        <w:rPr>
          <w:rFonts w:ascii="Arial" w:hAnsi="Arial" w:cs="Arial"/>
          <w:color w:val="000000" w:themeColor="text1"/>
        </w:rPr>
      </w:pPr>
      <w:r w:rsidRPr="00D74025">
        <w:rPr>
          <w:rFonts w:ascii="Arial" w:hAnsi="Arial" w:cs="Arial"/>
          <w:color w:val="000000" w:themeColor="text1"/>
        </w:rPr>
        <w:t xml:space="preserve">1 liter LB medium </w:t>
      </w:r>
    </w:p>
    <w:p w14:paraId="58F4F4FB" w14:textId="77777777" w:rsidR="001C5EDD" w:rsidRPr="00D74025" w:rsidRDefault="001C5EDD">
      <w:pPr>
        <w:pStyle w:val="ListParagraph"/>
        <w:numPr>
          <w:ilvl w:val="0"/>
          <w:numId w:val="74"/>
        </w:numPr>
        <w:spacing w:line="276" w:lineRule="auto"/>
        <w:rPr>
          <w:rFonts w:ascii="Arial" w:hAnsi="Arial" w:cs="Arial"/>
          <w:color w:val="000000" w:themeColor="text1"/>
        </w:rPr>
      </w:pPr>
      <w:r w:rsidRPr="00D74025">
        <w:rPr>
          <w:rFonts w:ascii="Arial" w:hAnsi="Arial" w:cs="Arial"/>
          <w:color w:val="000000" w:themeColor="text1"/>
        </w:rPr>
        <w:t>4 x 1 liter Erlenmeyer flask (with aluminum foil on top)</w:t>
      </w:r>
    </w:p>
    <w:p w14:paraId="486713C1" w14:textId="77777777" w:rsidR="001C5EDD" w:rsidRPr="00D74025" w:rsidRDefault="001C5EDD">
      <w:pPr>
        <w:pStyle w:val="ListParagraph"/>
        <w:numPr>
          <w:ilvl w:val="0"/>
          <w:numId w:val="74"/>
        </w:numPr>
        <w:spacing w:line="276" w:lineRule="auto"/>
        <w:rPr>
          <w:rFonts w:ascii="Arial" w:hAnsi="Arial" w:cs="Arial"/>
          <w:color w:val="000000" w:themeColor="text1"/>
        </w:rPr>
      </w:pPr>
      <w:r w:rsidRPr="00D74025">
        <w:rPr>
          <w:rFonts w:ascii="Arial" w:hAnsi="Arial" w:cs="Arial"/>
          <w:color w:val="000000" w:themeColor="text1"/>
        </w:rPr>
        <w:t>125 ml Erlenmeyer flask (with aluminum foil on top)</w:t>
      </w:r>
    </w:p>
    <w:p w14:paraId="356DB366" w14:textId="77777777" w:rsidR="001C5EDD" w:rsidRPr="00D74025" w:rsidRDefault="001C5EDD">
      <w:pPr>
        <w:pStyle w:val="ListParagraph"/>
        <w:numPr>
          <w:ilvl w:val="0"/>
          <w:numId w:val="74"/>
        </w:numPr>
        <w:spacing w:line="276" w:lineRule="auto"/>
        <w:rPr>
          <w:rFonts w:ascii="Arial" w:hAnsi="Arial" w:cs="Arial"/>
          <w:color w:val="000000" w:themeColor="text1"/>
        </w:rPr>
      </w:pPr>
      <w:r w:rsidRPr="00D74025">
        <w:rPr>
          <w:rFonts w:ascii="Arial" w:hAnsi="Arial" w:cs="Arial"/>
          <w:color w:val="000000" w:themeColor="text1"/>
        </w:rPr>
        <w:t xml:space="preserve">100 ml beaker (with aluminum foil on top)          </w:t>
      </w:r>
    </w:p>
    <w:p w14:paraId="4C881331" w14:textId="77777777" w:rsidR="001C5EDD" w:rsidRPr="00D74025" w:rsidRDefault="001C5EDD">
      <w:pPr>
        <w:pStyle w:val="ListParagraph"/>
        <w:numPr>
          <w:ilvl w:val="0"/>
          <w:numId w:val="74"/>
        </w:numPr>
        <w:spacing w:line="276" w:lineRule="auto"/>
        <w:rPr>
          <w:rFonts w:ascii="Arial" w:hAnsi="Arial" w:cs="Arial"/>
          <w:color w:val="000000" w:themeColor="text1"/>
        </w:rPr>
      </w:pPr>
      <w:r w:rsidRPr="00D74025">
        <w:rPr>
          <w:rFonts w:ascii="Arial" w:hAnsi="Arial" w:cs="Arial"/>
          <w:color w:val="000000" w:themeColor="text1"/>
        </w:rPr>
        <w:t>All size tips</w:t>
      </w:r>
    </w:p>
    <w:p w14:paraId="1B550F0D" w14:textId="531F7E15" w:rsidR="001C5EDD" w:rsidRPr="00D74025" w:rsidRDefault="001C5EDD">
      <w:pPr>
        <w:pStyle w:val="ListParagraph"/>
        <w:numPr>
          <w:ilvl w:val="0"/>
          <w:numId w:val="74"/>
        </w:numPr>
        <w:spacing w:line="276" w:lineRule="auto"/>
        <w:rPr>
          <w:rFonts w:ascii="Arial" w:hAnsi="Arial" w:cs="Arial"/>
          <w:color w:val="000000" w:themeColor="text1"/>
        </w:rPr>
      </w:pPr>
      <w:r w:rsidRPr="00D74025">
        <w:rPr>
          <w:rFonts w:ascii="Arial" w:hAnsi="Arial" w:cs="Arial"/>
          <w:color w:val="000000" w:themeColor="text1"/>
        </w:rPr>
        <w:t>1.5 ml centrifuge tubes (100)</w:t>
      </w:r>
    </w:p>
    <w:p w14:paraId="292F2DCE" w14:textId="77777777" w:rsidR="001C5EDD" w:rsidRPr="00D74025" w:rsidRDefault="001C5EDD">
      <w:pPr>
        <w:pStyle w:val="ListParagraph"/>
        <w:numPr>
          <w:ilvl w:val="0"/>
          <w:numId w:val="74"/>
        </w:numPr>
        <w:spacing w:line="276" w:lineRule="auto"/>
        <w:rPr>
          <w:rFonts w:ascii="Arial" w:hAnsi="Arial" w:cs="Arial"/>
          <w:color w:val="000000" w:themeColor="text1"/>
        </w:rPr>
      </w:pPr>
      <w:r w:rsidRPr="00D74025">
        <w:rPr>
          <w:rFonts w:ascii="Arial" w:hAnsi="Arial" w:cs="Arial"/>
          <w:color w:val="000000" w:themeColor="text1"/>
        </w:rPr>
        <w:t>1 liter DI water</w:t>
      </w:r>
    </w:p>
    <w:bookmarkEnd w:id="200"/>
    <w:p w14:paraId="11FD07A3" w14:textId="77777777" w:rsidR="001C5EDD" w:rsidRPr="00D74025" w:rsidRDefault="001C5EDD" w:rsidP="00F6020C">
      <w:pPr>
        <w:spacing w:line="276" w:lineRule="auto"/>
        <w:rPr>
          <w:rFonts w:ascii="Arial" w:hAnsi="Arial" w:cs="Arial"/>
          <w:color w:val="000000" w:themeColor="text1"/>
        </w:rPr>
      </w:pPr>
    </w:p>
    <w:p w14:paraId="331ABCDA" w14:textId="77777777" w:rsidR="001C5EDD" w:rsidRPr="00D74025" w:rsidRDefault="001C5EDD" w:rsidP="00F6020C">
      <w:pPr>
        <w:spacing w:line="276" w:lineRule="auto"/>
        <w:rPr>
          <w:rFonts w:ascii="Arial" w:hAnsi="Arial" w:cs="Arial"/>
          <w:b/>
          <w:color w:val="000000" w:themeColor="text1"/>
        </w:rPr>
      </w:pPr>
      <w:r w:rsidRPr="00D74025">
        <w:rPr>
          <w:rFonts w:ascii="Arial" w:hAnsi="Arial" w:cs="Arial"/>
          <w:b/>
          <w:color w:val="000000" w:themeColor="text1"/>
        </w:rPr>
        <w:t>Protein Expression</w:t>
      </w:r>
    </w:p>
    <w:p w14:paraId="23CBB95C" w14:textId="77777777" w:rsidR="001C5EDD" w:rsidRPr="00D74025" w:rsidRDefault="001C5EDD" w:rsidP="00F6020C">
      <w:pPr>
        <w:spacing w:line="276" w:lineRule="auto"/>
        <w:rPr>
          <w:rFonts w:ascii="Arial" w:hAnsi="Arial" w:cs="Arial"/>
          <w:color w:val="000000" w:themeColor="text1"/>
        </w:rPr>
      </w:pPr>
    </w:p>
    <w:p w14:paraId="5992C0CF" w14:textId="669F9E8B" w:rsidR="001C5EDD" w:rsidRPr="00D74025" w:rsidRDefault="00DD7C55" w:rsidP="00F6020C">
      <w:pPr>
        <w:spacing w:line="276" w:lineRule="auto"/>
        <w:rPr>
          <w:rFonts w:ascii="Arial" w:hAnsi="Arial" w:cs="Arial"/>
          <w:color w:val="000000" w:themeColor="text1"/>
          <w:u w:val="single"/>
        </w:rPr>
      </w:pPr>
      <w:r>
        <w:rPr>
          <w:rFonts w:ascii="Arial" w:hAnsi="Arial" w:cs="Arial"/>
          <w:color w:val="000000" w:themeColor="text1"/>
          <w:u w:val="single"/>
        </w:rPr>
        <w:t>Day 1</w:t>
      </w:r>
    </w:p>
    <w:p w14:paraId="6DFB9C7D" w14:textId="7A34DD24"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Culture 5 µ</w:t>
      </w:r>
      <w:proofErr w:type="spellStart"/>
      <w:r w:rsidRPr="00D74025">
        <w:rPr>
          <w:rFonts w:ascii="Arial" w:hAnsi="Arial" w:cs="Arial"/>
          <w:color w:val="000000" w:themeColor="text1"/>
        </w:rPr>
        <w:t>lof</w:t>
      </w:r>
      <w:proofErr w:type="spellEnd"/>
      <w:r w:rsidRPr="00D74025">
        <w:rPr>
          <w:rFonts w:ascii="Arial" w:hAnsi="Arial" w:cs="Arial"/>
          <w:color w:val="000000" w:themeColor="text1"/>
        </w:rPr>
        <w:t xml:space="preserve"> </w:t>
      </w:r>
      <w:r w:rsidRPr="00D74025">
        <w:rPr>
          <w:rFonts w:ascii="Arial" w:hAnsi="Arial" w:cs="Arial"/>
          <w:i/>
          <w:color w:val="000000" w:themeColor="text1"/>
        </w:rPr>
        <w:t>E. coli</w:t>
      </w:r>
      <w:r w:rsidRPr="00D74025">
        <w:rPr>
          <w:rFonts w:ascii="Arial" w:hAnsi="Arial" w:cs="Arial"/>
          <w:color w:val="000000" w:themeColor="text1"/>
        </w:rPr>
        <w:t>BL21(DE3) harboring pET303CT with the fusion gene A</w:t>
      </w:r>
      <w:r w:rsidR="0060546D">
        <w:rPr>
          <w:rFonts w:ascii="Arial" w:hAnsi="Arial" w:cs="Arial"/>
          <w:color w:val="000000" w:themeColor="text1"/>
        </w:rPr>
        <w:t>NXA5</w:t>
      </w:r>
      <w:r w:rsidRPr="00D74025">
        <w:rPr>
          <w:rFonts w:ascii="Arial" w:hAnsi="Arial" w:cs="Arial"/>
          <w:color w:val="000000" w:themeColor="text1"/>
        </w:rPr>
        <w:t xml:space="preserve"> in10 ml of LB medium containing 35</w:t>
      </w:r>
      <w:r w:rsidR="00B21AD4">
        <w:rPr>
          <w:rFonts w:ascii="Arial" w:hAnsi="Arial" w:cs="Arial"/>
          <w:color w:val="000000" w:themeColor="text1"/>
        </w:rPr>
        <w:t xml:space="preserve"> </w:t>
      </w:r>
      <w:r w:rsidRPr="00D74025">
        <w:rPr>
          <w:rFonts w:ascii="Arial" w:hAnsi="Arial" w:cs="Arial"/>
          <w:color w:val="000000" w:themeColor="text1"/>
        </w:rPr>
        <w:sym w:font="Symbol" w:char="F06D"/>
      </w:r>
      <w:r w:rsidRPr="00D74025">
        <w:rPr>
          <w:rFonts w:ascii="Arial" w:hAnsi="Arial" w:cs="Arial"/>
          <w:color w:val="000000" w:themeColor="text1"/>
        </w:rPr>
        <w:t>g/ml kanamycin in a 125 ml Erlenmeyer flask overnight at 37</w:t>
      </w:r>
      <w:r w:rsidRPr="00D74025">
        <w:rPr>
          <w:rFonts w:ascii="Arial" w:hAnsi="Arial" w:cs="Arial"/>
          <w:color w:val="000000" w:themeColor="text1"/>
          <w:vertAlign w:val="superscript"/>
        </w:rPr>
        <w:t>o</w:t>
      </w:r>
      <w:r w:rsidRPr="00D74025">
        <w:rPr>
          <w:rFonts w:ascii="Arial" w:hAnsi="Arial" w:cs="Arial"/>
          <w:color w:val="000000" w:themeColor="text1"/>
        </w:rPr>
        <w:t>C with shaking at 200 rpm. OD</w:t>
      </w:r>
      <w:r w:rsidRPr="00D74025">
        <w:rPr>
          <w:rFonts w:ascii="Arial" w:hAnsi="Arial" w:cs="Arial"/>
          <w:color w:val="000000" w:themeColor="text1"/>
          <w:vertAlign w:val="subscript"/>
        </w:rPr>
        <w:t>600</w:t>
      </w:r>
      <w:r w:rsidRPr="00D74025">
        <w:rPr>
          <w:rFonts w:ascii="Arial" w:hAnsi="Arial" w:cs="Arial"/>
          <w:color w:val="000000" w:themeColor="text1"/>
        </w:rPr>
        <w:t xml:space="preserve"> = 0.5</w:t>
      </w:r>
    </w:p>
    <w:p w14:paraId="68AF58B3" w14:textId="2DA2B083" w:rsidR="001C5EDD" w:rsidRPr="00D74025" w:rsidRDefault="001C5EDD">
      <w:pPr>
        <w:pStyle w:val="ListParagraph"/>
        <w:numPr>
          <w:ilvl w:val="0"/>
          <w:numId w:val="2"/>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LB medium: 1 liter DI H</w:t>
      </w:r>
      <w:r w:rsidRPr="00D74025">
        <w:rPr>
          <w:rFonts w:ascii="Arial" w:hAnsi="Arial" w:cs="Arial"/>
          <w:color w:val="000000" w:themeColor="text1"/>
          <w:vertAlign w:val="subscript"/>
        </w:rPr>
        <w:t>2</w:t>
      </w:r>
      <w:r w:rsidRPr="00D74025">
        <w:rPr>
          <w:rFonts w:ascii="Arial" w:hAnsi="Arial" w:cs="Arial"/>
          <w:color w:val="000000" w:themeColor="text1"/>
        </w:rPr>
        <w:t xml:space="preserve">O + 10 g </w:t>
      </w:r>
      <w:r w:rsidR="00B21AD4">
        <w:rPr>
          <w:rFonts w:ascii="Arial" w:hAnsi="Arial" w:cs="Arial"/>
          <w:color w:val="000000" w:themeColor="text1"/>
        </w:rPr>
        <w:t>t</w:t>
      </w:r>
      <w:r w:rsidRPr="00D74025">
        <w:rPr>
          <w:rFonts w:ascii="Arial" w:hAnsi="Arial" w:cs="Arial"/>
          <w:color w:val="000000" w:themeColor="text1"/>
        </w:rPr>
        <w:t xml:space="preserve">ryptone + 5 g </w:t>
      </w:r>
      <w:r w:rsidR="00B21AD4">
        <w:rPr>
          <w:rFonts w:ascii="Arial" w:hAnsi="Arial" w:cs="Arial"/>
          <w:color w:val="000000" w:themeColor="text1"/>
        </w:rPr>
        <w:t>y</w:t>
      </w:r>
      <w:r w:rsidRPr="00D74025">
        <w:rPr>
          <w:rFonts w:ascii="Arial" w:hAnsi="Arial" w:cs="Arial"/>
          <w:color w:val="000000" w:themeColor="text1"/>
        </w:rPr>
        <w:t xml:space="preserve">east </w:t>
      </w:r>
      <w:r w:rsidR="00B21AD4">
        <w:rPr>
          <w:rFonts w:ascii="Arial" w:hAnsi="Arial" w:cs="Arial"/>
          <w:color w:val="000000" w:themeColor="text1"/>
        </w:rPr>
        <w:t>e</w:t>
      </w:r>
      <w:r w:rsidRPr="00D74025">
        <w:rPr>
          <w:rFonts w:ascii="Arial" w:hAnsi="Arial" w:cs="Arial"/>
          <w:color w:val="000000" w:themeColor="text1"/>
        </w:rPr>
        <w:t>xtract + 5 g NaCl.</w:t>
      </w:r>
    </w:p>
    <w:p w14:paraId="29EABD72" w14:textId="77777777" w:rsidR="001C5EDD" w:rsidRPr="00D74025" w:rsidRDefault="001C5EDD">
      <w:pPr>
        <w:pStyle w:val="ListParagraph"/>
        <w:numPr>
          <w:ilvl w:val="0"/>
          <w:numId w:val="2"/>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Add 35 mg kanamycin to the 1 L of LB medium before taking out the 10 ml for the initial culture.</w:t>
      </w:r>
    </w:p>
    <w:p w14:paraId="2D727FE7" w14:textId="77777777" w:rsidR="001C5EDD" w:rsidRPr="00D74025" w:rsidRDefault="001C5EDD">
      <w:pPr>
        <w:pStyle w:val="ListParagraph"/>
        <w:numPr>
          <w:ilvl w:val="0"/>
          <w:numId w:val="2"/>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Incubate.</w:t>
      </w:r>
    </w:p>
    <w:p w14:paraId="1CA19152" w14:textId="77777777" w:rsidR="001C5EDD" w:rsidRPr="00D74025" w:rsidRDefault="001C5EDD" w:rsidP="00F6020C">
      <w:pPr>
        <w:spacing w:line="276" w:lineRule="auto"/>
        <w:rPr>
          <w:rFonts w:ascii="Arial" w:hAnsi="Arial" w:cs="Arial"/>
          <w:b/>
          <w:color w:val="000000" w:themeColor="text1"/>
          <w:u w:val="single"/>
        </w:rPr>
      </w:pPr>
    </w:p>
    <w:p w14:paraId="7D50A671" w14:textId="044515E3" w:rsidR="001C5EDD" w:rsidRPr="00D74025" w:rsidRDefault="00DD7C55" w:rsidP="00F6020C">
      <w:pPr>
        <w:spacing w:line="276" w:lineRule="auto"/>
        <w:rPr>
          <w:rFonts w:ascii="Arial" w:hAnsi="Arial" w:cs="Arial"/>
          <w:color w:val="000000" w:themeColor="text1"/>
          <w:u w:val="single"/>
        </w:rPr>
      </w:pPr>
      <w:r>
        <w:rPr>
          <w:rFonts w:ascii="Arial" w:hAnsi="Arial" w:cs="Arial"/>
          <w:color w:val="000000" w:themeColor="text1"/>
          <w:u w:val="single"/>
        </w:rPr>
        <w:t>Day 2</w:t>
      </w:r>
    </w:p>
    <w:p w14:paraId="1A0E2AF9" w14:textId="77777777"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Add 10 ml of the cell culture to 1 liter of fresh culture medium+ kanamycin and incubate at 37</w:t>
      </w:r>
      <w:r w:rsidRPr="00D74025">
        <w:rPr>
          <w:rFonts w:ascii="Arial" w:hAnsi="Arial" w:cs="Arial"/>
          <w:color w:val="000000" w:themeColor="text1"/>
          <w:vertAlign w:val="superscript"/>
        </w:rPr>
        <w:t>o</w:t>
      </w:r>
      <w:r w:rsidRPr="00D74025">
        <w:rPr>
          <w:rFonts w:ascii="Arial" w:hAnsi="Arial" w:cs="Arial"/>
          <w:color w:val="000000" w:themeColor="text1"/>
        </w:rPr>
        <w:t>C with shaking (200 rpm). Take 1.5 mL of medium before adding the bacteria, as a blank. This cell culture was grown to mid-log phase =&gt;OD</w:t>
      </w:r>
      <w:r w:rsidRPr="00D74025">
        <w:rPr>
          <w:rFonts w:ascii="Arial" w:hAnsi="Arial" w:cs="Arial"/>
          <w:color w:val="000000" w:themeColor="text1"/>
          <w:vertAlign w:val="subscript"/>
        </w:rPr>
        <w:t>600</w:t>
      </w:r>
      <w:r w:rsidRPr="00D74025">
        <w:rPr>
          <w:rFonts w:ascii="Arial" w:hAnsi="Arial" w:cs="Arial"/>
          <w:color w:val="000000" w:themeColor="text1"/>
        </w:rPr>
        <w:t xml:space="preserve"> = 0.5. </w:t>
      </w:r>
    </w:p>
    <w:p w14:paraId="2C9357EB" w14:textId="77777777" w:rsidR="001C5EDD" w:rsidRPr="00D74025" w:rsidRDefault="001C5EDD">
      <w:pPr>
        <w:pStyle w:val="ListParagraph"/>
        <w:numPr>
          <w:ilvl w:val="0"/>
          <w:numId w:val="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Take a 1.5 ml sample of just the LB medium.  Label 1.5 ml tube ‘</w:t>
      </w:r>
      <w:r w:rsidRPr="00D74025">
        <w:rPr>
          <w:rFonts w:ascii="Arial" w:hAnsi="Arial" w:cs="Arial"/>
          <w:b/>
          <w:color w:val="000000" w:themeColor="text1"/>
        </w:rPr>
        <w:t>LB</w:t>
      </w:r>
      <w:r w:rsidRPr="00D74025">
        <w:rPr>
          <w:rFonts w:ascii="Arial" w:hAnsi="Arial" w:cs="Arial"/>
          <w:color w:val="000000" w:themeColor="text1"/>
        </w:rPr>
        <w:t xml:space="preserve">.’  </w:t>
      </w:r>
    </w:p>
    <w:p w14:paraId="2BA09476" w14:textId="77777777" w:rsidR="001C5EDD" w:rsidRPr="00D74025" w:rsidRDefault="001C5EDD">
      <w:pPr>
        <w:pStyle w:val="ListParagraph"/>
        <w:numPr>
          <w:ilvl w:val="0"/>
          <w:numId w:val="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Transfer 10 mL of bacteria to 1 L LB medium.</w:t>
      </w:r>
    </w:p>
    <w:p w14:paraId="4A6C2E49" w14:textId="77777777" w:rsidR="001C5EDD" w:rsidRPr="00D74025" w:rsidRDefault="001C5EDD">
      <w:pPr>
        <w:pStyle w:val="ListParagraph"/>
        <w:numPr>
          <w:ilvl w:val="0"/>
          <w:numId w:val="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Transfer entire volume of medium to 4 x 1 L flasks. </w:t>
      </w:r>
    </w:p>
    <w:p w14:paraId="333881EF" w14:textId="77777777" w:rsidR="001C5EDD" w:rsidRPr="00D74025" w:rsidRDefault="001C5EDD">
      <w:pPr>
        <w:pStyle w:val="ListParagraph"/>
        <w:numPr>
          <w:ilvl w:val="0"/>
          <w:numId w:val="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Put in shaker at 37</w:t>
      </w:r>
      <w:r w:rsidRPr="00D74025">
        <w:rPr>
          <w:rFonts w:ascii="Arial" w:hAnsi="Arial" w:cs="Arial"/>
          <w:color w:val="000000" w:themeColor="text1"/>
          <w:vertAlign w:val="superscript"/>
        </w:rPr>
        <w:t>o</w:t>
      </w:r>
      <w:r w:rsidRPr="00D74025">
        <w:rPr>
          <w:rFonts w:ascii="Arial" w:hAnsi="Arial" w:cs="Arial"/>
          <w:color w:val="000000" w:themeColor="text1"/>
        </w:rPr>
        <w:t xml:space="preserve"> C at 200 rpm.</w:t>
      </w:r>
    </w:p>
    <w:p w14:paraId="19DD7861" w14:textId="77777777" w:rsidR="001C5EDD" w:rsidRPr="00D74025" w:rsidRDefault="001C5EDD">
      <w:pPr>
        <w:pStyle w:val="ListParagraph"/>
        <w:numPr>
          <w:ilvl w:val="0"/>
          <w:numId w:val="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lastRenderedPageBreak/>
        <w:t xml:space="preserve">After 1.5 </w:t>
      </w:r>
      <w:proofErr w:type="spellStart"/>
      <w:r w:rsidRPr="00D74025">
        <w:rPr>
          <w:rFonts w:ascii="Arial" w:hAnsi="Arial" w:cs="Arial"/>
          <w:color w:val="000000" w:themeColor="text1"/>
        </w:rPr>
        <w:t>hrs</w:t>
      </w:r>
      <w:proofErr w:type="spellEnd"/>
      <w:r w:rsidRPr="00D74025">
        <w:rPr>
          <w:rFonts w:ascii="Arial" w:hAnsi="Arial" w:cs="Arial"/>
          <w:color w:val="000000" w:themeColor="text1"/>
        </w:rPr>
        <w:t xml:space="preserve"> of shaking, measure optical density at 600 nm (absorbance) using a clear 96 well plate and microtiter plate reader of sample vs LB medium =&gt; using 250 µl samples of each.  When OD</w:t>
      </w:r>
      <w:r w:rsidRPr="00D74025">
        <w:rPr>
          <w:rFonts w:ascii="Arial" w:hAnsi="Arial" w:cs="Arial"/>
          <w:color w:val="000000" w:themeColor="text1"/>
          <w:vertAlign w:val="subscript"/>
        </w:rPr>
        <w:t xml:space="preserve">600nm </w:t>
      </w:r>
      <w:r w:rsidRPr="00D74025">
        <w:rPr>
          <w:rFonts w:ascii="Arial" w:hAnsi="Arial" w:cs="Arial"/>
          <w:color w:val="000000" w:themeColor="text1"/>
        </w:rPr>
        <w:t>= 0.5 (between .5 and .8 is good), then proceed to next step.</w:t>
      </w:r>
    </w:p>
    <w:p w14:paraId="605FF0CF" w14:textId="77777777" w:rsidR="001C5EDD" w:rsidRPr="00D74025" w:rsidRDefault="001C5EDD" w:rsidP="00F6020C">
      <w:pPr>
        <w:spacing w:line="276" w:lineRule="auto"/>
        <w:rPr>
          <w:rFonts w:ascii="Arial" w:hAnsi="Arial" w:cs="Arial"/>
          <w:color w:val="000000" w:themeColor="text1"/>
        </w:rPr>
      </w:pPr>
    </w:p>
    <w:p w14:paraId="11CBC88F" w14:textId="15EC64B0"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Add</w:t>
      </w:r>
      <w:r w:rsidR="00BB4119">
        <w:rPr>
          <w:rFonts w:ascii="Arial" w:hAnsi="Arial" w:cs="Arial"/>
          <w:color w:val="000000" w:themeColor="text1"/>
        </w:rPr>
        <w:t xml:space="preserve"> </w:t>
      </w:r>
      <w:r w:rsidRPr="00D74025">
        <w:rPr>
          <w:rFonts w:ascii="Arial" w:hAnsi="Arial" w:cs="Arial"/>
          <w:color w:val="000000" w:themeColor="text1"/>
        </w:rPr>
        <w:t xml:space="preserve">isopropyl </w:t>
      </w:r>
      <w:r w:rsidRPr="00D74025">
        <w:rPr>
          <w:rFonts w:ascii="Arial" w:hAnsi="Arial" w:cs="Arial"/>
          <w:color w:val="000000" w:themeColor="text1"/>
        </w:rPr>
        <w:sym w:font="Symbol" w:char="F062"/>
      </w:r>
      <w:r w:rsidRPr="00D74025">
        <w:rPr>
          <w:rFonts w:ascii="Arial" w:hAnsi="Arial" w:cs="Arial"/>
          <w:color w:val="000000" w:themeColor="text1"/>
        </w:rPr>
        <w:t>-D-</w:t>
      </w:r>
      <w:proofErr w:type="spellStart"/>
      <w:r w:rsidRPr="00D74025">
        <w:rPr>
          <w:rFonts w:ascii="Arial" w:hAnsi="Arial" w:cs="Arial"/>
          <w:color w:val="000000" w:themeColor="text1"/>
        </w:rPr>
        <w:t>thiogalactopyranoside</w:t>
      </w:r>
      <w:proofErr w:type="spellEnd"/>
      <w:r w:rsidRPr="00D74025">
        <w:rPr>
          <w:rFonts w:ascii="Arial" w:hAnsi="Arial" w:cs="Arial"/>
          <w:color w:val="000000" w:themeColor="text1"/>
        </w:rPr>
        <w:t xml:space="preserve"> (IPTG - stored @ -20ºC top shelf) to a final concentration of 0.4 mM (96 mg IPTG total – 24 mg per flask) to solutions in 4 x 1 L flasks and incubate at 30</w:t>
      </w:r>
      <w:r w:rsidRPr="00D74025">
        <w:rPr>
          <w:rFonts w:ascii="Arial" w:hAnsi="Arial" w:cs="Arial"/>
          <w:color w:val="000000" w:themeColor="text1"/>
          <w:vertAlign w:val="superscript"/>
        </w:rPr>
        <w:t>o</w:t>
      </w:r>
      <w:r w:rsidRPr="00D74025">
        <w:rPr>
          <w:rFonts w:ascii="Arial" w:hAnsi="Arial" w:cs="Arial"/>
          <w:color w:val="000000" w:themeColor="text1"/>
        </w:rPr>
        <w:t xml:space="preserve">C with shaking (180 rpm) for 5 h to induce protein expression. </w:t>
      </w:r>
    </w:p>
    <w:p w14:paraId="51D9D736" w14:textId="77777777" w:rsidR="001C5EDD" w:rsidRPr="00D74025" w:rsidRDefault="001C5EDD">
      <w:pPr>
        <w:pStyle w:val="ListParagraph"/>
        <w:numPr>
          <w:ilvl w:val="0"/>
          <w:numId w:val="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Take 750 ml sample of solution before adding IPTG.  Label it ‘</w:t>
      </w:r>
      <w:r w:rsidRPr="00D74025">
        <w:rPr>
          <w:rFonts w:ascii="Arial" w:hAnsi="Arial" w:cs="Arial"/>
          <w:b/>
          <w:color w:val="000000" w:themeColor="text1"/>
        </w:rPr>
        <w:t>BI</w:t>
      </w:r>
      <w:r w:rsidRPr="00D74025">
        <w:rPr>
          <w:rFonts w:ascii="Arial" w:hAnsi="Arial" w:cs="Arial"/>
          <w:color w:val="000000" w:themeColor="text1"/>
        </w:rPr>
        <w:t xml:space="preserve">.’ </w:t>
      </w:r>
    </w:p>
    <w:p w14:paraId="2D22147A" w14:textId="77777777" w:rsidR="001C5EDD" w:rsidRPr="00D74025" w:rsidRDefault="001C5EDD">
      <w:pPr>
        <w:pStyle w:val="ListParagraph"/>
        <w:numPr>
          <w:ilvl w:val="0"/>
          <w:numId w:val="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Add 24 mg IPTG to each flask.</w:t>
      </w:r>
    </w:p>
    <w:p w14:paraId="0F784857" w14:textId="77777777" w:rsidR="001C5EDD" w:rsidRPr="00D74025" w:rsidRDefault="001C5EDD">
      <w:pPr>
        <w:pStyle w:val="ListParagraph"/>
        <w:numPr>
          <w:ilvl w:val="0"/>
          <w:numId w:val="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Put back in shaker at 30</w:t>
      </w:r>
      <w:r w:rsidRPr="00D74025">
        <w:rPr>
          <w:rFonts w:ascii="Arial" w:hAnsi="Arial" w:cs="Arial"/>
          <w:color w:val="000000" w:themeColor="text1"/>
          <w:vertAlign w:val="superscript"/>
        </w:rPr>
        <w:t>o</w:t>
      </w:r>
      <w:r w:rsidRPr="00D74025">
        <w:rPr>
          <w:rFonts w:ascii="Arial" w:hAnsi="Arial" w:cs="Arial"/>
          <w:color w:val="000000" w:themeColor="text1"/>
        </w:rPr>
        <w:t xml:space="preserve">C for 5 hours.  </w:t>
      </w:r>
    </w:p>
    <w:p w14:paraId="147BF80B" w14:textId="77777777" w:rsidR="001C5EDD" w:rsidRPr="00D74025" w:rsidRDefault="001C5EDD">
      <w:pPr>
        <w:pStyle w:val="ListParagraph"/>
        <w:numPr>
          <w:ilvl w:val="0"/>
          <w:numId w:val="22"/>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IPTG stimulates the production of fusion protein.  (IPTG activates the promoter in the plasmid that will start the transcription of the gene that follows the promoter =&gt;Annexin V gene.) </w:t>
      </w:r>
    </w:p>
    <w:p w14:paraId="72E76794" w14:textId="77777777" w:rsidR="001C5EDD" w:rsidRPr="00D74025" w:rsidRDefault="001C5EDD" w:rsidP="00F6020C">
      <w:pPr>
        <w:pStyle w:val="ListParagraph"/>
        <w:spacing w:line="276" w:lineRule="auto"/>
        <w:ind w:left="1800"/>
        <w:rPr>
          <w:rFonts w:ascii="Arial" w:hAnsi="Arial" w:cs="Arial"/>
          <w:color w:val="000000" w:themeColor="text1"/>
        </w:rPr>
      </w:pPr>
    </w:p>
    <w:p w14:paraId="164B6077" w14:textId="77777777"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Harvest the cells by centrifugation for 10 min at 1000 x </w:t>
      </w:r>
      <w:r w:rsidRPr="00D74025">
        <w:rPr>
          <w:rFonts w:ascii="Arial" w:hAnsi="Arial" w:cs="Arial"/>
          <w:i/>
          <w:color w:val="000000" w:themeColor="text1"/>
        </w:rPr>
        <w:t>g</w:t>
      </w:r>
      <w:r w:rsidRPr="00D74025">
        <w:rPr>
          <w:rFonts w:ascii="Arial" w:hAnsi="Arial" w:cs="Arial"/>
          <w:color w:val="000000" w:themeColor="text1"/>
        </w:rPr>
        <w:t xml:space="preserve">, at 4ºC. </w:t>
      </w:r>
    </w:p>
    <w:p w14:paraId="64C05FF0" w14:textId="77777777" w:rsidR="001C5EDD" w:rsidRPr="00D74025" w:rsidRDefault="001C5EDD">
      <w:pPr>
        <w:pStyle w:val="ListParagraph"/>
        <w:numPr>
          <w:ilvl w:val="0"/>
          <w:numId w:val="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Take 750 ml sample before centrifuge.  Label sample ‘</w:t>
      </w:r>
      <w:r w:rsidRPr="00D74025">
        <w:rPr>
          <w:rFonts w:ascii="Arial" w:hAnsi="Arial" w:cs="Arial"/>
          <w:b/>
          <w:color w:val="000000" w:themeColor="text1"/>
        </w:rPr>
        <w:t>BC</w:t>
      </w:r>
      <w:r w:rsidRPr="00D74025">
        <w:rPr>
          <w:rFonts w:ascii="Arial" w:hAnsi="Arial" w:cs="Arial"/>
          <w:color w:val="000000" w:themeColor="text1"/>
        </w:rPr>
        <w:t>.’</w:t>
      </w:r>
    </w:p>
    <w:p w14:paraId="432D688F" w14:textId="77777777" w:rsidR="001C5EDD" w:rsidRPr="00D74025" w:rsidRDefault="001C5EDD">
      <w:pPr>
        <w:pStyle w:val="ListParagraph"/>
        <w:numPr>
          <w:ilvl w:val="0"/>
          <w:numId w:val="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Centrifuge at 1000xg = ~3000 rpm (centrifuge uses rpm – consult table on machine).  Only 4 – 50 ml centrifuge tubes at a time, temp 4ºC, 10 mins.</w:t>
      </w:r>
    </w:p>
    <w:p w14:paraId="4010FEC8" w14:textId="77777777" w:rsidR="001C5EDD" w:rsidRPr="00D74025" w:rsidRDefault="001C5EDD">
      <w:pPr>
        <w:pStyle w:val="ListParagraph"/>
        <w:numPr>
          <w:ilvl w:val="0"/>
          <w:numId w:val="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After first centrifuge, pour out supernatant, add more culture to same 4 tubes.  Bacteria will be stuck to side of tubes so inverting to pour out is not a problem.</w:t>
      </w:r>
    </w:p>
    <w:p w14:paraId="670B0769" w14:textId="77777777" w:rsidR="001C5EDD" w:rsidRPr="00D74025" w:rsidRDefault="001C5EDD">
      <w:pPr>
        <w:pStyle w:val="ListParagraph"/>
        <w:numPr>
          <w:ilvl w:val="0"/>
          <w:numId w:val="27"/>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Can put the 4 tubes in -20ºC freezer for overnight storage.</w:t>
      </w:r>
    </w:p>
    <w:p w14:paraId="2D282F4C" w14:textId="77777777" w:rsidR="001C5EDD" w:rsidRPr="00D74025" w:rsidRDefault="001C5EDD" w:rsidP="00F6020C">
      <w:pPr>
        <w:spacing w:line="276" w:lineRule="auto"/>
        <w:rPr>
          <w:rFonts w:ascii="Arial" w:hAnsi="Arial" w:cs="Arial"/>
          <w:color w:val="000000" w:themeColor="text1"/>
        </w:rPr>
      </w:pPr>
    </w:p>
    <w:p w14:paraId="79AB3C84" w14:textId="04CE9F61" w:rsidR="001C5EDD" w:rsidRPr="00D74025" w:rsidRDefault="00DD7C55" w:rsidP="00F6020C">
      <w:pPr>
        <w:spacing w:line="276" w:lineRule="auto"/>
        <w:rPr>
          <w:rFonts w:ascii="Arial" w:hAnsi="Arial" w:cs="Arial"/>
          <w:color w:val="000000" w:themeColor="text1"/>
          <w:u w:val="single"/>
        </w:rPr>
      </w:pPr>
      <w:r>
        <w:rPr>
          <w:rFonts w:ascii="Arial" w:hAnsi="Arial" w:cs="Arial"/>
          <w:color w:val="000000" w:themeColor="text1"/>
          <w:u w:val="single"/>
        </w:rPr>
        <w:t>Day 3</w:t>
      </w:r>
    </w:p>
    <w:p w14:paraId="393D7FDA" w14:textId="77777777"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Resuspend the cell pellet in 40 ml of sonication buffer. </w:t>
      </w:r>
    </w:p>
    <w:p w14:paraId="075E9741" w14:textId="77777777" w:rsidR="001C5EDD" w:rsidRPr="00D74025" w:rsidRDefault="001C5EDD">
      <w:pPr>
        <w:pStyle w:val="ListParagraph"/>
        <w:numPr>
          <w:ilvl w:val="1"/>
          <w:numId w:val="26"/>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Add ~10 ml to each of the 4 centrifuge tubes.</w:t>
      </w:r>
    </w:p>
    <w:p w14:paraId="52DD4FE9" w14:textId="77777777" w:rsidR="001C5EDD" w:rsidRPr="00D74025" w:rsidRDefault="001C5EDD">
      <w:pPr>
        <w:pStyle w:val="ListParagraph"/>
        <w:numPr>
          <w:ilvl w:val="1"/>
          <w:numId w:val="26"/>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Vortex to resuspend cell pellets.</w:t>
      </w:r>
    </w:p>
    <w:p w14:paraId="0F4F796F" w14:textId="77777777" w:rsidR="001C5EDD" w:rsidRPr="00D74025" w:rsidRDefault="001C5EDD">
      <w:pPr>
        <w:pStyle w:val="ListParagraph"/>
        <w:numPr>
          <w:ilvl w:val="1"/>
          <w:numId w:val="26"/>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Pour contents of the 4 tubes back into the 100 ml beaker.</w:t>
      </w:r>
    </w:p>
    <w:p w14:paraId="76F25E5A" w14:textId="77777777" w:rsidR="001C5EDD" w:rsidRPr="00D74025" w:rsidRDefault="001C5EDD">
      <w:pPr>
        <w:pStyle w:val="ListParagraph"/>
        <w:numPr>
          <w:ilvl w:val="1"/>
          <w:numId w:val="18"/>
        </w:numPr>
        <w:spacing w:before="0" w:beforeAutospacing="0" w:after="0" w:afterAutospacing="0" w:line="276" w:lineRule="auto"/>
        <w:jc w:val="left"/>
        <w:rPr>
          <w:rFonts w:ascii="Arial" w:hAnsi="Arial" w:cs="Arial"/>
          <w:color w:val="000000" w:themeColor="text1"/>
          <w:u w:val="single"/>
        </w:rPr>
      </w:pPr>
      <w:r w:rsidRPr="00D74025">
        <w:rPr>
          <w:rFonts w:ascii="Arial" w:hAnsi="Arial" w:cs="Arial"/>
          <w:color w:val="000000" w:themeColor="text1"/>
          <w:u w:val="single"/>
        </w:rPr>
        <w:t>Sonication Buffer</w:t>
      </w:r>
    </w:p>
    <w:p w14:paraId="4B1AAA64" w14:textId="77777777" w:rsidR="001C5EDD" w:rsidRPr="00D74025" w:rsidRDefault="001C5EDD">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0.05 mM N-</w:t>
      </w:r>
      <w:r w:rsidRPr="00D74025">
        <w:rPr>
          <w:rFonts w:ascii="Arial" w:hAnsi="Arial" w:cs="Arial"/>
          <w:i/>
          <w:color w:val="000000" w:themeColor="text1"/>
        </w:rPr>
        <w:t xml:space="preserve"> p</w:t>
      </w:r>
      <w:r w:rsidRPr="00D74025">
        <w:rPr>
          <w:rFonts w:ascii="Arial" w:hAnsi="Arial" w:cs="Arial"/>
          <w:color w:val="000000" w:themeColor="text1"/>
        </w:rPr>
        <w:t>-</w:t>
      </w:r>
      <w:proofErr w:type="spellStart"/>
      <w:r w:rsidRPr="00D74025">
        <w:rPr>
          <w:rFonts w:ascii="Arial" w:hAnsi="Arial" w:cs="Arial"/>
          <w:color w:val="000000" w:themeColor="text1"/>
        </w:rPr>
        <w:t>tosyl</w:t>
      </w:r>
      <w:proofErr w:type="spellEnd"/>
      <w:r w:rsidRPr="00D74025">
        <w:rPr>
          <w:rFonts w:ascii="Arial" w:hAnsi="Arial" w:cs="Arial"/>
          <w:color w:val="000000" w:themeColor="text1"/>
        </w:rPr>
        <w:t>-L-phenylalanine chloromethyl ketone (TPCK) - (-20ºC) =&gt; 0.704 mg.</w:t>
      </w:r>
    </w:p>
    <w:p w14:paraId="5907965E" w14:textId="77777777" w:rsidR="001C5EDD" w:rsidRPr="00D74025" w:rsidRDefault="001C5EDD">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1 mM </w:t>
      </w:r>
      <w:proofErr w:type="spellStart"/>
      <w:r w:rsidRPr="00D74025">
        <w:rPr>
          <w:rFonts w:ascii="Arial" w:hAnsi="Arial" w:cs="Arial"/>
          <w:color w:val="000000" w:themeColor="text1"/>
        </w:rPr>
        <w:t>phenylmethylsulfonyl</w:t>
      </w:r>
      <w:proofErr w:type="spellEnd"/>
      <w:r w:rsidRPr="00D74025">
        <w:rPr>
          <w:rFonts w:ascii="Arial" w:hAnsi="Arial" w:cs="Arial"/>
          <w:color w:val="000000" w:themeColor="text1"/>
        </w:rPr>
        <w:t xml:space="preserve"> fluoride (PMSF) - (shelf) =&gt;6.968 mg.</w:t>
      </w:r>
    </w:p>
    <w:p w14:paraId="13207E66" w14:textId="77777777" w:rsidR="001C5EDD" w:rsidRPr="00D74025" w:rsidRDefault="001C5EDD">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1% HPLC ethanol - (flammables) =&gt; 400 µl.</w:t>
      </w:r>
    </w:p>
    <w:p w14:paraId="609DD842" w14:textId="77777777" w:rsidR="001C5EDD" w:rsidRPr="00D74025" w:rsidRDefault="001C5EDD">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0.01% </w:t>
      </w:r>
      <w:r w:rsidRPr="00D74025">
        <w:rPr>
          <w:rFonts w:ascii="Arial" w:hAnsi="Arial" w:cs="Arial"/>
          <w:color w:val="000000" w:themeColor="text1"/>
        </w:rPr>
        <w:sym w:font="Symbol" w:char="F062"/>
      </w:r>
      <w:r w:rsidRPr="00D74025">
        <w:rPr>
          <w:rFonts w:ascii="Arial" w:hAnsi="Arial" w:cs="Arial"/>
          <w:color w:val="000000" w:themeColor="text1"/>
        </w:rPr>
        <w:t>-</w:t>
      </w:r>
      <w:proofErr w:type="spellStart"/>
      <w:r w:rsidRPr="00D74025">
        <w:rPr>
          <w:rFonts w:ascii="Arial" w:hAnsi="Arial" w:cs="Arial"/>
          <w:color w:val="000000" w:themeColor="text1"/>
        </w:rPr>
        <w:t>mercaptoethanol</w:t>
      </w:r>
      <w:proofErr w:type="spellEnd"/>
      <w:r w:rsidRPr="00D74025">
        <w:rPr>
          <w:rFonts w:ascii="Arial" w:hAnsi="Arial" w:cs="Arial"/>
          <w:color w:val="000000" w:themeColor="text1"/>
        </w:rPr>
        <w:t xml:space="preserve"> – (bench top) =&gt; 4 µl.</w:t>
      </w:r>
    </w:p>
    <w:p w14:paraId="227E4793" w14:textId="77777777" w:rsidR="001C5EDD" w:rsidRPr="00D74025" w:rsidRDefault="001C5EDD">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0.02 M sodium phosphate dibasic – (shelf) =&gt; 113.6 mg.</w:t>
      </w:r>
    </w:p>
    <w:p w14:paraId="618CA5F2" w14:textId="77777777" w:rsidR="001C5EDD" w:rsidRPr="00D74025" w:rsidRDefault="001C5EDD">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40 mL DI</w:t>
      </w:r>
    </w:p>
    <w:p w14:paraId="6BC7230E" w14:textId="77777777" w:rsidR="001C5EDD" w:rsidRPr="00D74025" w:rsidRDefault="001C5EDD">
      <w:pPr>
        <w:pStyle w:val="ListParagraph"/>
        <w:numPr>
          <w:ilvl w:val="0"/>
          <w:numId w:val="6"/>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lastRenderedPageBreak/>
        <w:t>Dissolve TPCK and PMSF in ethanol in microcentrifuge tube, then add to beaker.</w:t>
      </w:r>
    </w:p>
    <w:p w14:paraId="5198D0BD" w14:textId="77777777" w:rsidR="001C5EDD" w:rsidRPr="00D74025" w:rsidRDefault="001C5EDD">
      <w:pPr>
        <w:pStyle w:val="ListParagraph"/>
        <w:numPr>
          <w:ilvl w:val="0"/>
          <w:numId w:val="6"/>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Make this buffer in the 100 ml beaker.</w:t>
      </w:r>
    </w:p>
    <w:p w14:paraId="6E8CB7DA" w14:textId="77777777" w:rsidR="001C5EDD" w:rsidRPr="00D74025" w:rsidRDefault="001C5EDD">
      <w:pPr>
        <w:pStyle w:val="ListParagraph"/>
        <w:numPr>
          <w:ilvl w:val="0"/>
          <w:numId w:val="6"/>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Correct to pH 7.4 – using HCl</w:t>
      </w:r>
    </w:p>
    <w:p w14:paraId="27761431" w14:textId="77777777" w:rsidR="001C5EDD" w:rsidRPr="00D74025" w:rsidRDefault="001C5EDD" w:rsidP="00F6020C">
      <w:pPr>
        <w:spacing w:line="276" w:lineRule="auto"/>
        <w:rPr>
          <w:rFonts w:ascii="Arial" w:hAnsi="Arial" w:cs="Arial"/>
          <w:color w:val="000000" w:themeColor="text1"/>
        </w:rPr>
      </w:pPr>
    </w:p>
    <w:p w14:paraId="77F16826" w14:textId="77777777"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Lyse the cells by sonication at 4</w:t>
      </w:r>
      <w:r w:rsidRPr="00D74025">
        <w:rPr>
          <w:rFonts w:ascii="Arial" w:hAnsi="Arial" w:cs="Arial"/>
          <w:color w:val="000000" w:themeColor="text1"/>
          <w:vertAlign w:val="superscript"/>
        </w:rPr>
        <w:t>o</w:t>
      </w:r>
      <w:r w:rsidRPr="00D74025">
        <w:rPr>
          <w:rFonts w:ascii="Arial" w:hAnsi="Arial" w:cs="Arial"/>
          <w:color w:val="000000" w:themeColor="text1"/>
        </w:rPr>
        <w:t xml:space="preserve">C for 30 sec at 4.5 watts then allow it to cool for 30 sec on ice. This cycle was repeated 4 times (= 5 times total) for a total sonication time of 2.5 min on power level 4. </w:t>
      </w:r>
    </w:p>
    <w:p w14:paraId="03357D88" w14:textId="77777777" w:rsidR="001C5EDD" w:rsidRPr="00D74025" w:rsidRDefault="001C5EDD">
      <w:pPr>
        <w:pStyle w:val="ListParagraph"/>
        <w:numPr>
          <w:ilvl w:val="1"/>
          <w:numId w:val="2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Clean </w:t>
      </w:r>
      <w:proofErr w:type="spellStart"/>
      <w:r w:rsidRPr="00D74025">
        <w:rPr>
          <w:rFonts w:ascii="Arial" w:hAnsi="Arial" w:cs="Arial"/>
          <w:color w:val="000000" w:themeColor="text1"/>
        </w:rPr>
        <w:t>sonicator</w:t>
      </w:r>
      <w:proofErr w:type="spellEnd"/>
      <w:r w:rsidRPr="00D74025">
        <w:rPr>
          <w:rFonts w:ascii="Arial" w:hAnsi="Arial" w:cs="Arial"/>
          <w:color w:val="000000" w:themeColor="text1"/>
        </w:rPr>
        <w:t xml:space="preserve"> tip w/ ethanol before use.</w:t>
      </w:r>
    </w:p>
    <w:p w14:paraId="361D8A79" w14:textId="77777777" w:rsidR="001C5EDD" w:rsidRPr="00D74025" w:rsidRDefault="001C5EDD">
      <w:pPr>
        <w:pStyle w:val="ListParagraph"/>
        <w:numPr>
          <w:ilvl w:val="1"/>
          <w:numId w:val="2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Put beaker in tub w/ ice while sonicating. </w:t>
      </w:r>
    </w:p>
    <w:p w14:paraId="2656030D" w14:textId="77777777" w:rsidR="001C5EDD" w:rsidRPr="00D74025" w:rsidRDefault="001C5EDD" w:rsidP="00F6020C">
      <w:pPr>
        <w:spacing w:line="276" w:lineRule="auto"/>
        <w:rPr>
          <w:rFonts w:ascii="Arial" w:hAnsi="Arial" w:cs="Arial"/>
          <w:color w:val="000000" w:themeColor="text1"/>
        </w:rPr>
      </w:pPr>
    </w:p>
    <w:p w14:paraId="4CBFD1F4" w14:textId="77777777"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Centrifuge the lysate obtained at 12,000 x </w:t>
      </w:r>
      <w:r w:rsidRPr="00D74025">
        <w:rPr>
          <w:rFonts w:ascii="Arial" w:hAnsi="Arial" w:cs="Arial"/>
          <w:i/>
          <w:color w:val="000000" w:themeColor="text1"/>
        </w:rPr>
        <w:t>g</w:t>
      </w:r>
      <w:r w:rsidRPr="00D74025">
        <w:rPr>
          <w:rFonts w:ascii="Arial" w:hAnsi="Arial" w:cs="Arial"/>
          <w:color w:val="000000" w:themeColor="text1"/>
        </w:rPr>
        <w:t xml:space="preserve"> for 30 min to remove the cell debris and take the supernatant</w:t>
      </w:r>
      <w:bookmarkStart w:id="201" w:name="_Toc164062057"/>
      <w:bookmarkStart w:id="202" w:name="_Toc168751633"/>
      <w:bookmarkStart w:id="203" w:name="_Toc172440518"/>
      <w:r w:rsidRPr="00D74025">
        <w:rPr>
          <w:rFonts w:ascii="Arial" w:hAnsi="Arial" w:cs="Arial"/>
          <w:color w:val="000000" w:themeColor="text1"/>
        </w:rPr>
        <w:t>.</w:t>
      </w:r>
    </w:p>
    <w:p w14:paraId="75E65B5F" w14:textId="77777777" w:rsidR="001C5EDD" w:rsidRPr="00D74025" w:rsidRDefault="001C5EDD">
      <w:pPr>
        <w:pStyle w:val="ListParagraph"/>
        <w:numPr>
          <w:ilvl w:val="1"/>
          <w:numId w:val="2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Pour beaker contents into 1 purple VWR 50 ml centrifuge tube. </w:t>
      </w:r>
    </w:p>
    <w:p w14:paraId="214C54A2" w14:textId="77777777" w:rsidR="001C5EDD" w:rsidRPr="00D74025" w:rsidRDefault="001C5EDD">
      <w:pPr>
        <w:pStyle w:val="ListParagraph"/>
        <w:numPr>
          <w:ilvl w:val="1"/>
          <w:numId w:val="2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Centrifuge at 12000xg for 30 mins =&gt; </w:t>
      </w:r>
      <w:proofErr w:type="gramStart"/>
      <w:r w:rsidRPr="00D74025">
        <w:rPr>
          <w:rFonts w:ascii="Arial" w:hAnsi="Arial" w:cs="Arial"/>
          <w:color w:val="000000" w:themeColor="text1"/>
        </w:rPr>
        <w:t>this equals</w:t>
      </w:r>
      <w:proofErr w:type="gramEnd"/>
      <w:r w:rsidRPr="00D74025">
        <w:rPr>
          <w:rFonts w:ascii="Arial" w:hAnsi="Arial" w:cs="Arial"/>
          <w:color w:val="000000" w:themeColor="text1"/>
        </w:rPr>
        <w:t xml:space="preserve"> ~10,000 rpm.</w:t>
      </w:r>
    </w:p>
    <w:p w14:paraId="08578DEB" w14:textId="77777777" w:rsidR="001C5EDD" w:rsidRPr="00D74025" w:rsidRDefault="001C5EDD">
      <w:pPr>
        <w:pStyle w:val="ListParagraph"/>
        <w:numPr>
          <w:ilvl w:val="1"/>
          <w:numId w:val="2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Take 750 µl sample after centrifuging.  Label sample ‘</w:t>
      </w:r>
      <w:r w:rsidRPr="00D74025">
        <w:rPr>
          <w:rFonts w:ascii="Arial" w:hAnsi="Arial" w:cs="Arial"/>
          <w:b/>
          <w:color w:val="000000" w:themeColor="text1"/>
        </w:rPr>
        <w:t>SS</w:t>
      </w:r>
      <w:r w:rsidRPr="00D74025">
        <w:rPr>
          <w:rFonts w:ascii="Arial" w:hAnsi="Arial" w:cs="Arial"/>
          <w:color w:val="000000" w:themeColor="text1"/>
        </w:rPr>
        <w:t>.’ The proteins will be in the supernatant and the cell debris will be at bottom of tube.</w:t>
      </w:r>
    </w:p>
    <w:p w14:paraId="21EC134A" w14:textId="77777777" w:rsidR="001C5EDD" w:rsidRPr="00D74025" w:rsidRDefault="001C5EDD" w:rsidP="00F6020C">
      <w:pPr>
        <w:pStyle w:val="ListParagraph"/>
        <w:spacing w:line="276" w:lineRule="auto"/>
        <w:rPr>
          <w:rFonts w:ascii="Arial" w:hAnsi="Arial" w:cs="Arial"/>
          <w:color w:val="000000" w:themeColor="text1"/>
        </w:rPr>
      </w:pPr>
    </w:p>
    <w:bookmarkEnd w:id="201"/>
    <w:bookmarkEnd w:id="202"/>
    <w:bookmarkEnd w:id="203"/>
    <w:p w14:paraId="78ACCA15" w14:textId="77777777" w:rsidR="001C5EDD" w:rsidRPr="00D74025" w:rsidRDefault="001C5EDD" w:rsidP="00F6020C">
      <w:pPr>
        <w:spacing w:line="276" w:lineRule="auto"/>
        <w:jc w:val="center"/>
        <w:rPr>
          <w:rFonts w:ascii="Arial" w:hAnsi="Arial" w:cs="Arial"/>
          <w:b/>
          <w:color w:val="000000" w:themeColor="text1"/>
        </w:rPr>
      </w:pPr>
      <w:r w:rsidRPr="00D74025">
        <w:rPr>
          <w:rFonts w:ascii="Arial" w:hAnsi="Arial" w:cs="Arial"/>
          <w:b/>
          <w:color w:val="000000" w:themeColor="text1"/>
        </w:rPr>
        <w:t>Protein Purification</w:t>
      </w:r>
    </w:p>
    <w:p w14:paraId="17D17D6B" w14:textId="77777777" w:rsidR="001C5EDD" w:rsidRPr="00D74025" w:rsidRDefault="001C5EDD" w:rsidP="00F6020C">
      <w:pPr>
        <w:spacing w:line="276" w:lineRule="auto"/>
        <w:rPr>
          <w:rFonts w:ascii="Arial" w:hAnsi="Arial" w:cs="Arial"/>
          <w:b/>
          <w:color w:val="000000" w:themeColor="text1"/>
          <w:u w:val="single"/>
        </w:rPr>
      </w:pPr>
    </w:p>
    <w:p w14:paraId="5AC53A07" w14:textId="550190DE" w:rsidR="001C5EDD" w:rsidRPr="00D74025" w:rsidRDefault="00DD7C55" w:rsidP="00F6020C">
      <w:pPr>
        <w:spacing w:line="276" w:lineRule="auto"/>
        <w:rPr>
          <w:rFonts w:ascii="Arial" w:hAnsi="Arial" w:cs="Arial"/>
          <w:color w:val="000000" w:themeColor="text1"/>
          <w:u w:val="single"/>
        </w:rPr>
      </w:pPr>
      <w:r>
        <w:rPr>
          <w:rFonts w:ascii="Arial" w:hAnsi="Arial" w:cs="Arial"/>
          <w:color w:val="000000" w:themeColor="text1"/>
          <w:u w:val="single"/>
        </w:rPr>
        <w:t>Day 4</w:t>
      </w:r>
    </w:p>
    <w:p w14:paraId="5B4FF54F" w14:textId="21C7EE8E"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After taking supernatant sample, add </w:t>
      </w:r>
      <w:r w:rsidR="00BB4119">
        <w:rPr>
          <w:rFonts w:ascii="Arial" w:hAnsi="Arial" w:cs="Arial"/>
          <w:color w:val="000000" w:themeColor="text1"/>
        </w:rPr>
        <w:t>i</w:t>
      </w:r>
      <w:r w:rsidRPr="00D74025">
        <w:rPr>
          <w:rFonts w:ascii="Arial" w:hAnsi="Arial" w:cs="Arial"/>
          <w:color w:val="000000" w:themeColor="text1"/>
        </w:rPr>
        <w:t xml:space="preserve">midazole (40 mM) and NaCl (500 mM) to the lysate to reduce non-specific protein binding. </w:t>
      </w:r>
    </w:p>
    <w:p w14:paraId="2582BE94" w14:textId="77777777" w:rsidR="001C5EDD" w:rsidRPr="00D74025" w:rsidRDefault="001C5EDD">
      <w:pPr>
        <w:pStyle w:val="ListParagraph"/>
        <w:numPr>
          <w:ilvl w:val="0"/>
          <w:numId w:val="7"/>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40 mM imidazole =&gt; use 0.0817 g</w:t>
      </w:r>
    </w:p>
    <w:p w14:paraId="23D5F64E" w14:textId="0E1787FE" w:rsidR="001C5EDD" w:rsidRPr="00D74025" w:rsidRDefault="001C5EDD">
      <w:pPr>
        <w:pStyle w:val="ListParagraph"/>
        <w:numPr>
          <w:ilvl w:val="0"/>
          <w:numId w:val="7"/>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500 mM</w:t>
      </w:r>
      <w:r w:rsidR="00BB4119">
        <w:rPr>
          <w:rFonts w:ascii="Arial" w:hAnsi="Arial" w:cs="Arial"/>
          <w:color w:val="000000" w:themeColor="text1"/>
        </w:rPr>
        <w:t xml:space="preserve"> </w:t>
      </w:r>
      <w:r w:rsidRPr="00D74025">
        <w:rPr>
          <w:rFonts w:ascii="Arial" w:hAnsi="Arial" w:cs="Arial"/>
          <w:color w:val="000000" w:themeColor="text1"/>
        </w:rPr>
        <w:t>NaCl =&gt; use 1.168 g</w:t>
      </w:r>
    </w:p>
    <w:p w14:paraId="6256CD33" w14:textId="77777777" w:rsidR="001C5EDD" w:rsidRPr="00D74025" w:rsidRDefault="001C5EDD" w:rsidP="00F6020C">
      <w:pPr>
        <w:spacing w:line="276" w:lineRule="auto"/>
        <w:rPr>
          <w:rFonts w:ascii="Arial" w:hAnsi="Arial" w:cs="Arial"/>
          <w:color w:val="000000" w:themeColor="text1"/>
        </w:rPr>
      </w:pPr>
    </w:p>
    <w:p w14:paraId="370B0694" w14:textId="77777777"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Equilibrate a 5 ml </w:t>
      </w:r>
      <w:proofErr w:type="spellStart"/>
      <w:r w:rsidRPr="00D74025">
        <w:rPr>
          <w:rFonts w:ascii="Arial" w:hAnsi="Arial" w:cs="Arial"/>
          <w:color w:val="000000" w:themeColor="text1"/>
        </w:rPr>
        <w:t>HisTrap</w:t>
      </w:r>
      <w:proofErr w:type="spellEnd"/>
      <w:r w:rsidRPr="00D74025">
        <w:rPr>
          <w:rFonts w:ascii="Arial" w:hAnsi="Arial" w:cs="Arial"/>
          <w:color w:val="000000" w:themeColor="text1"/>
        </w:rPr>
        <w:t xml:space="preserve"> chromatography column with immobilized Ni</w:t>
      </w:r>
      <w:r w:rsidRPr="00D74025">
        <w:rPr>
          <w:rFonts w:ascii="Arial" w:hAnsi="Arial" w:cs="Arial"/>
          <w:color w:val="000000" w:themeColor="text1"/>
          <w:vertAlign w:val="superscript"/>
        </w:rPr>
        <w:t>+2</w:t>
      </w:r>
      <w:r w:rsidRPr="00D74025">
        <w:rPr>
          <w:rFonts w:ascii="Arial" w:hAnsi="Arial" w:cs="Arial"/>
          <w:color w:val="000000" w:themeColor="text1"/>
        </w:rPr>
        <w:t>using Wash Buffer 1.</w:t>
      </w:r>
    </w:p>
    <w:p w14:paraId="3D082891" w14:textId="77777777" w:rsidR="001C5EDD" w:rsidRPr="00D74025" w:rsidRDefault="001C5EDD">
      <w:pPr>
        <w:pStyle w:val="ListParagraph"/>
        <w:numPr>
          <w:ilvl w:val="1"/>
          <w:numId w:val="25"/>
        </w:numPr>
        <w:spacing w:before="0" w:beforeAutospacing="0" w:after="0" w:afterAutospacing="0" w:line="276" w:lineRule="auto"/>
        <w:jc w:val="left"/>
        <w:rPr>
          <w:rFonts w:ascii="Arial" w:hAnsi="Arial" w:cs="Arial"/>
          <w:color w:val="000000" w:themeColor="text1"/>
        </w:rPr>
      </w:pPr>
      <w:r w:rsidRPr="00D74025">
        <w:rPr>
          <w:rFonts w:ascii="Arial" w:hAnsi="Arial" w:cs="Arial"/>
          <w:noProof/>
          <w:color w:val="000000" w:themeColor="text1"/>
        </w:rPr>
        <mc:AlternateContent>
          <mc:Choice Requires="wps">
            <w:drawing>
              <wp:anchor distT="0" distB="0" distL="114300" distR="114300" simplePos="0" relativeHeight="251658240" behindDoc="0" locked="0" layoutInCell="1" allowOverlap="1" wp14:anchorId="65AAF2E0" wp14:editId="20EF85C8">
                <wp:simplePos x="0" y="0"/>
                <wp:positionH relativeFrom="column">
                  <wp:posOffset>2828003</wp:posOffset>
                </wp:positionH>
                <wp:positionV relativeFrom="paragraph">
                  <wp:posOffset>190008</wp:posOffset>
                </wp:positionV>
                <wp:extent cx="152400" cy="161925"/>
                <wp:effectExtent l="0" t="0" r="38100" b="47625"/>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1925"/>
                        </a:xfrm>
                        <a:prstGeom prst="curvedRightArrow">
                          <a:avLst>
                            <a:gd name="adj1" fmla="val 21250"/>
                            <a:gd name="adj2" fmla="val 42500"/>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0A8C14"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utoShape 12" o:spid="_x0000_s1026" type="#_x0000_t102" style="position:absolute;margin-left:222.7pt;margin-top:14.95pt;width:12pt;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"/>
            </w:pict>
          </mc:Fallback>
        </mc:AlternateContent>
      </w:r>
      <w:r w:rsidRPr="00D74025">
        <w:rPr>
          <w:rFonts w:ascii="Arial" w:hAnsi="Arial" w:cs="Arial"/>
          <w:color w:val="000000" w:themeColor="text1"/>
        </w:rPr>
        <w:t xml:space="preserve">Feed wash buffer thru column until the output reaches baseline, then feed lysate thru at -8.00 </w:t>
      </w:r>
    </w:p>
    <w:p w14:paraId="7D09237B" w14:textId="77777777" w:rsidR="001C5EDD" w:rsidRPr="00D74025" w:rsidRDefault="001C5EDD">
      <w:pPr>
        <w:pStyle w:val="ListParagraph"/>
        <w:numPr>
          <w:ilvl w:val="1"/>
          <w:numId w:val="2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Turn on detector.</w:t>
      </w:r>
    </w:p>
    <w:p w14:paraId="62A31999" w14:textId="77777777" w:rsidR="001C5EDD" w:rsidRPr="00D74025" w:rsidRDefault="001C5EDD">
      <w:pPr>
        <w:pStyle w:val="ListParagraph"/>
        <w:numPr>
          <w:ilvl w:val="1"/>
          <w:numId w:val="2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Turn on drop former – mode 0, rack 1, size 2, last tube 100, min 4, delay 0.</w:t>
      </w:r>
    </w:p>
    <w:p w14:paraId="2619DC6C" w14:textId="77777777" w:rsidR="001C5EDD" w:rsidRPr="00D74025" w:rsidRDefault="001C5EDD">
      <w:pPr>
        <w:pStyle w:val="ListParagraph"/>
        <w:numPr>
          <w:ilvl w:val="1"/>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u w:val="single"/>
        </w:rPr>
        <w:t>WASH BUFFER 1</w:t>
      </w:r>
      <w:r w:rsidRPr="00D74025">
        <w:rPr>
          <w:rFonts w:ascii="Arial" w:hAnsi="Arial" w:cs="Arial"/>
          <w:color w:val="000000" w:themeColor="text1"/>
        </w:rPr>
        <w:t xml:space="preserve"> (500 mL) (- 30 min)</w:t>
      </w:r>
    </w:p>
    <w:p w14:paraId="4929ECE8" w14:textId="2E89B87B" w:rsidR="001C5EDD" w:rsidRPr="00D74025" w:rsidRDefault="001C5EDD">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20 mM</w:t>
      </w:r>
      <w:r w:rsidR="008A0775">
        <w:rPr>
          <w:rFonts w:ascii="Arial" w:hAnsi="Arial" w:cs="Arial"/>
          <w:color w:val="000000" w:themeColor="text1"/>
        </w:rPr>
        <w:t xml:space="preserve"> </w:t>
      </w:r>
      <w:r w:rsidRPr="00D74025">
        <w:rPr>
          <w:rFonts w:ascii="Arial" w:hAnsi="Arial" w:cs="Arial"/>
          <w:color w:val="000000" w:themeColor="text1"/>
        </w:rPr>
        <w:t>sodium phosphate dibasic =&gt; use 1.42 g</w:t>
      </w:r>
    </w:p>
    <w:p w14:paraId="687259AB" w14:textId="77777777" w:rsidR="001C5EDD" w:rsidRPr="00D74025" w:rsidRDefault="001C5EDD">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40 mM imidazole =&gt; use 1.362 g</w:t>
      </w:r>
    </w:p>
    <w:p w14:paraId="05E6E9B7" w14:textId="53E5B626" w:rsidR="001C5EDD" w:rsidRPr="00D74025" w:rsidRDefault="001C5EDD">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500 mM</w:t>
      </w:r>
      <w:r w:rsidR="008A0775">
        <w:rPr>
          <w:rFonts w:ascii="Arial" w:hAnsi="Arial" w:cs="Arial"/>
          <w:color w:val="000000" w:themeColor="text1"/>
        </w:rPr>
        <w:t xml:space="preserve"> </w:t>
      </w:r>
      <w:r w:rsidRPr="00D74025">
        <w:rPr>
          <w:rFonts w:ascii="Arial" w:hAnsi="Arial" w:cs="Arial"/>
          <w:color w:val="000000" w:themeColor="text1"/>
        </w:rPr>
        <w:t>NaCl =&gt; use 14.61 g</w:t>
      </w:r>
    </w:p>
    <w:p w14:paraId="06A0B6E0" w14:textId="77777777" w:rsidR="001C5EDD" w:rsidRPr="00D74025" w:rsidRDefault="001C5EDD">
      <w:pPr>
        <w:pStyle w:val="ListParagraph"/>
        <w:numPr>
          <w:ilvl w:val="0"/>
          <w:numId w:val="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Correct this to pH 7.4</w:t>
      </w:r>
    </w:p>
    <w:p w14:paraId="5E9454FD" w14:textId="77777777" w:rsidR="001C5EDD" w:rsidRPr="00D74025" w:rsidRDefault="001C5EDD" w:rsidP="00F6020C">
      <w:pPr>
        <w:spacing w:line="276" w:lineRule="auto"/>
        <w:rPr>
          <w:rFonts w:ascii="Arial" w:hAnsi="Arial" w:cs="Arial"/>
          <w:color w:val="000000" w:themeColor="text1"/>
        </w:rPr>
      </w:pPr>
    </w:p>
    <w:p w14:paraId="7B8D4ECA" w14:textId="77777777"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lastRenderedPageBreak/>
        <w:t>Feed the soluble protein fraction into the column.  Collect flow through and label ‘</w:t>
      </w:r>
      <w:r w:rsidRPr="00D74025">
        <w:rPr>
          <w:rFonts w:ascii="Arial" w:hAnsi="Arial" w:cs="Arial"/>
          <w:b/>
          <w:color w:val="000000" w:themeColor="text1"/>
        </w:rPr>
        <w:t>F1-1</w:t>
      </w:r>
      <w:r w:rsidRPr="00D74025">
        <w:rPr>
          <w:rFonts w:ascii="Arial" w:hAnsi="Arial" w:cs="Arial"/>
          <w:color w:val="000000" w:themeColor="text1"/>
        </w:rPr>
        <w:t>.’</w:t>
      </w:r>
    </w:p>
    <w:p w14:paraId="77149643" w14:textId="77777777" w:rsidR="001C5EDD" w:rsidRPr="00D74025" w:rsidRDefault="001C5EDD" w:rsidP="00F6020C">
      <w:pPr>
        <w:spacing w:line="276" w:lineRule="auto"/>
        <w:rPr>
          <w:rFonts w:ascii="Arial" w:hAnsi="Arial" w:cs="Arial"/>
          <w:color w:val="000000" w:themeColor="text1"/>
        </w:rPr>
      </w:pPr>
    </w:p>
    <w:p w14:paraId="6BD58458" w14:textId="77777777"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Wash the column with 70 column volumes of Wash Buffer 2 to remove unwanted proteins and endotoxin (250 ml).</w:t>
      </w:r>
    </w:p>
    <w:p w14:paraId="7943157B" w14:textId="77777777" w:rsidR="001C5EDD" w:rsidRPr="00D74025" w:rsidRDefault="001C5EDD">
      <w:pPr>
        <w:pStyle w:val="ListParagraph"/>
        <w:numPr>
          <w:ilvl w:val="0"/>
          <w:numId w:val="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Collect flow thru – contains unwanted proteins </w:t>
      </w:r>
    </w:p>
    <w:p w14:paraId="1D9C1715" w14:textId="77777777" w:rsidR="001C5EDD" w:rsidRPr="00D74025" w:rsidRDefault="001C5EDD">
      <w:pPr>
        <w:pStyle w:val="ListParagraph"/>
        <w:numPr>
          <w:ilvl w:val="0"/>
          <w:numId w:val="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Label sample ‘</w:t>
      </w:r>
      <w:r w:rsidRPr="00D74025">
        <w:rPr>
          <w:rFonts w:ascii="Arial" w:hAnsi="Arial" w:cs="Arial"/>
          <w:b/>
          <w:color w:val="000000" w:themeColor="text1"/>
        </w:rPr>
        <w:t>F1-2</w:t>
      </w:r>
      <w:r w:rsidRPr="00D74025">
        <w:rPr>
          <w:rFonts w:ascii="Arial" w:hAnsi="Arial" w:cs="Arial"/>
          <w:color w:val="000000" w:themeColor="text1"/>
        </w:rPr>
        <w:t>.’</w:t>
      </w:r>
    </w:p>
    <w:p w14:paraId="082E3CCD" w14:textId="77777777" w:rsidR="001C5EDD" w:rsidRPr="00D74025" w:rsidRDefault="001C5EDD">
      <w:pPr>
        <w:pStyle w:val="ListParagraph"/>
        <w:numPr>
          <w:ilvl w:val="1"/>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u w:val="single"/>
        </w:rPr>
        <w:t>WASH BUFFER 2</w:t>
      </w:r>
      <w:r w:rsidRPr="00D74025">
        <w:rPr>
          <w:rFonts w:ascii="Arial" w:hAnsi="Arial" w:cs="Arial"/>
          <w:color w:val="000000" w:themeColor="text1"/>
        </w:rPr>
        <w:t xml:space="preserve"> (300 mL) (- 1.5 hours)</w:t>
      </w:r>
    </w:p>
    <w:p w14:paraId="70DF327A" w14:textId="77777777" w:rsidR="001C5EDD" w:rsidRPr="00D74025" w:rsidRDefault="001C5EDD">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20 mM sodium phosphate dibasic =&gt;use 0.8517 g</w:t>
      </w:r>
    </w:p>
    <w:p w14:paraId="3DA06064" w14:textId="77777777" w:rsidR="001C5EDD" w:rsidRPr="00D74025" w:rsidRDefault="001C5EDD">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40 mM imidazole =&gt;use 0.817 g</w:t>
      </w:r>
    </w:p>
    <w:p w14:paraId="4C9EAFB9" w14:textId="77777777" w:rsidR="001C5EDD" w:rsidRPr="00D74025" w:rsidRDefault="001C5EDD">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500 mM NaCl=&gt; use 8.766 g</w:t>
      </w:r>
    </w:p>
    <w:p w14:paraId="7EC82C69" w14:textId="77777777" w:rsidR="001C5EDD" w:rsidRPr="00D74025" w:rsidRDefault="001C5EDD">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0.1% </w:t>
      </w:r>
      <w:proofErr w:type="spellStart"/>
      <w:r w:rsidRPr="00D74025">
        <w:rPr>
          <w:rFonts w:ascii="Arial" w:hAnsi="Arial" w:cs="Arial"/>
          <w:color w:val="000000" w:themeColor="text1"/>
        </w:rPr>
        <w:t>Trition</w:t>
      </w:r>
      <w:proofErr w:type="spellEnd"/>
      <w:r w:rsidRPr="00D74025">
        <w:rPr>
          <w:rFonts w:ascii="Arial" w:hAnsi="Arial" w:cs="Arial"/>
          <w:color w:val="000000" w:themeColor="text1"/>
        </w:rPr>
        <w:t xml:space="preserve"> X-114 =&gt; 3 ml</w:t>
      </w:r>
    </w:p>
    <w:p w14:paraId="605CC109" w14:textId="77777777" w:rsidR="001C5EDD" w:rsidRPr="00D74025" w:rsidRDefault="001C5EDD">
      <w:pPr>
        <w:pStyle w:val="ListParagraph"/>
        <w:numPr>
          <w:ilvl w:val="0"/>
          <w:numId w:val="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Correct this to pH 7.4</w:t>
      </w:r>
    </w:p>
    <w:p w14:paraId="61667113" w14:textId="77777777" w:rsidR="001C5EDD" w:rsidRPr="00D74025" w:rsidRDefault="001C5EDD" w:rsidP="00F6020C">
      <w:pPr>
        <w:spacing w:line="276" w:lineRule="auto"/>
        <w:rPr>
          <w:rFonts w:ascii="Arial" w:hAnsi="Arial" w:cs="Arial"/>
          <w:color w:val="000000" w:themeColor="text1"/>
        </w:rPr>
      </w:pPr>
    </w:p>
    <w:p w14:paraId="320CDAF1" w14:textId="74771701"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Wash the column with 20 column volumes of Wash Buffer 1</w:t>
      </w:r>
      <w:r w:rsidR="008A0775">
        <w:rPr>
          <w:rFonts w:ascii="Arial" w:hAnsi="Arial" w:cs="Arial"/>
          <w:color w:val="000000" w:themeColor="text1"/>
        </w:rPr>
        <w:t xml:space="preserve"> </w:t>
      </w:r>
      <w:r w:rsidRPr="00D74025">
        <w:rPr>
          <w:rFonts w:ascii="Arial" w:hAnsi="Arial" w:cs="Arial"/>
          <w:color w:val="000000" w:themeColor="text1"/>
        </w:rPr>
        <w:t>to wash the protein until the pen reaches the baseline (100 ml). (- 40 min)</w:t>
      </w:r>
    </w:p>
    <w:p w14:paraId="32381EC0" w14:textId="77777777" w:rsidR="001C5EDD" w:rsidRPr="00D74025" w:rsidRDefault="001C5EDD">
      <w:pPr>
        <w:pStyle w:val="ListParagraph"/>
        <w:numPr>
          <w:ilvl w:val="0"/>
          <w:numId w:val="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Collect flow thru – contains unwanted proteins (take 800 µl sample)</w:t>
      </w:r>
    </w:p>
    <w:p w14:paraId="2E00855E" w14:textId="77777777" w:rsidR="001C5EDD" w:rsidRPr="00D74025" w:rsidRDefault="001C5EDD">
      <w:pPr>
        <w:pStyle w:val="ListParagraph"/>
        <w:numPr>
          <w:ilvl w:val="0"/>
          <w:numId w:val="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Label sample ‘</w:t>
      </w:r>
      <w:r w:rsidRPr="00D74025">
        <w:rPr>
          <w:rFonts w:ascii="Arial" w:hAnsi="Arial" w:cs="Arial"/>
          <w:b/>
          <w:color w:val="000000" w:themeColor="text1"/>
        </w:rPr>
        <w:t>F1-3</w:t>
      </w:r>
      <w:r w:rsidRPr="00D74025">
        <w:rPr>
          <w:rFonts w:ascii="Arial" w:hAnsi="Arial" w:cs="Arial"/>
          <w:color w:val="000000" w:themeColor="text1"/>
        </w:rPr>
        <w:t>.’</w:t>
      </w:r>
    </w:p>
    <w:p w14:paraId="650923EA" w14:textId="77777777" w:rsidR="001C5EDD" w:rsidRPr="00D74025" w:rsidRDefault="001C5EDD">
      <w:pPr>
        <w:pStyle w:val="ListParagraph"/>
        <w:numPr>
          <w:ilvl w:val="0"/>
          <w:numId w:val="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Look at graph paper from previous run to understand when/what to collect.</w:t>
      </w:r>
    </w:p>
    <w:p w14:paraId="2AB3ADC3" w14:textId="77777777" w:rsidR="001C5EDD" w:rsidRPr="00D74025" w:rsidRDefault="001C5EDD" w:rsidP="00F6020C">
      <w:pPr>
        <w:pStyle w:val="ListParagraph"/>
        <w:spacing w:line="276" w:lineRule="auto"/>
        <w:ind w:left="1080"/>
        <w:rPr>
          <w:rFonts w:ascii="Arial" w:hAnsi="Arial" w:cs="Arial"/>
          <w:color w:val="000000" w:themeColor="text1"/>
        </w:rPr>
      </w:pPr>
    </w:p>
    <w:p w14:paraId="4A1DDEF1" w14:textId="77777777"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Elute the protein using elution buffer.</w:t>
      </w:r>
    </w:p>
    <w:p w14:paraId="76FE99DD" w14:textId="77777777" w:rsidR="001C5EDD" w:rsidRPr="00D74025" w:rsidRDefault="001C5EDD">
      <w:pPr>
        <w:pStyle w:val="ListParagraph"/>
        <w:numPr>
          <w:ilvl w:val="0"/>
          <w:numId w:val="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Collect the elution – contains our FP (take 800 µl sample)</w:t>
      </w:r>
    </w:p>
    <w:p w14:paraId="2061BD15" w14:textId="77777777" w:rsidR="001C5EDD" w:rsidRPr="00D74025" w:rsidRDefault="001C5EDD">
      <w:pPr>
        <w:pStyle w:val="ListParagraph"/>
        <w:numPr>
          <w:ilvl w:val="0"/>
          <w:numId w:val="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Label the sample ‘</w:t>
      </w:r>
      <w:r w:rsidRPr="00D74025">
        <w:rPr>
          <w:rFonts w:ascii="Arial" w:hAnsi="Arial" w:cs="Arial"/>
          <w:b/>
          <w:color w:val="000000" w:themeColor="text1"/>
        </w:rPr>
        <w:t>E1</w:t>
      </w:r>
      <w:r w:rsidRPr="00D74025">
        <w:rPr>
          <w:rFonts w:ascii="Arial" w:hAnsi="Arial" w:cs="Arial"/>
          <w:color w:val="000000" w:themeColor="text1"/>
        </w:rPr>
        <w:t>.’</w:t>
      </w:r>
    </w:p>
    <w:p w14:paraId="609F839A" w14:textId="77777777" w:rsidR="001C5EDD" w:rsidRPr="00D74025" w:rsidRDefault="001C5EDD">
      <w:pPr>
        <w:pStyle w:val="ListParagraph"/>
        <w:numPr>
          <w:ilvl w:val="0"/>
          <w:numId w:val="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Look at graph paper from previous run to understand when/what to collect.</w:t>
      </w:r>
    </w:p>
    <w:p w14:paraId="628894E4" w14:textId="77777777" w:rsidR="001C5EDD" w:rsidRPr="00D74025" w:rsidRDefault="001C5EDD">
      <w:pPr>
        <w:pStyle w:val="ListParagraph"/>
        <w:numPr>
          <w:ilvl w:val="1"/>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u w:val="single"/>
        </w:rPr>
        <w:t>ELUTION BUFFER</w:t>
      </w:r>
      <w:r w:rsidRPr="00D74025">
        <w:rPr>
          <w:rFonts w:ascii="Arial" w:hAnsi="Arial" w:cs="Arial"/>
          <w:color w:val="000000" w:themeColor="text1"/>
        </w:rPr>
        <w:t xml:space="preserve"> (300 mL)</w:t>
      </w:r>
    </w:p>
    <w:p w14:paraId="2CC4E8E3" w14:textId="77777777" w:rsidR="001C5EDD" w:rsidRPr="00D74025" w:rsidRDefault="001C5EDD">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20 mM sodium phosphate dibasic =&gt;use 0.8517 g</w:t>
      </w:r>
    </w:p>
    <w:p w14:paraId="1927222F" w14:textId="77777777" w:rsidR="001C5EDD" w:rsidRPr="00D74025" w:rsidRDefault="001C5EDD">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500 mM imidazole =&gt; use 10.212 g</w:t>
      </w:r>
    </w:p>
    <w:p w14:paraId="0D573720" w14:textId="77777777" w:rsidR="001C5EDD" w:rsidRPr="00D74025" w:rsidRDefault="001C5EDD">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500 mM NaCl =&gt; use 8.766 g</w:t>
      </w:r>
    </w:p>
    <w:p w14:paraId="65EA7621" w14:textId="77777777" w:rsidR="001C5EDD" w:rsidRPr="00D74025" w:rsidRDefault="001C5EDD">
      <w:pPr>
        <w:pStyle w:val="ListParagraph"/>
        <w:numPr>
          <w:ilvl w:val="0"/>
          <w:numId w:val="6"/>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Correct this to pH 7</w:t>
      </w:r>
    </w:p>
    <w:p w14:paraId="6EC2AFF8" w14:textId="77777777"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Dialyze eluted protein for 3 hours against 2 liters of dialysis buffer containing 20 mM sodium phosphate at pH 7.4 to remove NaCl and imidazole from the protein solution and make it suitable for C-terminal His-tag cleavage.</w:t>
      </w:r>
    </w:p>
    <w:p w14:paraId="3DE5B115" w14:textId="77777777" w:rsidR="001C5EDD" w:rsidRPr="00D74025" w:rsidRDefault="001C5EDD">
      <w:pPr>
        <w:pStyle w:val="ListParagraph"/>
        <w:numPr>
          <w:ilvl w:val="1"/>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u w:val="single"/>
        </w:rPr>
        <w:t>DIALYSIS 1 BUFFER</w:t>
      </w:r>
      <w:r w:rsidRPr="00D74025">
        <w:rPr>
          <w:rFonts w:ascii="Arial" w:hAnsi="Arial" w:cs="Arial"/>
          <w:color w:val="000000" w:themeColor="text1"/>
        </w:rPr>
        <w:t xml:space="preserve"> (2 L) </w:t>
      </w:r>
      <w:r w:rsidRPr="00D74025">
        <w:rPr>
          <w:rFonts w:ascii="Arial" w:hAnsi="Arial" w:cs="Arial"/>
          <w:i/>
          <w:color w:val="000000" w:themeColor="text1"/>
        </w:rPr>
        <w:t>– Used 2 dialysis because collected 40 mL of protein -&gt; 20 mL for each dialysis</w:t>
      </w:r>
    </w:p>
    <w:p w14:paraId="2FC7535D" w14:textId="77777777" w:rsidR="001C5EDD" w:rsidRPr="00D74025" w:rsidRDefault="001C5EDD">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20 mM sodium phosphate dibasic =&gt;5.678 g</w:t>
      </w:r>
    </w:p>
    <w:p w14:paraId="0CD5DD5F" w14:textId="77777777" w:rsidR="001C5EDD" w:rsidRPr="00D74025" w:rsidRDefault="001C5EDD">
      <w:pPr>
        <w:pStyle w:val="ListParagraph"/>
        <w:numPr>
          <w:ilvl w:val="0"/>
          <w:numId w:val="6"/>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Adjust to pH 7.4</w:t>
      </w:r>
    </w:p>
    <w:p w14:paraId="039A3D0A" w14:textId="77777777" w:rsidR="001C5EDD" w:rsidRPr="00D74025" w:rsidRDefault="001C5EDD">
      <w:pPr>
        <w:pStyle w:val="ListParagraph"/>
        <w:numPr>
          <w:ilvl w:val="0"/>
          <w:numId w:val="10"/>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After dialysis, put back in a 50 ml centrifuge tube.  Take a 750 µl sample.  Label the sample ‘</w:t>
      </w:r>
      <w:r w:rsidRPr="00D74025">
        <w:rPr>
          <w:rFonts w:ascii="Arial" w:hAnsi="Arial" w:cs="Arial"/>
          <w:b/>
          <w:color w:val="000000" w:themeColor="text1"/>
        </w:rPr>
        <w:t>AD1</w:t>
      </w:r>
      <w:r w:rsidRPr="00D74025">
        <w:rPr>
          <w:rFonts w:ascii="Arial" w:hAnsi="Arial" w:cs="Arial"/>
          <w:color w:val="000000" w:themeColor="text1"/>
        </w:rPr>
        <w:t>.’</w:t>
      </w:r>
    </w:p>
    <w:p w14:paraId="4F244C99" w14:textId="77777777" w:rsidR="001C5EDD" w:rsidRPr="00D74025" w:rsidRDefault="001C5EDD" w:rsidP="00F6020C">
      <w:pPr>
        <w:pStyle w:val="ListParagraph"/>
        <w:spacing w:line="276" w:lineRule="auto"/>
        <w:rPr>
          <w:rFonts w:ascii="Arial" w:hAnsi="Arial" w:cs="Arial"/>
          <w:color w:val="000000" w:themeColor="text1"/>
        </w:rPr>
      </w:pPr>
    </w:p>
    <w:p w14:paraId="3E9B6A9D" w14:textId="77777777"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Before continuing, need to regenerate the column using this procedure:</w:t>
      </w:r>
    </w:p>
    <w:p w14:paraId="6B55EB7D" w14:textId="77777777" w:rsidR="001C5EDD" w:rsidRPr="00D74025" w:rsidRDefault="001C5EDD">
      <w:pPr>
        <w:pStyle w:val="ListParagraph"/>
        <w:numPr>
          <w:ilvl w:val="0"/>
          <w:numId w:val="11"/>
        </w:numPr>
        <w:tabs>
          <w:tab w:val="left" w:pos="1350"/>
        </w:tabs>
        <w:spacing w:before="0" w:beforeAutospacing="0" w:after="0" w:afterAutospacing="0" w:line="276" w:lineRule="auto"/>
        <w:ind w:left="1800"/>
        <w:jc w:val="left"/>
        <w:rPr>
          <w:rFonts w:ascii="Arial" w:hAnsi="Arial" w:cs="Arial"/>
          <w:color w:val="000000" w:themeColor="text1"/>
        </w:rPr>
      </w:pPr>
      <w:r w:rsidRPr="00D74025">
        <w:rPr>
          <w:rFonts w:ascii="Arial" w:hAnsi="Arial" w:cs="Arial"/>
          <w:color w:val="000000" w:themeColor="text1"/>
        </w:rPr>
        <w:t xml:space="preserve">25 ml of 1 M </w:t>
      </w:r>
      <w:proofErr w:type="spellStart"/>
      <w:r w:rsidRPr="00D74025">
        <w:rPr>
          <w:rFonts w:ascii="Arial" w:hAnsi="Arial" w:cs="Arial"/>
          <w:color w:val="000000" w:themeColor="text1"/>
        </w:rPr>
        <w:t>KCl</w:t>
      </w:r>
      <w:proofErr w:type="spellEnd"/>
      <w:r w:rsidRPr="00D74025">
        <w:rPr>
          <w:rFonts w:ascii="Arial" w:hAnsi="Arial" w:cs="Arial"/>
          <w:color w:val="000000" w:themeColor="text1"/>
        </w:rPr>
        <w:t xml:space="preserve"> =&gt; make 200 ml, so use 14.91 g</w:t>
      </w:r>
    </w:p>
    <w:p w14:paraId="5A380E2C" w14:textId="77777777" w:rsidR="001C5EDD" w:rsidRPr="00D74025" w:rsidRDefault="001C5EDD">
      <w:pPr>
        <w:pStyle w:val="ListParagraph"/>
        <w:numPr>
          <w:ilvl w:val="0"/>
          <w:numId w:val="11"/>
        </w:numPr>
        <w:tabs>
          <w:tab w:val="left" w:pos="1350"/>
        </w:tabs>
        <w:spacing w:before="0" w:beforeAutospacing="0" w:after="0" w:afterAutospacing="0" w:line="276" w:lineRule="auto"/>
        <w:ind w:left="1800"/>
        <w:jc w:val="left"/>
        <w:rPr>
          <w:rFonts w:ascii="Arial" w:hAnsi="Arial" w:cs="Arial"/>
          <w:color w:val="000000" w:themeColor="text1"/>
        </w:rPr>
      </w:pPr>
      <w:r w:rsidRPr="00D74025">
        <w:rPr>
          <w:rFonts w:ascii="Arial" w:hAnsi="Arial" w:cs="Arial"/>
          <w:color w:val="000000" w:themeColor="text1"/>
        </w:rPr>
        <w:t>25 ml of 1 M NaOH =&gt; make 200 ml, so use 8.0 g</w:t>
      </w:r>
    </w:p>
    <w:p w14:paraId="3384A040" w14:textId="4D2964C6" w:rsidR="001C5EDD" w:rsidRPr="00D74025" w:rsidRDefault="001C5EDD">
      <w:pPr>
        <w:pStyle w:val="ListParagraph"/>
        <w:numPr>
          <w:ilvl w:val="0"/>
          <w:numId w:val="11"/>
        </w:numPr>
        <w:tabs>
          <w:tab w:val="left" w:pos="1350"/>
        </w:tabs>
        <w:spacing w:before="0" w:beforeAutospacing="0" w:after="0" w:afterAutospacing="0" w:line="276" w:lineRule="auto"/>
        <w:ind w:left="1800"/>
        <w:jc w:val="left"/>
        <w:rPr>
          <w:rFonts w:ascii="Arial" w:hAnsi="Arial" w:cs="Arial"/>
          <w:color w:val="000000" w:themeColor="text1"/>
        </w:rPr>
      </w:pPr>
      <w:r w:rsidRPr="00D74025">
        <w:rPr>
          <w:rFonts w:ascii="Arial" w:hAnsi="Arial" w:cs="Arial"/>
          <w:color w:val="000000" w:themeColor="text1"/>
        </w:rPr>
        <w:t xml:space="preserve">25 ml of DI </w:t>
      </w:r>
      <w:r w:rsidR="005C0061">
        <w:rPr>
          <w:rFonts w:ascii="Arial" w:hAnsi="Arial" w:cs="Arial"/>
          <w:color w:val="000000" w:themeColor="text1"/>
        </w:rPr>
        <w:t>w</w:t>
      </w:r>
      <w:r w:rsidRPr="00D74025">
        <w:rPr>
          <w:rFonts w:ascii="Arial" w:hAnsi="Arial" w:cs="Arial"/>
          <w:color w:val="000000" w:themeColor="text1"/>
        </w:rPr>
        <w:t>ater</w:t>
      </w:r>
    </w:p>
    <w:p w14:paraId="0204912B" w14:textId="77777777" w:rsidR="001C5EDD" w:rsidRPr="00D74025" w:rsidRDefault="001C5EDD">
      <w:pPr>
        <w:pStyle w:val="ListParagraph"/>
        <w:numPr>
          <w:ilvl w:val="0"/>
          <w:numId w:val="11"/>
        </w:numPr>
        <w:tabs>
          <w:tab w:val="left" w:pos="1350"/>
        </w:tabs>
        <w:spacing w:before="0" w:beforeAutospacing="0" w:after="0" w:afterAutospacing="0" w:line="276" w:lineRule="auto"/>
        <w:ind w:left="1800"/>
        <w:jc w:val="left"/>
        <w:rPr>
          <w:rFonts w:ascii="Arial" w:hAnsi="Arial" w:cs="Arial"/>
          <w:color w:val="000000" w:themeColor="text1"/>
        </w:rPr>
      </w:pPr>
      <w:r w:rsidRPr="00D74025">
        <w:rPr>
          <w:rFonts w:ascii="Arial" w:hAnsi="Arial" w:cs="Arial"/>
          <w:color w:val="000000" w:themeColor="text1"/>
        </w:rPr>
        <w:t>25 ml of 1 M HPLC Grade Ethanol =&gt;1.46 ml ethanol + 23.54 ml DI Water</w:t>
      </w:r>
    </w:p>
    <w:p w14:paraId="0441D0E7" w14:textId="77777777" w:rsidR="001C5EDD" w:rsidRPr="00D74025" w:rsidRDefault="001C5EDD" w:rsidP="00F6020C">
      <w:pPr>
        <w:tabs>
          <w:tab w:val="left" w:pos="1350"/>
        </w:tabs>
        <w:spacing w:line="276" w:lineRule="auto"/>
        <w:rPr>
          <w:rFonts w:ascii="Arial" w:hAnsi="Arial" w:cs="Arial"/>
          <w:color w:val="000000" w:themeColor="text1"/>
        </w:rPr>
      </w:pPr>
    </w:p>
    <w:p w14:paraId="6BF7DCD3" w14:textId="0A6903D6"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Measure the concentration of protein (Bradford </w:t>
      </w:r>
      <w:r w:rsidR="005C0061">
        <w:rPr>
          <w:rFonts w:ascii="Arial" w:hAnsi="Arial" w:cs="Arial"/>
          <w:color w:val="000000" w:themeColor="text1"/>
        </w:rPr>
        <w:t>p</w:t>
      </w:r>
      <w:r w:rsidRPr="00D74025">
        <w:rPr>
          <w:rFonts w:ascii="Arial" w:hAnsi="Arial" w:cs="Arial"/>
          <w:color w:val="000000" w:themeColor="text1"/>
        </w:rPr>
        <w:t>rotein assay).</w:t>
      </w:r>
      <w:r w:rsidRPr="00D74025">
        <w:rPr>
          <w:rFonts w:ascii="Arial" w:hAnsi="Arial" w:cs="Arial"/>
          <w:i/>
          <w:color w:val="000000" w:themeColor="text1"/>
        </w:rPr>
        <w:t>2.81 mg/mL measured in 40 mL -&gt; total is 112.4 mg</w:t>
      </w:r>
    </w:p>
    <w:p w14:paraId="1EDF7040" w14:textId="77777777" w:rsidR="001C5EDD" w:rsidRPr="00D74025" w:rsidRDefault="001C5EDD">
      <w:pPr>
        <w:pStyle w:val="ListParagraph"/>
        <w:numPr>
          <w:ilvl w:val="0"/>
          <w:numId w:val="12"/>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Add 30 ml DI Water to tube w/ cell pellet.  Take 750 µl sample. Label sample ‘</w:t>
      </w:r>
      <w:r w:rsidRPr="00D74025">
        <w:rPr>
          <w:rFonts w:ascii="Arial" w:hAnsi="Arial" w:cs="Arial"/>
          <w:b/>
          <w:color w:val="000000" w:themeColor="text1"/>
        </w:rPr>
        <w:t>SP</w:t>
      </w:r>
      <w:r w:rsidRPr="00D74025">
        <w:rPr>
          <w:rFonts w:ascii="Arial" w:hAnsi="Arial" w:cs="Arial"/>
          <w:color w:val="000000" w:themeColor="text1"/>
        </w:rPr>
        <w:t>.’</w:t>
      </w:r>
    </w:p>
    <w:p w14:paraId="7CE1F747" w14:textId="78960A96"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Cleave the</w:t>
      </w:r>
      <w:r w:rsidR="005C0061">
        <w:rPr>
          <w:rFonts w:ascii="Arial" w:hAnsi="Arial" w:cs="Arial"/>
          <w:color w:val="000000" w:themeColor="text1"/>
        </w:rPr>
        <w:t xml:space="preserve"> </w:t>
      </w:r>
      <w:r w:rsidRPr="00D74025">
        <w:rPr>
          <w:rFonts w:ascii="Arial" w:hAnsi="Arial" w:cs="Arial"/>
          <w:color w:val="000000" w:themeColor="text1"/>
        </w:rPr>
        <w:t>C-terminal His-tag by adding HRV 3C protease at 10 U/mg of protein</w:t>
      </w:r>
      <w:r w:rsidR="005C0061">
        <w:rPr>
          <w:rFonts w:ascii="Arial" w:hAnsi="Arial" w:cs="Arial"/>
          <w:color w:val="000000" w:themeColor="text1"/>
        </w:rPr>
        <w:t xml:space="preserve"> </w:t>
      </w:r>
      <w:r w:rsidRPr="00D74025">
        <w:rPr>
          <w:rFonts w:ascii="Arial" w:hAnsi="Arial" w:cs="Arial"/>
          <w:color w:val="000000" w:themeColor="text1"/>
        </w:rPr>
        <w:t>with the recommended 10X buffer provided (stored @ -20ºC). Incubate for 16</w:t>
      </w:r>
      <w:r w:rsidR="005C0061">
        <w:rPr>
          <w:rFonts w:ascii="Arial" w:hAnsi="Arial" w:cs="Arial"/>
          <w:color w:val="000000" w:themeColor="text1"/>
        </w:rPr>
        <w:t xml:space="preserve"> </w:t>
      </w:r>
      <w:r w:rsidRPr="00D74025">
        <w:rPr>
          <w:rFonts w:ascii="Arial" w:hAnsi="Arial" w:cs="Arial"/>
          <w:color w:val="000000" w:themeColor="text1"/>
        </w:rPr>
        <w:t>h at 4</w:t>
      </w:r>
      <w:r w:rsidRPr="00D74025">
        <w:rPr>
          <w:rFonts w:ascii="Arial" w:hAnsi="Arial" w:cs="Arial"/>
          <w:color w:val="000000" w:themeColor="text1"/>
          <w:vertAlign w:val="superscript"/>
        </w:rPr>
        <w:t>o</w:t>
      </w:r>
      <w:r w:rsidRPr="00D74025">
        <w:rPr>
          <w:rFonts w:ascii="Arial" w:hAnsi="Arial" w:cs="Arial"/>
          <w:color w:val="000000" w:themeColor="text1"/>
        </w:rPr>
        <w:t>C at 30 rpm.</w:t>
      </w:r>
    </w:p>
    <w:p w14:paraId="03D84932" w14:textId="5B4E2B28" w:rsidR="001C5EDD" w:rsidRPr="00D74025" w:rsidRDefault="001C5EDD">
      <w:pPr>
        <w:pStyle w:val="ListParagraph"/>
        <w:numPr>
          <w:ilvl w:val="0"/>
          <w:numId w:val="1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Add HRV 3C protease.  HRV 3C protease comes as 2 U/µl</w:t>
      </w:r>
      <w:r w:rsidR="001B1FC4">
        <w:rPr>
          <w:rFonts w:ascii="Arial" w:hAnsi="Arial" w:cs="Arial"/>
          <w:color w:val="000000" w:themeColor="text1"/>
        </w:rPr>
        <w:t>,</w:t>
      </w:r>
      <w:r w:rsidRPr="00D74025">
        <w:rPr>
          <w:rFonts w:ascii="Arial" w:hAnsi="Arial" w:cs="Arial"/>
          <w:color w:val="000000" w:themeColor="text1"/>
        </w:rPr>
        <w:t xml:space="preserve"> and we want to use it at 10 U/mg protein. </w:t>
      </w:r>
    </w:p>
    <w:p w14:paraId="1B7CB3F2" w14:textId="77777777" w:rsidR="001C5EDD" w:rsidRPr="00D74025" w:rsidRDefault="001C5EDD">
      <w:pPr>
        <w:pStyle w:val="ListParagraph"/>
        <w:numPr>
          <w:ilvl w:val="0"/>
          <w:numId w:val="13"/>
        </w:numPr>
        <w:spacing w:before="0" w:beforeAutospacing="0" w:after="0" w:afterAutospacing="0" w:line="276" w:lineRule="auto"/>
        <w:ind w:left="2520"/>
        <w:jc w:val="left"/>
        <w:rPr>
          <w:rFonts w:ascii="Arial" w:hAnsi="Arial" w:cs="Arial"/>
          <w:color w:val="000000" w:themeColor="text1"/>
        </w:rPr>
      </w:pPr>
      <w:r w:rsidRPr="00D74025">
        <w:rPr>
          <w:rFonts w:ascii="Arial" w:hAnsi="Arial" w:cs="Arial"/>
          <w:i/>
          <w:color w:val="000000" w:themeColor="text1"/>
        </w:rPr>
        <w:t>We have ~112 mg protein (10.17.11), but will only cleave ~30 mg (112 mg / 40 mL -&gt; ~10.8 mL)</w:t>
      </w:r>
    </w:p>
    <w:p w14:paraId="1A1007E9" w14:textId="77777777" w:rsidR="001C5EDD" w:rsidRPr="00D74025" w:rsidRDefault="001C5EDD">
      <w:pPr>
        <w:pStyle w:val="ListParagraph"/>
        <w:numPr>
          <w:ilvl w:val="2"/>
          <w:numId w:val="13"/>
        </w:numPr>
        <w:spacing w:before="0" w:beforeAutospacing="0" w:after="0" w:afterAutospacing="0" w:line="276" w:lineRule="auto"/>
        <w:jc w:val="left"/>
        <w:rPr>
          <w:rFonts w:ascii="Arial" w:hAnsi="Arial" w:cs="Arial"/>
          <w:i/>
          <w:color w:val="000000" w:themeColor="text1"/>
        </w:rPr>
      </w:pPr>
      <w:r w:rsidRPr="00D74025">
        <w:rPr>
          <w:rFonts w:ascii="Arial" w:hAnsi="Arial" w:cs="Arial"/>
          <w:i/>
          <w:color w:val="000000" w:themeColor="text1"/>
        </w:rPr>
        <w:t xml:space="preserve">~30 mg * 10 U/mg = 300 U  </w:t>
      </w:r>
    </w:p>
    <w:p w14:paraId="740C2393" w14:textId="77777777" w:rsidR="001C5EDD" w:rsidRPr="00D74025" w:rsidRDefault="001C5EDD">
      <w:pPr>
        <w:pStyle w:val="ListParagraph"/>
        <w:numPr>
          <w:ilvl w:val="2"/>
          <w:numId w:val="13"/>
        </w:numPr>
        <w:spacing w:before="0" w:beforeAutospacing="0" w:after="0" w:afterAutospacing="0" w:line="276" w:lineRule="auto"/>
        <w:jc w:val="left"/>
        <w:rPr>
          <w:rFonts w:ascii="Arial" w:hAnsi="Arial" w:cs="Arial"/>
          <w:i/>
          <w:color w:val="000000" w:themeColor="text1"/>
        </w:rPr>
      </w:pPr>
      <w:r w:rsidRPr="00D74025">
        <w:rPr>
          <w:rFonts w:ascii="Arial" w:hAnsi="Arial" w:cs="Arial"/>
          <w:i/>
          <w:color w:val="000000" w:themeColor="text1"/>
        </w:rPr>
        <w:t>300 U * 1 µl/2U = 150 µl HRV 3C protease.</w:t>
      </w:r>
    </w:p>
    <w:p w14:paraId="10BDA582" w14:textId="784D9DA2" w:rsidR="001C5EDD" w:rsidRPr="00D74025" w:rsidRDefault="001C5EDD">
      <w:pPr>
        <w:pStyle w:val="ListParagraph"/>
        <w:numPr>
          <w:ilvl w:val="2"/>
          <w:numId w:val="13"/>
        </w:numPr>
        <w:spacing w:before="0" w:beforeAutospacing="0" w:after="0" w:afterAutospacing="0" w:line="276" w:lineRule="auto"/>
        <w:jc w:val="left"/>
        <w:rPr>
          <w:rFonts w:ascii="Arial" w:hAnsi="Arial" w:cs="Arial"/>
          <w:i/>
          <w:color w:val="000000" w:themeColor="text1"/>
        </w:rPr>
      </w:pPr>
      <w:r w:rsidRPr="00D74025">
        <w:rPr>
          <w:rFonts w:ascii="Arial" w:hAnsi="Arial" w:cs="Arial"/>
          <w:i/>
          <w:color w:val="000000" w:themeColor="text1"/>
        </w:rPr>
        <w:t>12 mL reaction: 10.8 mL protein, 1.2 mL buffer, 150</w:t>
      </w:r>
      <w:r w:rsidR="00FF588A">
        <w:rPr>
          <w:rFonts w:ascii="Arial" w:hAnsi="Arial" w:cs="Arial"/>
          <w:i/>
          <w:color w:val="000000" w:themeColor="text1"/>
        </w:rPr>
        <w:t xml:space="preserve"> </w:t>
      </w:r>
      <w:r w:rsidR="00FF588A">
        <w:rPr>
          <w:rFonts w:ascii="Arial" w:hAnsi="Arial" w:cs="Arial"/>
          <w:color w:val="000000" w:themeColor="text1"/>
          <w:lang w:val="en"/>
        </w:rPr>
        <w:sym w:font="Symbol" w:char="F06D"/>
      </w:r>
      <w:r w:rsidR="00FF588A" w:rsidRPr="00E56710">
        <w:rPr>
          <w:rFonts w:ascii="Arial" w:hAnsi="Arial" w:cs="Arial"/>
          <w:color w:val="000000" w:themeColor="text1"/>
          <w:lang w:val="en"/>
        </w:rPr>
        <w:t>L</w:t>
      </w:r>
      <w:r w:rsidRPr="00D74025">
        <w:rPr>
          <w:rFonts w:ascii="Arial" w:hAnsi="Arial" w:cs="Arial"/>
          <w:i/>
          <w:color w:val="000000" w:themeColor="text1"/>
        </w:rPr>
        <w:t xml:space="preserve"> HRV 3C</w:t>
      </w:r>
    </w:p>
    <w:p w14:paraId="56831D4E" w14:textId="77777777" w:rsidR="001C5EDD" w:rsidRPr="00D74025" w:rsidRDefault="001C5EDD">
      <w:pPr>
        <w:pStyle w:val="ListParagraph"/>
        <w:numPr>
          <w:ilvl w:val="0"/>
          <w:numId w:val="1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Take 750 µl sample after cleavage is complete. </w:t>
      </w:r>
    </w:p>
    <w:p w14:paraId="7F081233" w14:textId="77777777" w:rsidR="001C5EDD" w:rsidRPr="00D74025" w:rsidRDefault="001C5EDD">
      <w:pPr>
        <w:pStyle w:val="ListParagraph"/>
        <w:numPr>
          <w:ilvl w:val="0"/>
          <w:numId w:val="1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Label sample ‘</w:t>
      </w:r>
      <w:r w:rsidRPr="00D74025">
        <w:rPr>
          <w:rFonts w:ascii="Arial" w:hAnsi="Arial" w:cs="Arial"/>
          <w:b/>
          <w:color w:val="000000" w:themeColor="text1"/>
        </w:rPr>
        <w:t>AC</w:t>
      </w:r>
      <w:r w:rsidRPr="00D74025">
        <w:rPr>
          <w:rFonts w:ascii="Arial" w:hAnsi="Arial" w:cs="Arial"/>
          <w:color w:val="000000" w:themeColor="text1"/>
        </w:rPr>
        <w:t>.’</w:t>
      </w:r>
    </w:p>
    <w:p w14:paraId="73AF18B3" w14:textId="77777777" w:rsidR="001C5EDD" w:rsidRPr="00D74025" w:rsidRDefault="001C5EDD" w:rsidP="00F6020C">
      <w:pPr>
        <w:spacing w:line="276" w:lineRule="auto"/>
        <w:rPr>
          <w:rFonts w:ascii="Arial" w:hAnsi="Arial" w:cs="Arial"/>
          <w:color w:val="000000" w:themeColor="text1"/>
        </w:rPr>
      </w:pPr>
    </w:p>
    <w:p w14:paraId="1F5373B4" w14:textId="43EE9A82" w:rsidR="001C5EDD" w:rsidRPr="00D74025" w:rsidRDefault="00DD7C55" w:rsidP="00F6020C">
      <w:pPr>
        <w:spacing w:line="276" w:lineRule="auto"/>
        <w:rPr>
          <w:rFonts w:ascii="Arial" w:hAnsi="Arial" w:cs="Arial"/>
          <w:color w:val="000000" w:themeColor="text1"/>
          <w:u w:val="single"/>
        </w:rPr>
      </w:pPr>
      <w:r>
        <w:rPr>
          <w:rFonts w:ascii="Arial" w:hAnsi="Arial" w:cs="Arial"/>
          <w:color w:val="000000" w:themeColor="text1"/>
          <w:u w:val="single"/>
        </w:rPr>
        <w:t>Day 5</w:t>
      </w:r>
    </w:p>
    <w:p w14:paraId="5F8A90C9" w14:textId="77777777"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Equilibrate the </w:t>
      </w:r>
      <w:proofErr w:type="spellStart"/>
      <w:r w:rsidRPr="00D74025">
        <w:rPr>
          <w:rFonts w:ascii="Arial" w:hAnsi="Arial" w:cs="Arial"/>
          <w:color w:val="000000" w:themeColor="text1"/>
        </w:rPr>
        <w:t>HisTrap</w:t>
      </w:r>
      <w:proofErr w:type="spellEnd"/>
      <w:r w:rsidRPr="00D74025">
        <w:rPr>
          <w:rFonts w:ascii="Arial" w:hAnsi="Arial" w:cs="Arial"/>
          <w:color w:val="000000" w:themeColor="text1"/>
        </w:rPr>
        <w:t xml:space="preserve"> column with Wash Buffer 1.   Change chromatography sensitivity to 0.2 (otherwise set to 1.0).</w:t>
      </w:r>
    </w:p>
    <w:p w14:paraId="61E16B66" w14:textId="77777777" w:rsidR="001C5EDD" w:rsidRPr="00D74025" w:rsidRDefault="001C5EDD">
      <w:pPr>
        <w:pStyle w:val="ListParagraph"/>
        <w:numPr>
          <w:ilvl w:val="0"/>
          <w:numId w:val="1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Feed thru the column until baseline is reached.</w:t>
      </w:r>
    </w:p>
    <w:p w14:paraId="1FE215FA" w14:textId="77777777" w:rsidR="001C5EDD" w:rsidRPr="00D74025" w:rsidRDefault="001C5EDD" w:rsidP="00F6020C">
      <w:pPr>
        <w:spacing w:line="276" w:lineRule="auto"/>
        <w:rPr>
          <w:rFonts w:ascii="Arial" w:hAnsi="Arial" w:cs="Arial"/>
          <w:color w:val="000000" w:themeColor="text1"/>
        </w:rPr>
      </w:pPr>
    </w:p>
    <w:p w14:paraId="3F71DD34" w14:textId="77777777"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Add imidazole (40 mM) and NaCl (500 mM) to the cleaved protein solution (depends on </w:t>
      </w:r>
      <w:proofErr w:type="gramStart"/>
      <w:r w:rsidRPr="00D74025">
        <w:rPr>
          <w:rFonts w:ascii="Arial" w:hAnsi="Arial" w:cs="Arial"/>
          <w:color w:val="000000" w:themeColor="text1"/>
        </w:rPr>
        <w:t>particular volume</w:t>
      </w:r>
      <w:proofErr w:type="gramEnd"/>
      <w:r w:rsidRPr="00D74025">
        <w:rPr>
          <w:rFonts w:ascii="Arial" w:hAnsi="Arial" w:cs="Arial"/>
          <w:color w:val="000000" w:themeColor="text1"/>
        </w:rPr>
        <w:t xml:space="preserve"> after overnight cleavage incubation).</w:t>
      </w:r>
    </w:p>
    <w:p w14:paraId="0E3FF560" w14:textId="77777777" w:rsidR="001C5EDD" w:rsidRPr="00D74025" w:rsidRDefault="001C5EDD">
      <w:pPr>
        <w:pStyle w:val="ListParagraph"/>
        <w:numPr>
          <w:ilvl w:val="0"/>
          <w:numId w:val="1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40 mM imidazole =&gt;use _____ g</w:t>
      </w:r>
    </w:p>
    <w:p w14:paraId="46B5236A" w14:textId="77777777" w:rsidR="001C5EDD" w:rsidRPr="00D74025" w:rsidRDefault="001C5EDD">
      <w:pPr>
        <w:pStyle w:val="ListParagraph"/>
        <w:numPr>
          <w:ilvl w:val="1"/>
          <w:numId w:val="14"/>
        </w:numPr>
        <w:spacing w:before="0" w:beforeAutospacing="0" w:after="0" w:afterAutospacing="0" w:line="276" w:lineRule="auto"/>
        <w:jc w:val="left"/>
        <w:rPr>
          <w:rFonts w:ascii="Arial" w:hAnsi="Arial" w:cs="Arial"/>
          <w:color w:val="000000" w:themeColor="text1"/>
        </w:rPr>
      </w:pPr>
      <w:r w:rsidRPr="00D74025">
        <w:rPr>
          <w:rFonts w:ascii="Arial" w:hAnsi="Arial" w:cs="Arial"/>
          <w:i/>
          <w:color w:val="000000" w:themeColor="text1"/>
        </w:rPr>
        <w:t>11.25 mL so .031 g</w:t>
      </w:r>
    </w:p>
    <w:p w14:paraId="2E1C748C" w14:textId="77777777" w:rsidR="001C5EDD" w:rsidRPr="00D74025" w:rsidRDefault="001C5EDD">
      <w:pPr>
        <w:pStyle w:val="ListParagraph"/>
        <w:numPr>
          <w:ilvl w:val="1"/>
          <w:numId w:val="14"/>
        </w:numPr>
        <w:spacing w:before="0" w:beforeAutospacing="0" w:after="0" w:afterAutospacing="0" w:line="276" w:lineRule="auto"/>
        <w:jc w:val="left"/>
        <w:rPr>
          <w:rFonts w:ascii="Arial" w:hAnsi="Arial" w:cs="Arial"/>
          <w:color w:val="000000" w:themeColor="text1"/>
        </w:rPr>
      </w:pPr>
      <w:r w:rsidRPr="00D74025">
        <w:rPr>
          <w:rFonts w:ascii="Arial" w:hAnsi="Arial" w:cs="Arial"/>
          <w:i/>
          <w:color w:val="000000" w:themeColor="text1"/>
        </w:rPr>
        <w:t>(15.25 mL so .042 g)</w:t>
      </w:r>
    </w:p>
    <w:p w14:paraId="14AFECF0" w14:textId="5A639DBF" w:rsidR="001C5EDD" w:rsidRPr="00D74025" w:rsidRDefault="001C5EDD">
      <w:pPr>
        <w:pStyle w:val="ListParagraph"/>
        <w:numPr>
          <w:ilvl w:val="0"/>
          <w:numId w:val="1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500 mM</w:t>
      </w:r>
      <w:r w:rsidR="001B1FC4">
        <w:rPr>
          <w:rFonts w:ascii="Arial" w:hAnsi="Arial" w:cs="Arial"/>
          <w:color w:val="000000" w:themeColor="text1"/>
        </w:rPr>
        <w:t xml:space="preserve"> </w:t>
      </w:r>
      <w:r w:rsidRPr="00D74025">
        <w:rPr>
          <w:rFonts w:ascii="Arial" w:hAnsi="Arial" w:cs="Arial"/>
          <w:color w:val="000000" w:themeColor="text1"/>
        </w:rPr>
        <w:t>NaCl =&gt;use _____ g</w:t>
      </w:r>
    </w:p>
    <w:p w14:paraId="3C217101" w14:textId="77777777" w:rsidR="001C5EDD" w:rsidRPr="00D74025" w:rsidRDefault="001C5EDD">
      <w:pPr>
        <w:pStyle w:val="ListParagraph"/>
        <w:numPr>
          <w:ilvl w:val="1"/>
          <w:numId w:val="14"/>
        </w:numPr>
        <w:spacing w:before="0" w:beforeAutospacing="0" w:after="0" w:afterAutospacing="0" w:line="276" w:lineRule="auto"/>
        <w:jc w:val="left"/>
        <w:rPr>
          <w:rFonts w:ascii="Arial" w:hAnsi="Arial" w:cs="Arial"/>
          <w:color w:val="000000" w:themeColor="text1"/>
        </w:rPr>
      </w:pPr>
      <w:r w:rsidRPr="00D74025">
        <w:rPr>
          <w:rFonts w:ascii="Arial" w:hAnsi="Arial" w:cs="Arial"/>
          <w:i/>
          <w:color w:val="000000" w:themeColor="text1"/>
        </w:rPr>
        <w:t>11.25 mL so .329 g</w:t>
      </w:r>
    </w:p>
    <w:p w14:paraId="69F90795" w14:textId="77777777" w:rsidR="001C5EDD" w:rsidRPr="00D74025" w:rsidRDefault="001C5EDD">
      <w:pPr>
        <w:pStyle w:val="ListParagraph"/>
        <w:numPr>
          <w:ilvl w:val="1"/>
          <w:numId w:val="14"/>
        </w:numPr>
        <w:spacing w:before="0" w:beforeAutospacing="0" w:after="0" w:afterAutospacing="0" w:line="276" w:lineRule="auto"/>
        <w:jc w:val="left"/>
        <w:rPr>
          <w:rFonts w:ascii="Arial" w:hAnsi="Arial" w:cs="Arial"/>
          <w:color w:val="000000" w:themeColor="text1"/>
        </w:rPr>
      </w:pPr>
      <w:r w:rsidRPr="00D74025">
        <w:rPr>
          <w:rFonts w:ascii="Arial" w:hAnsi="Arial" w:cs="Arial"/>
          <w:i/>
          <w:color w:val="000000" w:themeColor="text1"/>
        </w:rPr>
        <w:t>(15.25 mL so .446 g)</w:t>
      </w:r>
    </w:p>
    <w:p w14:paraId="11A4BF44" w14:textId="77777777" w:rsidR="001C5EDD" w:rsidRPr="00D74025" w:rsidRDefault="001C5EDD" w:rsidP="00F6020C">
      <w:pPr>
        <w:spacing w:line="276" w:lineRule="auto"/>
        <w:rPr>
          <w:rFonts w:ascii="Arial" w:hAnsi="Arial" w:cs="Arial"/>
          <w:color w:val="000000" w:themeColor="text1"/>
        </w:rPr>
      </w:pPr>
    </w:p>
    <w:p w14:paraId="784A48E6" w14:textId="299E5419"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lastRenderedPageBreak/>
        <w:t>Feed the solution to the</w:t>
      </w:r>
      <w:r w:rsidR="00163551">
        <w:rPr>
          <w:rFonts w:ascii="Arial" w:hAnsi="Arial" w:cs="Arial"/>
          <w:color w:val="000000" w:themeColor="text1"/>
        </w:rPr>
        <w:t xml:space="preserve"> </w:t>
      </w:r>
      <w:proofErr w:type="spellStart"/>
      <w:r w:rsidRPr="00D74025">
        <w:rPr>
          <w:rFonts w:ascii="Arial" w:hAnsi="Arial" w:cs="Arial"/>
          <w:color w:val="000000" w:themeColor="text1"/>
        </w:rPr>
        <w:t>HisTrap</w:t>
      </w:r>
      <w:proofErr w:type="spellEnd"/>
      <w:r w:rsidRPr="00D74025">
        <w:rPr>
          <w:rFonts w:ascii="Arial" w:hAnsi="Arial" w:cs="Arial"/>
          <w:color w:val="000000" w:themeColor="text1"/>
        </w:rPr>
        <w:t xml:space="preserve"> column. </w:t>
      </w:r>
    </w:p>
    <w:p w14:paraId="54DB9E68" w14:textId="77777777" w:rsidR="001C5EDD" w:rsidRPr="00D74025" w:rsidRDefault="001C5EDD">
      <w:pPr>
        <w:pStyle w:val="ListParagraph"/>
        <w:numPr>
          <w:ilvl w:val="0"/>
          <w:numId w:val="1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Collect first peak solution from the column (flow-thru) is solution to dialyze.  This contains our protein.  </w:t>
      </w:r>
    </w:p>
    <w:p w14:paraId="0858E98E" w14:textId="77777777" w:rsidR="001C5EDD" w:rsidRPr="00D74025" w:rsidRDefault="001C5EDD">
      <w:pPr>
        <w:pStyle w:val="ListParagraph"/>
        <w:numPr>
          <w:ilvl w:val="0"/>
          <w:numId w:val="1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Take a 750 µl sample of flow-thru and label it ‘</w:t>
      </w:r>
      <w:r w:rsidRPr="00D74025">
        <w:rPr>
          <w:rFonts w:ascii="Arial" w:hAnsi="Arial" w:cs="Arial"/>
          <w:b/>
          <w:color w:val="000000" w:themeColor="text1"/>
        </w:rPr>
        <w:t>F2</w:t>
      </w:r>
      <w:r w:rsidRPr="00D74025">
        <w:rPr>
          <w:rFonts w:ascii="Arial" w:hAnsi="Arial" w:cs="Arial"/>
          <w:color w:val="000000" w:themeColor="text1"/>
        </w:rPr>
        <w:t>.’</w:t>
      </w:r>
    </w:p>
    <w:p w14:paraId="5604A408" w14:textId="575BB882" w:rsidR="001C5EDD" w:rsidRPr="00D74025" w:rsidRDefault="001C5EDD">
      <w:pPr>
        <w:pStyle w:val="ListParagraph"/>
        <w:numPr>
          <w:ilvl w:val="0"/>
          <w:numId w:val="1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Flow</w:t>
      </w:r>
      <w:r w:rsidR="00163551" w:rsidRPr="00D74025">
        <w:rPr>
          <w:rFonts w:ascii="Arial" w:hAnsi="Arial" w:cs="Arial"/>
          <w:color w:val="000000" w:themeColor="text1"/>
        </w:rPr>
        <w:t>thr</w:t>
      </w:r>
      <w:r w:rsidR="00163551">
        <w:rPr>
          <w:rFonts w:ascii="Arial" w:hAnsi="Arial" w:cs="Arial"/>
          <w:color w:val="000000" w:themeColor="text1"/>
        </w:rPr>
        <w:t>ough</w:t>
      </w:r>
      <w:r w:rsidRPr="00D74025">
        <w:rPr>
          <w:rFonts w:ascii="Arial" w:hAnsi="Arial" w:cs="Arial"/>
          <w:color w:val="000000" w:themeColor="text1"/>
        </w:rPr>
        <w:t xml:space="preserve"> has 26 ml.</w:t>
      </w:r>
    </w:p>
    <w:p w14:paraId="0B15B0A2" w14:textId="77777777" w:rsidR="001C5EDD" w:rsidRPr="00D74025" w:rsidRDefault="001C5EDD" w:rsidP="00F6020C">
      <w:pPr>
        <w:pStyle w:val="ListParagraph"/>
        <w:spacing w:line="276" w:lineRule="auto"/>
        <w:ind w:left="1080"/>
        <w:rPr>
          <w:rFonts w:ascii="Arial" w:hAnsi="Arial" w:cs="Arial"/>
          <w:color w:val="000000" w:themeColor="text1"/>
        </w:rPr>
      </w:pPr>
    </w:p>
    <w:p w14:paraId="5A25F5A4" w14:textId="77777777"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Feed Wash Buffer 1 into column to pull out all cleaved protein before proceeding forward.</w:t>
      </w:r>
    </w:p>
    <w:p w14:paraId="7D4D76A8" w14:textId="77777777" w:rsidR="001C5EDD" w:rsidRPr="00D74025" w:rsidRDefault="001C5EDD" w:rsidP="00F6020C">
      <w:pPr>
        <w:spacing w:line="276" w:lineRule="auto"/>
        <w:ind w:left="720"/>
        <w:rPr>
          <w:rFonts w:ascii="Arial" w:hAnsi="Arial" w:cs="Arial"/>
          <w:color w:val="000000" w:themeColor="text1"/>
        </w:rPr>
      </w:pPr>
    </w:p>
    <w:p w14:paraId="1FCE0252" w14:textId="77777777"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Elute </w:t>
      </w:r>
      <w:proofErr w:type="spellStart"/>
      <w:r w:rsidRPr="00D74025">
        <w:rPr>
          <w:rFonts w:ascii="Arial" w:hAnsi="Arial" w:cs="Arial"/>
          <w:color w:val="000000" w:themeColor="text1"/>
        </w:rPr>
        <w:t>uncleaved</w:t>
      </w:r>
      <w:proofErr w:type="spellEnd"/>
      <w:r w:rsidRPr="00D74025">
        <w:rPr>
          <w:rFonts w:ascii="Arial" w:hAnsi="Arial" w:cs="Arial"/>
          <w:color w:val="000000" w:themeColor="text1"/>
        </w:rPr>
        <w:t xml:space="preserve"> protein with imidazole.</w:t>
      </w:r>
    </w:p>
    <w:p w14:paraId="3D3BBDDC" w14:textId="77777777" w:rsidR="001C5EDD" w:rsidRPr="00D74025" w:rsidRDefault="001C5EDD">
      <w:pPr>
        <w:pStyle w:val="ListParagraph"/>
        <w:numPr>
          <w:ilvl w:val="0"/>
          <w:numId w:val="1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Collect elution.  Take 750 µl sample and label it ‘</w:t>
      </w:r>
      <w:r w:rsidRPr="00D74025">
        <w:rPr>
          <w:rFonts w:ascii="Arial" w:hAnsi="Arial" w:cs="Arial"/>
          <w:b/>
          <w:color w:val="000000" w:themeColor="text1"/>
        </w:rPr>
        <w:t>E2</w:t>
      </w:r>
      <w:r w:rsidRPr="00D74025">
        <w:rPr>
          <w:rFonts w:ascii="Arial" w:hAnsi="Arial" w:cs="Arial"/>
          <w:color w:val="000000" w:themeColor="text1"/>
        </w:rPr>
        <w:t>.’</w:t>
      </w:r>
    </w:p>
    <w:p w14:paraId="37EF71FF" w14:textId="77777777" w:rsidR="001C5EDD" w:rsidRPr="00D74025" w:rsidRDefault="001C5EDD" w:rsidP="00F6020C">
      <w:pPr>
        <w:spacing w:line="276" w:lineRule="auto"/>
        <w:rPr>
          <w:rFonts w:ascii="Arial" w:hAnsi="Arial" w:cs="Arial"/>
          <w:color w:val="000000" w:themeColor="text1"/>
        </w:rPr>
      </w:pPr>
    </w:p>
    <w:p w14:paraId="77F50BA4" w14:textId="77777777"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Dialyze purified protein for 3 hours against 2 liters of dialysis buffer.</w:t>
      </w:r>
    </w:p>
    <w:p w14:paraId="0ECC81C6" w14:textId="77777777" w:rsidR="001C5EDD" w:rsidRPr="00D74025" w:rsidRDefault="001C5EDD">
      <w:pPr>
        <w:pStyle w:val="ListParagraph"/>
        <w:numPr>
          <w:ilvl w:val="1"/>
          <w:numId w:val="1"/>
        </w:numPr>
        <w:spacing w:before="0" w:beforeAutospacing="0" w:after="0" w:afterAutospacing="0" w:line="276" w:lineRule="auto"/>
        <w:jc w:val="left"/>
        <w:rPr>
          <w:rFonts w:ascii="Arial" w:hAnsi="Arial" w:cs="Arial"/>
          <w:color w:val="000000" w:themeColor="text1"/>
          <w:u w:val="single"/>
        </w:rPr>
      </w:pPr>
      <w:r w:rsidRPr="00D74025">
        <w:rPr>
          <w:rFonts w:ascii="Arial" w:hAnsi="Arial" w:cs="Arial"/>
          <w:color w:val="000000" w:themeColor="text1"/>
          <w:u w:val="single"/>
        </w:rPr>
        <w:t>DIALYSIS 2 BUFFER</w:t>
      </w:r>
    </w:p>
    <w:p w14:paraId="569B51AF" w14:textId="77777777" w:rsidR="001C5EDD" w:rsidRPr="00D74025" w:rsidRDefault="001C5EDD">
      <w:pPr>
        <w:pStyle w:val="ListParagraph"/>
        <w:numPr>
          <w:ilvl w:val="0"/>
          <w:numId w:val="20"/>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20 mM sodium phosphate dibasic =&gt; use 5.5678 g</w:t>
      </w:r>
    </w:p>
    <w:p w14:paraId="1F998EBA" w14:textId="77777777" w:rsidR="001C5EDD" w:rsidRPr="00D74025" w:rsidRDefault="001C5EDD">
      <w:pPr>
        <w:pStyle w:val="ListParagraph"/>
        <w:numPr>
          <w:ilvl w:val="0"/>
          <w:numId w:val="16"/>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100 mM NaCl =&gt; use 11.688 g</w:t>
      </w:r>
    </w:p>
    <w:p w14:paraId="61053B7A" w14:textId="77777777" w:rsidR="001C5EDD" w:rsidRPr="00D74025" w:rsidRDefault="001C5EDD">
      <w:pPr>
        <w:pStyle w:val="ListParagraph"/>
        <w:numPr>
          <w:ilvl w:val="0"/>
          <w:numId w:val="2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Adjust to pH 7.4</w:t>
      </w:r>
    </w:p>
    <w:p w14:paraId="20C7A338" w14:textId="77777777" w:rsidR="001C5EDD" w:rsidRPr="00D74025" w:rsidRDefault="001C5EDD">
      <w:pPr>
        <w:pStyle w:val="ListParagraph"/>
        <w:numPr>
          <w:ilvl w:val="0"/>
          <w:numId w:val="1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Take 750 µl sample after dialysis.  Label it ‘</w:t>
      </w:r>
      <w:r w:rsidRPr="00D74025">
        <w:rPr>
          <w:rFonts w:ascii="Arial" w:hAnsi="Arial" w:cs="Arial"/>
          <w:b/>
          <w:color w:val="000000" w:themeColor="text1"/>
        </w:rPr>
        <w:t>AD2</w:t>
      </w:r>
      <w:r w:rsidRPr="00D74025">
        <w:rPr>
          <w:rFonts w:ascii="Arial" w:hAnsi="Arial" w:cs="Arial"/>
          <w:color w:val="000000" w:themeColor="text1"/>
        </w:rPr>
        <w:t>.’</w:t>
      </w:r>
    </w:p>
    <w:p w14:paraId="25CD6467" w14:textId="77777777" w:rsidR="001C5EDD" w:rsidRPr="00D74025" w:rsidRDefault="001C5EDD" w:rsidP="00F6020C">
      <w:pPr>
        <w:spacing w:line="276" w:lineRule="auto"/>
        <w:rPr>
          <w:rFonts w:ascii="Arial" w:hAnsi="Arial" w:cs="Arial"/>
          <w:color w:val="000000" w:themeColor="text1"/>
        </w:rPr>
      </w:pPr>
    </w:p>
    <w:p w14:paraId="53917AB7" w14:textId="77777777"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Regenerate the column as above.</w:t>
      </w:r>
    </w:p>
    <w:p w14:paraId="7FDA7069" w14:textId="77777777" w:rsidR="001C5EDD" w:rsidRPr="00D74025" w:rsidRDefault="001C5EDD" w:rsidP="00F6020C">
      <w:pPr>
        <w:spacing w:line="276" w:lineRule="auto"/>
        <w:rPr>
          <w:rFonts w:ascii="Arial" w:hAnsi="Arial" w:cs="Arial"/>
          <w:color w:val="000000" w:themeColor="text1"/>
        </w:rPr>
      </w:pPr>
    </w:p>
    <w:p w14:paraId="7A176A8C" w14:textId="5E88BCD3"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(IF NECESSARY) Concentrate the protein using a </w:t>
      </w:r>
      <w:r w:rsidR="000C4CEE">
        <w:rPr>
          <w:rFonts w:ascii="Arial" w:hAnsi="Arial" w:cs="Arial"/>
          <w:color w:val="000000" w:themeColor="text1"/>
        </w:rPr>
        <w:t xml:space="preserve">10 </w:t>
      </w:r>
      <w:proofErr w:type="spellStart"/>
      <w:r w:rsidRPr="00D74025">
        <w:rPr>
          <w:rFonts w:ascii="Arial" w:hAnsi="Arial" w:cs="Arial"/>
          <w:color w:val="000000" w:themeColor="text1"/>
        </w:rPr>
        <w:t>kDa</w:t>
      </w:r>
      <w:proofErr w:type="spellEnd"/>
      <w:r w:rsidRPr="00D74025">
        <w:rPr>
          <w:rFonts w:ascii="Arial" w:hAnsi="Arial" w:cs="Arial"/>
          <w:color w:val="000000" w:themeColor="text1"/>
        </w:rPr>
        <w:t xml:space="preserve">, 20 ml protein concentrator (Millipore #89921).  </w:t>
      </w:r>
    </w:p>
    <w:p w14:paraId="6F5F672E" w14:textId="77777777" w:rsidR="001C5EDD" w:rsidRPr="00D74025" w:rsidRDefault="001C5EDD" w:rsidP="00F6020C">
      <w:pPr>
        <w:spacing w:line="276" w:lineRule="auto"/>
        <w:rPr>
          <w:rFonts w:ascii="Arial" w:hAnsi="Arial" w:cs="Arial"/>
          <w:color w:val="000000" w:themeColor="text1"/>
        </w:rPr>
      </w:pPr>
    </w:p>
    <w:p w14:paraId="3A064653" w14:textId="77777777"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Aliquot purified protein into cryovials and put in the liquid nitrogen tank prior to freeze-drying.  (Friday - 930am)</w:t>
      </w:r>
    </w:p>
    <w:p w14:paraId="1DC4A650" w14:textId="77777777" w:rsidR="001C5EDD" w:rsidRPr="00D74025" w:rsidRDefault="001C5EDD" w:rsidP="00F6020C">
      <w:pPr>
        <w:spacing w:line="276" w:lineRule="auto"/>
        <w:rPr>
          <w:rFonts w:ascii="Arial" w:hAnsi="Arial" w:cs="Arial"/>
          <w:color w:val="000000" w:themeColor="text1"/>
        </w:rPr>
      </w:pPr>
    </w:p>
    <w:p w14:paraId="466F2BFB" w14:textId="77777777" w:rsidR="001C5EDD" w:rsidRPr="00D74025" w:rsidRDefault="001C5EDD" w:rsidP="00F6020C">
      <w:pPr>
        <w:spacing w:line="276" w:lineRule="auto"/>
        <w:rPr>
          <w:rFonts w:ascii="Arial" w:hAnsi="Arial" w:cs="Arial"/>
          <w:color w:val="000000" w:themeColor="text1"/>
        </w:rPr>
      </w:pPr>
    </w:p>
    <w:p w14:paraId="31F7253C" w14:textId="064CC215" w:rsidR="001C5EDD" w:rsidRPr="00D74025" w:rsidRDefault="001C5EDD">
      <w:pPr>
        <w:pStyle w:val="ListParagraph"/>
        <w:numPr>
          <w:ilvl w:val="0"/>
          <w:numId w:val="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Perform an SDS-PAGE on samples </w:t>
      </w:r>
    </w:p>
    <w:p w14:paraId="715C3B98" w14:textId="77777777" w:rsidR="001C5EDD" w:rsidRPr="00D74025" w:rsidRDefault="001C5EDD">
      <w:pPr>
        <w:pStyle w:val="ListParagraph"/>
        <w:numPr>
          <w:ilvl w:val="0"/>
          <w:numId w:val="17"/>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Suspend 50 µl of sample + 50 µl loading buffer (95% </w:t>
      </w:r>
      <w:proofErr w:type="spellStart"/>
      <w:r w:rsidRPr="00D74025">
        <w:rPr>
          <w:rFonts w:ascii="Arial" w:hAnsi="Arial" w:cs="Arial"/>
          <w:color w:val="000000" w:themeColor="text1"/>
        </w:rPr>
        <w:t>Laemmli</w:t>
      </w:r>
      <w:proofErr w:type="spellEnd"/>
      <w:r w:rsidRPr="00D74025">
        <w:rPr>
          <w:rFonts w:ascii="Arial" w:hAnsi="Arial" w:cs="Arial"/>
          <w:color w:val="000000" w:themeColor="text1"/>
        </w:rPr>
        <w:t xml:space="preserve"> sample buffer + 5% β-</w:t>
      </w:r>
      <w:proofErr w:type="spellStart"/>
      <w:r w:rsidRPr="00D74025">
        <w:rPr>
          <w:rFonts w:ascii="Arial" w:hAnsi="Arial" w:cs="Arial"/>
          <w:color w:val="000000" w:themeColor="text1"/>
        </w:rPr>
        <w:t>mercaptoethanol</w:t>
      </w:r>
      <w:proofErr w:type="spellEnd"/>
      <w:r w:rsidRPr="00D74025">
        <w:rPr>
          <w:rFonts w:ascii="Arial" w:hAnsi="Arial" w:cs="Arial"/>
          <w:color w:val="000000" w:themeColor="text1"/>
        </w:rPr>
        <w:t>).</w:t>
      </w:r>
    </w:p>
    <w:p w14:paraId="7A673D63" w14:textId="77777777" w:rsidR="001C5EDD" w:rsidRPr="00D74025" w:rsidRDefault="001C5EDD">
      <w:pPr>
        <w:pStyle w:val="ListParagraph"/>
        <w:numPr>
          <w:ilvl w:val="0"/>
          <w:numId w:val="17"/>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For BI, centrifuge for resuspend in 100 µl of loading buffer.  </w:t>
      </w:r>
    </w:p>
    <w:p w14:paraId="32612DBD" w14:textId="1D24F0F3" w:rsidR="001C5EDD" w:rsidRPr="00D74025" w:rsidRDefault="001C5EDD" w:rsidP="00F6020C">
      <w:pPr>
        <w:spacing w:line="276" w:lineRule="auto"/>
        <w:rPr>
          <w:rFonts w:ascii="Arial" w:hAnsi="Arial" w:cs="Arial"/>
          <w:color w:val="000000" w:themeColor="text1"/>
        </w:rPr>
      </w:pPr>
    </w:p>
    <w:p w14:paraId="2D3C6056" w14:textId="004896B7" w:rsidR="00E60AF2" w:rsidRPr="00D74025" w:rsidRDefault="00E60AF2" w:rsidP="00F6020C">
      <w:pPr>
        <w:spacing w:line="276" w:lineRule="auto"/>
        <w:rPr>
          <w:rFonts w:ascii="Arial" w:hAnsi="Arial" w:cs="Arial"/>
          <w:color w:val="000000" w:themeColor="text1"/>
        </w:rPr>
      </w:pPr>
    </w:p>
    <w:p w14:paraId="7BCAAB4A" w14:textId="291A3AA9" w:rsidR="00E60AF2" w:rsidRPr="00D74025" w:rsidRDefault="00E60AF2" w:rsidP="00F6020C">
      <w:pPr>
        <w:spacing w:line="276" w:lineRule="auto"/>
        <w:rPr>
          <w:rFonts w:ascii="Arial" w:hAnsi="Arial" w:cs="Arial"/>
          <w:color w:val="000000" w:themeColor="text1"/>
        </w:rPr>
      </w:pPr>
    </w:p>
    <w:p w14:paraId="6E492229" w14:textId="06B064A7" w:rsidR="00E60AF2" w:rsidRPr="00D74025" w:rsidRDefault="00E60AF2" w:rsidP="00F6020C">
      <w:pPr>
        <w:spacing w:line="276" w:lineRule="auto"/>
        <w:rPr>
          <w:rFonts w:ascii="Arial" w:hAnsi="Arial" w:cs="Arial"/>
          <w:color w:val="000000" w:themeColor="text1"/>
        </w:rPr>
      </w:pPr>
    </w:p>
    <w:p w14:paraId="3812018E" w14:textId="25D288D8" w:rsidR="00E60AF2" w:rsidRPr="00D74025" w:rsidRDefault="00E60AF2" w:rsidP="00F6020C">
      <w:pPr>
        <w:spacing w:line="276" w:lineRule="auto"/>
        <w:rPr>
          <w:rFonts w:ascii="Arial" w:hAnsi="Arial" w:cs="Arial"/>
          <w:color w:val="000000" w:themeColor="text1"/>
        </w:rPr>
      </w:pPr>
    </w:p>
    <w:p w14:paraId="18D87B4C" w14:textId="43FEC842" w:rsidR="00E60AF2" w:rsidRPr="00D74025" w:rsidRDefault="00E60AF2" w:rsidP="00F6020C">
      <w:pPr>
        <w:spacing w:line="276" w:lineRule="auto"/>
        <w:rPr>
          <w:rFonts w:ascii="Arial" w:hAnsi="Arial" w:cs="Arial"/>
          <w:color w:val="000000" w:themeColor="text1"/>
        </w:rPr>
      </w:pPr>
    </w:p>
    <w:p w14:paraId="205567EA" w14:textId="078050FB" w:rsidR="00E60AF2" w:rsidRPr="00D74025" w:rsidRDefault="00E60AF2" w:rsidP="00F6020C">
      <w:pPr>
        <w:spacing w:line="276" w:lineRule="auto"/>
        <w:rPr>
          <w:rFonts w:ascii="Arial" w:hAnsi="Arial" w:cs="Arial"/>
          <w:color w:val="000000" w:themeColor="text1"/>
        </w:rPr>
      </w:pPr>
    </w:p>
    <w:p w14:paraId="60AF5FE9" w14:textId="62352689" w:rsidR="00E60AF2" w:rsidRPr="00507014" w:rsidRDefault="00E60AF2" w:rsidP="00507014">
      <w:pPr>
        <w:pStyle w:val="Heading2"/>
        <w:spacing w:line="276" w:lineRule="auto"/>
        <w:ind w:firstLine="0"/>
        <w:rPr>
          <w:rFonts w:ascii="Arial" w:hAnsi="Arial" w:cs="Arial"/>
          <w:b/>
          <w:bCs/>
          <w:color w:val="000000" w:themeColor="text1"/>
          <w:sz w:val="24"/>
          <w:szCs w:val="24"/>
          <w:u w:val="single"/>
        </w:rPr>
      </w:pPr>
      <w:bookmarkStart w:id="204" w:name="_Toc121217295"/>
      <w:r w:rsidRPr="00507014">
        <w:rPr>
          <w:rFonts w:ascii="Arial" w:hAnsi="Arial" w:cs="Arial"/>
          <w:b/>
          <w:bCs/>
          <w:color w:val="000000" w:themeColor="text1"/>
          <w:sz w:val="24"/>
          <w:szCs w:val="24"/>
          <w:u w:val="single"/>
        </w:rPr>
        <w:lastRenderedPageBreak/>
        <w:t xml:space="preserve">B2. Annexin </w:t>
      </w:r>
      <w:r w:rsidR="00B86DA1">
        <w:rPr>
          <w:rFonts w:ascii="Arial" w:hAnsi="Arial" w:cs="Arial"/>
          <w:b/>
          <w:bCs/>
          <w:color w:val="000000" w:themeColor="text1"/>
          <w:sz w:val="24"/>
          <w:szCs w:val="24"/>
          <w:u w:val="single"/>
        </w:rPr>
        <w:t>p</w:t>
      </w:r>
      <w:r w:rsidRPr="00507014">
        <w:rPr>
          <w:rFonts w:ascii="Arial" w:hAnsi="Arial" w:cs="Arial"/>
          <w:b/>
          <w:bCs/>
          <w:color w:val="000000" w:themeColor="text1"/>
          <w:sz w:val="24"/>
          <w:szCs w:val="24"/>
          <w:u w:val="single"/>
        </w:rPr>
        <w:t>roduction using TB media</w:t>
      </w:r>
      <w:bookmarkEnd w:id="204"/>
    </w:p>
    <w:p w14:paraId="7FC29DBC" w14:textId="77777777" w:rsidR="00025413" w:rsidRPr="00D74025" w:rsidRDefault="00025413" w:rsidP="00F6020C">
      <w:pPr>
        <w:spacing w:line="276" w:lineRule="auto"/>
        <w:rPr>
          <w:rFonts w:ascii="Arial" w:hAnsi="Arial" w:cs="Arial"/>
          <w:color w:val="000000" w:themeColor="text1"/>
        </w:rPr>
      </w:pPr>
    </w:p>
    <w:p w14:paraId="682A37BF" w14:textId="77777777" w:rsidR="00025413" w:rsidRPr="00D74025" w:rsidRDefault="00025413" w:rsidP="00F6020C">
      <w:pPr>
        <w:spacing w:line="276" w:lineRule="auto"/>
        <w:rPr>
          <w:rFonts w:ascii="Arial" w:hAnsi="Arial" w:cs="Arial"/>
          <w:color w:val="000000" w:themeColor="text1"/>
        </w:rPr>
      </w:pPr>
      <w:r w:rsidRPr="00D74025">
        <w:rPr>
          <w:rFonts w:ascii="Arial" w:hAnsi="Arial" w:cs="Arial"/>
          <w:color w:val="000000" w:themeColor="text1"/>
        </w:rPr>
        <w:t xml:space="preserve">Day before starting, </w:t>
      </w:r>
      <w:r w:rsidRPr="00D74025">
        <w:rPr>
          <w:rFonts w:ascii="Arial" w:hAnsi="Arial" w:cs="Arial"/>
          <w:b/>
          <w:bCs/>
          <w:color w:val="000000" w:themeColor="text1"/>
        </w:rPr>
        <w:t xml:space="preserve">autoclave </w:t>
      </w:r>
      <w:r w:rsidRPr="00D74025">
        <w:rPr>
          <w:rFonts w:ascii="Arial" w:hAnsi="Arial" w:cs="Arial"/>
          <w:color w:val="000000" w:themeColor="text1"/>
        </w:rPr>
        <w:t xml:space="preserve">the following items:   </w:t>
      </w:r>
    </w:p>
    <w:p w14:paraId="36A97D5E" w14:textId="77777777" w:rsidR="00025413" w:rsidRPr="00D74025" w:rsidRDefault="00025413">
      <w:pPr>
        <w:pStyle w:val="ListParagraph"/>
        <w:numPr>
          <w:ilvl w:val="0"/>
          <w:numId w:val="6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1 liter TB medium </w:t>
      </w:r>
    </w:p>
    <w:p w14:paraId="1F3B56F7" w14:textId="51BE414B" w:rsidR="00025413" w:rsidRPr="00D74025" w:rsidRDefault="00025413">
      <w:pPr>
        <w:pStyle w:val="ListParagraph"/>
        <w:numPr>
          <w:ilvl w:val="1"/>
          <w:numId w:val="64"/>
        </w:numPr>
        <w:spacing w:before="0" w:beforeAutospacing="0" w:after="0" w:afterAutospacing="0" w:line="276" w:lineRule="auto"/>
        <w:jc w:val="left"/>
        <w:rPr>
          <w:rFonts w:ascii="Arial" w:hAnsi="Arial" w:cs="Arial"/>
          <w:color w:val="000000" w:themeColor="text1"/>
        </w:rPr>
      </w:pPr>
      <w:r w:rsidRPr="00D74025">
        <w:rPr>
          <w:rFonts w:ascii="Arial" w:eastAsia="Times" w:hAnsi="Arial" w:cs="Arial"/>
          <w:color w:val="000000" w:themeColor="text1"/>
        </w:rPr>
        <w:t xml:space="preserve">TB </w:t>
      </w:r>
      <w:r w:rsidR="00374E2C">
        <w:rPr>
          <w:rFonts w:ascii="Arial" w:eastAsia="Times" w:hAnsi="Arial" w:cs="Arial"/>
          <w:color w:val="000000" w:themeColor="text1"/>
        </w:rPr>
        <w:t>m</w:t>
      </w:r>
      <w:r w:rsidRPr="00D74025">
        <w:rPr>
          <w:rFonts w:ascii="Arial" w:eastAsia="Times" w:hAnsi="Arial" w:cs="Arial"/>
          <w:color w:val="000000" w:themeColor="text1"/>
        </w:rPr>
        <w:t xml:space="preserve">edium </w:t>
      </w:r>
      <w:r w:rsidR="00374E2C">
        <w:rPr>
          <w:rFonts w:ascii="Arial" w:eastAsia="Times" w:hAnsi="Arial" w:cs="Arial"/>
          <w:color w:val="000000" w:themeColor="text1"/>
        </w:rPr>
        <w:t>n</w:t>
      </w:r>
      <w:r w:rsidRPr="00D74025">
        <w:rPr>
          <w:rFonts w:ascii="Arial" w:eastAsia="Times" w:hAnsi="Arial" w:cs="Arial"/>
          <w:color w:val="000000" w:themeColor="text1"/>
        </w:rPr>
        <w:t>utrients</w:t>
      </w:r>
    </w:p>
    <w:p w14:paraId="42841713" w14:textId="292866B6" w:rsidR="00025413" w:rsidRPr="00D74025" w:rsidRDefault="00025413">
      <w:pPr>
        <w:pStyle w:val="ListParagraph"/>
        <w:numPr>
          <w:ilvl w:val="2"/>
          <w:numId w:val="64"/>
        </w:numPr>
        <w:spacing w:before="0" w:beforeAutospacing="0" w:after="0" w:afterAutospacing="0" w:line="276" w:lineRule="auto"/>
        <w:jc w:val="left"/>
        <w:rPr>
          <w:rFonts w:ascii="Arial" w:hAnsi="Arial" w:cs="Arial"/>
          <w:color w:val="000000" w:themeColor="text1"/>
        </w:rPr>
      </w:pPr>
      <w:r w:rsidRPr="00D74025">
        <w:rPr>
          <w:rFonts w:ascii="Arial" w:eastAsia="Times" w:hAnsi="Arial" w:cs="Arial"/>
          <w:color w:val="000000" w:themeColor="text1"/>
        </w:rPr>
        <w:t xml:space="preserve">12 g </w:t>
      </w:r>
      <w:r w:rsidR="00374E2C">
        <w:rPr>
          <w:rFonts w:ascii="Arial" w:eastAsia="Times" w:hAnsi="Arial" w:cs="Arial"/>
          <w:color w:val="000000" w:themeColor="text1"/>
        </w:rPr>
        <w:t>t</w:t>
      </w:r>
      <w:r w:rsidRPr="00D74025">
        <w:rPr>
          <w:rFonts w:ascii="Arial" w:eastAsia="Times" w:hAnsi="Arial" w:cs="Arial"/>
          <w:color w:val="000000" w:themeColor="text1"/>
        </w:rPr>
        <w:t>ryptone</w:t>
      </w:r>
    </w:p>
    <w:p w14:paraId="60760978" w14:textId="2C284515" w:rsidR="00025413" w:rsidRPr="00D74025" w:rsidRDefault="00025413">
      <w:pPr>
        <w:pStyle w:val="ListParagraph"/>
        <w:numPr>
          <w:ilvl w:val="2"/>
          <w:numId w:val="64"/>
        </w:numPr>
        <w:spacing w:before="0" w:beforeAutospacing="0" w:after="0" w:afterAutospacing="0" w:line="276" w:lineRule="auto"/>
        <w:jc w:val="left"/>
        <w:rPr>
          <w:rFonts w:ascii="Arial" w:hAnsi="Arial" w:cs="Arial"/>
          <w:color w:val="000000" w:themeColor="text1"/>
        </w:rPr>
      </w:pPr>
      <w:r w:rsidRPr="00D74025">
        <w:rPr>
          <w:rFonts w:ascii="Arial" w:eastAsia="Times" w:hAnsi="Arial" w:cs="Arial"/>
          <w:color w:val="000000" w:themeColor="text1"/>
        </w:rPr>
        <w:t xml:space="preserve">24 g </w:t>
      </w:r>
      <w:r w:rsidR="00374E2C">
        <w:rPr>
          <w:rFonts w:ascii="Arial" w:eastAsia="Times" w:hAnsi="Arial" w:cs="Arial"/>
          <w:color w:val="000000" w:themeColor="text1"/>
        </w:rPr>
        <w:t>y</w:t>
      </w:r>
      <w:r w:rsidRPr="00D74025">
        <w:rPr>
          <w:rFonts w:ascii="Arial" w:eastAsia="Times" w:hAnsi="Arial" w:cs="Arial"/>
          <w:color w:val="000000" w:themeColor="text1"/>
        </w:rPr>
        <w:t xml:space="preserve">east </w:t>
      </w:r>
      <w:r w:rsidR="00374E2C">
        <w:rPr>
          <w:rFonts w:ascii="Arial" w:eastAsia="Times" w:hAnsi="Arial" w:cs="Arial"/>
          <w:color w:val="000000" w:themeColor="text1"/>
        </w:rPr>
        <w:t>e</w:t>
      </w:r>
      <w:r w:rsidRPr="00D74025">
        <w:rPr>
          <w:rFonts w:ascii="Arial" w:eastAsia="Times" w:hAnsi="Arial" w:cs="Arial"/>
          <w:color w:val="000000" w:themeColor="text1"/>
        </w:rPr>
        <w:t>xtract</w:t>
      </w:r>
    </w:p>
    <w:p w14:paraId="2B562B12" w14:textId="77777777" w:rsidR="00025413" w:rsidRPr="00D74025" w:rsidRDefault="00025413">
      <w:pPr>
        <w:pStyle w:val="ListParagraph"/>
        <w:numPr>
          <w:ilvl w:val="2"/>
          <w:numId w:val="64"/>
        </w:numPr>
        <w:spacing w:before="0" w:beforeAutospacing="0" w:after="0" w:afterAutospacing="0" w:line="276" w:lineRule="auto"/>
        <w:jc w:val="left"/>
        <w:rPr>
          <w:rFonts w:ascii="Arial" w:hAnsi="Arial" w:cs="Arial"/>
          <w:color w:val="000000" w:themeColor="text1"/>
        </w:rPr>
      </w:pPr>
      <w:r w:rsidRPr="00D74025">
        <w:rPr>
          <w:rFonts w:ascii="Arial" w:eastAsia="Times" w:hAnsi="Arial" w:cs="Arial"/>
          <w:color w:val="000000" w:themeColor="text1"/>
        </w:rPr>
        <w:t>4 mL glycerol</w:t>
      </w:r>
    </w:p>
    <w:p w14:paraId="23BF094A" w14:textId="11BC8DC8" w:rsidR="00025413" w:rsidRPr="00D74025" w:rsidRDefault="00025413">
      <w:pPr>
        <w:pStyle w:val="ListParagraph"/>
        <w:numPr>
          <w:ilvl w:val="2"/>
          <w:numId w:val="64"/>
        </w:numPr>
        <w:spacing w:before="0" w:beforeAutospacing="0" w:after="0" w:afterAutospacing="0" w:line="276" w:lineRule="auto"/>
        <w:jc w:val="left"/>
        <w:rPr>
          <w:rFonts w:ascii="Arial" w:hAnsi="Arial" w:cs="Arial"/>
          <w:color w:val="000000" w:themeColor="text1"/>
        </w:rPr>
      </w:pPr>
      <w:r w:rsidRPr="00D74025">
        <w:rPr>
          <w:rFonts w:ascii="Arial" w:eastAsia="Times" w:hAnsi="Arial" w:cs="Arial"/>
          <w:color w:val="000000" w:themeColor="text1"/>
        </w:rPr>
        <w:t>900 mL DI</w:t>
      </w:r>
      <w:r w:rsidR="00374E2C">
        <w:rPr>
          <w:rFonts w:ascii="Arial" w:eastAsia="Times" w:hAnsi="Arial" w:cs="Arial"/>
          <w:color w:val="000000" w:themeColor="text1"/>
        </w:rPr>
        <w:t xml:space="preserve"> water</w:t>
      </w:r>
    </w:p>
    <w:p w14:paraId="72D414C0" w14:textId="77777777" w:rsidR="00025413" w:rsidRPr="00D74025" w:rsidRDefault="00025413">
      <w:pPr>
        <w:pStyle w:val="ListParagraph"/>
        <w:numPr>
          <w:ilvl w:val="1"/>
          <w:numId w:val="64"/>
        </w:numPr>
        <w:spacing w:before="0" w:beforeAutospacing="0" w:after="0" w:afterAutospacing="0" w:line="276" w:lineRule="auto"/>
        <w:jc w:val="left"/>
        <w:rPr>
          <w:rFonts w:ascii="Arial" w:hAnsi="Arial" w:cs="Arial"/>
          <w:color w:val="000000" w:themeColor="text1"/>
        </w:rPr>
      </w:pPr>
      <w:r w:rsidRPr="00D74025">
        <w:rPr>
          <w:rFonts w:ascii="Arial" w:eastAsia="Times" w:hAnsi="Arial" w:cs="Arial"/>
          <w:color w:val="000000" w:themeColor="text1"/>
        </w:rPr>
        <w:t>TB Medium Buffering</w:t>
      </w:r>
    </w:p>
    <w:p w14:paraId="4D2D04C8" w14:textId="77777777" w:rsidR="00025413" w:rsidRPr="00D74025" w:rsidRDefault="00025413">
      <w:pPr>
        <w:pStyle w:val="ListParagraph"/>
        <w:numPr>
          <w:ilvl w:val="2"/>
          <w:numId w:val="64"/>
        </w:numPr>
        <w:spacing w:before="0" w:beforeAutospacing="0" w:after="0" w:afterAutospacing="0" w:line="276" w:lineRule="auto"/>
        <w:jc w:val="left"/>
        <w:rPr>
          <w:rFonts w:ascii="Arial" w:hAnsi="Arial" w:cs="Arial"/>
          <w:color w:val="000000" w:themeColor="text1"/>
        </w:rPr>
      </w:pPr>
      <w:r w:rsidRPr="00D74025">
        <w:rPr>
          <w:rFonts w:ascii="Arial" w:eastAsia="Times" w:hAnsi="Arial" w:cs="Arial"/>
          <w:color w:val="000000" w:themeColor="text1"/>
        </w:rPr>
        <w:t>2.31 g KH</w:t>
      </w:r>
      <w:r w:rsidRPr="00374E2C">
        <w:rPr>
          <w:rFonts w:ascii="Arial" w:eastAsia="Times" w:hAnsi="Arial" w:cs="Arial"/>
          <w:color w:val="000000" w:themeColor="text1"/>
          <w:vertAlign w:val="subscript"/>
        </w:rPr>
        <w:t>2</w:t>
      </w:r>
      <w:r w:rsidRPr="00D74025">
        <w:rPr>
          <w:rFonts w:ascii="Arial" w:eastAsia="Times" w:hAnsi="Arial" w:cs="Arial"/>
          <w:color w:val="000000" w:themeColor="text1"/>
        </w:rPr>
        <w:t>PO</w:t>
      </w:r>
      <w:r w:rsidRPr="00374E2C">
        <w:rPr>
          <w:rFonts w:ascii="Arial" w:eastAsia="Times" w:hAnsi="Arial" w:cs="Arial"/>
          <w:color w:val="000000" w:themeColor="text1"/>
          <w:vertAlign w:val="subscript"/>
        </w:rPr>
        <w:t>4</w:t>
      </w:r>
    </w:p>
    <w:p w14:paraId="531D5063" w14:textId="77777777" w:rsidR="00025413" w:rsidRPr="00D74025" w:rsidRDefault="00025413">
      <w:pPr>
        <w:pStyle w:val="ListParagraph"/>
        <w:numPr>
          <w:ilvl w:val="2"/>
          <w:numId w:val="64"/>
        </w:numPr>
        <w:spacing w:before="0" w:beforeAutospacing="0" w:after="0" w:afterAutospacing="0" w:line="276" w:lineRule="auto"/>
        <w:jc w:val="left"/>
        <w:rPr>
          <w:rFonts w:ascii="Arial" w:hAnsi="Arial" w:cs="Arial"/>
          <w:color w:val="000000" w:themeColor="text1"/>
        </w:rPr>
      </w:pPr>
      <w:r w:rsidRPr="00D74025">
        <w:rPr>
          <w:rFonts w:ascii="Arial" w:eastAsia="Times" w:hAnsi="Arial" w:cs="Arial"/>
          <w:color w:val="000000" w:themeColor="text1"/>
        </w:rPr>
        <w:t>12.54 g K</w:t>
      </w:r>
      <w:r w:rsidRPr="00374E2C">
        <w:rPr>
          <w:rFonts w:ascii="Arial" w:eastAsia="Times" w:hAnsi="Arial" w:cs="Arial"/>
          <w:color w:val="000000" w:themeColor="text1"/>
          <w:vertAlign w:val="subscript"/>
        </w:rPr>
        <w:t>2</w:t>
      </w:r>
      <w:r w:rsidRPr="00D74025">
        <w:rPr>
          <w:rFonts w:ascii="Arial" w:eastAsia="Times" w:hAnsi="Arial" w:cs="Arial"/>
          <w:color w:val="000000" w:themeColor="text1"/>
        </w:rPr>
        <w:t>HPO4</w:t>
      </w:r>
    </w:p>
    <w:p w14:paraId="26A1B6BD" w14:textId="11FE3631" w:rsidR="00025413" w:rsidRPr="00D74025" w:rsidRDefault="00025413">
      <w:pPr>
        <w:pStyle w:val="ListParagraph"/>
        <w:numPr>
          <w:ilvl w:val="2"/>
          <w:numId w:val="64"/>
        </w:numPr>
        <w:spacing w:before="0" w:beforeAutospacing="0" w:after="0" w:afterAutospacing="0" w:line="276" w:lineRule="auto"/>
        <w:jc w:val="left"/>
        <w:rPr>
          <w:rFonts w:ascii="Arial" w:hAnsi="Arial" w:cs="Arial"/>
          <w:color w:val="000000" w:themeColor="text1"/>
        </w:rPr>
      </w:pPr>
      <w:r w:rsidRPr="00D74025">
        <w:rPr>
          <w:rFonts w:ascii="Arial" w:eastAsia="Times" w:hAnsi="Arial" w:cs="Arial"/>
          <w:color w:val="000000" w:themeColor="text1"/>
        </w:rPr>
        <w:t>100 mL DI</w:t>
      </w:r>
      <w:r w:rsidR="00374E2C">
        <w:rPr>
          <w:rFonts w:ascii="Arial" w:eastAsia="Times" w:hAnsi="Arial" w:cs="Arial"/>
          <w:color w:val="000000" w:themeColor="text1"/>
        </w:rPr>
        <w:t xml:space="preserve"> water</w:t>
      </w:r>
    </w:p>
    <w:p w14:paraId="24EC4328" w14:textId="77777777" w:rsidR="00025413" w:rsidRPr="00D74025" w:rsidRDefault="00025413">
      <w:pPr>
        <w:pStyle w:val="ListParagraph"/>
        <w:numPr>
          <w:ilvl w:val="0"/>
          <w:numId w:val="6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4 x 1 liter Erlenmeyer flask (with aluminum foil on top)</w:t>
      </w:r>
    </w:p>
    <w:p w14:paraId="16D92ED9" w14:textId="77777777" w:rsidR="00025413" w:rsidRPr="00D74025" w:rsidRDefault="00025413">
      <w:pPr>
        <w:pStyle w:val="ListParagraph"/>
        <w:numPr>
          <w:ilvl w:val="0"/>
          <w:numId w:val="6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125 ml Erlenmeyer flask (with aluminum foil on top)</w:t>
      </w:r>
    </w:p>
    <w:p w14:paraId="24E70217" w14:textId="77777777" w:rsidR="00025413" w:rsidRPr="00D74025" w:rsidRDefault="00025413">
      <w:pPr>
        <w:pStyle w:val="ListParagraph"/>
        <w:numPr>
          <w:ilvl w:val="0"/>
          <w:numId w:val="6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100 ml beaker (with aluminum foil on top)          </w:t>
      </w:r>
    </w:p>
    <w:p w14:paraId="4D47FC3B" w14:textId="77777777" w:rsidR="00025413" w:rsidRPr="00D74025" w:rsidRDefault="00025413">
      <w:pPr>
        <w:pStyle w:val="ListParagraph"/>
        <w:numPr>
          <w:ilvl w:val="0"/>
          <w:numId w:val="6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All size tips</w:t>
      </w:r>
    </w:p>
    <w:p w14:paraId="5DA42F09" w14:textId="77777777" w:rsidR="00025413" w:rsidRPr="00D74025" w:rsidRDefault="00025413">
      <w:pPr>
        <w:pStyle w:val="ListParagraph"/>
        <w:numPr>
          <w:ilvl w:val="0"/>
          <w:numId w:val="6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1.5 ml centrifuge tubes (like 100)</w:t>
      </w:r>
    </w:p>
    <w:p w14:paraId="7EAD50AC" w14:textId="77777777" w:rsidR="00025413" w:rsidRPr="00D74025" w:rsidRDefault="00025413">
      <w:pPr>
        <w:pStyle w:val="ListParagraph"/>
        <w:numPr>
          <w:ilvl w:val="0"/>
          <w:numId w:val="6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1 liter DI water</w:t>
      </w:r>
    </w:p>
    <w:p w14:paraId="59FCBF9C" w14:textId="77777777" w:rsidR="00025413" w:rsidRPr="00D74025" w:rsidRDefault="00025413" w:rsidP="00F6020C">
      <w:pPr>
        <w:spacing w:line="276" w:lineRule="auto"/>
        <w:rPr>
          <w:rFonts w:ascii="Arial" w:hAnsi="Arial" w:cs="Arial"/>
          <w:color w:val="000000" w:themeColor="text1"/>
        </w:rPr>
      </w:pPr>
    </w:p>
    <w:p w14:paraId="504F9784" w14:textId="77777777" w:rsidR="00025413" w:rsidRPr="00D74025" w:rsidRDefault="00025413" w:rsidP="00F6020C">
      <w:pPr>
        <w:spacing w:line="276" w:lineRule="auto"/>
        <w:rPr>
          <w:rFonts w:ascii="Arial" w:hAnsi="Arial" w:cs="Arial"/>
          <w:b/>
          <w:color w:val="000000" w:themeColor="text1"/>
        </w:rPr>
      </w:pPr>
      <w:r w:rsidRPr="00D74025">
        <w:rPr>
          <w:rFonts w:ascii="Arial" w:hAnsi="Arial" w:cs="Arial"/>
          <w:b/>
          <w:color w:val="000000" w:themeColor="text1"/>
        </w:rPr>
        <w:t>Protein Expression</w:t>
      </w:r>
    </w:p>
    <w:p w14:paraId="1874869C" w14:textId="77777777" w:rsidR="00025413" w:rsidRPr="00D74025" w:rsidRDefault="00025413" w:rsidP="00F6020C">
      <w:pPr>
        <w:spacing w:line="276" w:lineRule="auto"/>
        <w:rPr>
          <w:rFonts w:ascii="Arial" w:hAnsi="Arial" w:cs="Arial"/>
          <w:color w:val="000000" w:themeColor="text1"/>
        </w:rPr>
      </w:pPr>
    </w:p>
    <w:p w14:paraId="495CD87A" w14:textId="7DAA0BDB" w:rsidR="00025413" w:rsidRPr="00D74025" w:rsidRDefault="00025413" w:rsidP="00F6020C">
      <w:pPr>
        <w:spacing w:line="276" w:lineRule="auto"/>
        <w:rPr>
          <w:rFonts w:ascii="Arial" w:hAnsi="Arial" w:cs="Arial"/>
          <w:color w:val="000000" w:themeColor="text1"/>
          <w:u w:val="single"/>
        </w:rPr>
      </w:pPr>
      <w:r w:rsidRPr="00D74025">
        <w:rPr>
          <w:rFonts w:ascii="Arial" w:hAnsi="Arial" w:cs="Arial"/>
          <w:color w:val="000000" w:themeColor="text1"/>
          <w:u w:val="single"/>
        </w:rPr>
        <w:t>Day 1</w:t>
      </w:r>
    </w:p>
    <w:p w14:paraId="09E996F1" w14:textId="26F0603C" w:rsidR="00025413" w:rsidRPr="00491866" w:rsidRDefault="00025413">
      <w:pPr>
        <w:pStyle w:val="ListParagraph"/>
        <w:numPr>
          <w:ilvl w:val="0"/>
          <w:numId w:val="85"/>
        </w:numPr>
        <w:spacing w:line="276" w:lineRule="auto"/>
        <w:rPr>
          <w:rFonts w:ascii="Arial" w:hAnsi="Arial" w:cs="Arial"/>
          <w:color w:val="000000" w:themeColor="text1"/>
        </w:rPr>
      </w:pPr>
      <w:r w:rsidRPr="00491866">
        <w:rPr>
          <w:rFonts w:ascii="Arial" w:hAnsi="Arial" w:cs="Arial"/>
          <w:color w:val="000000" w:themeColor="text1"/>
        </w:rPr>
        <w:t>Culture 5 µl</w:t>
      </w:r>
      <w:r w:rsidR="0002463B">
        <w:rPr>
          <w:rFonts w:ascii="Arial" w:hAnsi="Arial" w:cs="Arial"/>
          <w:color w:val="000000" w:themeColor="text1"/>
        </w:rPr>
        <w:t xml:space="preserve"> </w:t>
      </w:r>
      <w:r w:rsidRPr="00491866">
        <w:rPr>
          <w:rFonts w:ascii="Arial" w:hAnsi="Arial" w:cs="Arial"/>
          <w:color w:val="000000" w:themeColor="text1"/>
        </w:rPr>
        <w:t xml:space="preserve">of </w:t>
      </w:r>
      <w:r w:rsidRPr="00491866">
        <w:rPr>
          <w:rFonts w:ascii="Arial" w:hAnsi="Arial" w:cs="Arial"/>
          <w:i/>
          <w:color w:val="000000" w:themeColor="text1"/>
        </w:rPr>
        <w:t>E. coli</w:t>
      </w:r>
      <w:r w:rsidRPr="00491866">
        <w:rPr>
          <w:rFonts w:ascii="Arial" w:hAnsi="Arial" w:cs="Arial"/>
          <w:color w:val="000000" w:themeColor="text1"/>
        </w:rPr>
        <w:t>BL21(DE3) harboring pET303CT with the fusion gene A</w:t>
      </w:r>
      <w:r w:rsidR="0060546D">
        <w:rPr>
          <w:rFonts w:ascii="Arial" w:hAnsi="Arial" w:cs="Arial"/>
          <w:color w:val="000000" w:themeColor="text1"/>
        </w:rPr>
        <w:t>NXA5</w:t>
      </w:r>
      <w:r w:rsidRPr="00491866">
        <w:rPr>
          <w:rFonts w:ascii="Arial" w:hAnsi="Arial" w:cs="Arial"/>
          <w:color w:val="000000" w:themeColor="text1"/>
        </w:rPr>
        <w:t xml:space="preserve"> in10 ml of LB medium containing 35</w:t>
      </w:r>
      <w:r w:rsidR="0002463B">
        <w:rPr>
          <w:rFonts w:ascii="Arial" w:hAnsi="Arial" w:cs="Arial"/>
          <w:color w:val="000000" w:themeColor="text1"/>
        </w:rPr>
        <w:t xml:space="preserve"> </w:t>
      </w:r>
      <w:r w:rsidRPr="00D74025">
        <w:sym w:font="Symbol" w:char="F06D"/>
      </w:r>
      <w:r w:rsidRPr="00491866">
        <w:rPr>
          <w:rFonts w:ascii="Arial" w:hAnsi="Arial" w:cs="Arial"/>
          <w:color w:val="000000" w:themeColor="text1"/>
        </w:rPr>
        <w:t>g/ml kanamycin in a 125 ml Erlenmeyer flask overnight at 37</w:t>
      </w:r>
      <w:r w:rsidRPr="00491866">
        <w:rPr>
          <w:rFonts w:ascii="Arial" w:hAnsi="Arial" w:cs="Arial"/>
          <w:color w:val="000000" w:themeColor="text1"/>
          <w:vertAlign w:val="superscript"/>
        </w:rPr>
        <w:t>o</w:t>
      </w:r>
      <w:r w:rsidRPr="00491866">
        <w:rPr>
          <w:rFonts w:ascii="Arial" w:hAnsi="Arial" w:cs="Arial"/>
          <w:color w:val="000000" w:themeColor="text1"/>
        </w:rPr>
        <w:t>C with shaking at 200 rpm. OD</w:t>
      </w:r>
      <w:r w:rsidRPr="00491866">
        <w:rPr>
          <w:rFonts w:ascii="Arial" w:hAnsi="Arial" w:cs="Arial"/>
          <w:color w:val="000000" w:themeColor="text1"/>
          <w:vertAlign w:val="subscript"/>
        </w:rPr>
        <w:t>600</w:t>
      </w:r>
      <w:r w:rsidRPr="00491866">
        <w:rPr>
          <w:rFonts w:ascii="Arial" w:hAnsi="Arial" w:cs="Arial"/>
          <w:color w:val="000000" w:themeColor="text1"/>
        </w:rPr>
        <w:t xml:space="preserve"> = 0.5</w:t>
      </w:r>
    </w:p>
    <w:p w14:paraId="61504E20" w14:textId="77777777" w:rsidR="00025413" w:rsidRPr="00D74025" w:rsidRDefault="00025413">
      <w:pPr>
        <w:pStyle w:val="ListParagraph"/>
        <w:numPr>
          <w:ilvl w:val="0"/>
          <w:numId w:val="2"/>
        </w:numPr>
        <w:spacing w:before="0" w:beforeAutospacing="0" w:after="0" w:afterAutospacing="0" w:line="276" w:lineRule="auto"/>
        <w:jc w:val="left"/>
        <w:rPr>
          <w:rFonts w:ascii="Arial" w:hAnsi="Arial" w:cs="Arial"/>
          <w:b/>
          <w:bCs/>
          <w:color w:val="000000" w:themeColor="text1"/>
        </w:rPr>
      </w:pPr>
      <w:r w:rsidRPr="00D74025">
        <w:rPr>
          <w:rFonts w:ascii="Arial" w:hAnsi="Arial" w:cs="Arial"/>
          <w:b/>
          <w:bCs/>
          <w:color w:val="000000" w:themeColor="text1"/>
        </w:rPr>
        <w:t>Add 35 mg kanamycin to the 1 L of TB medium before taking out the 10 ml for the initial culture.</w:t>
      </w:r>
    </w:p>
    <w:p w14:paraId="60D212C4" w14:textId="77777777" w:rsidR="00025413" w:rsidRPr="00D74025" w:rsidRDefault="00025413">
      <w:pPr>
        <w:pStyle w:val="ListParagraph"/>
        <w:numPr>
          <w:ilvl w:val="0"/>
          <w:numId w:val="2"/>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Incubate.</w:t>
      </w:r>
    </w:p>
    <w:p w14:paraId="7626CDAE" w14:textId="77777777" w:rsidR="00025413" w:rsidRPr="00D74025" w:rsidRDefault="00025413" w:rsidP="00F6020C">
      <w:pPr>
        <w:spacing w:line="276" w:lineRule="auto"/>
        <w:rPr>
          <w:rFonts w:ascii="Arial" w:hAnsi="Arial" w:cs="Arial"/>
          <w:b/>
          <w:color w:val="000000" w:themeColor="text1"/>
          <w:u w:val="single"/>
        </w:rPr>
      </w:pPr>
    </w:p>
    <w:p w14:paraId="1F868BFD" w14:textId="18FDAD2D" w:rsidR="00025413" w:rsidRPr="00491866" w:rsidRDefault="00025413">
      <w:pPr>
        <w:pStyle w:val="ListParagraph"/>
        <w:numPr>
          <w:ilvl w:val="0"/>
          <w:numId w:val="18"/>
        </w:numPr>
        <w:spacing w:line="276" w:lineRule="auto"/>
        <w:rPr>
          <w:rFonts w:ascii="Arial" w:hAnsi="Arial" w:cs="Arial"/>
          <w:b/>
          <w:bCs/>
          <w:color w:val="000000" w:themeColor="text1"/>
        </w:rPr>
      </w:pPr>
      <w:r w:rsidRPr="00491866">
        <w:rPr>
          <w:rFonts w:ascii="Arial" w:hAnsi="Arial" w:cs="Arial"/>
          <w:color w:val="000000" w:themeColor="text1"/>
        </w:rPr>
        <w:t>Add 10 ml of the cell culture to 1 liter of fresh culture medium+ kanamycin and incubate at 37</w:t>
      </w:r>
      <w:r w:rsidRPr="00491866">
        <w:rPr>
          <w:rFonts w:ascii="Arial" w:hAnsi="Arial" w:cs="Arial"/>
          <w:color w:val="000000" w:themeColor="text1"/>
          <w:vertAlign w:val="superscript"/>
        </w:rPr>
        <w:t>o</w:t>
      </w:r>
      <w:r w:rsidRPr="00491866">
        <w:rPr>
          <w:rFonts w:ascii="Arial" w:hAnsi="Arial" w:cs="Arial"/>
          <w:color w:val="000000" w:themeColor="text1"/>
        </w:rPr>
        <w:t>C with shaking (200 rpm). Take 1.5 mL of medium before adding the bacteria, as a blank. This cell culture was grown to mid-log phase =&gt;</w:t>
      </w:r>
      <w:r w:rsidRPr="00491866">
        <w:rPr>
          <w:rFonts w:ascii="Arial" w:hAnsi="Arial" w:cs="Arial"/>
          <w:b/>
          <w:bCs/>
          <w:color w:val="000000" w:themeColor="text1"/>
        </w:rPr>
        <w:t>OD</w:t>
      </w:r>
      <w:r w:rsidRPr="00491866">
        <w:rPr>
          <w:rFonts w:ascii="Arial" w:hAnsi="Arial" w:cs="Arial"/>
          <w:b/>
          <w:bCs/>
          <w:color w:val="000000" w:themeColor="text1"/>
          <w:vertAlign w:val="subscript"/>
        </w:rPr>
        <w:t>600</w:t>
      </w:r>
      <w:r w:rsidRPr="00491866">
        <w:rPr>
          <w:rFonts w:ascii="Arial" w:hAnsi="Arial" w:cs="Arial"/>
          <w:b/>
          <w:bCs/>
          <w:color w:val="000000" w:themeColor="text1"/>
        </w:rPr>
        <w:t xml:space="preserve"> = 1.2. </w:t>
      </w:r>
    </w:p>
    <w:p w14:paraId="07B51F9D" w14:textId="77777777" w:rsidR="00025413" w:rsidRPr="00D74025" w:rsidRDefault="00025413">
      <w:pPr>
        <w:pStyle w:val="ListParagraph"/>
        <w:numPr>
          <w:ilvl w:val="0"/>
          <w:numId w:val="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Take a 1.5 ml sample of just the TB medium.  Label 1.5 ml tube ‘</w:t>
      </w:r>
      <w:r w:rsidRPr="00D74025">
        <w:rPr>
          <w:rFonts w:ascii="Arial" w:hAnsi="Arial" w:cs="Arial"/>
          <w:b/>
          <w:color w:val="000000" w:themeColor="text1"/>
        </w:rPr>
        <w:t>TB</w:t>
      </w:r>
      <w:r w:rsidRPr="00D74025">
        <w:rPr>
          <w:rFonts w:ascii="Arial" w:hAnsi="Arial" w:cs="Arial"/>
          <w:color w:val="000000" w:themeColor="text1"/>
        </w:rPr>
        <w:t xml:space="preserve">.’  </w:t>
      </w:r>
    </w:p>
    <w:p w14:paraId="4A8A6E13" w14:textId="77777777" w:rsidR="00025413" w:rsidRPr="00D74025" w:rsidRDefault="00025413">
      <w:pPr>
        <w:pStyle w:val="ListParagraph"/>
        <w:numPr>
          <w:ilvl w:val="0"/>
          <w:numId w:val="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Transfer 10 mL of bacteria to 1 L TB medium.</w:t>
      </w:r>
    </w:p>
    <w:p w14:paraId="3BADB6E7" w14:textId="77777777" w:rsidR="00025413" w:rsidRPr="00D74025" w:rsidRDefault="00025413">
      <w:pPr>
        <w:pStyle w:val="ListParagraph"/>
        <w:numPr>
          <w:ilvl w:val="0"/>
          <w:numId w:val="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Transfer entire volume of medium to 4 x 1 L flasks. </w:t>
      </w:r>
    </w:p>
    <w:p w14:paraId="124E9A41" w14:textId="77777777" w:rsidR="00025413" w:rsidRPr="00D74025" w:rsidRDefault="00025413">
      <w:pPr>
        <w:pStyle w:val="ListParagraph"/>
        <w:numPr>
          <w:ilvl w:val="0"/>
          <w:numId w:val="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lastRenderedPageBreak/>
        <w:t>Put in shaker at 37</w:t>
      </w:r>
      <w:r w:rsidRPr="00D74025">
        <w:rPr>
          <w:rFonts w:ascii="Arial" w:hAnsi="Arial" w:cs="Arial"/>
          <w:color w:val="000000" w:themeColor="text1"/>
          <w:vertAlign w:val="superscript"/>
        </w:rPr>
        <w:t>o</w:t>
      </w:r>
      <w:r w:rsidRPr="00D74025">
        <w:rPr>
          <w:rFonts w:ascii="Arial" w:hAnsi="Arial" w:cs="Arial"/>
          <w:color w:val="000000" w:themeColor="text1"/>
        </w:rPr>
        <w:t xml:space="preserve"> C at 200 rpm.</w:t>
      </w:r>
    </w:p>
    <w:p w14:paraId="6C807D63" w14:textId="77777777" w:rsidR="00025413" w:rsidRPr="00D74025" w:rsidRDefault="00025413">
      <w:pPr>
        <w:pStyle w:val="ListParagraph"/>
        <w:numPr>
          <w:ilvl w:val="0"/>
          <w:numId w:val="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After 1.5 </w:t>
      </w:r>
      <w:proofErr w:type="spellStart"/>
      <w:r w:rsidRPr="00D74025">
        <w:rPr>
          <w:rFonts w:ascii="Arial" w:hAnsi="Arial" w:cs="Arial"/>
          <w:color w:val="000000" w:themeColor="text1"/>
        </w:rPr>
        <w:t>hrs</w:t>
      </w:r>
      <w:proofErr w:type="spellEnd"/>
      <w:r w:rsidRPr="00D74025">
        <w:rPr>
          <w:rFonts w:ascii="Arial" w:hAnsi="Arial" w:cs="Arial"/>
          <w:color w:val="000000" w:themeColor="text1"/>
        </w:rPr>
        <w:t xml:space="preserve"> of shaking, measure optical density at 600 nm (absorbance) using a clear 96 well plate and microtiter plate reader of sample vs LB medium =&gt; using 250 µl samples of each.  When OD</w:t>
      </w:r>
      <w:r w:rsidRPr="00D74025">
        <w:rPr>
          <w:rFonts w:ascii="Arial" w:hAnsi="Arial" w:cs="Arial"/>
          <w:color w:val="000000" w:themeColor="text1"/>
          <w:vertAlign w:val="subscript"/>
        </w:rPr>
        <w:t xml:space="preserve">600nm </w:t>
      </w:r>
      <w:r w:rsidRPr="00D74025">
        <w:rPr>
          <w:rFonts w:ascii="Arial" w:hAnsi="Arial" w:cs="Arial"/>
          <w:color w:val="000000" w:themeColor="text1"/>
        </w:rPr>
        <w:t>= 1.2, then proceed to next step.</w:t>
      </w:r>
    </w:p>
    <w:p w14:paraId="18572DA3" w14:textId="77777777" w:rsidR="00025413" w:rsidRPr="00D74025" w:rsidRDefault="00025413" w:rsidP="00F6020C">
      <w:pPr>
        <w:spacing w:line="276" w:lineRule="auto"/>
        <w:rPr>
          <w:rFonts w:ascii="Arial" w:hAnsi="Arial" w:cs="Arial"/>
          <w:color w:val="000000" w:themeColor="text1"/>
        </w:rPr>
      </w:pPr>
    </w:p>
    <w:p w14:paraId="637E84A1" w14:textId="2F046092" w:rsidR="00025413" w:rsidRPr="00D74025" w:rsidRDefault="00025413" w:rsidP="00F6020C">
      <w:pPr>
        <w:spacing w:line="276" w:lineRule="auto"/>
        <w:rPr>
          <w:rFonts w:ascii="Arial" w:hAnsi="Arial" w:cs="Arial"/>
          <w:color w:val="000000" w:themeColor="text1"/>
          <w:u w:val="single"/>
        </w:rPr>
      </w:pPr>
      <w:r w:rsidRPr="00D74025">
        <w:rPr>
          <w:rFonts w:ascii="Arial" w:hAnsi="Arial" w:cs="Arial"/>
          <w:color w:val="000000" w:themeColor="text1"/>
          <w:u w:val="single"/>
        </w:rPr>
        <w:t xml:space="preserve">Day </w:t>
      </w:r>
      <w:r w:rsidR="00491866">
        <w:rPr>
          <w:rFonts w:ascii="Arial" w:hAnsi="Arial" w:cs="Arial"/>
          <w:color w:val="000000" w:themeColor="text1"/>
          <w:u w:val="single"/>
        </w:rPr>
        <w:t>2</w:t>
      </w:r>
    </w:p>
    <w:p w14:paraId="07B2FA18" w14:textId="6EA89F5B" w:rsidR="00025413" w:rsidRPr="00D74025" w:rsidRDefault="00025413">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Add</w:t>
      </w:r>
      <w:r w:rsidR="0002463B">
        <w:rPr>
          <w:rFonts w:ascii="Arial" w:hAnsi="Arial" w:cs="Arial"/>
          <w:color w:val="000000" w:themeColor="text1"/>
        </w:rPr>
        <w:t xml:space="preserve"> </w:t>
      </w:r>
      <w:r w:rsidRPr="00D74025">
        <w:rPr>
          <w:rFonts w:ascii="Arial" w:hAnsi="Arial" w:cs="Arial"/>
          <w:color w:val="000000" w:themeColor="text1"/>
        </w:rPr>
        <w:t xml:space="preserve">isopropyl </w:t>
      </w:r>
      <w:r w:rsidRPr="00D74025">
        <w:rPr>
          <w:rFonts w:ascii="Arial" w:hAnsi="Arial" w:cs="Arial"/>
          <w:color w:val="000000" w:themeColor="text1"/>
        </w:rPr>
        <w:sym w:font="Symbol" w:char="F062"/>
      </w:r>
      <w:r w:rsidRPr="00D74025">
        <w:rPr>
          <w:rFonts w:ascii="Arial" w:hAnsi="Arial" w:cs="Arial"/>
          <w:color w:val="000000" w:themeColor="text1"/>
        </w:rPr>
        <w:t>-D-</w:t>
      </w:r>
      <w:proofErr w:type="spellStart"/>
      <w:r w:rsidRPr="00D74025">
        <w:rPr>
          <w:rFonts w:ascii="Arial" w:hAnsi="Arial" w:cs="Arial"/>
          <w:color w:val="000000" w:themeColor="text1"/>
        </w:rPr>
        <w:t>thiogalactopyranoside</w:t>
      </w:r>
      <w:proofErr w:type="spellEnd"/>
      <w:r w:rsidRPr="00D74025">
        <w:rPr>
          <w:rFonts w:ascii="Arial" w:hAnsi="Arial" w:cs="Arial"/>
          <w:color w:val="000000" w:themeColor="text1"/>
        </w:rPr>
        <w:t xml:space="preserve"> (IPTG - stored @ -20ºC top shelf) to a final concentration of 0.4 mM (96 mg IPTG total – 24 mg per flask) to solutions in 4 x 1 L flasks and incubate at 30</w:t>
      </w:r>
      <w:r w:rsidRPr="00D74025">
        <w:rPr>
          <w:rFonts w:ascii="Arial" w:hAnsi="Arial" w:cs="Arial"/>
          <w:color w:val="000000" w:themeColor="text1"/>
          <w:vertAlign w:val="superscript"/>
        </w:rPr>
        <w:t>o</w:t>
      </w:r>
      <w:r w:rsidRPr="00D74025">
        <w:rPr>
          <w:rFonts w:ascii="Arial" w:hAnsi="Arial" w:cs="Arial"/>
          <w:color w:val="000000" w:themeColor="text1"/>
        </w:rPr>
        <w:t xml:space="preserve">C with shaking (180 rpm) for 5 h to induce protein expression. </w:t>
      </w:r>
    </w:p>
    <w:p w14:paraId="783129E1" w14:textId="77777777" w:rsidR="00025413" w:rsidRPr="00D74025" w:rsidRDefault="00025413">
      <w:pPr>
        <w:pStyle w:val="ListParagraph"/>
        <w:numPr>
          <w:ilvl w:val="0"/>
          <w:numId w:val="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Take 750 ml sample of solution before adding IPTG.  Label it ‘</w:t>
      </w:r>
      <w:r w:rsidRPr="00D74025">
        <w:rPr>
          <w:rFonts w:ascii="Arial" w:hAnsi="Arial" w:cs="Arial"/>
          <w:b/>
          <w:color w:val="000000" w:themeColor="text1"/>
        </w:rPr>
        <w:t>BI</w:t>
      </w:r>
      <w:r w:rsidRPr="00D74025">
        <w:rPr>
          <w:rFonts w:ascii="Arial" w:hAnsi="Arial" w:cs="Arial"/>
          <w:color w:val="000000" w:themeColor="text1"/>
        </w:rPr>
        <w:t xml:space="preserve">.’ </w:t>
      </w:r>
    </w:p>
    <w:p w14:paraId="1120A1AA" w14:textId="77777777" w:rsidR="00025413" w:rsidRPr="00D74025" w:rsidRDefault="00025413">
      <w:pPr>
        <w:pStyle w:val="ListParagraph"/>
        <w:numPr>
          <w:ilvl w:val="0"/>
          <w:numId w:val="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Add 24 mg IPTG to each flask.</w:t>
      </w:r>
    </w:p>
    <w:p w14:paraId="2BE6B33A" w14:textId="77777777" w:rsidR="00025413" w:rsidRPr="00D74025" w:rsidRDefault="00025413">
      <w:pPr>
        <w:pStyle w:val="ListParagraph"/>
        <w:numPr>
          <w:ilvl w:val="0"/>
          <w:numId w:val="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Put back in shaker at 30</w:t>
      </w:r>
      <w:r w:rsidRPr="00D74025">
        <w:rPr>
          <w:rFonts w:ascii="Arial" w:hAnsi="Arial" w:cs="Arial"/>
          <w:color w:val="000000" w:themeColor="text1"/>
          <w:vertAlign w:val="superscript"/>
        </w:rPr>
        <w:t>o</w:t>
      </w:r>
      <w:r w:rsidRPr="00D74025">
        <w:rPr>
          <w:rFonts w:ascii="Arial" w:hAnsi="Arial" w:cs="Arial"/>
          <w:color w:val="000000" w:themeColor="text1"/>
        </w:rPr>
        <w:t xml:space="preserve">C for 5 hours.  </w:t>
      </w:r>
    </w:p>
    <w:p w14:paraId="4C7681F3" w14:textId="77777777" w:rsidR="00025413" w:rsidRPr="00D74025" w:rsidRDefault="00025413">
      <w:pPr>
        <w:pStyle w:val="ListParagraph"/>
        <w:numPr>
          <w:ilvl w:val="0"/>
          <w:numId w:val="22"/>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IPTG stimulates the production of fusion protein.  (IPTG activates the promoter in the plasmid that will start the transcription of the gene that follows the promoter =&gt;Annexin V gene.) </w:t>
      </w:r>
    </w:p>
    <w:p w14:paraId="796424DC" w14:textId="77777777" w:rsidR="00025413" w:rsidRPr="00D74025" w:rsidRDefault="00025413" w:rsidP="00F6020C">
      <w:pPr>
        <w:pStyle w:val="ListParagraph"/>
        <w:spacing w:line="276" w:lineRule="auto"/>
        <w:ind w:left="1800"/>
        <w:rPr>
          <w:rFonts w:ascii="Arial" w:hAnsi="Arial" w:cs="Arial"/>
          <w:color w:val="000000" w:themeColor="text1"/>
        </w:rPr>
      </w:pPr>
    </w:p>
    <w:p w14:paraId="11E7071B" w14:textId="534C5860" w:rsidR="00025413" w:rsidRPr="00D74025" w:rsidRDefault="00025413" w:rsidP="00F6020C">
      <w:pPr>
        <w:spacing w:line="276" w:lineRule="auto"/>
        <w:rPr>
          <w:rFonts w:ascii="Arial" w:hAnsi="Arial" w:cs="Arial"/>
          <w:color w:val="000000" w:themeColor="text1"/>
          <w:u w:val="single"/>
        </w:rPr>
      </w:pPr>
      <w:r w:rsidRPr="00D74025">
        <w:rPr>
          <w:rFonts w:ascii="Arial" w:hAnsi="Arial" w:cs="Arial"/>
          <w:color w:val="000000" w:themeColor="text1"/>
          <w:u w:val="single"/>
        </w:rPr>
        <w:t xml:space="preserve">Day </w:t>
      </w:r>
      <w:r w:rsidR="0058781F">
        <w:rPr>
          <w:rFonts w:ascii="Arial" w:hAnsi="Arial" w:cs="Arial"/>
          <w:color w:val="000000" w:themeColor="text1"/>
          <w:u w:val="single"/>
        </w:rPr>
        <w:t>4</w:t>
      </w:r>
    </w:p>
    <w:p w14:paraId="670861F6" w14:textId="77777777" w:rsidR="00025413" w:rsidRPr="00D74025" w:rsidRDefault="00025413">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Harvest the cells by centrifugation for 10 min at 1000 x </w:t>
      </w:r>
      <w:r w:rsidRPr="00D74025">
        <w:rPr>
          <w:rFonts w:ascii="Arial" w:hAnsi="Arial" w:cs="Arial"/>
          <w:i/>
          <w:color w:val="000000" w:themeColor="text1"/>
        </w:rPr>
        <w:t>g</w:t>
      </w:r>
      <w:r w:rsidRPr="00D74025">
        <w:rPr>
          <w:rFonts w:ascii="Arial" w:hAnsi="Arial" w:cs="Arial"/>
          <w:color w:val="000000" w:themeColor="text1"/>
        </w:rPr>
        <w:t xml:space="preserve">, at 4ºC. </w:t>
      </w:r>
    </w:p>
    <w:p w14:paraId="47A2FB53" w14:textId="77777777" w:rsidR="00025413" w:rsidRPr="00D74025" w:rsidRDefault="00025413">
      <w:pPr>
        <w:pStyle w:val="ListParagraph"/>
        <w:numPr>
          <w:ilvl w:val="0"/>
          <w:numId w:val="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Take 750 ml sample before centrifuge.  Label sample ‘</w:t>
      </w:r>
      <w:r w:rsidRPr="00D74025">
        <w:rPr>
          <w:rFonts w:ascii="Arial" w:hAnsi="Arial" w:cs="Arial"/>
          <w:b/>
          <w:color w:val="000000" w:themeColor="text1"/>
        </w:rPr>
        <w:t>BC</w:t>
      </w:r>
      <w:r w:rsidRPr="00D74025">
        <w:rPr>
          <w:rFonts w:ascii="Arial" w:hAnsi="Arial" w:cs="Arial"/>
          <w:color w:val="000000" w:themeColor="text1"/>
        </w:rPr>
        <w:t>.’</w:t>
      </w:r>
    </w:p>
    <w:p w14:paraId="52907AA4" w14:textId="77777777" w:rsidR="00025413" w:rsidRPr="00D74025" w:rsidRDefault="00025413">
      <w:pPr>
        <w:pStyle w:val="ListParagraph"/>
        <w:numPr>
          <w:ilvl w:val="0"/>
          <w:numId w:val="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Centrifuge at 1000xg = ~3000 rpm (centrifuge uses rpm – consult table on machine).  Only 4 – 50 ml centrifuge tubes at a time, temp 4ºC, 10 mins.</w:t>
      </w:r>
    </w:p>
    <w:p w14:paraId="0BBDB71B" w14:textId="77777777" w:rsidR="00025413" w:rsidRPr="00D74025" w:rsidRDefault="00025413">
      <w:pPr>
        <w:pStyle w:val="ListParagraph"/>
        <w:numPr>
          <w:ilvl w:val="0"/>
          <w:numId w:val="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After first centrifuge, pour out supernatant, add more culture to same 4 tubes.  Bacteria will be stuck to side of tubes so inverting to pour out is not a problem.</w:t>
      </w:r>
    </w:p>
    <w:p w14:paraId="08262BE7" w14:textId="77777777" w:rsidR="00025413" w:rsidRPr="00D74025" w:rsidRDefault="00025413">
      <w:pPr>
        <w:pStyle w:val="ListParagraph"/>
        <w:numPr>
          <w:ilvl w:val="0"/>
          <w:numId w:val="27"/>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Can put the 4 tubes in -20ºC freezer for overnight storage.</w:t>
      </w:r>
    </w:p>
    <w:p w14:paraId="3B6EED06" w14:textId="77777777" w:rsidR="00025413" w:rsidRPr="00D74025" w:rsidRDefault="00025413" w:rsidP="00F6020C">
      <w:pPr>
        <w:spacing w:line="276" w:lineRule="auto"/>
        <w:rPr>
          <w:rFonts w:ascii="Arial" w:hAnsi="Arial" w:cs="Arial"/>
          <w:color w:val="000000" w:themeColor="text1"/>
        </w:rPr>
      </w:pPr>
    </w:p>
    <w:p w14:paraId="2987CA2F" w14:textId="017F0579" w:rsidR="00025413" w:rsidRPr="00D74025" w:rsidRDefault="00025413" w:rsidP="00F6020C">
      <w:pPr>
        <w:spacing w:line="276" w:lineRule="auto"/>
        <w:rPr>
          <w:rFonts w:ascii="Arial" w:hAnsi="Arial" w:cs="Arial"/>
          <w:color w:val="000000" w:themeColor="text1"/>
          <w:u w:val="single"/>
        </w:rPr>
      </w:pPr>
      <w:r w:rsidRPr="00D74025">
        <w:rPr>
          <w:rFonts w:ascii="Arial" w:hAnsi="Arial" w:cs="Arial"/>
          <w:color w:val="000000" w:themeColor="text1"/>
          <w:u w:val="single"/>
        </w:rPr>
        <w:t xml:space="preserve">Day </w:t>
      </w:r>
      <w:r w:rsidR="009F5020">
        <w:rPr>
          <w:rFonts w:ascii="Arial" w:hAnsi="Arial" w:cs="Arial"/>
          <w:color w:val="000000" w:themeColor="text1"/>
          <w:u w:val="single"/>
        </w:rPr>
        <w:t>5</w:t>
      </w:r>
    </w:p>
    <w:p w14:paraId="59644018" w14:textId="77777777" w:rsidR="00025413" w:rsidRPr="00D74025" w:rsidRDefault="00025413">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Resuspend the cell pellet in 80 ml of sonication buffer. </w:t>
      </w:r>
    </w:p>
    <w:p w14:paraId="75FBBC72" w14:textId="77777777" w:rsidR="00025413" w:rsidRPr="00D74025" w:rsidRDefault="00025413">
      <w:pPr>
        <w:pStyle w:val="ListParagraph"/>
        <w:numPr>
          <w:ilvl w:val="1"/>
          <w:numId w:val="26"/>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Add ~10 ml to each of the 4 centrifuge tubes.</w:t>
      </w:r>
    </w:p>
    <w:p w14:paraId="5579588D" w14:textId="77777777" w:rsidR="00025413" w:rsidRPr="00D74025" w:rsidRDefault="00025413">
      <w:pPr>
        <w:pStyle w:val="ListParagraph"/>
        <w:numPr>
          <w:ilvl w:val="1"/>
          <w:numId w:val="26"/>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Vortex to resuspend cell pellets.</w:t>
      </w:r>
    </w:p>
    <w:p w14:paraId="2B46EBDF" w14:textId="77777777" w:rsidR="00025413" w:rsidRPr="00D74025" w:rsidRDefault="00025413">
      <w:pPr>
        <w:pStyle w:val="ListParagraph"/>
        <w:numPr>
          <w:ilvl w:val="1"/>
          <w:numId w:val="26"/>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Pour contents of the 4 tubes back into the 100 ml beaker.</w:t>
      </w:r>
    </w:p>
    <w:p w14:paraId="5AD38AE6" w14:textId="77777777" w:rsidR="00025413" w:rsidRPr="00D74025" w:rsidRDefault="00025413">
      <w:pPr>
        <w:pStyle w:val="ListParagraph"/>
        <w:numPr>
          <w:ilvl w:val="1"/>
          <w:numId w:val="18"/>
        </w:numPr>
        <w:spacing w:before="0" w:beforeAutospacing="0" w:after="0" w:afterAutospacing="0" w:line="276" w:lineRule="auto"/>
        <w:jc w:val="left"/>
        <w:rPr>
          <w:rFonts w:ascii="Arial" w:hAnsi="Arial" w:cs="Arial"/>
          <w:b/>
          <w:bCs/>
          <w:color w:val="000000" w:themeColor="text1"/>
          <w:u w:val="single"/>
        </w:rPr>
      </w:pPr>
      <w:r w:rsidRPr="00D74025">
        <w:rPr>
          <w:rFonts w:ascii="Arial" w:hAnsi="Arial" w:cs="Arial"/>
          <w:b/>
          <w:bCs/>
          <w:color w:val="000000" w:themeColor="text1"/>
          <w:u w:val="single"/>
        </w:rPr>
        <w:t>Sonication Buffer</w:t>
      </w:r>
    </w:p>
    <w:p w14:paraId="00847EF0" w14:textId="77777777" w:rsidR="00025413" w:rsidRPr="00D74025" w:rsidRDefault="00025413">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0.05 mM N-</w:t>
      </w:r>
      <w:r w:rsidRPr="00D74025">
        <w:rPr>
          <w:rFonts w:ascii="Arial" w:hAnsi="Arial" w:cs="Arial"/>
          <w:i/>
          <w:color w:val="000000" w:themeColor="text1"/>
        </w:rPr>
        <w:t xml:space="preserve"> p</w:t>
      </w:r>
      <w:r w:rsidRPr="00D74025">
        <w:rPr>
          <w:rFonts w:ascii="Arial" w:hAnsi="Arial" w:cs="Arial"/>
          <w:color w:val="000000" w:themeColor="text1"/>
        </w:rPr>
        <w:t>-</w:t>
      </w:r>
      <w:proofErr w:type="spellStart"/>
      <w:r w:rsidRPr="00D74025">
        <w:rPr>
          <w:rFonts w:ascii="Arial" w:hAnsi="Arial" w:cs="Arial"/>
          <w:color w:val="000000" w:themeColor="text1"/>
        </w:rPr>
        <w:t>tosyl</w:t>
      </w:r>
      <w:proofErr w:type="spellEnd"/>
      <w:r w:rsidRPr="00D74025">
        <w:rPr>
          <w:rFonts w:ascii="Arial" w:hAnsi="Arial" w:cs="Arial"/>
          <w:color w:val="000000" w:themeColor="text1"/>
        </w:rPr>
        <w:t>-L-phenylalanine chloromethyl ketone (TPCK) - (-20ºC) =&gt; 1.408 mg.</w:t>
      </w:r>
    </w:p>
    <w:p w14:paraId="76066772" w14:textId="77777777" w:rsidR="00025413" w:rsidRPr="00D74025" w:rsidRDefault="00025413">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1 mM </w:t>
      </w:r>
      <w:proofErr w:type="spellStart"/>
      <w:r w:rsidRPr="00D74025">
        <w:rPr>
          <w:rFonts w:ascii="Arial" w:hAnsi="Arial" w:cs="Arial"/>
          <w:color w:val="000000" w:themeColor="text1"/>
        </w:rPr>
        <w:t>phenylmethylsulfonyl</w:t>
      </w:r>
      <w:proofErr w:type="spellEnd"/>
      <w:r w:rsidRPr="00D74025">
        <w:rPr>
          <w:rFonts w:ascii="Arial" w:hAnsi="Arial" w:cs="Arial"/>
          <w:color w:val="000000" w:themeColor="text1"/>
        </w:rPr>
        <w:t xml:space="preserve"> fluoride (PMSF) - (shelf) =&gt;13.936mg.</w:t>
      </w:r>
    </w:p>
    <w:p w14:paraId="6EBB6B56" w14:textId="77777777" w:rsidR="00025413" w:rsidRPr="00D74025" w:rsidRDefault="00025413">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1% HPLC ethanol - (flammables) =&gt; 800 µl.</w:t>
      </w:r>
    </w:p>
    <w:p w14:paraId="2711AF6A" w14:textId="77777777" w:rsidR="00025413" w:rsidRPr="00D74025" w:rsidRDefault="00025413">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lastRenderedPageBreak/>
        <w:t xml:space="preserve">0.01% </w:t>
      </w:r>
      <w:r w:rsidRPr="00D74025">
        <w:rPr>
          <w:rFonts w:ascii="Arial" w:hAnsi="Arial" w:cs="Arial"/>
          <w:color w:val="000000" w:themeColor="text1"/>
        </w:rPr>
        <w:sym w:font="Symbol" w:char="F062"/>
      </w:r>
      <w:r w:rsidRPr="00D74025">
        <w:rPr>
          <w:rFonts w:ascii="Arial" w:hAnsi="Arial" w:cs="Arial"/>
          <w:color w:val="000000" w:themeColor="text1"/>
        </w:rPr>
        <w:t>-</w:t>
      </w:r>
      <w:proofErr w:type="spellStart"/>
      <w:r w:rsidRPr="00D74025">
        <w:rPr>
          <w:rFonts w:ascii="Arial" w:hAnsi="Arial" w:cs="Arial"/>
          <w:color w:val="000000" w:themeColor="text1"/>
        </w:rPr>
        <w:t>mercaptoethanol</w:t>
      </w:r>
      <w:proofErr w:type="spellEnd"/>
      <w:r w:rsidRPr="00D74025">
        <w:rPr>
          <w:rFonts w:ascii="Arial" w:hAnsi="Arial" w:cs="Arial"/>
          <w:color w:val="000000" w:themeColor="text1"/>
        </w:rPr>
        <w:t xml:space="preserve"> – (bench top) =&gt; 8 µl.</w:t>
      </w:r>
    </w:p>
    <w:p w14:paraId="6C834202" w14:textId="77777777" w:rsidR="00025413" w:rsidRPr="00D74025" w:rsidRDefault="00025413">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0.02 M sodium phosphate dibasic – (shelf) =&gt; 227.2 mg.</w:t>
      </w:r>
    </w:p>
    <w:p w14:paraId="02883207" w14:textId="77777777" w:rsidR="00025413" w:rsidRPr="00D74025" w:rsidRDefault="00025413">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80 mL DI</w:t>
      </w:r>
    </w:p>
    <w:p w14:paraId="3DF3EE37" w14:textId="77777777" w:rsidR="00025413" w:rsidRPr="00D74025" w:rsidRDefault="00025413">
      <w:pPr>
        <w:pStyle w:val="ListParagraph"/>
        <w:numPr>
          <w:ilvl w:val="0"/>
          <w:numId w:val="6"/>
        </w:numPr>
        <w:spacing w:before="0" w:beforeAutospacing="0" w:after="0" w:afterAutospacing="0" w:line="276" w:lineRule="auto"/>
        <w:jc w:val="left"/>
        <w:rPr>
          <w:rFonts w:ascii="Arial" w:hAnsi="Arial" w:cs="Arial"/>
          <w:b/>
          <w:bCs/>
          <w:color w:val="000000" w:themeColor="text1"/>
        </w:rPr>
      </w:pPr>
      <w:r w:rsidRPr="00D74025">
        <w:rPr>
          <w:rFonts w:ascii="Arial" w:hAnsi="Arial" w:cs="Arial"/>
          <w:b/>
          <w:bCs/>
          <w:color w:val="000000" w:themeColor="text1"/>
        </w:rPr>
        <w:t>Dissolve TPCK and PMSF in ethanol in microcentrifuge tube, then add to beaker.</w:t>
      </w:r>
    </w:p>
    <w:p w14:paraId="52068C3F" w14:textId="77777777" w:rsidR="00025413" w:rsidRPr="00D74025" w:rsidRDefault="00025413">
      <w:pPr>
        <w:pStyle w:val="ListParagraph"/>
        <w:numPr>
          <w:ilvl w:val="0"/>
          <w:numId w:val="6"/>
        </w:numPr>
        <w:spacing w:before="0" w:beforeAutospacing="0" w:after="0" w:afterAutospacing="0" w:line="276" w:lineRule="auto"/>
        <w:jc w:val="left"/>
        <w:rPr>
          <w:rFonts w:ascii="Arial" w:hAnsi="Arial" w:cs="Arial"/>
          <w:b/>
          <w:bCs/>
          <w:color w:val="000000" w:themeColor="text1"/>
        </w:rPr>
      </w:pPr>
      <w:r w:rsidRPr="00D74025">
        <w:rPr>
          <w:rFonts w:ascii="Arial" w:hAnsi="Arial" w:cs="Arial"/>
          <w:b/>
          <w:bCs/>
          <w:color w:val="000000" w:themeColor="text1"/>
        </w:rPr>
        <w:t>Make this buffer in the 100 ml beaker.</w:t>
      </w:r>
    </w:p>
    <w:p w14:paraId="603F3CAE" w14:textId="77777777" w:rsidR="00025413" w:rsidRPr="00D74025" w:rsidRDefault="00025413">
      <w:pPr>
        <w:pStyle w:val="ListParagraph"/>
        <w:numPr>
          <w:ilvl w:val="0"/>
          <w:numId w:val="6"/>
        </w:numPr>
        <w:spacing w:before="0" w:beforeAutospacing="0" w:after="0" w:afterAutospacing="0" w:line="276" w:lineRule="auto"/>
        <w:jc w:val="left"/>
        <w:rPr>
          <w:rFonts w:ascii="Arial" w:hAnsi="Arial" w:cs="Arial"/>
          <w:b/>
          <w:bCs/>
          <w:color w:val="000000" w:themeColor="text1"/>
        </w:rPr>
      </w:pPr>
      <w:r w:rsidRPr="00D74025">
        <w:rPr>
          <w:rFonts w:ascii="Arial" w:hAnsi="Arial" w:cs="Arial"/>
          <w:b/>
          <w:bCs/>
          <w:color w:val="000000" w:themeColor="text1"/>
        </w:rPr>
        <w:t>Correct to pH 7.4 – using HCl</w:t>
      </w:r>
    </w:p>
    <w:p w14:paraId="7507B959" w14:textId="77777777" w:rsidR="00025413" w:rsidRPr="00D74025" w:rsidRDefault="00025413" w:rsidP="00F6020C">
      <w:pPr>
        <w:spacing w:line="276" w:lineRule="auto"/>
        <w:rPr>
          <w:rFonts w:ascii="Arial" w:hAnsi="Arial" w:cs="Arial"/>
          <w:color w:val="000000" w:themeColor="text1"/>
        </w:rPr>
      </w:pPr>
    </w:p>
    <w:p w14:paraId="445E78E1" w14:textId="77777777" w:rsidR="00025413" w:rsidRPr="00D74025" w:rsidRDefault="00025413">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Lyse the cells by sonication at 4</w:t>
      </w:r>
      <w:r w:rsidRPr="00D74025">
        <w:rPr>
          <w:rFonts w:ascii="Arial" w:hAnsi="Arial" w:cs="Arial"/>
          <w:color w:val="000000" w:themeColor="text1"/>
          <w:vertAlign w:val="superscript"/>
        </w:rPr>
        <w:t>o</w:t>
      </w:r>
      <w:r w:rsidRPr="00D74025">
        <w:rPr>
          <w:rFonts w:ascii="Arial" w:hAnsi="Arial" w:cs="Arial"/>
          <w:color w:val="000000" w:themeColor="text1"/>
        </w:rPr>
        <w:t xml:space="preserve">C for 30 sec at 4.5 watts then allow it to cool for 30 sec on ice. This cycle was repeated 4 times (= 5 times total) for a total sonication time of 2.5 min on power level 4. </w:t>
      </w:r>
    </w:p>
    <w:p w14:paraId="775018CA" w14:textId="77777777" w:rsidR="00025413" w:rsidRPr="00D74025" w:rsidRDefault="00025413">
      <w:pPr>
        <w:pStyle w:val="ListParagraph"/>
        <w:numPr>
          <w:ilvl w:val="1"/>
          <w:numId w:val="2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Clean </w:t>
      </w:r>
      <w:proofErr w:type="spellStart"/>
      <w:r w:rsidRPr="00D74025">
        <w:rPr>
          <w:rFonts w:ascii="Arial" w:hAnsi="Arial" w:cs="Arial"/>
          <w:color w:val="000000" w:themeColor="text1"/>
        </w:rPr>
        <w:t>sonicator</w:t>
      </w:r>
      <w:proofErr w:type="spellEnd"/>
      <w:r w:rsidRPr="00D74025">
        <w:rPr>
          <w:rFonts w:ascii="Arial" w:hAnsi="Arial" w:cs="Arial"/>
          <w:color w:val="000000" w:themeColor="text1"/>
        </w:rPr>
        <w:t xml:space="preserve"> tip w/ ethanol before use.</w:t>
      </w:r>
    </w:p>
    <w:p w14:paraId="56D40168" w14:textId="77777777" w:rsidR="00025413" w:rsidRPr="00D74025" w:rsidRDefault="00025413">
      <w:pPr>
        <w:pStyle w:val="ListParagraph"/>
        <w:numPr>
          <w:ilvl w:val="1"/>
          <w:numId w:val="2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Put beaker in tub w/ ice while sonicating. </w:t>
      </w:r>
    </w:p>
    <w:p w14:paraId="1E46CEB8" w14:textId="77777777" w:rsidR="00025413" w:rsidRPr="00D74025" w:rsidRDefault="00025413" w:rsidP="00F6020C">
      <w:pPr>
        <w:spacing w:line="276" w:lineRule="auto"/>
        <w:rPr>
          <w:rFonts w:ascii="Arial" w:hAnsi="Arial" w:cs="Arial"/>
          <w:color w:val="000000" w:themeColor="text1"/>
        </w:rPr>
      </w:pPr>
    </w:p>
    <w:p w14:paraId="1D753DD1" w14:textId="77777777" w:rsidR="00025413" w:rsidRPr="00D74025" w:rsidRDefault="00025413">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Centrifuge the lysate obtained at 4000 x </w:t>
      </w:r>
      <w:r w:rsidRPr="00D74025">
        <w:rPr>
          <w:rFonts w:ascii="Arial" w:hAnsi="Arial" w:cs="Arial"/>
          <w:i/>
          <w:color w:val="000000" w:themeColor="text1"/>
        </w:rPr>
        <w:t>g</w:t>
      </w:r>
      <w:r w:rsidRPr="00D74025">
        <w:rPr>
          <w:rFonts w:ascii="Arial" w:hAnsi="Arial" w:cs="Arial"/>
          <w:color w:val="000000" w:themeColor="text1"/>
        </w:rPr>
        <w:t xml:space="preserve"> for 1:30 h to remove the cell debris and </w:t>
      </w:r>
      <w:r w:rsidRPr="00D74025">
        <w:rPr>
          <w:rFonts w:ascii="Arial" w:hAnsi="Arial" w:cs="Arial"/>
          <w:b/>
          <w:bCs/>
          <w:color w:val="000000" w:themeColor="text1"/>
        </w:rPr>
        <w:t xml:space="preserve">take the supernatant. </w:t>
      </w:r>
    </w:p>
    <w:p w14:paraId="35D12DA7" w14:textId="77777777" w:rsidR="00025413" w:rsidRPr="00D74025" w:rsidRDefault="00025413">
      <w:pPr>
        <w:pStyle w:val="ListParagraph"/>
        <w:numPr>
          <w:ilvl w:val="1"/>
          <w:numId w:val="2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Pour beaker contents into 2 VWR 50 ml centrifuge tube. </w:t>
      </w:r>
    </w:p>
    <w:p w14:paraId="34D13862" w14:textId="77777777" w:rsidR="00025413" w:rsidRPr="00D74025" w:rsidRDefault="00025413">
      <w:pPr>
        <w:pStyle w:val="ListParagraph"/>
        <w:numPr>
          <w:ilvl w:val="1"/>
          <w:numId w:val="2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Centrifuge at 4000xg for 1:30 h =&gt; </w:t>
      </w:r>
      <w:proofErr w:type="gramStart"/>
      <w:r w:rsidRPr="00D74025">
        <w:rPr>
          <w:rFonts w:ascii="Arial" w:hAnsi="Arial" w:cs="Arial"/>
          <w:color w:val="000000" w:themeColor="text1"/>
        </w:rPr>
        <w:t>this equals</w:t>
      </w:r>
      <w:proofErr w:type="gramEnd"/>
      <w:r w:rsidRPr="00D74025">
        <w:rPr>
          <w:rFonts w:ascii="Arial" w:hAnsi="Arial" w:cs="Arial"/>
          <w:color w:val="000000" w:themeColor="text1"/>
        </w:rPr>
        <w:t xml:space="preserve"> ~10,000 rpm.</w:t>
      </w:r>
    </w:p>
    <w:p w14:paraId="596CE3D6" w14:textId="1616F485" w:rsidR="00025413" w:rsidRPr="00D74025" w:rsidRDefault="00025413">
      <w:pPr>
        <w:pStyle w:val="ListParagraph"/>
        <w:numPr>
          <w:ilvl w:val="1"/>
          <w:numId w:val="2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Confirm that there is no debris in suspension. Debris clog</w:t>
      </w:r>
      <w:r w:rsidR="00DA6788">
        <w:rPr>
          <w:rFonts w:ascii="Arial" w:hAnsi="Arial" w:cs="Arial"/>
          <w:color w:val="000000" w:themeColor="text1"/>
        </w:rPr>
        <w:t>s</w:t>
      </w:r>
      <w:r w:rsidRPr="00D74025">
        <w:rPr>
          <w:rFonts w:ascii="Arial" w:hAnsi="Arial" w:cs="Arial"/>
          <w:color w:val="000000" w:themeColor="text1"/>
        </w:rPr>
        <w:t xml:space="preserve"> the </w:t>
      </w:r>
      <w:proofErr w:type="spellStart"/>
      <w:r w:rsidRPr="00D74025">
        <w:rPr>
          <w:rFonts w:ascii="Arial" w:hAnsi="Arial" w:cs="Arial"/>
          <w:color w:val="000000" w:themeColor="text1"/>
        </w:rPr>
        <w:t>HisTrap</w:t>
      </w:r>
      <w:proofErr w:type="spellEnd"/>
      <w:r w:rsidRPr="00D74025">
        <w:rPr>
          <w:rFonts w:ascii="Arial" w:hAnsi="Arial" w:cs="Arial"/>
          <w:color w:val="000000" w:themeColor="text1"/>
        </w:rPr>
        <w:t xml:space="preserve"> chromatography column</w:t>
      </w:r>
      <w:r w:rsidR="00111E5F">
        <w:rPr>
          <w:rFonts w:ascii="Arial" w:hAnsi="Arial" w:cs="Arial"/>
          <w:color w:val="000000" w:themeColor="text1"/>
        </w:rPr>
        <w:t>.</w:t>
      </w:r>
    </w:p>
    <w:p w14:paraId="416D7996" w14:textId="77777777" w:rsidR="00025413" w:rsidRPr="00D74025" w:rsidRDefault="00025413">
      <w:pPr>
        <w:pStyle w:val="ListParagraph"/>
        <w:numPr>
          <w:ilvl w:val="1"/>
          <w:numId w:val="2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Take 750 µl sample after centrifuging.  Label sample ‘</w:t>
      </w:r>
      <w:r w:rsidRPr="00D74025">
        <w:rPr>
          <w:rFonts w:ascii="Arial" w:hAnsi="Arial" w:cs="Arial"/>
          <w:b/>
          <w:color w:val="000000" w:themeColor="text1"/>
        </w:rPr>
        <w:t>SS</w:t>
      </w:r>
      <w:r w:rsidRPr="00D74025">
        <w:rPr>
          <w:rFonts w:ascii="Arial" w:hAnsi="Arial" w:cs="Arial"/>
          <w:color w:val="000000" w:themeColor="text1"/>
        </w:rPr>
        <w:t>.’ The proteins will be in the supernatant and the cell debris will be at bottom of tube.</w:t>
      </w:r>
    </w:p>
    <w:p w14:paraId="1FDE381A" w14:textId="77777777" w:rsidR="00025413" w:rsidRPr="00D74025" w:rsidRDefault="00025413" w:rsidP="00F6020C">
      <w:pPr>
        <w:pStyle w:val="ListParagraph"/>
        <w:spacing w:line="276" w:lineRule="auto"/>
        <w:rPr>
          <w:rFonts w:ascii="Arial" w:hAnsi="Arial" w:cs="Arial"/>
          <w:color w:val="000000" w:themeColor="text1"/>
        </w:rPr>
      </w:pPr>
    </w:p>
    <w:p w14:paraId="2B1AF14C" w14:textId="77777777" w:rsidR="00025413" w:rsidRPr="00D74025" w:rsidRDefault="00025413" w:rsidP="00F6020C">
      <w:pPr>
        <w:spacing w:line="276" w:lineRule="auto"/>
        <w:jc w:val="center"/>
        <w:rPr>
          <w:rFonts w:ascii="Arial" w:hAnsi="Arial" w:cs="Arial"/>
          <w:b/>
          <w:color w:val="000000" w:themeColor="text1"/>
        </w:rPr>
      </w:pPr>
      <w:r w:rsidRPr="00D74025">
        <w:rPr>
          <w:rFonts w:ascii="Arial" w:hAnsi="Arial" w:cs="Arial"/>
          <w:b/>
          <w:color w:val="000000" w:themeColor="text1"/>
        </w:rPr>
        <w:t>Protein Purification</w:t>
      </w:r>
    </w:p>
    <w:p w14:paraId="43A7BEC2" w14:textId="77777777" w:rsidR="00025413" w:rsidRPr="00D74025" w:rsidRDefault="00025413" w:rsidP="00F6020C">
      <w:pPr>
        <w:spacing w:line="276" w:lineRule="auto"/>
        <w:rPr>
          <w:rFonts w:ascii="Arial" w:hAnsi="Arial" w:cs="Arial"/>
          <w:b/>
          <w:color w:val="000000" w:themeColor="text1"/>
          <w:u w:val="single"/>
        </w:rPr>
      </w:pPr>
    </w:p>
    <w:p w14:paraId="6CEDE139" w14:textId="2853DD89" w:rsidR="00025413" w:rsidRPr="00D74025" w:rsidRDefault="00025413">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After taking supernatant sample, add </w:t>
      </w:r>
      <w:r w:rsidR="00DA6788">
        <w:rPr>
          <w:rFonts w:ascii="Arial" w:hAnsi="Arial" w:cs="Arial"/>
          <w:color w:val="000000" w:themeColor="text1"/>
        </w:rPr>
        <w:t>i</w:t>
      </w:r>
      <w:r w:rsidRPr="00D74025">
        <w:rPr>
          <w:rFonts w:ascii="Arial" w:hAnsi="Arial" w:cs="Arial"/>
          <w:color w:val="000000" w:themeColor="text1"/>
        </w:rPr>
        <w:t xml:space="preserve">midazole (40 mM) and NaCl (500 mM) to each of the lysate to reduce non-specific protein binding. </w:t>
      </w:r>
    </w:p>
    <w:p w14:paraId="7CE62836" w14:textId="77777777" w:rsidR="00025413" w:rsidRPr="00D74025" w:rsidRDefault="00025413">
      <w:pPr>
        <w:pStyle w:val="ListParagraph"/>
        <w:numPr>
          <w:ilvl w:val="0"/>
          <w:numId w:val="7"/>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40 mM imidazole =&gt; use 0.0817 g</w:t>
      </w:r>
    </w:p>
    <w:p w14:paraId="24A19E06" w14:textId="77777777" w:rsidR="00025413" w:rsidRPr="00D74025" w:rsidRDefault="00025413">
      <w:pPr>
        <w:pStyle w:val="ListParagraph"/>
        <w:numPr>
          <w:ilvl w:val="0"/>
          <w:numId w:val="7"/>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500 </w:t>
      </w:r>
      <w:proofErr w:type="spellStart"/>
      <w:r w:rsidRPr="00D74025">
        <w:rPr>
          <w:rFonts w:ascii="Arial" w:hAnsi="Arial" w:cs="Arial"/>
          <w:color w:val="000000" w:themeColor="text1"/>
        </w:rPr>
        <w:t>mMNaCl</w:t>
      </w:r>
      <w:proofErr w:type="spellEnd"/>
      <w:r w:rsidRPr="00D74025">
        <w:rPr>
          <w:rFonts w:ascii="Arial" w:hAnsi="Arial" w:cs="Arial"/>
          <w:color w:val="000000" w:themeColor="text1"/>
        </w:rPr>
        <w:t xml:space="preserve"> =&gt; use 1.168 g</w:t>
      </w:r>
    </w:p>
    <w:p w14:paraId="67381023" w14:textId="77777777" w:rsidR="00025413" w:rsidRPr="00D74025" w:rsidRDefault="00025413" w:rsidP="00F6020C">
      <w:pPr>
        <w:spacing w:line="276" w:lineRule="auto"/>
        <w:rPr>
          <w:rFonts w:ascii="Arial" w:hAnsi="Arial" w:cs="Arial"/>
          <w:color w:val="000000" w:themeColor="text1"/>
        </w:rPr>
      </w:pPr>
    </w:p>
    <w:p w14:paraId="6CD00540" w14:textId="77777777" w:rsidR="00025413" w:rsidRPr="00D74025" w:rsidRDefault="00025413">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Equilibrate a 5 ml </w:t>
      </w:r>
      <w:proofErr w:type="spellStart"/>
      <w:r w:rsidRPr="00D74025">
        <w:rPr>
          <w:rFonts w:ascii="Arial" w:hAnsi="Arial" w:cs="Arial"/>
          <w:color w:val="000000" w:themeColor="text1"/>
        </w:rPr>
        <w:t>HisTrap</w:t>
      </w:r>
      <w:proofErr w:type="spellEnd"/>
      <w:r w:rsidRPr="00D74025">
        <w:rPr>
          <w:rFonts w:ascii="Arial" w:hAnsi="Arial" w:cs="Arial"/>
          <w:color w:val="000000" w:themeColor="text1"/>
        </w:rPr>
        <w:t xml:space="preserve"> chromatography column with immobilized Ni</w:t>
      </w:r>
      <w:r w:rsidRPr="00D74025">
        <w:rPr>
          <w:rFonts w:ascii="Arial" w:hAnsi="Arial" w:cs="Arial"/>
          <w:color w:val="000000" w:themeColor="text1"/>
          <w:vertAlign w:val="superscript"/>
        </w:rPr>
        <w:t>+2</w:t>
      </w:r>
      <w:r w:rsidRPr="00D74025">
        <w:rPr>
          <w:rFonts w:ascii="Arial" w:hAnsi="Arial" w:cs="Arial"/>
          <w:color w:val="000000" w:themeColor="text1"/>
        </w:rPr>
        <w:t>using Wash Buffer 1.</w:t>
      </w:r>
    </w:p>
    <w:p w14:paraId="03664FBB" w14:textId="10C80564" w:rsidR="00025413" w:rsidRPr="00D74025" w:rsidRDefault="00025413">
      <w:pPr>
        <w:pStyle w:val="ListParagraph"/>
        <w:numPr>
          <w:ilvl w:val="1"/>
          <w:numId w:val="25"/>
        </w:numPr>
        <w:spacing w:before="0" w:beforeAutospacing="0" w:after="0" w:afterAutospacing="0" w:line="276" w:lineRule="auto"/>
        <w:jc w:val="left"/>
        <w:rPr>
          <w:rFonts w:ascii="Arial" w:hAnsi="Arial" w:cs="Arial"/>
          <w:color w:val="000000" w:themeColor="text1"/>
        </w:rPr>
      </w:pPr>
      <w:r w:rsidRPr="00D74025">
        <w:rPr>
          <w:rFonts w:ascii="Arial" w:hAnsi="Arial" w:cs="Arial"/>
          <w:noProof/>
          <w:color w:val="000000" w:themeColor="text1"/>
        </w:rPr>
        <mc:AlternateContent>
          <mc:Choice Requires="wps">
            <w:drawing>
              <wp:anchor distT="0" distB="0" distL="114300" distR="114300" simplePos="0" relativeHeight="251658241" behindDoc="0" locked="0" layoutInCell="1" allowOverlap="1" wp14:anchorId="55EE5B9D" wp14:editId="757C26EE">
                <wp:simplePos x="0" y="0"/>
                <wp:positionH relativeFrom="column">
                  <wp:posOffset>2886997</wp:posOffset>
                </wp:positionH>
                <wp:positionV relativeFrom="paragraph">
                  <wp:posOffset>175260</wp:posOffset>
                </wp:positionV>
                <wp:extent cx="152400" cy="161925"/>
                <wp:effectExtent l="0" t="0" r="38100" b="47625"/>
                <wp:wrapNone/>
                <wp:docPr id="1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1925"/>
                        </a:xfrm>
                        <a:prstGeom prst="curvedRightArrow">
                          <a:avLst>
                            <a:gd name="adj1" fmla="val 21250"/>
                            <a:gd name="adj2" fmla="val 42500"/>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FF59D" id="AutoShape 12" o:spid="_x0000_s1026" type="#_x0000_t102" style="position:absolute;margin-left:227.3pt;margin-top:13.8pt;width:12pt;height:1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"/>
            </w:pict>
          </mc:Fallback>
        </mc:AlternateContent>
      </w:r>
      <w:r w:rsidRPr="00D74025">
        <w:rPr>
          <w:rFonts w:ascii="Arial" w:hAnsi="Arial" w:cs="Arial"/>
          <w:color w:val="000000" w:themeColor="text1"/>
        </w:rPr>
        <w:t>Feed wash buffer thru column until the output reaches baseline, then feed lysate thr</w:t>
      </w:r>
      <w:r w:rsidR="00DA6788">
        <w:rPr>
          <w:rFonts w:ascii="Arial" w:hAnsi="Arial" w:cs="Arial"/>
          <w:color w:val="000000" w:themeColor="text1"/>
        </w:rPr>
        <w:t>ough</w:t>
      </w:r>
      <w:r w:rsidRPr="00D74025">
        <w:rPr>
          <w:rFonts w:ascii="Arial" w:hAnsi="Arial" w:cs="Arial"/>
          <w:color w:val="000000" w:themeColor="text1"/>
        </w:rPr>
        <w:t xml:space="preserve"> at -8.00 </w:t>
      </w:r>
    </w:p>
    <w:p w14:paraId="070D6692" w14:textId="77777777" w:rsidR="00025413" w:rsidRPr="00D74025" w:rsidRDefault="00025413">
      <w:pPr>
        <w:pStyle w:val="ListParagraph"/>
        <w:numPr>
          <w:ilvl w:val="1"/>
          <w:numId w:val="2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Turn on detector.</w:t>
      </w:r>
    </w:p>
    <w:p w14:paraId="282493E8" w14:textId="77777777" w:rsidR="00025413" w:rsidRPr="00D74025" w:rsidRDefault="00025413">
      <w:pPr>
        <w:pStyle w:val="ListParagraph"/>
        <w:numPr>
          <w:ilvl w:val="1"/>
          <w:numId w:val="2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Turn on drop former – mode 0, rack 1, size 2, last tube 100, min 4, delay 0.</w:t>
      </w:r>
    </w:p>
    <w:p w14:paraId="1E4AECD9" w14:textId="77777777" w:rsidR="00025413" w:rsidRPr="00D74025" w:rsidRDefault="00025413">
      <w:pPr>
        <w:pStyle w:val="ListParagraph"/>
        <w:numPr>
          <w:ilvl w:val="1"/>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b/>
          <w:bCs/>
          <w:color w:val="000000" w:themeColor="text1"/>
          <w:u w:val="single"/>
        </w:rPr>
        <w:t>WASH BUFFER 1</w:t>
      </w:r>
      <w:r w:rsidRPr="00D74025">
        <w:rPr>
          <w:rFonts w:ascii="Arial" w:hAnsi="Arial" w:cs="Arial"/>
          <w:color w:val="000000" w:themeColor="text1"/>
        </w:rPr>
        <w:t xml:space="preserve"> (500 mL) (- 30 min)</w:t>
      </w:r>
    </w:p>
    <w:p w14:paraId="3B6CF1D6" w14:textId="64838A9E" w:rsidR="00025413" w:rsidRPr="00D74025" w:rsidRDefault="00025413">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20 mM</w:t>
      </w:r>
      <w:r w:rsidR="00DA6788">
        <w:rPr>
          <w:rFonts w:ascii="Arial" w:hAnsi="Arial" w:cs="Arial"/>
          <w:color w:val="000000" w:themeColor="text1"/>
        </w:rPr>
        <w:t xml:space="preserve"> </w:t>
      </w:r>
      <w:r w:rsidRPr="00D74025">
        <w:rPr>
          <w:rFonts w:ascii="Arial" w:hAnsi="Arial" w:cs="Arial"/>
          <w:color w:val="000000" w:themeColor="text1"/>
        </w:rPr>
        <w:t>sodium phosphate dibasic =&gt; use 1.42 g</w:t>
      </w:r>
    </w:p>
    <w:p w14:paraId="5D8670A3" w14:textId="77777777" w:rsidR="00025413" w:rsidRPr="00D74025" w:rsidRDefault="00025413">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40 mM imidazole =&gt; use 1.362 g</w:t>
      </w:r>
    </w:p>
    <w:p w14:paraId="099C0B83" w14:textId="2569BF91" w:rsidR="00025413" w:rsidRPr="00D74025" w:rsidRDefault="00025413">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lastRenderedPageBreak/>
        <w:t>500 mM</w:t>
      </w:r>
      <w:r w:rsidR="00DA6788">
        <w:rPr>
          <w:rFonts w:ascii="Arial" w:hAnsi="Arial" w:cs="Arial"/>
          <w:color w:val="000000" w:themeColor="text1"/>
        </w:rPr>
        <w:t xml:space="preserve"> </w:t>
      </w:r>
      <w:r w:rsidRPr="00D74025">
        <w:rPr>
          <w:rFonts w:ascii="Arial" w:hAnsi="Arial" w:cs="Arial"/>
          <w:color w:val="000000" w:themeColor="text1"/>
        </w:rPr>
        <w:t>NaCl =&gt; use 14.61 g</w:t>
      </w:r>
    </w:p>
    <w:p w14:paraId="42726274" w14:textId="77777777" w:rsidR="00025413" w:rsidRPr="00D74025" w:rsidRDefault="00025413">
      <w:pPr>
        <w:pStyle w:val="ListParagraph"/>
        <w:numPr>
          <w:ilvl w:val="0"/>
          <w:numId w:val="5"/>
        </w:numPr>
        <w:spacing w:before="0" w:beforeAutospacing="0" w:after="0" w:afterAutospacing="0" w:line="276" w:lineRule="auto"/>
        <w:jc w:val="left"/>
        <w:rPr>
          <w:rFonts w:ascii="Arial" w:hAnsi="Arial" w:cs="Arial"/>
          <w:b/>
          <w:bCs/>
          <w:color w:val="000000" w:themeColor="text1"/>
        </w:rPr>
      </w:pPr>
      <w:r w:rsidRPr="00D74025">
        <w:rPr>
          <w:rFonts w:ascii="Arial" w:hAnsi="Arial" w:cs="Arial"/>
          <w:b/>
          <w:bCs/>
          <w:color w:val="000000" w:themeColor="text1"/>
        </w:rPr>
        <w:t>Correct this to pH 7.4</w:t>
      </w:r>
    </w:p>
    <w:p w14:paraId="3937C905" w14:textId="77777777" w:rsidR="00025413" w:rsidRPr="00D74025" w:rsidRDefault="00025413" w:rsidP="00F6020C">
      <w:pPr>
        <w:spacing w:line="276" w:lineRule="auto"/>
        <w:rPr>
          <w:rFonts w:ascii="Arial" w:hAnsi="Arial" w:cs="Arial"/>
          <w:color w:val="000000" w:themeColor="text1"/>
        </w:rPr>
      </w:pPr>
    </w:p>
    <w:p w14:paraId="03554EDE" w14:textId="524AD589" w:rsidR="00025413" w:rsidRPr="00DA6788" w:rsidRDefault="00025413" w:rsidP="00906408">
      <w:pPr>
        <w:pStyle w:val="ListParagraph"/>
        <w:numPr>
          <w:ilvl w:val="0"/>
          <w:numId w:val="18"/>
        </w:numPr>
        <w:spacing w:before="0" w:beforeAutospacing="0" w:after="0" w:afterAutospacing="0" w:line="276" w:lineRule="auto"/>
        <w:jc w:val="left"/>
        <w:rPr>
          <w:rFonts w:ascii="Arial" w:hAnsi="Arial" w:cs="Arial"/>
          <w:color w:val="000000" w:themeColor="text1"/>
        </w:rPr>
      </w:pPr>
      <w:r w:rsidRPr="00DA6788">
        <w:rPr>
          <w:rFonts w:ascii="Arial" w:hAnsi="Arial" w:cs="Arial"/>
          <w:color w:val="000000" w:themeColor="text1"/>
        </w:rPr>
        <w:t xml:space="preserve">Feed the soluble protein fraction into the column.  </w:t>
      </w:r>
    </w:p>
    <w:p w14:paraId="7ABF4E6C" w14:textId="77777777" w:rsidR="00025413" w:rsidRPr="00D74025" w:rsidRDefault="00025413">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Wash the column with 70 column volumes of Wash Buffer 2 to remove unwanted proteins and endotoxin (250 ml).</w:t>
      </w:r>
    </w:p>
    <w:p w14:paraId="183072C9" w14:textId="77777777" w:rsidR="00025413" w:rsidRPr="00D74025" w:rsidRDefault="00025413">
      <w:pPr>
        <w:pStyle w:val="ListParagraph"/>
        <w:numPr>
          <w:ilvl w:val="0"/>
          <w:numId w:val="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Collect flow thru – contains unwanted proteins </w:t>
      </w:r>
    </w:p>
    <w:p w14:paraId="15B042A4" w14:textId="77777777" w:rsidR="00025413" w:rsidRPr="00D74025" w:rsidRDefault="00025413">
      <w:pPr>
        <w:pStyle w:val="ListParagraph"/>
        <w:numPr>
          <w:ilvl w:val="0"/>
          <w:numId w:val="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Label sample ‘</w:t>
      </w:r>
      <w:r w:rsidRPr="00D74025">
        <w:rPr>
          <w:rFonts w:ascii="Arial" w:hAnsi="Arial" w:cs="Arial"/>
          <w:b/>
          <w:color w:val="000000" w:themeColor="text1"/>
        </w:rPr>
        <w:t>F1-2</w:t>
      </w:r>
      <w:r w:rsidRPr="00D74025">
        <w:rPr>
          <w:rFonts w:ascii="Arial" w:hAnsi="Arial" w:cs="Arial"/>
          <w:color w:val="000000" w:themeColor="text1"/>
        </w:rPr>
        <w:t>.’</w:t>
      </w:r>
    </w:p>
    <w:p w14:paraId="25F95B35" w14:textId="77777777" w:rsidR="00025413" w:rsidRPr="00D74025" w:rsidRDefault="00025413">
      <w:pPr>
        <w:pStyle w:val="ListParagraph"/>
        <w:numPr>
          <w:ilvl w:val="1"/>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b/>
          <w:bCs/>
          <w:color w:val="000000" w:themeColor="text1"/>
          <w:u w:val="single"/>
        </w:rPr>
        <w:t>WASH BUFFER 2</w:t>
      </w:r>
      <w:r w:rsidRPr="00D74025">
        <w:rPr>
          <w:rFonts w:ascii="Arial" w:hAnsi="Arial" w:cs="Arial"/>
          <w:color w:val="000000" w:themeColor="text1"/>
        </w:rPr>
        <w:t xml:space="preserve"> (500 mL) (- 1.5 hours)</w:t>
      </w:r>
    </w:p>
    <w:p w14:paraId="6A2CBA9F" w14:textId="77777777" w:rsidR="00025413" w:rsidRPr="00D74025" w:rsidRDefault="00025413">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20 mM sodium phosphate dibasic =&gt;use 1.4195 g</w:t>
      </w:r>
    </w:p>
    <w:p w14:paraId="510052B5" w14:textId="77777777" w:rsidR="00025413" w:rsidRPr="00D74025" w:rsidRDefault="00025413">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40 mM imidazole =&gt;use 1.3616 g</w:t>
      </w:r>
    </w:p>
    <w:p w14:paraId="1471C7A4" w14:textId="77777777" w:rsidR="00025413" w:rsidRPr="00D74025" w:rsidRDefault="00025413">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500 mM NaCl=&gt; use 14.61g</w:t>
      </w:r>
    </w:p>
    <w:p w14:paraId="6C04A8E8" w14:textId="77777777" w:rsidR="00025413" w:rsidRPr="00D74025" w:rsidRDefault="00025413">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0.1% </w:t>
      </w:r>
      <w:proofErr w:type="spellStart"/>
      <w:r w:rsidRPr="00D74025">
        <w:rPr>
          <w:rFonts w:ascii="Arial" w:hAnsi="Arial" w:cs="Arial"/>
          <w:color w:val="000000" w:themeColor="text1"/>
        </w:rPr>
        <w:t>Trition</w:t>
      </w:r>
      <w:proofErr w:type="spellEnd"/>
      <w:r w:rsidRPr="00D74025">
        <w:rPr>
          <w:rFonts w:ascii="Arial" w:hAnsi="Arial" w:cs="Arial"/>
          <w:color w:val="000000" w:themeColor="text1"/>
        </w:rPr>
        <w:t xml:space="preserve"> X-114 =&gt; 5 ml</w:t>
      </w:r>
    </w:p>
    <w:p w14:paraId="09D0AD51" w14:textId="77777777" w:rsidR="00025413" w:rsidRPr="00D74025" w:rsidRDefault="00025413">
      <w:pPr>
        <w:pStyle w:val="ListParagraph"/>
        <w:numPr>
          <w:ilvl w:val="0"/>
          <w:numId w:val="5"/>
        </w:numPr>
        <w:spacing w:before="0" w:beforeAutospacing="0" w:after="0" w:afterAutospacing="0" w:line="276" w:lineRule="auto"/>
        <w:jc w:val="left"/>
        <w:rPr>
          <w:rFonts w:ascii="Arial" w:hAnsi="Arial" w:cs="Arial"/>
          <w:b/>
          <w:bCs/>
          <w:color w:val="000000" w:themeColor="text1"/>
        </w:rPr>
      </w:pPr>
      <w:r w:rsidRPr="00D74025">
        <w:rPr>
          <w:rFonts w:ascii="Arial" w:hAnsi="Arial" w:cs="Arial"/>
          <w:b/>
          <w:bCs/>
          <w:color w:val="000000" w:themeColor="text1"/>
        </w:rPr>
        <w:t>Correct this to pH 7.4</w:t>
      </w:r>
    </w:p>
    <w:p w14:paraId="2595B898" w14:textId="77777777" w:rsidR="00025413" w:rsidRPr="00D74025" w:rsidRDefault="00025413" w:rsidP="00F6020C">
      <w:pPr>
        <w:spacing w:line="276" w:lineRule="auto"/>
        <w:rPr>
          <w:rFonts w:ascii="Arial" w:hAnsi="Arial" w:cs="Arial"/>
          <w:color w:val="000000" w:themeColor="text1"/>
        </w:rPr>
      </w:pPr>
    </w:p>
    <w:p w14:paraId="7BD77396" w14:textId="77777777" w:rsidR="00025413" w:rsidRPr="00D74025" w:rsidRDefault="00025413">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Wash the column with 20 column volumes of Wash Buffer 1to wash the protein until the pen reaches the baseline (100 ml). (- 40 min)</w:t>
      </w:r>
    </w:p>
    <w:p w14:paraId="137A2F91" w14:textId="1CDBDF88" w:rsidR="00025413" w:rsidRPr="00D74025" w:rsidRDefault="00025413">
      <w:pPr>
        <w:pStyle w:val="ListParagraph"/>
        <w:numPr>
          <w:ilvl w:val="0"/>
          <w:numId w:val="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Collect flow thr</w:t>
      </w:r>
      <w:r w:rsidR="00AC21A7">
        <w:rPr>
          <w:rFonts w:ascii="Arial" w:hAnsi="Arial" w:cs="Arial"/>
          <w:color w:val="000000" w:themeColor="text1"/>
        </w:rPr>
        <w:t>ough</w:t>
      </w:r>
      <w:r w:rsidRPr="00D74025">
        <w:rPr>
          <w:rFonts w:ascii="Arial" w:hAnsi="Arial" w:cs="Arial"/>
          <w:color w:val="000000" w:themeColor="text1"/>
        </w:rPr>
        <w:t xml:space="preserve"> – contains unwanted proteins (take 800 µl sample)</w:t>
      </w:r>
    </w:p>
    <w:p w14:paraId="229351F7" w14:textId="77777777" w:rsidR="00025413" w:rsidRPr="00D74025" w:rsidRDefault="00025413">
      <w:pPr>
        <w:pStyle w:val="ListParagraph"/>
        <w:numPr>
          <w:ilvl w:val="0"/>
          <w:numId w:val="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Look at graph paper from previous run to understand when/what to collect.</w:t>
      </w:r>
    </w:p>
    <w:p w14:paraId="08BC2CE7" w14:textId="77777777" w:rsidR="00025413" w:rsidRPr="00D74025" w:rsidRDefault="00025413" w:rsidP="00F6020C">
      <w:pPr>
        <w:pStyle w:val="ListParagraph"/>
        <w:spacing w:line="276" w:lineRule="auto"/>
        <w:ind w:left="1080"/>
        <w:rPr>
          <w:rFonts w:ascii="Arial" w:hAnsi="Arial" w:cs="Arial"/>
          <w:color w:val="000000" w:themeColor="text1"/>
        </w:rPr>
      </w:pPr>
    </w:p>
    <w:p w14:paraId="361347ED" w14:textId="77777777" w:rsidR="00025413" w:rsidRPr="00D74025" w:rsidRDefault="00025413">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Elute the protein using elution buffer.</w:t>
      </w:r>
    </w:p>
    <w:p w14:paraId="1CBB16CE" w14:textId="77777777" w:rsidR="00025413" w:rsidRPr="00D74025" w:rsidRDefault="00025413">
      <w:pPr>
        <w:pStyle w:val="ListParagraph"/>
        <w:numPr>
          <w:ilvl w:val="0"/>
          <w:numId w:val="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Collect the elution – contains our FP (take 800 µl sample)</w:t>
      </w:r>
    </w:p>
    <w:p w14:paraId="0E80C7C6" w14:textId="77777777" w:rsidR="00025413" w:rsidRPr="00D74025" w:rsidRDefault="00025413">
      <w:pPr>
        <w:pStyle w:val="ListParagraph"/>
        <w:numPr>
          <w:ilvl w:val="0"/>
          <w:numId w:val="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Look at graph paper from previous run to understand when/what to collect.</w:t>
      </w:r>
    </w:p>
    <w:p w14:paraId="7D7CB737" w14:textId="77777777" w:rsidR="00025413" w:rsidRPr="00D74025" w:rsidRDefault="00025413">
      <w:pPr>
        <w:pStyle w:val="ListParagraph"/>
        <w:numPr>
          <w:ilvl w:val="1"/>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b/>
          <w:bCs/>
          <w:color w:val="000000" w:themeColor="text1"/>
          <w:u w:val="single"/>
        </w:rPr>
        <w:t>ELUTION BUFFER</w:t>
      </w:r>
      <w:r w:rsidRPr="00D74025">
        <w:rPr>
          <w:rFonts w:ascii="Arial" w:hAnsi="Arial" w:cs="Arial"/>
          <w:color w:val="000000" w:themeColor="text1"/>
        </w:rPr>
        <w:t xml:space="preserve"> (300 mL)</w:t>
      </w:r>
    </w:p>
    <w:p w14:paraId="348DB357" w14:textId="77777777" w:rsidR="00025413" w:rsidRPr="00D74025" w:rsidRDefault="00025413">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20 mM sodium phosphate dibasic =&gt;use 0.8517 g</w:t>
      </w:r>
    </w:p>
    <w:p w14:paraId="3B25DBE9" w14:textId="77777777" w:rsidR="00025413" w:rsidRPr="00D74025" w:rsidRDefault="00025413">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500 mM imidazole =&gt; use 10.212 g</w:t>
      </w:r>
    </w:p>
    <w:p w14:paraId="3672422D" w14:textId="77777777" w:rsidR="00025413" w:rsidRPr="00D74025" w:rsidRDefault="00025413">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500 mM NaCl =&gt; use 8.766 g</w:t>
      </w:r>
    </w:p>
    <w:p w14:paraId="58618B98" w14:textId="77777777" w:rsidR="00025413" w:rsidRPr="00D74025" w:rsidRDefault="00025413">
      <w:pPr>
        <w:pStyle w:val="ListParagraph"/>
        <w:numPr>
          <w:ilvl w:val="0"/>
          <w:numId w:val="6"/>
        </w:numPr>
        <w:spacing w:before="0" w:beforeAutospacing="0" w:after="0" w:afterAutospacing="0" w:line="276" w:lineRule="auto"/>
        <w:jc w:val="left"/>
        <w:rPr>
          <w:rFonts w:ascii="Arial" w:hAnsi="Arial" w:cs="Arial"/>
          <w:b/>
          <w:bCs/>
          <w:color w:val="000000" w:themeColor="text1"/>
          <w:u w:val="single"/>
        </w:rPr>
      </w:pPr>
      <w:r w:rsidRPr="00D74025">
        <w:rPr>
          <w:rFonts w:ascii="Arial" w:hAnsi="Arial" w:cs="Arial"/>
          <w:b/>
          <w:bCs/>
          <w:color w:val="000000" w:themeColor="text1"/>
          <w:u w:val="single"/>
        </w:rPr>
        <w:t>Correct this to pH 7.0</w:t>
      </w:r>
    </w:p>
    <w:p w14:paraId="3135187E" w14:textId="77777777" w:rsidR="00025413" w:rsidRPr="00D74025" w:rsidRDefault="00025413" w:rsidP="00F6020C">
      <w:pPr>
        <w:pStyle w:val="ListParagraph"/>
        <w:spacing w:line="276" w:lineRule="auto"/>
        <w:ind w:left="2160"/>
        <w:rPr>
          <w:rFonts w:ascii="Arial" w:hAnsi="Arial" w:cs="Arial"/>
          <w:b/>
          <w:bCs/>
          <w:color w:val="000000" w:themeColor="text1"/>
          <w:u w:val="single"/>
        </w:rPr>
      </w:pPr>
    </w:p>
    <w:p w14:paraId="5CF95E2E" w14:textId="77777777" w:rsidR="00025413" w:rsidRPr="00D74025" w:rsidRDefault="00025413">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Dialyze eluted protein for 3 hours against 2 liters of dialysis buffer containing 20 mM sodium phosphate at pH 7.4 to remove NaCl and imidazole from the protein solution and make it suitable for C-terminal His-tag cleavage.</w:t>
      </w:r>
    </w:p>
    <w:p w14:paraId="659F04B1" w14:textId="77777777" w:rsidR="00025413" w:rsidRPr="00D74025" w:rsidRDefault="00025413">
      <w:pPr>
        <w:pStyle w:val="ListParagraph"/>
        <w:numPr>
          <w:ilvl w:val="1"/>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u w:val="single"/>
        </w:rPr>
        <w:t>DIALYSIS 1 BUFFER</w:t>
      </w:r>
      <w:r w:rsidRPr="00D74025">
        <w:rPr>
          <w:rFonts w:ascii="Arial" w:hAnsi="Arial" w:cs="Arial"/>
          <w:color w:val="000000" w:themeColor="text1"/>
        </w:rPr>
        <w:t xml:space="preserve"> (2 L) </w:t>
      </w:r>
      <w:r w:rsidRPr="00D74025">
        <w:rPr>
          <w:rFonts w:ascii="Arial" w:hAnsi="Arial" w:cs="Arial"/>
          <w:i/>
          <w:color w:val="000000" w:themeColor="text1"/>
        </w:rPr>
        <w:t>– Used 2 dialysis because collected 40 mL of protein -&gt; 20 mL for each dialysis</w:t>
      </w:r>
    </w:p>
    <w:p w14:paraId="2083EF6A" w14:textId="77777777" w:rsidR="00025413" w:rsidRPr="00D74025" w:rsidRDefault="00025413">
      <w:pPr>
        <w:pStyle w:val="ListParagraph"/>
        <w:numPr>
          <w:ilvl w:val="0"/>
          <w:numId w:val="1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20 mM sodium phosphate dibasic =&gt;5.678 g</w:t>
      </w:r>
    </w:p>
    <w:p w14:paraId="00848BAE" w14:textId="77777777" w:rsidR="00025413" w:rsidRPr="00D74025" w:rsidRDefault="00025413">
      <w:pPr>
        <w:pStyle w:val="ListParagraph"/>
        <w:numPr>
          <w:ilvl w:val="0"/>
          <w:numId w:val="6"/>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Adjust to pH 7.4</w:t>
      </w:r>
    </w:p>
    <w:p w14:paraId="30AA8A1D" w14:textId="71C0BEB6" w:rsidR="00025413" w:rsidRPr="006A4376" w:rsidRDefault="00025413" w:rsidP="008302EC">
      <w:pPr>
        <w:pStyle w:val="ListParagraph"/>
        <w:numPr>
          <w:ilvl w:val="0"/>
          <w:numId w:val="10"/>
        </w:numPr>
        <w:spacing w:before="0" w:beforeAutospacing="0" w:after="0" w:afterAutospacing="0" w:line="276" w:lineRule="auto"/>
        <w:jc w:val="left"/>
        <w:rPr>
          <w:rFonts w:ascii="Arial" w:hAnsi="Arial" w:cs="Arial"/>
          <w:color w:val="000000" w:themeColor="text1"/>
        </w:rPr>
      </w:pPr>
      <w:r w:rsidRPr="006A4376">
        <w:rPr>
          <w:rFonts w:ascii="Arial" w:hAnsi="Arial" w:cs="Arial"/>
          <w:color w:val="000000" w:themeColor="text1"/>
        </w:rPr>
        <w:t xml:space="preserve">After dialysis, put back in a 50 ml centrifuge tube.  </w:t>
      </w:r>
    </w:p>
    <w:p w14:paraId="198141F2" w14:textId="77777777" w:rsidR="00025413" w:rsidRPr="00D74025" w:rsidRDefault="00025413">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Before continuing, need to regenerate the column using this procedure:</w:t>
      </w:r>
    </w:p>
    <w:p w14:paraId="0ECB985D" w14:textId="77777777" w:rsidR="00025413" w:rsidRPr="00D74025" w:rsidRDefault="00025413">
      <w:pPr>
        <w:pStyle w:val="ListParagraph"/>
        <w:numPr>
          <w:ilvl w:val="0"/>
          <w:numId w:val="11"/>
        </w:numPr>
        <w:tabs>
          <w:tab w:val="left" w:pos="1350"/>
        </w:tabs>
        <w:spacing w:before="0" w:beforeAutospacing="0" w:after="0" w:afterAutospacing="0" w:line="276" w:lineRule="auto"/>
        <w:ind w:left="1800"/>
        <w:jc w:val="left"/>
        <w:rPr>
          <w:rFonts w:ascii="Arial" w:hAnsi="Arial" w:cs="Arial"/>
          <w:color w:val="000000" w:themeColor="text1"/>
        </w:rPr>
      </w:pPr>
      <w:r w:rsidRPr="00D74025">
        <w:rPr>
          <w:rFonts w:ascii="Arial" w:hAnsi="Arial" w:cs="Arial"/>
          <w:color w:val="000000" w:themeColor="text1"/>
        </w:rPr>
        <w:lastRenderedPageBreak/>
        <w:t xml:space="preserve">25 ml of 1 M </w:t>
      </w:r>
      <w:proofErr w:type="spellStart"/>
      <w:r w:rsidRPr="00D74025">
        <w:rPr>
          <w:rFonts w:ascii="Arial" w:hAnsi="Arial" w:cs="Arial"/>
          <w:color w:val="000000" w:themeColor="text1"/>
        </w:rPr>
        <w:t>KCl</w:t>
      </w:r>
      <w:proofErr w:type="spellEnd"/>
      <w:r w:rsidRPr="00D74025">
        <w:rPr>
          <w:rFonts w:ascii="Arial" w:hAnsi="Arial" w:cs="Arial"/>
          <w:color w:val="000000" w:themeColor="text1"/>
        </w:rPr>
        <w:t xml:space="preserve"> =&gt; make 200 ml, so use 14.91 g</w:t>
      </w:r>
    </w:p>
    <w:p w14:paraId="33A0EB26" w14:textId="77777777" w:rsidR="00025413" w:rsidRPr="00D74025" w:rsidRDefault="00025413">
      <w:pPr>
        <w:pStyle w:val="ListParagraph"/>
        <w:numPr>
          <w:ilvl w:val="0"/>
          <w:numId w:val="11"/>
        </w:numPr>
        <w:tabs>
          <w:tab w:val="left" w:pos="1350"/>
        </w:tabs>
        <w:spacing w:before="0" w:beforeAutospacing="0" w:after="0" w:afterAutospacing="0" w:line="276" w:lineRule="auto"/>
        <w:ind w:left="1800"/>
        <w:jc w:val="left"/>
        <w:rPr>
          <w:rFonts w:ascii="Arial" w:hAnsi="Arial" w:cs="Arial"/>
          <w:color w:val="000000" w:themeColor="text1"/>
        </w:rPr>
      </w:pPr>
      <w:r w:rsidRPr="00D74025">
        <w:rPr>
          <w:rFonts w:ascii="Arial" w:hAnsi="Arial" w:cs="Arial"/>
          <w:color w:val="000000" w:themeColor="text1"/>
        </w:rPr>
        <w:t>25 ml of 1 M NaOH =&gt; make 200 ml, so use 8.0 g</w:t>
      </w:r>
    </w:p>
    <w:p w14:paraId="3F69CF98" w14:textId="195F3E18" w:rsidR="00025413" w:rsidRPr="00D74025" w:rsidRDefault="00025413">
      <w:pPr>
        <w:pStyle w:val="ListParagraph"/>
        <w:numPr>
          <w:ilvl w:val="0"/>
          <w:numId w:val="11"/>
        </w:numPr>
        <w:tabs>
          <w:tab w:val="left" w:pos="1350"/>
        </w:tabs>
        <w:spacing w:before="0" w:beforeAutospacing="0" w:after="0" w:afterAutospacing="0" w:line="276" w:lineRule="auto"/>
        <w:ind w:left="1800"/>
        <w:jc w:val="left"/>
        <w:rPr>
          <w:rFonts w:ascii="Arial" w:hAnsi="Arial" w:cs="Arial"/>
          <w:color w:val="000000" w:themeColor="text1"/>
        </w:rPr>
      </w:pPr>
      <w:r w:rsidRPr="00D74025">
        <w:rPr>
          <w:rFonts w:ascii="Arial" w:hAnsi="Arial" w:cs="Arial"/>
          <w:color w:val="000000" w:themeColor="text1"/>
        </w:rPr>
        <w:t xml:space="preserve">25 ml of DI </w:t>
      </w:r>
      <w:r w:rsidR="00A779AC">
        <w:rPr>
          <w:rFonts w:ascii="Arial" w:hAnsi="Arial" w:cs="Arial"/>
          <w:color w:val="000000" w:themeColor="text1"/>
        </w:rPr>
        <w:t>w</w:t>
      </w:r>
      <w:r w:rsidRPr="00D74025">
        <w:rPr>
          <w:rFonts w:ascii="Arial" w:hAnsi="Arial" w:cs="Arial"/>
          <w:color w:val="000000" w:themeColor="text1"/>
        </w:rPr>
        <w:t>ater</w:t>
      </w:r>
    </w:p>
    <w:p w14:paraId="594DDC4C" w14:textId="63501783" w:rsidR="00025413" w:rsidRPr="00D74025" w:rsidRDefault="00025413">
      <w:pPr>
        <w:pStyle w:val="ListParagraph"/>
        <w:numPr>
          <w:ilvl w:val="0"/>
          <w:numId w:val="11"/>
        </w:numPr>
        <w:tabs>
          <w:tab w:val="left" w:pos="1350"/>
        </w:tabs>
        <w:spacing w:before="0" w:beforeAutospacing="0" w:after="0" w:afterAutospacing="0" w:line="276" w:lineRule="auto"/>
        <w:ind w:left="1800"/>
        <w:jc w:val="left"/>
        <w:rPr>
          <w:rFonts w:ascii="Arial" w:hAnsi="Arial" w:cs="Arial"/>
          <w:color w:val="000000" w:themeColor="text1"/>
        </w:rPr>
      </w:pPr>
      <w:r w:rsidRPr="00D74025">
        <w:rPr>
          <w:rFonts w:ascii="Arial" w:hAnsi="Arial" w:cs="Arial"/>
          <w:color w:val="000000" w:themeColor="text1"/>
        </w:rPr>
        <w:t xml:space="preserve">25 ml of 1 M HPLC </w:t>
      </w:r>
      <w:r w:rsidR="006A4376">
        <w:rPr>
          <w:rFonts w:ascii="Arial" w:hAnsi="Arial" w:cs="Arial"/>
          <w:color w:val="000000" w:themeColor="text1"/>
        </w:rPr>
        <w:t>g</w:t>
      </w:r>
      <w:r w:rsidRPr="00D74025">
        <w:rPr>
          <w:rFonts w:ascii="Arial" w:hAnsi="Arial" w:cs="Arial"/>
          <w:color w:val="000000" w:themeColor="text1"/>
        </w:rPr>
        <w:t xml:space="preserve">rade </w:t>
      </w:r>
      <w:r w:rsidR="006A4376">
        <w:rPr>
          <w:rFonts w:ascii="Arial" w:hAnsi="Arial" w:cs="Arial"/>
          <w:color w:val="000000" w:themeColor="text1"/>
        </w:rPr>
        <w:t>e</w:t>
      </w:r>
      <w:r w:rsidRPr="00D74025">
        <w:rPr>
          <w:rFonts w:ascii="Arial" w:hAnsi="Arial" w:cs="Arial"/>
          <w:color w:val="000000" w:themeColor="text1"/>
        </w:rPr>
        <w:t>thanol =&gt;1.46 ml ethanol + 23.54 ml DI Water</w:t>
      </w:r>
    </w:p>
    <w:p w14:paraId="1B0946E6" w14:textId="77777777" w:rsidR="00025413" w:rsidRPr="00D74025" w:rsidRDefault="00025413" w:rsidP="00F6020C">
      <w:pPr>
        <w:tabs>
          <w:tab w:val="left" w:pos="1350"/>
        </w:tabs>
        <w:spacing w:line="276" w:lineRule="auto"/>
        <w:rPr>
          <w:rFonts w:ascii="Arial" w:hAnsi="Arial" w:cs="Arial"/>
          <w:color w:val="000000" w:themeColor="text1"/>
        </w:rPr>
      </w:pPr>
    </w:p>
    <w:p w14:paraId="4DF19FA0" w14:textId="0C6623D4" w:rsidR="00025413" w:rsidRPr="006A4376" w:rsidRDefault="00025413">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Measure the concentration of protein (Bradford </w:t>
      </w:r>
      <w:r w:rsidR="006A4376">
        <w:rPr>
          <w:rFonts w:ascii="Arial" w:hAnsi="Arial" w:cs="Arial"/>
          <w:color w:val="000000" w:themeColor="text1"/>
        </w:rPr>
        <w:t>p</w:t>
      </w:r>
      <w:r w:rsidRPr="00D74025">
        <w:rPr>
          <w:rFonts w:ascii="Arial" w:hAnsi="Arial" w:cs="Arial"/>
          <w:color w:val="000000" w:themeColor="text1"/>
        </w:rPr>
        <w:t>rotein assay).</w:t>
      </w:r>
      <w:r w:rsidRPr="00D74025">
        <w:rPr>
          <w:rFonts w:ascii="Arial" w:hAnsi="Arial" w:cs="Arial"/>
          <w:i/>
          <w:color w:val="000000" w:themeColor="text1"/>
        </w:rPr>
        <w:t>2.81 mg/mL measured in 40 mL -&gt; total is 112.4 mg</w:t>
      </w:r>
    </w:p>
    <w:p w14:paraId="7E55D95F" w14:textId="77777777" w:rsidR="006A4376" w:rsidRPr="00D74025" w:rsidRDefault="006A4376" w:rsidP="006A4376">
      <w:pPr>
        <w:pStyle w:val="ListParagraph"/>
        <w:spacing w:before="0" w:beforeAutospacing="0" w:after="0" w:afterAutospacing="0" w:line="276" w:lineRule="auto"/>
        <w:ind w:left="1080" w:firstLine="0"/>
        <w:jc w:val="left"/>
        <w:rPr>
          <w:rFonts w:ascii="Arial" w:hAnsi="Arial" w:cs="Arial"/>
          <w:color w:val="000000" w:themeColor="text1"/>
        </w:rPr>
      </w:pPr>
    </w:p>
    <w:p w14:paraId="23AD0289" w14:textId="78FBC65D" w:rsidR="00025413" w:rsidRPr="006A4376" w:rsidRDefault="00025413" w:rsidP="009A787F">
      <w:pPr>
        <w:pStyle w:val="ListParagraph"/>
        <w:numPr>
          <w:ilvl w:val="0"/>
          <w:numId w:val="18"/>
        </w:numPr>
        <w:spacing w:before="0" w:beforeAutospacing="0" w:after="0" w:afterAutospacing="0" w:line="276" w:lineRule="auto"/>
        <w:jc w:val="left"/>
        <w:rPr>
          <w:rFonts w:ascii="Arial" w:hAnsi="Arial" w:cs="Arial"/>
          <w:color w:val="000000" w:themeColor="text1"/>
        </w:rPr>
      </w:pPr>
      <w:r w:rsidRPr="006A4376">
        <w:rPr>
          <w:rFonts w:ascii="Arial" w:hAnsi="Arial" w:cs="Arial"/>
          <w:color w:val="000000" w:themeColor="text1"/>
        </w:rPr>
        <w:t>Add 30 ml DI Water to tube w/ cell pellet.  Cleave the</w:t>
      </w:r>
      <w:r w:rsidR="006A4376">
        <w:rPr>
          <w:rFonts w:ascii="Arial" w:hAnsi="Arial" w:cs="Arial"/>
          <w:color w:val="000000" w:themeColor="text1"/>
        </w:rPr>
        <w:t xml:space="preserve"> </w:t>
      </w:r>
      <w:r w:rsidRPr="006A4376">
        <w:rPr>
          <w:rFonts w:ascii="Arial" w:hAnsi="Arial" w:cs="Arial"/>
          <w:color w:val="000000" w:themeColor="text1"/>
        </w:rPr>
        <w:t>C-terminal His-tag by adding HRV 3C protease at 10 U/mg of protein</w:t>
      </w:r>
      <w:r w:rsidR="006A4376">
        <w:rPr>
          <w:rFonts w:ascii="Arial" w:hAnsi="Arial" w:cs="Arial"/>
          <w:color w:val="000000" w:themeColor="text1"/>
        </w:rPr>
        <w:t xml:space="preserve"> </w:t>
      </w:r>
      <w:r w:rsidRPr="006A4376">
        <w:rPr>
          <w:rFonts w:ascii="Arial" w:hAnsi="Arial" w:cs="Arial"/>
          <w:color w:val="000000" w:themeColor="text1"/>
        </w:rPr>
        <w:t>with the recommended 10X buffer provided (stored @ -20ºC). Incubate for 16h at 4</w:t>
      </w:r>
      <w:r w:rsidRPr="006A4376">
        <w:rPr>
          <w:rFonts w:ascii="Arial" w:hAnsi="Arial" w:cs="Arial"/>
          <w:color w:val="000000" w:themeColor="text1"/>
          <w:vertAlign w:val="superscript"/>
        </w:rPr>
        <w:t>o</w:t>
      </w:r>
      <w:r w:rsidRPr="006A4376">
        <w:rPr>
          <w:rFonts w:ascii="Arial" w:hAnsi="Arial" w:cs="Arial"/>
          <w:color w:val="000000" w:themeColor="text1"/>
        </w:rPr>
        <w:t>C at 30 rpm.</w:t>
      </w:r>
    </w:p>
    <w:p w14:paraId="3F470A9A" w14:textId="77777777" w:rsidR="00025413" w:rsidRPr="00D74025" w:rsidRDefault="00025413">
      <w:pPr>
        <w:pStyle w:val="ListParagraph"/>
        <w:numPr>
          <w:ilvl w:val="0"/>
          <w:numId w:val="1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Add HRV 3C protease.  HRV 3C protease comes as 2 U/µl and we want to use it at 10 U/mg protein. </w:t>
      </w:r>
    </w:p>
    <w:p w14:paraId="236E7EB4" w14:textId="77777777" w:rsidR="00025413" w:rsidRPr="00D74025" w:rsidRDefault="00025413">
      <w:pPr>
        <w:pStyle w:val="ListParagraph"/>
        <w:numPr>
          <w:ilvl w:val="0"/>
          <w:numId w:val="13"/>
        </w:numPr>
        <w:spacing w:before="0" w:beforeAutospacing="0" w:after="0" w:afterAutospacing="0" w:line="276" w:lineRule="auto"/>
        <w:ind w:left="2520"/>
        <w:jc w:val="left"/>
        <w:rPr>
          <w:rFonts w:ascii="Arial" w:hAnsi="Arial" w:cs="Arial"/>
          <w:color w:val="000000" w:themeColor="text1"/>
        </w:rPr>
      </w:pPr>
      <w:r w:rsidRPr="00D74025">
        <w:rPr>
          <w:rFonts w:ascii="Arial" w:hAnsi="Arial" w:cs="Arial"/>
          <w:i/>
          <w:color w:val="000000" w:themeColor="text1"/>
        </w:rPr>
        <w:t>We have ~112 mg protein (10.17.11), but will only cleave ~30 mg (112 mg / 40 mL -&gt; ~10.8 mL)</w:t>
      </w:r>
    </w:p>
    <w:p w14:paraId="60FF812D" w14:textId="77777777" w:rsidR="00025413" w:rsidRPr="00D74025" w:rsidRDefault="00025413">
      <w:pPr>
        <w:pStyle w:val="ListParagraph"/>
        <w:numPr>
          <w:ilvl w:val="2"/>
          <w:numId w:val="13"/>
        </w:numPr>
        <w:spacing w:before="0" w:beforeAutospacing="0" w:after="0" w:afterAutospacing="0" w:line="276" w:lineRule="auto"/>
        <w:jc w:val="left"/>
        <w:rPr>
          <w:rFonts w:ascii="Arial" w:hAnsi="Arial" w:cs="Arial"/>
          <w:i/>
          <w:color w:val="000000" w:themeColor="text1"/>
        </w:rPr>
      </w:pPr>
      <w:r w:rsidRPr="00D74025">
        <w:rPr>
          <w:rFonts w:ascii="Arial" w:hAnsi="Arial" w:cs="Arial"/>
          <w:i/>
          <w:color w:val="000000" w:themeColor="text1"/>
        </w:rPr>
        <w:t xml:space="preserve">~30 mg * 10 U/mg = 300 U  </w:t>
      </w:r>
    </w:p>
    <w:p w14:paraId="450B879E" w14:textId="77777777" w:rsidR="00025413" w:rsidRPr="00D74025" w:rsidRDefault="00025413">
      <w:pPr>
        <w:pStyle w:val="ListParagraph"/>
        <w:numPr>
          <w:ilvl w:val="2"/>
          <w:numId w:val="13"/>
        </w:numPr>
        <w:spacing w:before="0" w:beforeAutospacing="0" w:after="0" w:afterAutospacing="0" w:line="276" w:lineRule="auto"/>
        <w:jc w:val="left"/>
        <w:rPr>
          <w:rFonts w:ascii="Arial" w:hAnsi="Arial" w:cs="Arial"/>
          <w:i/>
          <w:color w:val="000000" w:themeColor="text1"/>
        </w:rPr>
      </w:pPr>
      <w:r w:rsidRPr="00D74025">
        <w:rPr>
          <w:rFonts w:ascii="Arial" w:hAnsi="Arial" w:cs="Arial"/>
          <w:i/>
          <w:color w:val="000000" w:themeColor="text1"/>
        </w:rPr>
        <w:t>300 U * 1 µl/2U = 150 µl HRV 3C protease.</w:t>
      </w:r>
    </w:p>
    <w:p w14:paraId="665EA44B" w14:textId="27D57B2E" w:rsidR="00025413" w:rsidRPr="00D74025" w:rsidRDefault="00025413">
      <w:pPr>
        <w:pStyle w:val="ListParagraph"/>
        <w:numPr>
          <w:ilvl w:val="2"/>
          <w:numId w:val="13"/>
        </w:numPr>
        <w:spacing w:before="0" w:beforeAutospacing="0" w:after="0" w:afterAutospacing="0" w:line="276" w:lineRule="auto"/>
        <w:jc w:val="left"/>
        <w:rPr>
          <w:rFonts w:ascii="Arial" w:hAnsi="Arial" w:cs="Arial"/>
          <w:i/>
          <w:color w:val="000000" w:themeColor="text1"/>
        </w:rPr>
      </w:pPr>
      <w:r w:rsidRPr="00D74025">
        <w:rPr>
          <w:rFonts w:ascii="Arial" w:hAnsi="Arial" w:cs="Arial"/>
          <w:i/>
          <w:color w:val="000000" w:themeColor="text1"/>
        </w:rPr>
        <w:t xml:space="preserve">12 mL reaction: 10.8 mL protein, 1.2 mL buffer, 150 </w:t>
      </w:r>
      <w:r w:rsidR="00FF588A">
        <w:rPr>
          <w:rFonts w:ascii="Arial" w:hAnsi="Arial" w:cs="Arial"/>
          <w:color w:val="000000" w:themeColor="text1"/>
          <w:lang w:val="en"/>
        </w:rPr>
        <w:sym w:font="Symbol" w:char="F06D"/>
      </w:r>
      <w:r w:rsidR="00FF588A" w:rsidRPr="00E56710">
        <w:rPr>
          <w:rFonts w:ascii="Arial" w:hAnsi="Arial" w:cs="Arial"/>
          <w:color w:val="000000" w:themeColor="text1"/>
          <w:lang w:val="en"/>
        </w:rPr>
        <w:t>L</w:t>
      </w:r>
      <w:r w:rsidRPr="00D74025">
        <w:rPr>
          <w:rFonts w:ascii="Arial" w:hAnsi="Arial" w:cs="Arial"/>
          <w:i/>
          <w:color w:val="000000" w:themeColor="text1"/>
        </w:rPr>
        <w:t xml:space="preserve"> HRV 3C</w:t>
      </w:r>
    </w:p>
    <w:p w14:paraId="57D1C0AA" w14:textId="77777777" w:rsidR="00025413" w:rsidRPr="00D74025" w:rsidRDefault="00025413">
      <w:pPr>
        <w:pStyle w:val="ListParagraph"/>
        <w:numPr>
          <w:ilvl w:val="0"/>
          <w:numId w:val="1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Take 750 µl sample after cleavage is complete. </w:t>
      </w:r>
    </w:p>
    <w:p w14:paraId="24D9176C" w14:textId="77777777" w:rsidR="00025413" w:rsidRPr="00D74025" w:rsidRDefault="00025413">
      <w:pPr>
        <w:pStyle w:val="ListParagraph"/>
        <w:numPr>
          <w:ilvl w:val="0"/>
          <w:numId w:val="1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Label sample ‘</w:t>
      </w:r>
      <w:r w:rsidRPr="00D74025">
        <w:rPr>
          <w:rFonts w:ascii="Arial" w:hAnsi="Arial" w:cs="Arial"/>
          <w:b/>
          <w:color w:val="000000" w:themeColor="text1"/>
        </w:rPr>
        <w:t>AC</w:t>
      </w:r>
      <w:r w:rsidRPr="00D74025">
        <w:rPr>
          <w:rFonts w:ascii="Arial" w:hAnsi="Arial" w:cs="Arial"/>
          <w:color w:val="000000" w:themeColor="text1"/>
        </w:rPr>
        <w:t>.’</w:t>
      </w:r>
    </w:p>
    <w:p w14:paraId="37643FA9" w14:textId="77777777" w:rsidR="00025413" w:rsidRPr="00D74025" w:rsidRDefault="00025413" w:rsidP="00F6020C">
      <w:pPr>
        <w:spacing w:line="276" w:lineRule="auto"/>
        <w:rPr>
          <w:rFonts w:ascii="Arial" w:hAnsi="Arial" w:cs="Arial"/>
          <w:color w:val="000000" w:themeColor="text1"/>
        </w:rPr>
      </w:pPr>
    </w:p>
    <w:p w14:paraId="1BEAFD6E" w14:textId="68B84D38" w:rsidR="00025413" w:rsidRPr="00D74025" w:rsidRDefault="00025413" w:rsidP="00F6020C">
      <w:pPr>
        <w:spacing w:line="276" w:lineRule="auto"/>
        <w:rPr>
          <w:rFonts w:ascii="Arial" w:hAnsi="Arial" w:cs="Arial"/>
          <w:color w:val="000000" w:themeColor="text1"/>
          <w:u w:val="single"/>
        </w:rPr>
      </w:pPr>
      <w:r w:rsidRPr="00D74025">
        <w:rPr>
          <w:rFonts w:ascii="Arial" w:hAnsi="Arial" w:cs="Arial"/>
          <w:color w:val="000000" w:themeColor="text1"/>
          <w:u w:val="single"/>
        </w:rPr>
        <w:t xml:space="preserve">Day </w:t>
      </w:r>
      <w:r w:rsidR="00491866">
        <w:rPr>
          <w:rFonts w:ascii="Arial" w:hAnsi="Arial" w:cs="Arial"/>
          <w:color w:val="000000" w:themeColor="text1"/>
          <w:u w:val="single"/>
        </w:rPr>
        <w:t>6</w:t>
      </w:r>
    </w:p>
    <w:p w14:paraId="21091FEF" w14:textId="77777777" w:rsidR="00025413" w:rsidRPr="00D74025" w:rsidRDefault="00025413">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Equilibrate the </w:t>
      </w:r>
      <w:proofErr w:type="spellStart"/>
      <w:r w:rsidRPr="00D74025">
        <w:rPr>
          <w:rFonts w:ascii="Arial" w:hAnsi="Arial" w:cs="Arial"/>
          <w:color w:val="000000" w:themeColor="text1"/>
        </w:rPr>
        <w:t>HisTrap</w:t>
      </w:r>
      <w:proofErr w:type="spellEnd"/>
      <w:r w:rsidRPr="00D74025">
        <w:rPr>
          <w:rFonts w:ascii="Arial" w:hAnsi="Arial" w:cs="Arial"/>
          <w:color w:val="000000" w:themeColor="text1"/>
        </w:rPr>
        <w:t xml:space="preserve"> column with Wash Buffer 1.   Change chromatography sensitivity to 0.2 (otherwise set to 1.0).</w:t>
      </w:r>
    </w:p>
    <w:p w14:paraId="761AC56C" w14:textId="77777777" w:rsidR="00025413" w:rsidRPr="00D74025" w:rsidRDefault="00025413">
      <w:pPr>
        <w:pStyle w:val="ListParagraph"/>
        <w:numPr>
          <w:ilvl w:val="0"/>
          <w:numId w:val="1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Feed thru the column until baseline is reached.</w:t>
      </w:r>
    </w:p>
    <w:p w14:paraId="7C14C9E0" w14:textId="77777777" w:rsidR="00025413" w:rsidRPr="00D74025" w:rsidRDefault="00025413" w:rsidP="00F6020C">
      <w:pPr>
        <w:spacing w:line="276" w:lineRule="auto"/>
        <w:rPr>
          <w:rFonts w:ascii="Arial" w:hAnsi="Arial" w:cs="Arial"/>
          <w:color w:val="000000" w:themeColor="text1"/>
        </w:rPr>
      </w:pPr>
    </w:p>
    <w:p w14:paraId="44918A24" w14:textId="77777777" w:rsidR="00025413" w:rsidRPr="00D74025" w:rsidRDefault="00025413">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Add imidazole (40 mM) and NaCl (500 mM) to the cleaved protein solution (depends on </w:t>
      </w:r>
      <w:proofErr w:type="gramStart"/>
      <w:r w:rsidRPr="00D74025">
        <w:rPr>
          <w:rFonts w:ascii="Arial" w:hAnsi="Arial" w:cs="Arial"/>
          <w:color w:val="000000" w:themeColor="text1"/>
        </w:rPr>
        <w:t>particular volume</w:t>
      </w:r>
      <w:proofErr w:type="gramEnd"/>
      <w:r w:rsidRPr="00D74025">
        <w:rPr>
          <w:rFonts w:ascii="Arial" w:hAnsi="Arial" w:cs="Arial"/>
          <w:color w:val="000000" w:themeColor="text1"/>
        </w:rPr>
        <w:t xml:space="preserve"> after overnight cleavage incubation).</w:t>
      </w:r>
    </w:p>
    <w:p w14:paraId="1E6D52FC" w14:textId="77777777" w:rsidR="00025413" w:rsidRPr="00D74025" w:rsidRDefault="00025413">
      <w:pPr>
        <w:pStyle w:val="ListParagraph"/>
        <w:numPr>
          <w:ilvl w:val="0"/>
          <w:numId w:val="1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40 mM imidazole =&gt;use _____ g</w:t>
      </w:r>
    </w:p>
    <w:p w14:paraId="63154119" w14:textId="77777777" w:rsidR="00025413" w:rsidRPr="00D74025" w:rsidRDefault="00025413">
      <w:pPr>
        <w:pStyle w:val="ListParagraph"/>
        <w:numPr>
          <w:ilvl w:val="1"/>
          <w:numId w:val="14"/>
        </w:numPr>
        <w:spacing w:before="0" w:beforeAutospacing="0" w:after="0" w:afterAutospacing="0" w:line="276" w:lineRule="auto"/>
        <w:jc w:val="left"/>
        <w:rPr>
          <w:rFonts w:ascii="Arial" w:hAnsi="Arial" w:cs="Arial"/>
          <w:color w:val="000000" w:themeColor="text1"/>
        </w:rPr>
      </w:pPr>
      <w:r w:rsidRPr="00D74025">
        <w:rPr>
          <w:rFonts w:ascii="Arial" w:hAnsi="Arial" w:cs="Arial"/>
          <w:i/>
          <w:color w:val="000000" w:themeColor="text1"/>
        </w:rPr>
        <w:t>11.25 mL so .031 g</w:t>
      </w:r>
    </w:p>
    <w:p w14:paraId="416F34B9" w14:textId="77777777" w:rsidR="00025413" w:rsidRPr="00D74025" w:rsidRDefault="00025413">
      <w:pPr>
        <w:pStyle w:val="ListParagraph"/>
        <w:numPr>
          <w:ilvl w:val="1"/>
          <w:numId w:val="14"/>
        </w:numPr>
        <w:spacing w:before="0" w:beforeAutospacing="0" w:after="0" w:afterAutospacing="0" w:line="276" w:lineRule="auto"/>
        <w:jc w:val="left"/>
        <w:rPr>
          <w:rFonts w:ascii="Arial" w:hAnsi="Arial" w:cs="Arial"/>
          <w:color w:val="000000" w:themeColor="text1"/>
        </w:rPr>
      </w:pPr>
      <w:r w:rsidRPr="00D74025">
        <w:rPr>
          <w:rFonts w:ascii="Arial" w:hAnsi="Arial" w:cs="Arial"/>
          <w:i/>
          <w:color w:val="000000" w:themeColor="text1"/>
        </w:rPr>
        <w:t>(15.25 mL so .042 g)</w:t>
      </w:r>
    </w:p>
    <w:p w14:paraId="62467279" w14:textId="77777777" w:rsidR="00025413" w:rsidRPr="00D74025" w:rsidRDefault="00025413">
      <w:pPr>
        <w:pStyle w:val="ListParagraph"/>
        <w:numPr>
          <w:ilvl w:val="0"/>
          <w:numId w:val="1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500 </w:t>
      </w:r>
      <w:proofErr w:type="spellStart"/>
      <w:r w:rsidRPr="00D74025">
        <w:rPr>
          <w:rFonts w:ascii="Arial" w:hAnsi="Arial" w:cs="Arial"/>
          <w:color w:val="000000" w:themeColor="text1"/>
        </w:rPr>
        <w:t>mMNaCl</w:t>
      </w:r>
      <w:proofErr w:type="spellEnd"/>
      <w:r w:rsidRPr="00D74025">
        <w:rPr>
          <w:rFonts w:ascii="Arial" w:hAnsi="Arial" w:cs="Arial"/>
          <w:color w:val="000000" w:themeColor="text1"/>
        </w:rPr>
        <w:t xml:space="preserve"> =&gt;use _____ g</w:t>
      </w:r>
    </w:p>
    <w:p w14:paraId="43A280EC" w14:textId="77777777" w:rsidR="00025413" w:rsidRPr="00D74025" w:rsidRDefault="00025413">
      <w:pPr>
        <w:pStyle w:val="ListParagraph"/>
        <w:numPr>
          <w:ilvl w:val="1"/>
          <w:numId w:val="14"/>
        </w:numPr>
        <w:spacing w:before="0" w:beforeAutospacing="0" w:after="0" w:afterAutospacing="0" w:line="276" w:lineRule="auto"/>
        <w:jc w:val="left"/>
        <w:rPr>
          <w:rFonts w:ascii="Arial" w:hAnsi="Arial" w:cs="Arial"/>
          <w:color w:val="000000" w:themeColor="text1"/>
        </w:rPr>
      </w:pPr>
      <w:r w:rsidRPr="00D74025">
        <w:rPr>
          <w:rFonts w:ascii="Arial" w:hAnsi="Arial" w:cs="Arial"/>
          <w:i/>
          <w:color w:val="000000" w:themeColor="text1"/>
        </w:rPr>
        <w:t>11.25 mL so .329 g</w:t>
      </w:r>
    </w:p>
    <w:p w14:paraId="4C38A5F7" w14:textId="77777777" w:rsidR="00025413" w:rsidRPr="00D74025" w:rsidRDefault="00025413">
      <w:pPr>
        <w:pStyle w:val="ListParagraph"/>
        <w:numPr>
          <w:ilvl w:val="1"/>
          <w:numId w:val="14"/>
        </w:numPr>
        <w:spacing w:before="0" w:beforeAutospacing="0" w:after="0" w:afterAutospacing="0" w:line="276" w:lineRule="auto"/>
        <w:jc w:val="left"/>
        <w:rPr>
          <w:rFonts w:ascii="Arial" w:hAnsi="Arial" w:cs="Arial"/>
          <w:color w:val="000000" w:themeColor="text1"/>
        </w:rPr>
      </w:pPr>
      <w:r w:rsidRPr="00D74025">
        <w:rPr>
          <w:rFonts w:ascii="Arial" w:hAnsi="Arial" w:cs="Arial"/>
          <w:i/>
          <w:color w:val="000000" w:themeColor="text1"/>
        </w:rPr>
        <w:t>(15.25 mL so .446 g)</w:t>
      </w:r>
    </w:p>
    <w:p w14:paraId="3443D278" w14:textId="77777777" w:rsidR="00025413" w:rsidRPr="00D74025" w:rsidRDefault="00025413" w:rsidP="00F6020C">
      <w:pPr>
        <w:spacing w:line="276" w:lineRule="auto"/>
        <w:rPr>
          <w:rFonts w:ascii="Arial" w:hAnsi="Arial" w:cs="Arial"/>
          <w:color w:val="000000" w:themeColor="text1"/>
        </w:rPr>
      </w:pPr>
    </w:p>
    <w:p w14:paraId="28EE01FD" w14:textId="77777777" w:rsidR="00025413" w:rsidRPr="00D74025" w:rsidRDefault="00025413">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Feed the solution to </w:t>
      </w:r>
      <w:proofErr w:type="spellStart"/>
      <w:r w:rsidRPr="00D74025">
        <w:rPr>
          <w:rFonts w:ascii="Arial" w:hAnsi="Arial" w:cs="Arial"/>
          <w:color w:val="000000" w:themeColor="text1"/>
        </w:rPr>
        <w:t>theHisTrap</w:t>
      </w:r>
      <w:proofErr w:type="spellEnd"/>
      <w:r w:rsidRPr="00D74025">
        <w:rPr>
          <w:rFonts w:ascii="Arial" w:hAnsi="Arial" w:cs="Arial"/>
          <w:color w:val="000000" w:themeColor="text1"/>
        </w:rPr>
        <w:t xml:space="preserve"> column. </w:t>
      </w:r>
    </w:p>
    <w:p w14:paraId="4DCF09D2" w14:textId="77777777" w:rsidR="00025413" w:rsidRPr="00D74025" w:rsidRDefault="00025413">
      <w:pPr>
        <w:pStyle w:val="ListParagraph"/>
        <w:numPr>
          <w:ilvl w:val="0"/>
          <w:numId w:val="1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Collect first peak solution from the column (flow-thru) is solution to dialyze.  This contains our protein.  </w:t>
      </w:r>
    </w:p>
    <w:p w14:paraId="1AB89F00" w14:textId="77777777" w:rsidR="00025413" w:rsidRPr="00D74025" w:rsidRDefault="00025413">
      <w:pPr>
        <w:pStyle w:val="ListParagraph"/>
        <w:numPr>
          <w:ilvl w:val="0"/>
          <w:numId w:val="1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lastRenderedPageBreak/>
        <w:t>Take a 750 µl sample of flow-thru and label it ‘</w:t>
      </w:r>
      <w:r w:rsidRPr="00D74025">
        <w:rPr>
          <w:rFonts w:ascii="Arial" w:hAnsi="Arial" w:cs="Arial"/>
          <w:b/>
          <w:color w:val="000000" w:themeColor="text1"/>
        </w:rPr>
        <w:t>F2</w:t>
      </w:r>
      <w:r w:rsidRPr="00D74025">
        <w:rPr>
          <w:rFonts w:ascii="Arial" w:hAnsi="Arial" w:cs="Arial"/>
          <w:color w:val="000000" w:themeColor="text1"/>
        </w:rPr>
        <w:t>.’</w:t>
      </w:r>
    </w:p>
    <w:p w14:paraId="37B87115" w14:textId="77777777" w:rsidR="00025413" w:rsidRPr="00D74025" w:rsidRDefault="00025413">
      <w:pPr>
        <w:pStyle w:val="ListParagraph"/>
        <w:numPr>
          <w:ilvl w:val="0"/>
          <w:numId w:val="1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Flow-thru has 26 ml.</w:t>
      </w:r>
    </w:p>
    <w:p w14:paraId="39D7014E" w14:textId="77777777" w:rsidR="00025413" w:rsidRPr="00D74025" w:rsidRDefault="00025413" w:rsidP="00F6020C">
      <w:pPr>
        <w:pStyle w:val="ListParagraph"/>
        <w:spacing w:line="276" w:lineRule="auto"/>
        <w:ind w:left="1080"/>
        <w:rPr>
          <w:rFonts w:ascii="Arial" w:hAnsi="Arial" w:cs="Arial"/>
          <w:color w:val="000000" w:themeColor="text1"/>
        </w:rPr>
      </w:pPr>
    </w:p>
    <w:p w14:paraId="0859DC8A" w14:textId="77777777" w:rsidR="00025413" w:rsidRPr="00D74025" w:rsidRDefault="00025413">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Feed Wash Buffer 1 into column to pull out all cleaved protein before proceeding forward.</w:t>
      </w:r>
    </w:p>
    <w:p w14:paraId="7A6E4D61" w14:textId="77777777" w:rsidR="00025413" w:rsidRPr="00D74025" w:rsidRDefault="00025413" w:rsidP="00F6020C">
      <w:pPr>
        <w:spacing w:line="276" w:lineRule="auto"/>
        <w:ind w:left="720"/>
        <w:rPr>
          <w:rFonts w:ascii="Arial" w:hAnsi="Arial" w:cs="Arial"/>
          <w:color w:val="000000" w:themeColor="text1"/>
        </w:rPr>
      </w:pPr>
    </w:p>
    <w:p w14:paraId="749B8BBB" w14:textId="77777777" w:rsidR="00025413" w:rsidRPr="00D74025" w:rsidRDefault="00025413">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Elute </w:t>
      </w:r>
      <w:proofErr w:type="spellStart"/>
      <w:r w:rsidRPr="00D74025">
        <w:rPr>
          <w:rFonts w:ascii="Arial" w:hAnsi="Arial" w:cs="Arial"/>
          <w:color w:val="000000" w:themeColor="text1"/>
        </w:rPr>
        <w:t>uncleaved</w:t>
      </w:r>
      <w:proofErr w:type="spellEnd"/>
      <w:r w:rsidRPr="00D74025">
        <w:rPr>
          <w:rFonts w:ascii="Arial" w:hAnsi="Arial" w:cs="Arial"/>
          <w:color w:val="000000" w:themeColor="text1"/>
        </w:rPr>
        <w:t xml:space="preserve"> protein with imidazole.</w:t>
      </w:r>
    </w:p>
    <w:p w14:paraId="0E4C6AC4" w14:textId="77777777" w:rsidR="00025413" w:rsidRPr="00D74025" w:rsidRDefault="00025413">
      <w:pPr>
        <w:pStyle w:val="ListParagraph"/>
        <w:numPr>
          <w:ilvl w:val="0"/>
          <w:numId w:val="1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Collect elution.  Take 750 µl sample and label it ‘</w:t>
      </w:r>
      <w:r w:rsidRPr="00D74025">
        <w:rPr>
          <w:rFonts w:ascii="Arial" w:hAnsi="Arial" w:cs="Arial"/>
          <w:b/>
          <w:color w:val="000000" w:themeColor="text1"/>
        </w:rPr>
        <w:t>E2</w:t>
      </w:r>
      <w:r w:rsidRPr="00D74025">
        <w:rPr>
          <w:rFonts w:ascii="Arial" w:hAnsi="Arial" w:cs="Arial"/>
          <w:color w:val="000000" w:themeColor="text1"/>
        </w:rPr>
        <w:t>.’</w:t>
      </w:r>
    </w:p>
    <w:p w14:paraId="24A88EFC" w14:textId="77777777" w:rsidR="00025413" w:rsidRPr="00D74025" w:rsidRDefault="00025413" w:rsidP="00F6020C">
      <w:pPr>
        <w:spacing w:line="276" w:lineRule="auto"/>
        <w:rPr>
          <w:rFonts w:ascii="Arial" w:hAnsi="Arial" w:cs="Arial"/>
          <w:color w:val="000000" w:themeColor="text1"/>
        </w:rPr>
      </w:pPr>
    </w:p>
    <w:p w14:paraId="718232B5" w14:textId="77777777" w:rsidR="00025413" w:rsidRPr="00D74025" w:rsidRDefault="00025413">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Dialyze purified protein for 3 hours against 2 liters of dialysis buffer.</w:t>
      </w:r>
    </w:p>
    <w:p w14:paraId="2AE04FCD" w14:textId="77777777" w:rsidR="00025413" w:rsidRPr="00D74025" w:rsidRDefault="00025413">
      <w:pPr>
        <w:pStyle w:val="ListParagraph"/>
        <w:numPr>
          <w:ilvl w:val="1"/>
          <w:numId w:val="18"/>
        </w:numPr>
        <w:spacing w:before="0" w:beforeAutospacing="0" w:after="0" w:afterAutospacing="0" w:line="276" w:lineRule="auto"/>
        <w:jc w:val="left"/>
        <w:rPr>
          <w:rFonts w:ascii="Arial" w:hAnsi="Arial" w:cs="Arial"/>
          <w:color w:val="000000" w:themeColor="text1"/>
          <w:u w:val="single"/>
        </w:rPr>
      </w:pPr>
      <w:r w:rsidRPr="00D74025">
        <w:rPr>
          <w:rFonts w:ascii="Arial" w:hAnsi="Arial" w:cs="Arial"/>
          <w:color w:val="000000" w:themeColor="text1"/>
          <w:u w:val="single"/>
        </w:rPr>
        <w:t>DIALYSIS 2 BUFFER</w:t>
      </w:r>
    </w:p>
    <w:p w14:paraId="7A6243A9" w14:textId="77777777" w:rsidR="00025413" w:rsidRPr="00D74025" w:rsidRDefault="00025413">
      <w:pPr>
        <w:pStyle w:val="ListParagraph"/>
        <w:numPr>
          <w:ilvl w:val="0"/>
          <w:numId w:val="20"/>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20 mM sodium phosphate dibasic =&gt; use 5.5678 g</w:t>
      </w:r>
    </w:p>
    <w:p w14:paraId="26CAA295" w14:textId="77777777" w:rsidR="00025413" w:rsidRPr="00D74025" w:rsidRDefault="00025413">
      <w:pPr>
        <w:pStyle w:val="ListParagraph"/>
        <w:numPr>
          <w:ilvl w:val="0"/>
          <w:numId w:val="16"/>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100 mM NaCl =&gt; use 11.688 g</w:t>
      </w:r>
    </w:p>
    <w:p w14:paraId="46CBEF17" w14:textId="77777777" w:rsidR="00025413" w:rsidRPr="00D74025" w:rsidRDefault="00025413">
      <w:pPr>
        <w:pStyle w:val="ListParagraph"/>
        <w:numPr>
          <w:ilvl w:val="0"/>
          <w:numId w:val="21"/>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Adjust to pH 7.4</w:t>
      </w:r>
    </w:p>
    <w:p w14:paraId="18A031B4" w14:textId="77777777" w:rsidR="00025413" w:rsidRPr="00D74025" w:rsidRDefault="00025413">
      <w:pPr>
        <w:pStyle w:val="ListParagraph"/>
        <w:numPr>
          <w:ilvl w:val="0"/>
          <w:numId w:val="1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Take 750 µl sample after dialysis.  Label it ‘</w:t>
      </w:r>
      <w:r w:rsidRPr="00D74025">
        <w:rPr>
          <w:rFonts w:ascii="Arial" w:hAnsi="Arial" w:cs="Arial"/>
          <w:b/>
          <w:color w:val="000000" w:themeColor="text1"/>
        </w:rPr>
        <w:t>AD2</w:t>
      </w:r>
      <w:r w:rsidRPr="00D74025">
        <w:rPr>
          <w:rFonts w:ascii="Arial" w:hAnsi="Arial" w:cs="Arial"/>
          <w:color w:val="000000" w:themeColor="text1"/>
        </w:rPr>
        <w:t>.’</w:t>
      </w:r>
    </w:p>
    <w:p w14:paraId="549F92E4" w14:textId="77777777" w:rsidR="00025413" w:rsidRPr="00D74025" w:rsidRDefault="00025413" w:rsidP="00F6020C">
      <w:pPr>
        <w:spacing w:line="276" w:lineRule="auto"/>
        <w:rPr>
          <w:rFonts w:ascii="Arial" w:hAnsi="Arial" w:cs="Arial"/>
          <w:color w:val="000000" w:themeColor="text1"/>
        </w:rPr>
      </w:pPr>
    </w:p>
    <w:p w14:paraId="08D32021" w14:textId="77777777" w:rsidR="00025413" w:rsidRPr="00D74025" w:rsidRDefault="00025413">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Regenerate the column as above.</w:t>
      </w:r>
    </w:p>
    <w:p w14:paraId="268449A9" w14:textId="77777777" w:rsidR="00025413" w:rsidRPr="00D74025" w:rsidRDefault="00025413" w:rsidP="00F6020C">
      <w:pPr>
        <w:pStyle w:val="ListParagraph"/>
        <w:spacing w:line="276" w:lineRule="auto"/>
        <w:ind w:left="1080"/>
        <w:rPr>
          <w:rFonts w:ascii="Arial" w:hAnsi="Arial" w:cs="Arial"/>
          <w:color w:val="000000" w:themeColor="text1"/>
        </w:rPr>
      </w:pPr>
    </w:p>
    <w:p w14:paraId="01281C30" w14:textId="1E5C5739" w:rsidR="00025413" w:rsidRDefault="00025413" w:rsidP="00F673E1">
      <w:pPr>
        <w:pStyle w:val="ListParagraph"/>
        <w:numPr>
          <w:ilvl w:val="0"/>
          <w:numId w:val="18"/>
        </w:numPr>
        <w:spacing w:before="0" w:beforeAutospacing="0" w:after="0" w:afterAutospacing="0" w:line="276" w:lineRule="auto"/>
        <w:jc w:val="left"/>
        <w:rPr>
          <w:rFonts w:ascii="Arial" w:hAnsi="Arial" w:cs="Arial"/>
          <w:color w:val="000000" w:themeColor="text1"/>
        </w:rPr>
      </w:pPr>
      <w:r w:rsidRPr="00A779AC">
        <w:rPr>
          <w:rFonts w:ascii="Arial" w:hAnsi="Arial" w:cs="Arial"/>
          <w:color w:val="000000" w:themeColor="text1"/>
        </w:rPr>
        <w:t xml:space="preserve">Pass the sample thru a 0.2 µm cellulose-acetate filter.  </w:t>
      </w:r>
    </w:p>
    <w:p w14:paraId="578AEEC3" w14:textId="77777777" w:rsidR="00A779AC" w:rsidRPr="00A779AC" w:rsidRDefault="00A779AC" w:rsidP="00A779AC">
      <w:pPr>
        <w:spacing w:line="276" w:lineRule="auto"/>
        <w:rPr>
          <w:rFonts w:ascii="Arial" w:hAnsi="Arial" w:cs="Arial"/>
          <w:color w:val="000000" w:themeColor="text1"/>
        </w:rPr>
      </w:pPr>
    </w:p>
    <w:p w14:paraId="7ACE1A47" w14:textId="77777777" w:rsidR="00025413" w:rsidRPr="00D74025" w:rsidRDefault="00025413">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(IF NECESSARY) Concentrate the protein using a 150kDa, 20 ml protein concentrator (Millipore #89921).  </w:t>
      </w:r>
    </w:p>
    <w:p w14:paraId="4FD30284" w14:textId="77777777" w:rsidR="00025413" w:rsidRPr="00D74025" w:rsidRDefault="00025413" w:rsidP="00F6020C">
      <w:pPr>
        <w:spacing w:line="276" w:lineRule="auto"/>
        <w:rPr>
          <w:rFonts w:ascii="Arial" w:hAnsi="Arial" w:cs="Arial"/>
          <w:color w:val="000000" w:themeColor="text1"/>
        </w:rPr>
      </w:pPr>
    </w:p>
    <w:p w14:paraId="4EC989EA" w14:textId="500B8A1C" w:rsidR="00025413" w:rsidRPr="00FF7490" w:rsidRDefault="00025413" w:rsidP="00FF7490">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Aliquot purified protein into cryovials and put in the liquid nitrogen </w:t>
      </w:r>
      <w:r w:rsidR="00A779AC">
        <w:rPr>
          <w:rFonts w:ascii="Arial" w:hAnsi="Arial" w:cs="Arial"/>
          <w:color w:val="000000" w:themeColor="text1"/>
        </w:rPr>
        <w:t xml:space="preserve">for </w:t>
      </w:r>
      <w:proofErr w:type="spellStart"/>
      <w:r w:rsidR="00A779AC">
        <w:rPr>
          <w:rFonts w:ascii="Arial" w:hAnsi="Arial" w:cs="Arial"/>
          <w:color w:val="000000" w:themeColor="text1"/>
        </w:rPr>
        <w:t>frech</w:t>
      </w:r>
      <w:proofErr w:type="spellEnd"/>
      <w:r w:rsidR="00A779AC">
        <w:rPr>
          <w:rFonts w:ascii="Arial" w:hAnsi="Arial" w:cs="Arial"/>
          <w:color w:val="000000" w:themeColor="text1"/>
        </w:rPr>
        <w:t xml:space="preserve"> freezing.</w:t>
      </w:r>
    </w:p>
    <w:p w14:paraId="6FA1B87C" w14:textId="77777777" w:rsidR="00025413" w:rsidRPr="00D74025" w:rsidRDefault="00025413" w:rsidP="00F6020C">
      <w:pPr>
        <w:spacing w:line="276" w:lineRule="auto"/>
        <w:rPr>
          <w:rFonts w:ascii="Arial" w:hAnsi="Arial" w:cs="Arial"/>
          <w:color w:val="000000" w:themeColor="text1"/>
        </w:rPr>
      </w:pPr>
    </w:p>
    <w:p w14:paraId="2A2F6442" w14:textId="66E41561" w:rsidR="00025413" w:rsidRPr="00D74025" w:rsidRDefault="00025413">
      <w:pPr>
        <w:pStyle w:val="ListParagraph"/>
        <w:numPr>
          <w:ilvl w:val="0"/>
          <w:numId w:val="1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Perform an SDS-PAGE on samples</w:t>
      </w:r>
      <w:r w:rsidR="00FF7490">
        <w:rPr>
          <w:rFonts w:ascii="Arial" w:hAnsi="Arial" w:cs="Arial"/>
          <w:color w:val="000000" w:themeColor="text1"/>
        </w:rPr>
        <w:t>.</w:t>
      </w:r>
    </w:p>
    <w:p w14:paraId="77261183" w14:textId="77777777" w:rsidR="00025413" w:rsidRPr="00D74025" w:rsidRDefault="00025413">
      <w:pPr>
        <w:pStyle w:val="ListParagraph"/>
        <w:numPr>
          <w:ilvl w:val="0"/>
          <w:numId w:val="17"/>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Suspend 50 µl of sample + 50 µl loading buffer (95% </w:t>
      </w:r>
      <w:proofErr w:type="spellStart"/>
      <w:r w:rsidRPr="00D74025">
        <w:rPr>
          <w:rFonts w:ascii="Arial" w:hAnsi="Arial" w:cs="Arial"/>
          <w:color w:val="000000" w:themeColor="text1"/>
        </w:rPr>
        <w:t>Laemmli</w:t>
      </w:r>
      <w:proofErr w:type="spellEnd"/>
      <w:r w:rsidRPr="00D74025">
        <w:rPr>
          <w:rFonts w:ascii="Arial" w:hAnsi="Arial" w:cs="Arial"/>
          <w:color w:val="000000" w:themeColor="text1"/>
        </w:rPr>
        <w:t xml:space="preserve"> sample buffer + 5% β-</w:t>
      </w:r>
      <w:proofErr w:type="spellStart"/>
      <w:r w:rsidRPr="00D74025">
        <w:rPr>
          <w:rFonts w:ascii="Arial" w:hAnsi="Arial" w:cs="Arial"/>
          <w:color w:val="000000" w:themeColor="text1"/>
        </w:rPr>
        <w:t>mercaptoethanol</w:t>
      </w:r>
      <w:proofErr w:type="spellEnd"/>
      <w:r w:rsidRPr="00D74025">
        <w:rPr>
          <w:rFonts w:ascii="Arial" w:hAnsi="Arial" w:cs="Arial"/>
          <w:color w:val="000000" w:themeColor="text1"/>
        </w:rPr>
        <w:t>).</w:t>
      </w:r>
    </w:p>
    <w:p w14:paraId="0A7AD11E" w14:textId="77777777" w:rsidR="00025413" w:rsidRPr="00D74025" w:rsidRDefault="00025413">
      <w:pPr>
        <w:pStyle w:val="ListParagraph"/>
        <w:numPr>
          <w:ilvl w:val="0"/>
          <w:numId w:val="17"/>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For BI, centrifuge for resuspend in 100 µl of loading buffer.  </w:t>
      </w:r>
    </w:p>
    <w:p w14:paraId="24B52F90" w14:textId="77777777" w:rsidR="00025413" w:rsidRPr="00D74025" w:rsidRDefault="00025413" w:rsidP="00F6020C">
      <w:pPr>
        <w:spacing w:line="276" w:lineRule="auto"/>
        <w:rPr>
          <w:rFonts w:ascii="Arial" w:hAnsi="Arial" w:cs="Arial"/>
          <w:color w:val="000000" w:themeColor="text1"/>
        </w:rPr>
      </w:pPr>
    </w:p>
    <w:p w14:paraId="7596B788" w14:textId="320BD81D" w:rsidR="00C1170A" w:rsidRPr="00D74025" w:rsidRDefault="00C1170A" w:rsidP="00F6020C">
      <w:pPr>
        <w:spacing w:line="276" w:lineRule="auto"/>
        <w:rPr>
          <w:rFonts w:ascii="Arial" w:hAnsi="Arial" w:cs="Arial"/>
          <w:color w:val="000000" w:themeColor="text1"/>
        </w:rPr>
      </w:pPr>
    </w:p>
    <w:p w14:paraId="0B6EA62F" w14:textId="7B1CA7B5" w:rsidR="00C1170A" w:rsidRPr="00507014" w:rsidRDefault="008D760E" w:rsidP="00507014">
      <w:pPr>
        <w:pStyle w:val="Heading2"/>
        <w:spacing w:line="276" w:lineRule="auto"/>
        <w:ind w:firstLine="0"/>
        <w:rPr>
          <w:rFonts w:ascii="Arial" w:hAnsi="Arial" w:cs="Arial"/>
          <w:b/>
          <w:bCs/>
          <w:color w:val="000000" w:themeColor="text1"/>
          <w:sz w:val="24"/>
          <w:szCs w:val="24"/>
          <w:u w:val="single"/>
        </w:rPr>
      </w:pPr>
      <w:bookmarkStart w:id="205" w:name="_Toc121217296"/>
      <w:r w:rsidRPr="00507014">
        <w:rPr>
          <w:rFonts w:ascii="Arial" w:hAnsi="Arial" w:cs="Arial"/>
          <w:b/>
          <w:bCs/>
          <w:color w:val="000000" w:themeColor="text1"/>
          <w:sz w:val="24"/>
          <w:szCs w:val="24"/>
          <w:u w:val="single"/>
        </w:rPr>
        <w:t xml:space="preserve">B3. Bradford </w:t>
      </w:r>
      <w:r w:rsidR="00B86DA1">
        <w:rPr>
          <w:rFonts w:ascii="Arial" w:hAnsi="Arial" w:cs="Arial"/>
          <w:b/>
          <w:bCs/>
          <w:color w:val="000000" w:themeColor="text1"/>
          <w:sz w:val="24"/>
          <w:szCs w:val="24"/>
          <w:u w:val="single"/>
        </w:rPr>
        <w:t>p</w:t>
      </w:r>
      <w:r w:rsidRPr="00507014">
        <w:rPr>
          <w:rFonts w:ascii="Arial" w:hAnsi="Arial" w:cs="Arial"/>
          <w:b/>
          <w:bCs/>
          <w:color w:val="000000" w:themeColor="text1"/>
          <w:sz w:val="24"/>
          <w:szCs w:val="24"/>
          <w:u w:val="single"/>
        </w:rPr>
        <w:t xml:space="preserve">rotein </w:t>
      </w:r>
      <w:r w:rsidR="00B86DA1">
        <w:rPr>
          <w:rFonts w:ascii="Arial" w:hAnsi="Arial" w:cs="Arial"/>
          <w:b/>
          <w:bCs/>
          <w:color w:val="000000" w:themeColor="text1"/>
          <w:sz w:val="24"/>
          <w:szCs w:val="24"/>
          <w:u w:val="single"/>
        </w:rPr>
        <w:t>a</w:t>
      </w:r>
      <w:r w:rsidRPr="00507014">
        <w:rPr>
          <w:rFonts w:ascii="Arial" w:hAnsi="Arial" w:cs="Arial"/>
          <w:b/>
          <w:bCs/>
          <w:color w:val="000000" w:themeColor="text1"/>
          <w:sz w:val="24"/>
          <w:szCs w:val="24"/>
          <w:u w:val="single"/>
        </w:rPr>
        <w:t>ssay</w:t>
      </w:r>
      <w:bookmarkEnd w:id="205"/>
    </w:p>
    <w:p w14:paraId="268852BE" w14:textId="77777777" w:rsidR="00DA145F" w:rsidRPr="00D74025" w:rsidRDefault="00DA145F" w:rsidP="00DA145F">
      <w:pPr>
        <w:rPr>
          <w:color w:val="000000" w:themeColor="text1"/>
        </w:rPr>
      </w:pPr>
    </w:p>
    <w:p w14:paraId="137DBC2C" w14:textId="5AD8F755" w:rsidR="008D760E" w:rsidRPr="00D74025" w:rsidRDefault="00617F7F" w:rsidP="00F6020C">
      <w:pPr>
        <w:spacing w:line="276" w:lineRule="auto"/>
        <w:rPr>
          <w:rFonts w:ascii="Arial" w:hAnsi="Arial" w:cs="Arial"/>
          <w:color w:val="000000" w:themeColor="text1"/>
          <w:u w:val="single"/>
        </w:rPr>
      </w:pPr>
      <w:r w:rsidRPr="00D74025">
        <w:rPr>
          <w:rFonts w:ascii="Arial" w:hAnsi="Arial" w:cs="Arial"/>
          <w:color w:val="000000" w:themeColor="text1"/>
          <w:u w:val="single"/>
        </w:rPr>
        <w:t>Standard Preparation</w:t>
      </w:r>
    </w:p>
    <w:p w14:paraId="5377D820" w14:textId="3B86A76E" w:rsidR="00617F7F" w:rsidRPr="00D74025" w:rsidRDefault="00617F7F">
      <w:pPr>
        <w:pStyle w:val="ListParagraph"/>
        <w:numPr>
          <w:ilvl w:val="0"/>
          <w:numId w:val="83"/>
        </w:numPr>
        <w:spacing w:line="276" w:lineRule="auto"/>
        <w:rPr>
          <w:rFonts w:ascii="Arial" w:hAnsi="Arial" w:cs="Arial"/>
          <w:color w:val="000000" w:themeColor="text1"/>
        </w:rPr>
      </w:pPr>
      <w:r w:rsidRPr="00D74025">
        <w:rPr>
          <w:rFonts w:ascii="Arial" w:hAnsi="Arial" w:cs="Arial"/>
          <w:color w:val="000000" w:themeColor="text1"/>
        </w:rPr>
        <w:t xml:space="preserve">The standard protocol can be performed in a 250 </w:t>
      </w:r>
      <w:proofErr w:type="spellStart"/>
      <w:r w:rsidRPr="00D74025">
        <w:rPr>
          <w:rFonts w:ascii="Arial" w:hAnsi="Arial" w:cs="Arial"/>
          <w:color w:val="000000" w:themeColor="text1"/>
        </w:rPr>
        <w:t>μ</w:t>
      </w:r>
      <w:r w:rsidR="00FF7490">
        <w:rPr>
          <w:rFonts w:ascii="Arial" w:hAnsi="Arial" w:cs="Arial"/>
          <w:color w:val="000000" w:themeColor="text1"/>
        </w:rPr>
        <w:t>L</w:t>
      </w:r>
      <w:proofErr w:type="spellEnd"/>
      <w:r w:rsidRPr="00D74025">
        <w:rPr>
          <w:rFonts w:ascii="Arial" w:hAnsi="Arial" w:cs="Arial"/>
          <w:color w:val="000000" w:themeColor="text1"/>
        </w:rPr>
        <w:t xml:space="preserve"> microplate assay.</w:t>
      </w:r>
      <w:r w:rsidRPr="00D74025">
        <w:rPr>
          <w:rFonts w:ascii="Arial" w:hAnsi="Arial" w:cs="Arial"/>
          <w:color w:val="000000" w:themeColor="text1"/>
        </w:rPr>
        <w:br/>
        <w:t xml:space="preserve">Remove the 1x dye reagent from 4°C storage, </w:t>
      </w:r>
      <w:r w:rsidR="000F48BD" w:rsidRPr="00D74025">
        <w:rPr>
          <w:rFonts w:ascii="Arial" w:hAnsi="Arial" w:cs="Arial"/>
          <w:color w:val="000000" w:themeColor="text1"/>
        </w:rPr>
        <w:t>aliquot it</w:t>
      </w:r>
      <w:r w:rsidRPr="00D74025">
        <w:rPr>
          <w:rFonts w:ascii="Arial" w:hAnsi="Arial" w:cs="Arial"/>
          <w:color w:val="000000" w:themeColor="text1"/>
        </w:rPr>
        <w:t>, and let it warm to ambient temperature. Invert the 1x dye reagent a few times before use.</w:t>
      </w:r>
    </w:p>
    <w:p w14:paraId="1BC1045C" w14:textId="732AA5FF" w:rsidR="00617F7F" w:rsidRPr="00D74025" w:rsidRDefault="00617F7F">
      <w:pPr>
        <w:pStyle w:val="ListParagraph"/>
        <w:numPr>
          <w:ilvl w:val="0"/>
          <w:numId w:val="83"/>
        </w:numPr>
        <w:spacing w:line="276" w:lineRule="auto"/>
        <w:rPr>
          <w:rFonts w:ascii="Arial" w:hAnsi="Arial" w:cs="Arial"/>
          <w:color w:val="000000" w:themeColor="text1"/>
        </w:rPr>
      </w:pPr>
      <w:r w:rsidRPr="00D74025">
        <w:rPr>
          <w:rFonts w:ascii="Arial" w:hAnsi="Arial" w:cs="Arial"/>
          <w:color w:val="000000" w:themeColor="text1"/>
        </w:rPr>
        <w:lastRenderedPageBreak/>
        <w:t>Prepare a 2 mg/ml bovine serum albumin (BSA) standard solution in phosphate buffer saline (PBS 1X).</w:t>
      </w:r>
    </w:p>
    <w:p w14:paraId="69662C18" w14:textId="42E60D99" w:rsidR="00617F7F" w:rsidRPr="00D74025" w:rsidRDefault="00617F7F">
      <w:pPr>
        <w:pStyle w:val="ListParagraph"/>
        <w:numPr>
          <w:ilvl w:val="0"/>
          <w:numId w:val="83"/>
        </w:numPr>
        <w:spacing w:line="276" w:lineRule="auto"/>
        <w:rPr>
          <w:rFonts w:ascii="Arial" w:hAnsi="Arial" w:cs="Arial"/>
          <w:color w:val="000000" w:themeColor="text1"/>
        </w:rPr>
      </w:pPr>
      <w:r w:rsidRPr="00D74025">
        <w:rPr>
          <w:rFonts w:ascii="Arial" w:hAnsi="Arial" w:cs="Arial"/>
          <w:color w:val="000000" w:themeColor="text1"/>
        </w:rPr>
        <w:t>Perform serial dilution</w:t>
      </w:r>
      <w:r w:rsidR="000F48BD" w:rsidRPr="00D74025">
        <w:rPr>
          <w:rFonts w:ascii="Arial" w:hAnsi="Arial" w:cs="Arial"/>
          <w:color w:val="000000" w:themeColor="text1"/>
        </w:rPr>
        <w:t>s</w:t>
      </w:r>
      <w:r w:rsidRPr="00D74025">
        <w:rPr>
          <w:rFonts w:ascii="Arial" w:hAnsi="Arial" w:cs="Arial"/>
          <w:color w:val="000000" w:themeColor="text1"/>
        </w:rPr>
        <w:t xml:space="preserve"> </w:t>
      </w:r>
      <w:r w:rsidR="000F48BD" w:rsidRPr="00D74025">
        <w:rPr>
          <w:rFonts w:ascii="Arial" w:hAnsi="Arial" w:cs="Arial"/>
          <w:color w:val="000000" w:themeColor="text1"/>
        </w:rPr>
        <w:t>of</w:t>
      </w:r>
      <w:r w:rsidRPr="00D74025">
        <w:rPr>
          <w:rFonts w:ascii="Arial" w:hAnsi="Arial" w:cs="Arial"/>
          <w:color w:val="000000" w:themeColor="text1"/>
        </w:rPr>
        <w:t xml:space="preserve"> the standard BSA using PBS as diluent</w:t>
      </w:r>
      <w:r w:rsidR="000F48BD" w:rsidRPr="00D74025">
        <w:rPr>
          <w:rFonts w:ascii="Arial" w:hAnsi="Arial" w:cs="Arial"/>
          <w:color w:val="000000" w:themeColor="text1"/>
        </w:rPr>
        <w:t>.</w:t>
      </w:r>
    </w:p>
    <w:p w14:paraId="6F1F26F5" w14:textId="038F50D4" w:rsidR="00617F7F" w:rsidRPr="00D74025" w:rsidRDefault="00617F7F">
      <w:pPr>
        <w:pStyle w:val="ListParagraph"/>
        <w:numPr>
          <w:ilvl w:val="0"/>
          <w:numId w:val="83"/>
        </w:numPr>
        <w:spacing w:line="276" w:lineRule="auto"/>
        <w:rPr>
          <w:rFonts w:ascii="Arial" w:hAnsi="Arial" w:cs="Arial"/>
          <w:color w:val="000000" w:themeColor="text1"/>
        </w:rPr>
      </w:pPr>
      <w:r w:rsidRPr="00D74025">
        <w:rPr>
          <w:rFonts w:ascii="Arial" w:hAnsi="Arial" w:cs="Arial"/>
          <w:color w:val="000000" w:themeColor="text1"/>
        </w:rPr>
        <w:t xml:space="preserve">Assay 5 </w:t>
      </w:r>
      <w:r w:rsidRPr="00D74025">
        <w:rPr>
          <w:rFonts w:ascii="Arial" w:hAnsi="Arial" w:cs="Arial"/>
          <w:color w:val="000000" w:themeColor="text1"/>
        </w:rPr>
        <w:sym w:font="Symbol" w:char="F06D"/>
      </w:r>
      <w:r w:rsidRPr="00D74025">
        <w:rPr>
          <w:rFonts w:ascii="Arial" w:hAnsi="Arial" w:cs="Arial"/>
          <w:color w:val="000000" w:themeColor="text1"/>
        </w:rPr>
        <w:t xml:space="preserve">L of </w:t>
      </w:r>
      <w:r w:rsidR="000F48BD" w:rsidRPr="00D74025">
        <w:rPr>
          <w:rFonts w:ascii="Arial" w:hAnsi="Arial" w:cs="Arial"/>
          <w:color w:val="000000" w:themeColor="text1"/>
        </w:rPr>
        <w:t xml:space="preserve">each </w:t>
      </w:r>
      <w:r w:rsidRPr="00D74025">
        <w:rPr>
          <w:rFonts w:ascii="Arial" w:hAnsi="Arial" w:cs="Arial"/>
          <w:color w:val="000000" w:themeColor="text1"/>
        </w:rPr>
        <w:t xml:space="preserve">different protein concentration into </w:t>
      </w:r>
      <w:r w:rsidR="00E8079C" w:rsidRPr="00D74025">
        <w:rPr>
          <w:rFonts w:ascii="Arial" w:hAnsi="Arial" w:cs="Arial"/>
          <w:color w:val="000000" w:themeColor="text1"/>
        </w:rPr>
        <w:t xml:space="preserve">250 </w:t>
      </w:r>
      <w:r w:rsidR="000F48BD" w:rsidRPr="00D74025">
        <w:rPr>
          <w:rFonts w:ascii="Arial" w:hAnsi="Arial" w:cs="Arial"/>
          <w:color w:val="000000" w:themeColor="text1"/>
        </w:rPr>
        <w:sym w:font="Symbol" w:char="F06D"/>
      </w:r>
      <w:r w:rsidR="00E8079C" w:rsidRPr="00D74025">
        <w:rPr>
          <w:rFonts w:ascii="Arial" w:hAnsi="Arial" w:cs="Arial"/>
          <w:color w:val="000000" w:themeColor="text1"/>
        </w:rPr>
        <w:t xml:space="preserve">L of Bradford </w:t>
      </w:r>
      <w:r w:rsidR="00C52D47">
        <w:rPr>
          <w:rFonts w:ascii="Arial" w:hAnsi="Arial" w:cs="Arial"/>
          <w:color w:val="000000" w:themeColor="text1"/>
        </w:rPr>
        <w:t>d</w:t>
      </w:r>
      <w:r w:rsidR="00E8079C" w:rsidRPr="00D74025">
        <w:rPr>
          <w:rFonts w:ascii="Arial" w:hAnsi="Arial" w:cs="Arial"/>
          <w:color w:val="000000" w:themeColor="text1"/>
        </w:rPr>
        <w:t xml:space="preserve">ye </w:t>
      </w:r>
      <w:r w:rsidR="00C52D47">
        <w:rPr>
          <w:rFonts w:ascii="Arial" w:hAnsi="Arial" w:cs="Arial"/>
          <w:color w:val="000000" w:themeColor="text1"/>
        </w:rPr>
        <w:t>r</w:t>
      </w:r>
      <w:r w:rsidR="00E8079C" w:rsidRPr="00D74025">
        <w:rPr>
          <w:rFonts w:ascii="Arial" w:hAnsi="Arial" w:cs="Arial"/>
          <w:color w:val="000000" w:themeColor="text1"/>
        </w:rPr>
        <w:t>eagent 1X.</w:t>
      </w:r>
      <w:r w:rsidR="000F48BD" w:rsidRPr="00D74025">
        <w:rPr>
          <w:rFonts w:ascii="Arial" w:hAnsi="Arial" w:cs="Arial"/>
          <w:color w:val="000000" w:themeColor="text1"/>
        </w:rPr>
        <w:t xml:space="preserve"> Blank samples are 5 </w:t>
      </w:r>
      <w:r w:rsidR="000F48BD" w:rsidRPr="00D74025">
        <w:rPr>
          <w:rFonts w:ascii="Arial" w:hAnsi="Arial" w:cs="Arial"/>
          <w:color w:val="000000" w:themeColor="text1"/>
        </w:rPr>
        <w:sym w:font="Symbol" w:char="F06D"/>
      </w:r>
      <w:r w:rsidR="000F48BD" w:rsidRPr="00D74025">
        <w:rPr>
          <w:rFonts w:ascii="Arial" w:hAnsi="Arial" w:cs="Arial"/>
          <w:color w:val="000000" w:themeColor="text1"/>
        </w:rPr>
        <w:t xml:space="preserve">L of PBS in 250 </w:t>
      </w:r>
      <w:r w:rsidR="000F48BD" w:rsidRPr="00D74025">
        <w:rPr>
          <w:rFonts w:ascii="Arial" w:hAnsi="Arial" w:cs="Arial"/>
          <w:color w:val="000000" w:themeColor="text1"/>
        </w:rPr>
        <w:sym w:font="Symbol" w:char="F06D"/>
      </w:r>
      <w:r w:rsidR="000F48BD" w:rsidRPr="00D74025">
        <w:rPr>
          <w:rFonts w:ascii="Arial" w:hAnsi="Arial" w:cs="Arial"/>
          <w:color w:val="000000" w:themeColor="text1"/>
        </w:rPr>
        <w:t xml:space="preserve">L of Bradford </w:t>
      </w:r>
      <w:r w:rsidR="00C52D47">
        <w:rPr>
          <w:rFonts w:ascii="Arial" w:hAnsi="Arial" w:cs="Arial"/>
          <w:color w:val="000000" w:themeColor="text1"/>
        </w:rPr>
        <w:t>d</w:t>
      </w:r>
      <w:r w:rsidR="000F48BD" w:rsidRPr="00D74025">
        <w:rPr>
          <w:rFonts w:ascii="Arial" w:hAnsi="Arial" w:cs="Arial"/>
          <w:color w:val="000000" w:themeColor="text1"/>
        </w:rPr>
        <w:t xml:space="preserve">ye </w:t>
      </w:r>
      <w:r w:rsidR="00C52D47">
        <w:rPr>
          <w:rFonts w:ascii="Arial" w:hAnsi="Arial" w:cs="Arial"/>
          <w:color w:val="000000" w:themeColor="text1"/>
        </w:rPr>
        <w:t>r</w:t>
      </w:r>
      <w:r w:rsidR="000F48BD" w:rsidRPr="00D74025">
        <w:rPr>
          <w:rFonts w:ascii="Arial" w:hAnsi="Arial" w:cs="Arial"/>
          <w:color w:val="000000" w:themeColor="text1"/>
        </w:rPr>
        <w:t>eagent 1X.</w:t>
      </w:r>
    </w:p>
    <w:p w14:paraId="0E4F61E7" w14:textId="0AC25F94" w:rsidR="00E8079C" w:rsidRPr="00D74025" w:rsidRDefault="00E8079C">
      <w:pPr>
        <w:pStyle w:val="ListParagraph"/>
        <w:numPr>
          <w:ilvl w:val="0"/>
          <w:numId w:val="83"/>
        </w:numPr>
        <w:spacing w:line="276" w:lineRule="auto"/>
        <w:rPr>
          <w:rFonts w:ascii="Arial" w:hAnsi="Arial" w:cs="Arial"/>
          <w:color w:val="000000" w:themeColor="text1"/>
        </w:rPr>
      </w:pPr>
      <w:r w:rsidRPr="00D74025">
        <w:rPr>
          <w:rFonts w:ascii="Arial" w:hAnsi="Arial" w:cs="Arial"/>
          <w:color w:val="000000" w:themeColor="text1"/>
        </w:rPr>
        <w:t>Incubate at room temperature for at least 5 min. Samples should not be incubated</w:t>
      </w:r>
      <w:r w:rsidRPr="00D74025">
        <w:rPr>
          <w:rFonts w:ascii="Arial" w:hAnsi="Arial" w:cs="Arial"/>
          <w:color w:val="000000" w:themeColor="text1"/>
        </w:rPr>
        <w:br/>
        <w:t xml:space="preserve">longer than 1 h at room temperature. </w:t>
      </w:r>
    </w:p>
    <w:p w14:paraId="629B43D0" w14:textId="0A153CA5" w:rsidR="00E8079C" w:rsidRPr="00D74025" w:rsidRDefault="00E8079C">
      <w:pPr>
        <w:pStyle w:val="ListParagraph"/>
        <w:numPr>
          <w:ilvl w:val="0"/>
          <w:numId w:val="83"/>
        </w:numPr>
        <w:spacing w:line="276" w:lineRule="auto"/>
        <w:rPr>
          <w:rFonts w:ascii="Arial" w:hAnsi="Arial" w:cs="Arial"/>
          <w:color w:val="000000" w:themeColor="text1"/>
        </w:rPr>
      </w:pPr>
      <w:r w:rsidRPr="00D74025">
        <w:rPr>
          <w:rFonts w:ascii="Arial" w:hAnsi="Arial" w:cs="Arial"/>
          <w:color w:val="000000" w:themeColor="text1"/>
        </w:rPr>
        <w:t>Set the spectrophotometer to 595 nm. Measure the absorbance of the standards and blanks.</w:t>
      </w:r>
    </w:p>
    <w:p w14:paraId="0ECA6F63" w14:textId="75FEC62D" w:rsidR="00E8079C" w:rsidRPr="00D74025" w:rsidRDefault="00E8079C">
      <w:pPr>
        <w:pStyle w:val="ListParagraph"/>
        <w:numPr>
          <w:ilvl w:val="0"/>
          <w:numId w:val="83"/>
        </w:numPr>
        <w:spacing w:line="276" w:lineRule="auto"/>
        <w:rPr>
          <w:rFonts w:ascii="Arial" w:hAnsi="Arial" w:cs="Arial"/>
          <w:color w:val="000000" w:themeColor="text1"/>
        </w:rPr>
      </w:pPr>
      <w:r w:rsidRPr="00D74025">
        <w:rPr>
          <w:rFonts w:ascii="Arial" w:hAnsi="Arial" w:cs="Arial"/>
          <w:color w:val="000000" w:themeColor="text1"/>
        </w:rPr>
        <w:t xml:space="preserve">Create a standard curve by plotting the 595 nm values (y-axis) versus their concentration in </w:t>
      </w:r>
      <w:proofErr w:type="spellStart"/>
      <w:r w:rsidRPr="00D74025">
        <w:rPr>
          <w:rFonts w:ascii="Arial" w:hAnsi="Arial" w:cs="Arial"/>
          <w:color w:val="000000" w:themeColor="text1"/>
        </w:rPr>
        <w:t>μg</w:t>
      </w:r>
      <w:proofErr w:type="spellEnd"/>
      <w:r w:rsidRPr="00D74025">
        <w:rPr>
          <w:rFonts w:ascii="Arial" w:hAnsi="Arial" w:cs="Arial"/>
          <w:color w:val="000000" w:themeColor="text1"/>
        </w:rPr>
        <w:t>/ml (x-axis). The average blank value should be subtracted from the average standard samples.</w:t>
      </w:r>
    </w:p>
    <w:p w14:paraId="53CFE38F" w14:textId="6959C801" w:rsidR="00E8079C" w:rsidRPr="00D74025" w:rsidRDefault="00E8079C" w:rsidP="00F6020C">
      <w:pPr>
        <w:spacing w:line="276" w:lineRule="auto"/>
        <w:rPr>
          <w:rFonts w:ascii="Arial" w:hAnsi="Arial" w:cs="Arial"/>
          <w:color w:val="000000" w:themeColor="text1"/>
        </w:rPr>
      </w:pPr>
    </w:p>
    <w:p w14:paraId="345AAD26" w14:textId="72BD0EDE" w:rsidR="00E8079C" w:rsidRPr="00D74025" w:rsidRDefault="00E8079C" w:rsidP="00F6020C">
      <w:pPr>
        <w:spacing w:line="276" w:lineRule="auto"/>
        <w:rPr>
          <w:rFonts w:ascii="Arial" w:hAnsi="Arial" w:cs="Arial"/>
          <w:color w:val="000000" w:themeColor="text1"/>
          <w:u w:val="single"/>
        </w:rPr>
      </w:pPr>
      <w:r w:rsidRPr="00D74025">
        <w:rPr>
          <w:rFonts w:ascii="Arial" w:hAnsi="Arial" w:cs="Arial"/>
          <w:color w:val="000000" w:themeColor="text1"/>
          <w:u w:val="single"/>
        </w:rPr>
        <w:t>Assessment of concentration of unknown concentration protein sample</w:t>
      </w:r>
    </w:p>
    <w:p w14:paraId="146A0FEC" w14:textId="77777777" w:rsidR="00E8079C" w:rsidRPr="00D74025" w:rsidRDefault="00E8079C" w:rsidP="00E8079C">
      <w:pPr>
        <w:spacing w:line="276" w:lineRule="auto"/>
        <w:rPr>
          <w:rFonts w:ascii="Arial" w:hAnsi="Arial" w:cs="Arial"/>
          <w:color w:val="000000" w:themeColor="text1"/>
        </w:rPr>
      </w:pPr>
    </w:p>
    <w:p w14:paraId="5A61AF38" w14:textId="0452D05E" w:rsidR="00E8079C" w:rsidRPr="00D74025" w:rsidRDefault="00E8079C">
      <w:pPr>
        <w:pStyle w:val="ListParagraph"/>
        <w:numPr>
          <w:ilvl w:val="0"/>
          <w:numId w:val="84"/>
        </w:numPr>
        <w:spacing w:line="276" w:lineRule="auto"/>
        <w:rPr>
          <w:rFonts w:ascii="Arial" w:hAnsi="Arial" w:cs="Arial"/>
          <w:color w:val="000000" w:themeColor="text1"/>
        </w:rPr>
      </w:pPr>
      <w:r w:rsidRPr="00D74025">
        <w:rPr>
          <w:rFonts w:ascii="Arial" w:hAnsi="Arial" w:cs="Arial"/>
          <w:color w:val="000000" w:themeColor="text1"/>
        </w:rPr>
        <w:t>Following the same protocol for the standard curve sample preparation, assay 5</w:t>
      </w:r>
      <w:r w:rsidR="000F48BD" w:rsidRPr="00D74025">
        <w:rPr>
          <w:rFonts w:ascii="Arial" w:hAnsi="Arial" w:cs="Arial"/>
          <w:color w:val="000000" w:themeColor="text1"/>
        </w:rPr>
        <w:t> </w:t>
      </w:r>
      <w:r w:rsidRPr="00D74025">
        <w:rPr>
          <w:color w:val="000000" w:themeColor="text1"/>
        </w:rPr>
        <w:sym w:font="Symbol" w:char="F06D"/>
      </w:r>
      <w:r w:rsidRPr="00D74025">
        <w:rPr>
          <w:rFonts w:ascii="Arial" w:hAnsi="Arial" w:cs="Arial"/>
          <w:color w:val="000000" w:themeColor="text1"/>
        </w:rPr>
        <w:t>L of different protein concentration into 25</w:t>
      </w:r>
      <w:r w:rsidR="000F48BD" w:rsidRPr="00D74025">
        <w:rPr>
          <w:rFonts w:ascii="Arial" w:hAnsi="Arial" w:cs="Arial"/>
          <w:color w:val="000000" w:themeColor="text1"/>
        </w:rPr>
        <w:t>0 </w:t>
      </w:r>
      <w:r w:rsidR="000F48BD" w:rsidRPr="00D74025">
        <w:rPr>
          <w:color w:val="000000" w:themeColor="text1"/>
        </w:rPr>
        <w:sym w:font="Symbol" w:char="F06D"/>
      </w:r>
      <w:r w:rsidR="000F48BD" w:rsidRPr="00D74025">
        <w:rPr>
          <w:rFonts w:ascii="Arial" w:hAnsi="Arial" w:cs="Arial"/>
          <w:color w:val="000000" w:themeColor="text1"/>
        </w:rPr>
        <w:t>L</w:t>
      </w:r>
      <w:r w:rsidRPr="00D74025">
        <w:rPr>
          <w:rFonts w:ascii="Arial" w:hAnsi="Arial" w:cs="Arial"/>
          <w:color w:val="000000" w:themeColor="text1"/>
        </w:rPr>
        <w:t xml:space="preserve"> of Bradford </w:t>
      </w:r>
      <w:r w:rsidR="00C52D47">
        <w:rPr>
          <w:rFonts w:ascii="Arial" w:hAnsi="Arial" w:cs="Arial"/>
          <w:color w:val="000000" w:themeColor="text1"/>
        </w:rPr>
        <w:t>d</w:t>
      </w:r>
      <w:r w:rsidRPr="00D74025">
        <w:rPr>
          <w:rFonts w:ascii="Arial" w:hAnsi="Arial" w:cs="Arial"/>
          <w:color w:val="000000" w:themeColor="text1"/>
        </w:rPr>
        <w:t xml:space="preserve">ye </w:t>
      </w:r>
      <w:r w:rsidR="00C52D47">
        <w:rPr>
          <w:rFonts w:ascii="Arial" w:hAnsi="Arial" w:cs="Arial"/>
          <w:color w:val="000000" w:themeColor="text1"/>
        </w:rPr>
        <w:t>r</w:t>
      </w:r>
      <w:r w:rsidRPr="00D74025">
        <w:rPr>
          <w:rFonts w:ascii="Arial" w:hAnsi="Arial" w:cs="Arial"/>
          <w:color w:val="000000" w:themeColor="text1"/>
        </w:rPr>
        <w:t>eagent 1X in triplicates.</w:t>
      </w:r>
    </w:p>
    <w:p w14:paraId="4B192A79" w14:textId="733C18B5" w:rsidR="00E8079C" w:rsidRPr="00D74025" w:rsidRDefault="00E8079C">
      <w:pPr>
        <w:pStyle w:val="ListParagraph"/>
        <w:numPr>
          <w:ilvl w:val="0"/>
          <w:numId w:val="84"/>
        </w:numPr>
        <w:spacing w:line="276" w:lineRule="auto"/>
        <w:rPr>
          <w:rFonts w:ascii="Arial" w:hAnsi="Arial" w:cs="Arial"/>
          <w:color w:val="000000" w:themeColor="text1"/>
        </w:rPr>
      </w:pPr>
      <w:r w:rsidRPr="00D74025">
        <w:rPr>
          <w:rFonts w:ascii="Arial" w:hAnsi="Arial" w:cs="Arial"/>
          <w:color w:val="000000" w:themeColor="text1"/>
        </w:rPr>
        <w:t>Blank (PBS) should also be assayed in different well</w:t>
      </w:r>
      <w:r w:rsidR="000F48BD" w:rsidRPr="00D74025">
        <w:rPr>
          <w:rFonts w:ascii="Arial" w:hAnsi="Arial" w:cs="Arial"/>
          <w:color w:val="000000" w:themeColor="text1"/>
        </w:rPr>
        <w:t>s</w:t>
      </w:r>
      <w:r w:rsidRPr="00D74025">
        <w:rPr>
          <w:rFonts w:ascii="Arial" w:hAnsi="Arial" w:cs="Arial"/>
          <w:color w:val="000000" w:themeColor="text1"/>
        </w:rPr>
        <w:t xml:space="preserve">. </w:t>
      </w:r>
    </w:p>
    <w:p w14:paraId="23ABFA51" w14:textId="28930867" w:rsidR="00E8079C" w:rsidRPr="00D74025" w:rsidRDefault="00E8079C">
      <w:pPr>
        <w:pStyle w:val="ListParagraph"/>
        <w:numPr>
          <w:ilvl w:val="0"/>
          <w:numId w:val="84"/>
        </w:numPr>
        <w:spacing w:line="276" w:lineRule="auto"/>
        <w:rPr>
          <w:rFonts w:ascii="Arial" w:hAnsi="Arial" w:cs="Arial"/>
          <w:color w:val="000000" w:themeColor="text1"/>
        </w:rPr>
      </w:pPr>
      <w:r w:rsidRPr="00D74025">
        <w:rPr>
          <w:rFonts w:ascii="Arial" w:hAnsi="Arial" w:cs="Arial"/>
          <w:color w:val="000000" w:themeColor="text1"/>
        </w:rPr>
        <w:t>Read endpoint absorbance at 595 nm.</w:t>
      </w:r>
    </w:p>
    <w:p w14:paraId="59F057C7" w14:textId="4C920DD6" w:rsidR="00E8079C" w:rsidRPr="00D74025" w:rsidRDefault="00E8079C">
      <w:pPr>
        <w:pStyle w:val="ListParagraph"/>
        <w:numPr>
          <w:ilvl w:val="0"/>
          <w:numId w:val="84"/>
        </w:numPr>
        <w:spacing w:line="276" w:lineRule="auto"/>
        <w:rPr>
          <w:rFonts w:ascii="Arial" w:hAnsi="Arial" w:cs="Arial"/>
          <w:color w:val="000000" w:themeColor="text1"/>
        </w:rPr>
      </w:pPr>
      <w:r w:rsidRPr="00D74025">
        <w:rPr>
          <w:rFonts w:ascii="Arial" w:hAnsi="Arial" w:cs="Arial"/>
          <w:color w:val="000000" w:themeColor="text1"/>
        </w:rPr>
        <w:t xml:space="preserve">Determine the unknown sample concentration using the standard curve prepared before. </w:t>
      </w:r>
    </w:p>
    <w:p w14:paraId="1A29A855" w14:textId="18DDBE51" w:rsidR="00E8079C" w:rsidRPr="00D74025" w:rsidRDefault="00E8079C">
      <w:pPr>
        <w:pStyle w:val="ListParagraph"/>
        <w:numPr>
          <w:ilvl w:val="0"/>
          <w:numId w:val="84"/>
        </w:numPr>
        <w:spacing w:line="276" w:lineRule="auto"/>
        <w:rPr>
          <w:rFonts w:ascii="Arial" w:hAnsi="Arial" w:cs="Arial"/>
          <w:color w:val="000000" w:themeColor="text1"/>
        </w:rPr>
      </w:pPr>
      <w:r w:rsidRPr="00D74025">
        <w:rPr>
          <w:rFonts w:ascii="Arial" w:hAnsi="Arial" w:cs="Arial"/>
          <w:color w:val="000000" w:themeColor="text1"/>
        </w:rPr>
        <w:t>If absorbance unit is greater than the maximum absorbance in the standard curve, then dilute sample by a known dilution factor.</w:t>
      </w:r>
    </w:p>
    <w:p w14:paraId="4494B2B9" w14:textId="2ED87C85" w:rsidR="00E8079C" w:rsidRDefault="00E8079C">
      <w:pPr>
        <w:pStyle w:val="ListParagraph"/>
        <w:numPr>
          <w:ilvl w:val="0"/>
          <w:numId w:val="84"/>
        </w:numPr>
        <w:spacing w:line="276" w:lineRule="auto"/>
        <w:rPr>
          <w:rFonts w:ascii="Arial" w:hAnsi="Arial" w:cs="Arial"/>
          <w:color w:val="000000" w:themeColor="text1"/>
        </w:rPr>
      </w:pPr>
      <w:r w:rsidRPr="00D74025">
        <w:rPr>
          <w:rFonts w:ascii="Arial" w:hAnsi="Arial" w:cs="Arial"/>
          <w:color w:val="000000" w:themeColor="text1"/>
        </w:rPr>
        <w:t>If the samples were diluted, adjust the final concentration of the unknown samples by multiplying by the dilution factor used.</w:t>
      </w:r>
    </w:p>
    <w:p w14:paraId="422DBB0E" w14:textId="77777777" w:rsidR="008A173A" w:rsidRPr="008A173A" w:rsidRDefault="008A173A" w:rsidP="008A173A">
      <w:pPr>
        <w:spacing w:line="276" w:lineRule="auto"/>
        <w:rPr>
          <w:rFonts w:ascii="Arial" w:hAnsi="Arial" w:cs="Arial"/>
          <w:color w:val="000000" w:themeColor="text1"/>
        </w:rPr>
      </w:pPr>
    </w:p>
    <w:p w14:paraId="335FE032" w14:textId="0102C133" w:rsidR="008D760E" w:rsidRDefault="008D760E" w:rsidP="00507014">
      <w:pPr>
        <w:pStyle w:val="Heading2"/>
        <w:spacing w:line="276" w:lineRule="auto"/>
        <w:ind w:firstLine="0"/>
        <w:rPr>
          <w:rFonts w:ascii="Arial" w:hAnsi="Arial" w:cs="Arial"/>
          <w:b/>
          <w:bCs/>
          <w:color w:val="000000" w:themeColor="text1"/>
          <w:sz w:val="24"/>
          <w:szCs w:val="24"/>
          <w:u w:val="single"/>
        </w:rPr>
      </w:pPr>
      <w:bookmarkStart w:id="206" w:name="_Toc121217297"/>
      <w:r w:rsidRPr="00507014">
        <w:rPr>
          <w:rFonts w:ascii="Arial" w:hAnsi="Arial" w:cs="Arial"/>
          <w:b/>
          <w:bCs/>
          <w:color w:val="000000" w:themeColor="text1"/>
          <w:sz w:val="24"/>
          <w:szCs w:val="24"/>
          <w:u w:val="single"/>
        </w:rPr>
        <w:t>B4. SDS-page electrophoresis</w:t>
      </w:r>
      <w:bookmarkEnd w:id="206"/>
    </w:p>
    <w:p w14:paraId="61BA791F" w14:textId="77777777" w:rsidR="008A173A" w:rsidRPr="008A173A" w:rsidRDefault="008A173A" w:rsidP="008A173A"/>
    <w:p w14:paraId="14273DE7" w14:textId="77777777" w:rsidR="00C0204B" w:rsidRPr="00D74025" w:rsidRDefault="00C0204B" w:rsidP="00F6020C">
      <w:pPr>
        <w:spacing w:line="276" w:lineRule="auto"/>
        <w:rPr>
          <w:rFonts w:ascii="Arial" w:hAnsi="Arial" w:cs="Arial"/>
          <w:color w:val="000000" w:themeColor="text1"/>
          <w:u w:val="single"/>
        </w:rPr>
      </w:pPr>
      <w:r w:rsidRPr="00D74025">
        <w:rPr>
          <w:rFonts w:ascii="Arial" w:hAnsi="Arial" w:cs="Arial"/>
          <w:color w:val="000000" w:themeColor="text1"/>
          <w:u w:val="single"/>
        </w:rPr>
        <w:t>Sample preparation</w:t>
      </w:r>
    </w:p>
    <w:p w14:paraId="407E7F1D" w14:textId="77777777" w:rsidR="00C0204B" w:rsidRPr="00D74025" w:rsidRDefault="00C0204B" w:rsidP="00F6020C">
      <w:pPr>
        <w:spacing w:line="276" w:lineRule="auto"/>
        <w:rPr>
          <w:rFonts w:ascii="Arial" w:hAnsi="Arial" w:cs="Arial"/>
          <w:color w:val="000000" w:themeColor="text1"/>
        </w:rPr>
      </w:pPr>
    </w:p>
    <w:p w14:paraId="4FDF5E37" w14:textId="2FF563C2" w:rsidR="00C0204B" w:rsidRPr="00D74025" w:rsidRDefault="00C0204B">
      <w:pPr>
        <w:pStyle w:val="ListParagraph"/>
        <w:numPr>
          <w:ilvl w:val="0"/>
          <w:numId w:val="3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Mix 5</w:t>
      </w:r>
      <w:r w:rsidR="00144C8B">
        <w:rPr>
          <w:rFonts w:ascii="Arial" w:hAnsi="Arial" w:cs="Arial"/>
          <w:color w:val="000000" w:themeColor="text1"/>
        </w:rPr>
        <w:t xml:space="preserve"> </w:t>
      </w:r>
      <w:r w:rsidR="00144C8B" w:rsidRPr="00D74025">
        <w:rPr>
          <w:color w:val="000000" w:themeColor="text1"/>
        </w:rPr>
        <w:sym w:font="Symbol" w:char="F06D"/>
      </w:r>
      <w:r w:rsidR="00144C8B" w:rsidRPr="00D74025">
        <w:rPr>
          <w:rFonts w:ascii="Arial" w:hAnsi="Arial" w:cs="Arial"/>
          <w:color w:val="000000" w:themeColor="text1"/>
        </w:rPr>
        <w:t>L</w:t>
      </w:r>
      <w:r w:rsidRPr="00D74025">
        <w:rPr>
          <w:rFonts w:ascii="Arial" w:hAnsi="Arial" w:cs="Arial"/>
          <w:color w:val="000000" w:themeColor="text1"/>
        </w:rPr>
        <w:t xml:space="preserve"> of protein sample to 20</w:t>
      </w:r>
      <w:r w:rsidR="000F48BD" w:rsidRPr="00D74025">
        <w:rPr>
          <w:rFonts w:ascii="Arial" w:hAnsi="Arial" w:cs="Arial"/>
          <w:color w:val="000000" w:themeColor="text1"/>
        </w:rPr>
        <w:t> </w:t>
      </w:r>
      <w:r w:rsidR="000F48BD" w:rsidRPr="00D74025">
        <w:rPr>
          <w:color w:val="000000" w:themeColor="text1"/>
        </w:rPr>
        <w:sym w:font="Symbol" w:char="F06D"/>
      </w:r>
      <w:r w:rsidR="000F48BD" w:rsidRPr="00D74025">
        <w:rPr>
          <w:rFonts w:ascii="Arial" w:hAnsi="Arial" w:cs="Arial"/>
          <w:color w:val="000000" w:themeColor="text1"/>
        </w:rPr>
        <w:t>L</w:t>
      </w:r>
      <w:r w:rsidRPr="00D74025">
        <w:rPr>
          <w:rFonts w:ascii="Arial" w:hAnsi="Arial" w:cs="Arial"/>
          <w:color w:val="000000" w:themeColor="text1"/>
        </w:rPr>
        <w:t xml:space="preserve"> of </w:t>
      </w:r>
      <w:proofErr w:type="spellStart"/>
      <w:r w:rsidRPr="00D74025">
        <w:rPr>
          <w:rFonts w:ascii="Arial" w:hAnsi="Arial" w:cs="Arial"/>
          <w:color w:val="000000" w:themeColor="text1"/>
        </w:rPr>
        <w:t>Laemmli</w:t>
      </w:r>
      <w:proofErr w:type="spellEnd"/>
      <w:r w:rsidRPr="00D74025">
        <w:rPr>
          <w:rFonts w:ascii="Arial" w:hAnsi="Arial" w:cs="Arial"/>
          <w:color w:val="000000" w:themeColor="text1"/>
        </w:rPr>
        <w:t xml:space="preserve"> running buffer in a small microcentrifuge tube</w:t>
      </w:r>
    </w:p>
    <w:p w14:paraId="472E4649" w14:textId="2EB30CF7" w:rsidR="00C0204B" w:rsidRPr="00D74025" w:rsidRDefault="00C0204B">
      <w:pPr>
        <w:pStyle w:val="ListParagraph"/>
        <w:numPr>
          <w:ilvl w:val="1"/>
          <w:numId w:val="3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Protein sample should not be too concentrated because the band at the end will be too thick. Aim for a protein concentration in the sample of ~ 0.4</w:t>
      </w:r>
      <w:r w:rsidR="000F48BD" w:rsidRPr="00D74025">
        <w:rPr>
          <w:rFonts w:ascii="Arial" w:hAnsi="Arial" w:cs="Arial"/>
          <w:color w:val="000000" w:themeColor="text1"/>
        </w:rPr>
        <w:t> </w:t>
      </w:r>
      <w:r w:rsidRPr="00D74025">
        <w:rPr>
          <w:rFonts w:ascii="Arial" w:hAnsi="Arial" w:cs="Arial"/>
          <w:color w:val="000000" w:themeColor="text1"/>
        </w:rPr>
        <w:t xml:space="preserve">mg/ml. </w:t>
      </w:r>
    </w:p>
    <w:p w14:paraId="554B4459" w14:textId="77777777" w:rsidR="00C0204B" w:rsidRPr="00D74025" w:rsidRDefault="00C0204B">
      <w:pPr>
        <w:pStyle w:val="ListParagraph"/>
        <w:numPr>
          <w:ilvl w:val="1"/>
          <w:numId w:val="3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lastRenderedPageBreak/>
        <w:t>Perform dilution if necessary.</w:t>
      </w:r>
    </w:p>
    <w:p w14:paraId="4389DE67" w14:textId="77777777" w:rsidR="00C0204B" w:rsidRPr="00D74025" w:rsidRDefault="00C0204B" w:rsidP="00F6020C">
      <w:pPr>
        <w:spacing w:line="276" w:lineRule="auto"/>
        <w:rPr>
          <w:rFonts w:ascii="Arial" w:hAnsi="Arial" w:cs="Arial"/>
          <w:color w:val="000000" w:themeColor="text1"/>
        </w:rPr>
      </w:pPr>
    </w:p>
    <w:p w14:paraId="1B25E79E" w14:textId="77777777" w:rsidR="00C0204B" w:rsidRPr="00D74025" w:rsidRDefault="00C0204B">
      <w:pPr>
        <w:pStyle w:val="ListParagraph"/>
        <w:numPr>
          <w:ilvl w:val="0"/>
          <w:numId w:val="3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Heat sample for 5 min at 100°C in boiling water bath.</w:t>
      </w:r>
    </w:p>
    <w:p w14:paraId="183355D8" w14:textId="77777777" w:rsidR="00C0204B" w:rsidRPr="00D74025" w:rsidRDefault="00C0204B">
      <w:pPr>
        <w:pStyle w:val="ListParagraph"/>
        <w:numPr>
          <w:ilvl w:val="0"/>
          <w:numId w:val="33"/>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Let sample cool to room temperature.</w:t>
      </w:r>
    </w:p>
    <w:p w14:paraId="0470F0DA" w14:textId="77777777" w:rsidR="00C0204B" w:rsidRPr="00D74025" w:rsidRDefault="00C0204B" w:rsidP="00F6020C">
      <w:pPr>
        <w:spacing w:line="276" w:lineRule="auto"/>
        <w:rPr>
          <w:rFonts w:ascii="Arial" w:hAnsi="Arial" w:cs="Arial"/>
          <w:color w:val="000000" w:themeColor="text1"/>
        </w:rPr>
      </w:pPr>
    </w:p>
    <w:p w14:paraId="7BD48334" w14:textId="77777777" w:rsidR="00C0204B" w:rsidRPr="00D74025" w:rsidRDefault="00C0204B" w:rsidP="00F6020C">
      <w:pPr>
        <w:spacing w:line="276" w:lineRule="auto"/>
        <w:rPr>
          <w:rFonts w:ascii="Arial" w:hAnsi="Arial" w:cs="Arial"/>
          <w:color w:val="000000" w:themeColor="text1"/>
          <w:u w:val="single"/>
        </w:rPr>
      </w:pPr>
      <w:r w:rsidRPr="00D74025">
        <w:rPr>
          <w:rFonts w:ascii="Arial" w:hAnsi="Arial" w:cs="Arial"/>
          <w:color w:val="000000" w:themeColor="text1"/>
          <w:u w:val="single"/>
        </w:rPr>
        <w:t>Setting up gel and electrophoresis chamber</w:t>
      </w:r>
    </w:p>
    <w:p w14:paraId="22BA61F2" w14:textId="77777777" w:rsidR="00C0204B" w:rsidRPr="00D74025" w:rsidRDefault="00C0204B" w:rsidP="00F6020C">
      <w:pPr>
        <w:spacing w:line="276" w:lineRule="auto"/>
        <w:rPr>
          <w:rFonts w:ascii="Arial" w:hAnsi="Arial" w:cs="Arial"/>
          <w:color w:val="000000" w:themeColor="text1"/>
        </w:rPr>
      </w:pPr>
    </w:p>
    <w:p w14:paraId="634C44B9" w14:textId="26051AC7" w:rsidR="00C0204B" w:rsidRPr="00D74025" w:rsidRDefault="00C0204B">
      <w:pPr>
        <w:pStyle w:val="ListParagraph"/>
        <w:numPr>
          <w:ilvl w:val="0"/>
          <w:numId w:val="3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Take pre</w:t>
      </w:r>
      <w:r w:rsidR="000F48BD" w:rsidRPr="00D74025">
        <w:rPr>
          <w:rFonts w:ascii="Arial" w:hAnsi="Arial" w:cs="Arial"/>
          <w:color w:val="000000" w:themeColor="text1"/>
        </w:rPr>
        <w:t>-</w:t>
      </w:r>
      <w:r w:rsidRPr="00D74025">
        <w:rPr>
          <w:rFonts w:ascii="Arial" w:hAnsi="Arial" w:cs="Arial"/>
          <w:color w:val="000000" w:themeColor="text1"/>
        </w:rPr>
        <w:t>casted gel from the fridge and remove the green slab from the bottom.</w:t>
      </w:r>
    </w:p>
    <w:p w14:paraId="7FF555CE" w14:textId="77777777" w:rsidR="00C0204B" w:rsidRPr="00D74025" w:rsidRDefault="00C0204B">
      <w:pPr>
        <w:pStyle w:val="ListParagraph"/>
        <w:numPr>
          <w:ilvl w:val="0"/>
          <w:numId w:val="3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Place gel and another plate in the back in assembly module. Close the wings to firmly hold gel and plate in place.</w:t>
      </w:r>
    </w:p>
    <w:p w14:paraId="01E9AF8F" w14:textId="77777777" w:rsidR="00C0204B" w:rsidRPr="00D74025" w:rsidRDefault="00C0204B">
      <w:pPr>
        <w:pStyle w:val="ListParagraph"/>
        <w:numPr>
          <w:ilvl w:val="0"/>
          <w:numId w:val="3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Fill up gap between gel the other plate in the gel holder with the Tris buffer</w:t>
      </w:r>
    </w:p>
    <w:p w14:paraId="7D00ADD4" w14:textId="77777777" w:rsidR="00C0204B" w:rsidRPr="00D74025" w:rsidRDefault="00C0204B">
      <w:pPr>
        <w:pStyle w:val="ListParagraph"/>
        <w:numPr>
          <w:ilvl w:val="1"/>
          <w:numId w:val="3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Make sure that there is no leakage through the gap between gel and gasket</w:t>
      </w:r>
    </w:p>
    <w:p w14:paraId="1E1996A8" w14:textId="4BC8483C" w:rsidR="00C0204B" w:rsidRPr="00D74025" w:rsidRDefault="00C0204B">
      <w:pPr>
        <w:pStyle w:val="ListParagraph"/>
        <w:numPr>
          <w:ilvl w:val="0"/>
          <w:numId w:val="3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Load 10</w:t>
      </w:r>
      <w:r w:rsidR="000F48BD" w:rsidRPr="00D74025">
        <w:rPr>
          <w:rFonts w:ascii="Arial" w:hAnsi="Arial" w:cs="Arial"/>
          <w:color w:val="000000" w:themeColor="text1"/>
        </w:rPr>
        <w:t> </w:t>
      </w:r>
      <w:r w:rsidR="000F48BD" w:rsidRPr="00D74025">
        <w:rPr>
          <w:color w:val="000000" w:themeColor="text1"/>
        </w:rPr>
        <w:sym w:font="Symbol" w:char="F06D"/>
      </w:r>
      <w:r w:rsidR="000F48BD" w:rsidRPr="00D74025">
        <w:rPr>
          <w:rFonts w:ascii="Arial" w:hAnsi="Arial" w:cs="Arial"/>
          <w:color w:val="000000" w:themeColor="text1"/>
        </w:rPr>
        <w:t>L</w:t>
      </w:r>
      <w:r w:rsidRPr="00D74025">
        <w:rPr>
          <w:rFonts w:ascii="Arial" w:hAnsi="Arial" w:cs="Arial"/>
          <w:color w:val="000000" w:themeColor="text1"/>
        </w:rPr>
        <w:t xml:space="preserve"> of the prepared protein sample in of the wells of the </w:t>
      </w:r>
      <w:proofErr w:type="spellStart"/>
      <w:r w:rsidRPr="00D74025">
        <w:rPr>
          <w:rFonts w:ascii="Arial" w:hAnsi="Arial" w:cs="Arial"/>
          <w:color w:val="000000" w:themeColor="text1"/>
        </w:rPr>
        <w:t>precasted</w:t>
      </w:r>
      <w:proofErr w:type="spellEnd"/>
      <w:r w:rsidRPr="00D74025">
        <w:rPr>
          <w:rFonts w:ascii="Arial" w:hAnsi="Arial" w:cs="Arial"/>
          <w:color w:val="000000" w:themeColor="text1"/>
        </w:rPr>
        <w:t xml:space="preserve"> gels.</w:t>
      </w:r>
    </w:p>
    <w:p w14:paraId="56B56028" w14:textId="54843A56" w:rsidR="00C0204B" w:rsidRPr="00D74025" w:rsidRDefault="00C0204B">
      <w:pPr>
        <w:pStyle w:val="ListParagraph"/>
        <w:numPr>
          <w:ilvl w:val="0"/>
          <w:numId w:val="3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Load 5</w:t>
      </w:r>
      <w:r w:rsidR="000F48BD" w:rsidRPr="00D74025">
        <w:rPr>
          <w:rFonts w:ascii="Arial" w:hAnsi="Arial" w:cs="Arial"/>
          <w:color w:val="000000" w:themeColor="text1"/>
        </w:rPr>
        <w:t> </w:t>
      </w:r>
      <w:r w:rsidR="000F48BD" w:rsidRPr="00D74025">
        <w:rPr>
          <w:color w:val="000000" w:themeColor="text1"/>
        </w:rPr>
        <w:sym w:font="Symbol" w:char="F06D"/>
      </w:r>
      <w:r w:rsidR="000F48BD" w:rsidRPr="00D74025">
        <w:rPr>
          <w:rFonts w:ascii="Arial" w:hAnsi="Arial" w:cs="Arial"/>
          <w:color w:val="000000" w:themeColor="text1"/>
        </w:rPr>
        <w:t>L</w:t>
      </w:r>
      <w:r w:rsidRPr="00D74025">
        <w:rPr>
          <w:rFonts w:ascii="Arial" w:hAnsi="Arial" w:cs="Arial"/>
          <w:color w:val="000000" w:themeColor="text1"/>
        </w:rPr>
        <w:t xml:space="preserve"> of the ladder (protein standard) in a well </w:t>
      </w:r>
      <w:proofErr w:type="spellStart"/>
      <w:r w:rsidRPr="00D74025">
        <w:rPr>
          <w:rFonts w:ascii="Arial" w:hAnsi="Arial" w:cs="Arial"/>
          <w:color w:val="000000" w:themeColor="text1"/>
        </w:rPr>
        <w:t>closeby</w:t>
      </w:r>
      <w:proofErr w:type="spellEnd"/>
      <w:r w:rsidRPr="00D74025">
        <w:rPr>
          <w:rFonts w:ascii="Arial" w:hAnsi="Arial" w:cs="Arial"/>
          <w:color w:val="000000" w:themeColor="text1"/>
        </w:rPr>
        <w:t>.</w:t>
      </w:r>
    </w:p>
    <w:p w14:paraId="0736B00F" w14:textId="77777777" w:rsidR="00C0204B" w:rsidRPr="00D74025" w:rsidRDefault="00C0204B">
      <w:pPr>
        <w:pStyle w:val="ListParagraph"/>
        <w:numPr>
          <w:ilvl w:val="0"/>
          <w:numId w:val="3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Place gel holder in electrophoresis chamber, </w:t>
      </w:r>
      <w:proofErr w:type="spellStart"/>
      <w:r w:rsidRPr="00D74025">
        <w:rPr>
          <w:rFonts w:ascii="Arial" w:hAnsi="Arial" w:cs="Arial"/>
          <w:color w:val="000000" w:themeColor="text1"/>
        </w:rPr>
        <w:t>mathing</w:t>
      </w:r>
      <w:proofErr w:type="spellEnd"/>
      <w:r w:rsidRPr="00D74025">
        <w:rPr>
          <w:rFonts w:ascii="Arial" w:hAnsi="Arial" w:cs="Arial"/>
          <w:color w:val="000000" w:themeColor="text1"/>
        </w:rPr>
        <w:t xml:space="preserve"> the colors of the sides of the holder which the color of the chamber (black on black, red on red).</w:t>
      </w:r>
    </w:p>
    <w:p w14:paraId="580CD48A" w14:textId="77777777" w:rsidR="00C0204B" w:rsidRPr="00D74025" w:rsidRDefault="00C0204B">
      <w:pPr>
        <w:pStyle w:val="ListParagraph"/>
        <w:numPr>
          <w:ilvl w:val="0"/>
          <w:numId w:val="3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Fill up electrophoresis chamber at the marked minimum level (2 gels)</w:t>
      </w:r>
    </w:p>
    <w:p w14:paraId="7F428899" w14:textId="77777777" w:rsidR="00C0204B" w:rsidRPr="00D74025" w:rsidRDefault="00C0204B">
      <w:pPr>
        <w:pStyle w:val="ListParagraph"/>
        <w:numPr>
          <w:ilvl w:val="0"/>
          <w:numId w:val="3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Connect electrophoresis chamber to power generator also respecting color pattern.</w:t>
      </w:r>
    </w:p>
    <w:p w14:paraId="367F46F3" w14:textId="07AD9833" w:rsidR="00C0204B" w:rsidRPr="00D74025" w:rsidRDefault="00C0204B">
      <w:pPr>
        <w:pStyle w:val="ListParagraph"/>
        <w:numPr>
          <w:ilvl w:val="0"/>
          <w:numId w:val="3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Run gel for approximately 45 min at 150 V</w:t>
      </w:r>
      <w:r w:rsidR="000F48BD" w:rsidRPr="00D74025">
        <w:rPr>
          <w:rFonts w:ascii="Arial" w:hAnsi="Arial" w:cs="Arial"/>
          <w:color w:val="000000" w:themeColor="text1"/>
        </w:rPr>
        <w:t>.</w:t>
      </w:r>
    </w:p>
    <w:p w14:paraId="4BD1AB5F" w14:textId="77777777" w:rsidR="00C0204B" w:rsidRPr="00D74025" w:rsidRDefault="00C0204B">
      <w:pPr>
        <w:pStyle w:val="ListParagraph"/>
        <w:numPr>
          <w:ilvl w:val="1"/>
          <w:numId w:val="3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Run it until the coloring band reaches the bottom of the gel.</w:t>
      </w:r>
    </w:p>
    <w:p w14:paraId="45A84636" w14:textId="77777777" w:rsidR="00C0204B" w:rsidRPr="00D74025" w:rsidRDefault="00C0204B">
      <w:pPr>
        <w:pStyle w:val="ListParagraph"/>
        <w:numPr>
          <w:ilvl w:val="1"/>
          <w:numId w:val="3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The more separated the bands, the more resolution of the results you get.</w:t>
      </w:r>
    </w:p>
    <w:p w14:paraId="639A5244" w14:textId="77777777" w:rsidR="00C0204B" w:rsidRPr="00D74025" w:rsidRDefault="00C0204B">
      <w:pPr>
        <w:pStyle w:val="ListParagraph"/>
        <w:numPr>
          <w:ilvl w:val="1"/>
          <w:numId w:val="34"/>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Samples can run out of the gel if running time is too long.</w:t>
      </w:r>
    </w:p>
    <w:p w14:paraId="3252F3F0" w14:textId="77777777" w:rsidR="00C0204B" w:rsidRPr="00D74025" w:rsidRDefault="00C0204B" w:rsidP="00F6020C">
      <w:pPr>
        <w:spacing w:line="276" w:lineRule="auto"/>
        <w:rPr>
          <w:rFonts w:ascii="Arial" w:hAnsi="Arial" w:cs="Arial"/>
          <w:color w:val="000000" w:themeColor="text1"/>
        </w:rPr>
      </w:pPr>
    </w:p>
    <w:p w14:paraId="336513FB" w14:textId="77777777" w:rsidR="00C0204B" w:rsidRPr="00D74025" w:rsidRDefault="00C0204B" w:rsidP="00F6020C">
      <w:pPr>
        <w:spacing w:line="276" w:lineRule="auto"/>
        <w:rPr>
          <w:rFonts w:ascii="Arial" w:hAnsi="Arial" w:cs="Arial"/>
          <w:color w:val="000000" w:themeColor="text1"/>
          <w:u w:val="single"/>
        </w:rPr>
      </w:pPr>
      <w:r w:rsidRPr="00D74025">
        <w:rPr>
          <w:rFonts w:ascii="Arial" w:hAnsi="Arial" w:cs="Arial"/>
          <w:color w:val="000000" w:themeColor="text1"/>
          <w:u w:val="single"/>
        </w:rPr>
        <w:t xml:space="preserve">Staining and </w:t>
      </w:r>
      <w:proofErr w:type="spellStart"/>
      <w:r w:rsidRPr="00D74025">
        <w:rPr>
          <w:rFonts w:ascii="Arial" w:hAnsi="Arial" w:cs="Arial"/>
          <w:color w:val="000000" w:themeColor="text1"/>
          <w:u w:val="single"/>
        </w:rPr>
        <w:t>Destaining</w:t>
      </w:r>
      <w:proofErr w:type="spellEnd"/>
      <w:r w:rsidRPr="00D74025">
        <w:rPr>
          <w:rFonts w:ascii="Arial" w:hAnsi="Arial" w:cs="Arial"/>
          <w:color w:val="000000" w:themeColor="text1"/>
          <w:u w:val="single"/>
        </w:rPr>
        <w:t xml:space="preserve"> the gel</w:t>
      </w:r>
    </w:p>
    <w:p w14:paraId="47BC5D33" w14:textId="77777777" w:rsidR="00C0204B" w:rsidRPr="00D74025" w:rsidRDefault="00C0204B" w:rsidP="00F6020C">
      <w:pPr>
        <w:spacing w:line="276" w:lineRule="auto"/>
        <w:rPr>
          <w:rFonts w:ascii="Arial" w:hAnsi="Arial" w:cs="Arial"/>
          <w:color w:val="000000" w:themeColor="text1"/>
        </w:rPr>
      </w:pPr>
    </w:p>
    <w:p w14:paraId="20503F47" w14:textId="77777777" w:rsidR="00C0204B" w:rsidRPr="00D74025" w:rsidRDefault="00C0204B">
      <w:pPr>
        <w:pStyle w:val="ListParagraph"/>
        <w:numPr>
          <w:ilvl w:val="0"/>
          <w:numId w:val="3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Remove gel from chamber and holder.</w:t>
      </w:r>
    </w:p>
    <w:p w14:paraId="419840CA" w14:textId="77777777" w:rsidR="00C0204B" w:rsidRPr="00D74025" w:rsidRDefault="00C0204B">
      <w:pPr>
        <w:pStyle w:val="ListParagraph"/>
        <w:numPr>
          <w:ilvl w:val="0"/>
          <w:numId w:val="3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Carefully break the sides of the plastic plates that secure the gel.</w:t>
      </w:r>
    </w:p>
    <w:p w14:paraId="08FA4F7E" w14:textId="77777777" w:rsidR="00C0204B" w:rsidRPr="00D74025" w:rsidRDefault="00C0204B">
      <w:pPr>
        <w:pStyle w:val="ListParagraph"/>
        <w:numPr>
          <w:ilvl w:val="0"/>
          <w:numId w:val="3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Carefully remove gel from the plastic plates and place it into a staining dish.</w:t>
      </w:r>
    </w:p>
    <w:p w14:paraId="05C83A8B" w14:textId="578884D7" w:rsidR="00C0204B" w:rsidRPr="00D74025" w:rsidRDefault="00C0204B">
      <w:pPr>
        <w:pStyle w:val="ListParagraph"/>
        <w:numPr>
          <w:ilvl w:val="0"/>
          <w:numId w:val="3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Wash </w:t>
      </w:r>
      <w:r w:rsidR="00376F76">
        <w:rPr>
          <w:rFonts w:ascii="Arial" w:hAnsi="Arial" w:cs="Arial"/>
          <w:color w:val="000000" w:themeColor="text1"/>
        </w:rPr>
        <w:t>T</w:t>
      </w:r>
      <w:r w:rsidRPr="00D74025">
        <w:rPr>
          <w:rFonts w:ascii="Arial" w:hAnsi="Arial" w:cs="Arial"/>
          <w:color w:val="000000" w:themeColor="text1"/>
        </w:rPr>
        <w:t>ris buffer from gel</w:t>
      </w:r>
    </w:p>
    <w:p w14:paraId="6D7A8896" w14:textId="4A8977FE" w:rsidR="00C0204B" w:rsidRPr="00D74025" w:rsidRDefault="00C0204B">
      <w:pPr>
        <w:pStyle w:val="ListParagraph"/>
        <w:numPr>
          <w:ilvl w:val="1"/>
          <w:numId w:val="3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Add DI water to the dish until it covers the gel, place flask on shaker for 5</w:t>
      </w:r>
      <w:r w:rsidR="00376F76">
        <w:rPr>
          <w:rFonts w:ascii="Arial" w:hAnsi="Arial" w:cs="Arial"/>
          <w:color w:val="000000" w:themeColor="text1"/>
        </w:rPr>
        <w:t> </w:t>
      </w:r>
      <w:r w:rsidRPr="00D74025">
        <w:rPr>
          <w:rFonts w:ascii="Arial" w:hAnsi="Arial" w:cs="Arial"/>
          <w:color w:val="000000" w:themeColor="text1"/>
        </w:rPr>
        <w:t>min</w:t>
      </w:r>
      <w:r w:rsidR="00376F76">
        <w:rPr>
          <w:rFonts w:ascii="Arial" w:hAnsi="Arial" w:cs="Arial"/>
          <w:color w:val="000000" w:themeColor="text1"/>
        </w:rPr>
        <w:t>.</w:t>
      </w:r>
    </w:p>
    <w:p w14:paraId="10D6D523" w14:textId="16CD1920" w:rsidR="00C0204B" w:rsidRPr="00D74025" w:rsidRDefault="00C0204B">
      <w:pPr>
        <w:pStyle w:val="ListParagraph"/>
        <w:numPr>
          <w:ilvl w:val="1"/>
          <w:numId w:val="3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Replace DI water</w:t>
      </w:r>
      <w:r w:rsidR="00376F76">
        <w:rPr>
          <w:rFonts w:ascii="Arial" w:hAnsi="Arial" w:cs="Arial"/>
          <w:color w:val="000000" w:themeColor="text1"/>
        </w:rPr>
        <w:t>.</w:t>
      </w:r>
    </w:p>
    <w:p w14:paraId="1CBB4FE5" w14:textId="5549AFE6" w:rsidR="00C0204B" w:rsidRPr="00D74025" w:rsidRDefault="00C0204B">
      <w:pPr>
        <w:pStyle w:val="ListParagraph"/>
        <w:numPr>
          <w:ilvl w:val="1"/>
          <w:numId w:val="3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Repeat washing 2 more times (3 X total)</w:t>
      </w:r>
      <w:r w:rsidR="00376F76">
        <w:rPr>
          <w:rFonts w:ascii="Arial" w:hAnsi="Arial" w:cs="Arial"/>
          <w:color w:val="000000" w:themeColor="text1"/>
        </w:rPr>
        <w:t>.</w:t>
      </w:r>
    </w:p>
    <w:p w14:paraId="58F4D629" w14:textId="77777777" w:rsidR="00C0204B" w:rsidRPr="00D74025" w:rsidRDefault="00C0204B">
      <w:pPr>
        <w:pStyle w:val="ListParagraph"/>
        <w:numPr>
          <w:ilvl w:val="0"/>
          <w:numId w:val="3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Remove DI water and cover gel with Imperial stain, place it on shaker for 1 h.</w:t>
      </w:r>
    </w:p>
    <w:p w14:paraId="43C8D828" w14:textId="77777777" w:rsidR="00C0204B" w:rsidRPr="00D74025" w:rsidRDefault="00C0204B">
      <w:pPr>
        <w:pStyle w:val="ListParagraph"/>
        <w:numPr>
          <w:ilvl w:val="0"/>
          <w:numId w:val="3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Remove Imperial stain and add DI water to dish to </w:t>
      </w:r>
      <w:proofErr w:type="spellStart"/>
      <w:r w:rsidRPr="00D74025">
        <w:rPr>
          <w:rFonts w:ascii="Arial" w:hAnsi="Arial" w:cs="Arial"/>
          <w:color w:val="000000" w:themeColor="text1"/>
        </w:rPr>
        <w:t>destain</w:t>
      </w:r>
      <w:proofErr w:type="spellEnd"/>
      <w:r w:rsidRPr="00D74025">
        <w:rPr>
          <w:rFonts w:ascii="Arial" w:hAnsi="Arial" w:cs="Arial"/>
          <w:color w:val="000000" w:themeColor="text1"/>
        </w:rPr>
        <w:t xml:space="preserve"> gel for at least 1 h.</w:t>
      </w:r>
    </w:p>
    <w:p w14:paraId="0B195AA4" w14:textId="77777777" w:rsidR="00C0204B" w:rsidRPr="00D74025" w:rsidRDefault="00C0204B">
      <w:pPr>
        <w:pStyle w:val="ListParagraph"/>
        <w:numPr>
          <w:ilvl w:val="0"/>
          <w:numId w:val="35"/>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Check for purity by confirming the presence of only 1 band in the gel.</w:t>
      </w:r>
    </w:p>
    <w:p w14:paraId="66B6EC77" w14:textId="77777777" w:rsidR="00C0204B" w:rsidRPr="00D74025" w:rsidRDefault="00C0204B" w:rsidP="00F6020C">
      <w:pPr>
        <w:spacing w:line="276" w:lineRule="auto"/>
        <w:rPr>
          <w:rFonts w:ascii="Arial" w:hAnsi="Arial" w:cs="Arial"/>
          <w:color w:val="000000" w:themeColor="text1"/>
        </w:rPr>
      </w:pPr>
    </w:p>
    <w:p w14:paraId="1CFF95EC" w14:textId="77777777" w:rsidR="00C0204B" w:rsidRPr="00D74025" w:rsidRDefault="00C0204B" w:rsidP="00F6020C">
      <w:pPr>
        <w:spacing w:line="276" w:lineRule="auto"/>
        <w:rPr>
          <w:rFonts w:ascii="Arial" w:hAnsi="Arial" w:cs="Arial"/>
          <w:color w:val="000000" w:themeColor="text1"/>
        </w:rPr>
      </w:pPr>
    </w:p>
    <w:p w14:paraId="4A15A3D7" w14:textId="3B3B52D6" w:rsidR="008D760E" w:rsidRPr="00D74025" w:rsidRDefault="008D760E" w:rsidP="00F6020C">
      <w:pPr>
        <w:spacing w:line="276" w:lineRule="auto"/>
        <w:rPr>
          <w:rFonts w:ascii="Arial" w:hAnsi="Arial" w:cs="Arial"/>
          <w:color w:val="000000" w:themeColor="text1"/>
        </w:rPr>
      </w:pPr>
    </w:p>
    <w:p w14:paraId="6DE5AC83" w14:textId="75001CCB" w:rsidR="008D760E" w:rsidRPr="00507014" w:rsidRDefault="008D760E" w:rsidP="00507014">
      <w:pPr>
        <w:pStyle w:val="Heading2"/>
        <w:spacing w:line="276" w:lineRule="auto"/>
        <w:ind w:firstLine="0"/>
        <w:rPr>
          <w:rFonts w:ascii="Arial" w:hAnsi="Arial" w:cs="Arial"/>
          <w:b/>
          <w:bCs/>
          <w:color w:val="000000" w:themeColor="text1"/>
          <w:sz w:val="24"/>
          <w:szCs w:val="24"/>
          <w:u w:val="single"/>
        </w:rPr>
      </w:pPr>
      <w:bookmarkStart w:id="207" w:name="_Toc121217298"/>
      <w:r w:rsidRPr="00507014">
        <w:rPr>
          <w:rFonts w:ascii="Arial" w:hAnsi="Arial" w:cs="Arial"/>
          <w:b/>
          <w:bCs/>
          <w:color w:val="000000" w:themeColor="text1"/>
          <w:sz w:val="24"/>
          <w:szCs w:val="24"/>
          <w:u w:val="single"/>
        </w:rPr>
        <w:t xml:space="preserve">B5. </w:t>
      </w:r>
      <w:r w:rsidR="00B13236" w:rsidRPr="00507014">
        <w:rPr>
          <w:rFonts w:ascii="Arial" w:hAnsi="Arial" w:cs="Arial"/>
          <w:b/>
          <w:bCs/>
          <w:color w:val="000000" w:themeColor="text1"/>
          <w:sz w:val="24"/>
          <w:szCs w:val="24"/>
          <w:u w:val="single"/>
        </w:rPr>
        <w:t>SWCNT-ANXA5 conjugation</w:t>
      </w:r>
      <w:bookmarkEnd w:id="207"/>
    </w:p>
    <w:p w14:paraId="205D81B2" w14:textId="3E455D82" w:rsidR="00B13236" w:rsidRPr="00D74025" w:rsidRDefault="00B13236" w:rsidP="00F6020C">
      <w:pPr>
        <w:spacing w:line="276" w:lineRule="auto"/>
        <w:rPr>
          <w:rFonts w:ascii="Arial" w:hAnsi="Arial" w:cs="Arial"/>
          <w:color w:val="000000" w:themeColor="text1"/>
        </w:rPr>
      </w:pPr>
    </w:p>
    <w:p w14:paraId="1860247F" w14:textId="77777777" w:rsidR="00B13236" w:rsidRPr="00D74025" w:rsidRDefault="00B13236" w:rsidP="00F6020C">
      <w:pPr>
        <w:autoSpaceDE w:val="0"/>
        <w:autoSpaceDN w:val="0"/>
        <w:adjustRightInd w:val="0"/>
        <w:spacing w:before="240" w:line="276" w:lineRule="auto"/>
        <w:rPr>
          <w:rFonts w:ascii="Arial" w:eastAsia="CIDFont+F1" w:hAnsi="Arial" w:cs="Arial"/>
          <w:color w:val="000000" w:themeColor="text1"/>
        </w:rPr>
      </w:pPr>
      <w:r w:rsidRPr="00D74025">
        <w:rPr>
          <w:rFonts w:ascii="Arial" w:eastAsia="CIDFont+F1" w:hAnsi="Arial" w:cs="Arial"/>
          <w:color w:val="000000" w:themeColor="text1"/>
        </w:rPr>
        <w:t>Materials:</w:t>
      </w:r>
    </w:p>
    <w:p w14:paraId="3B64E6EA" w14:textId="77777777" w:rsidR="00B13236" w:rsidRPr="00D74025" w:rsidRDefault="00B13236">
      <w:pPr>
        <w:pStyle w:val="ListParagraph"/>
        <w:numPr>
          <w:ilvl w:val="0"/>
          <w:numId w:val="28"/>
        </w:numPr>
        <w:autoSpaceDE w:val="0"/>
        <w:autoSpaceDN w:val="0"/>
        <w:adjustRightInd w:val="0"/>
        <w:spacing w:before="240" w:beforeAutospacing="0" w:after="0" w:afterAutospacing="0" w:line="276" w:lineRule="auto"/>
        <w:jc w:val="left"/>
        <w:rPr>
          <w:rFonts w:ascii="Arial" w:eastAsia="CIDFont+F1" w:hAnsi="Arial" w:cs="Arial"/>
          <w:color w:val="000000" w:themeColor="text1"/>
        </w:rPr>
      </w:pPr>
      <w:r w:rsidRPr="00D74025">
        <w:rPr>
          <w:rFonts w:ascii="Arial" w:eastAsia="CIDFont+F1" w:hAnsi="Arial" w:cs="Arial"/>
          <w:color w:val="000000" w:themeColor="text1"/>
        </w:rPr>
        <w:t>SDS</w:t>
      </w:r>
    </w:p>
    <w:p w14:paraId="28FB837D" w14:textId="2E096330" w:rsidR="00B13236" w:rsidRPr="00D74025" w:rsidRDefault="00B13236">
      <w:pPr>
        <w:pStyle w:val="ListParagraph"/>
        <w:numPr>
          <w:ilvl w:val="0"/>
          <w:numId w:val="28"/>
        </w:numPr>
        <w:autoSpaceDE w:val="0"/>
        <w:autoSpaceDN w:val="0"/>
        <w:adjustRightInd w:val="0"/>
        <w:spacing w:before="240" w:beforeAutospacing="0" w:after="0" w:afterAutospacing="0" w:line="276" w:lineRule="auto"/>
        <w:jc w:val="left"/>
        <w:rPr>
          <w:rFonts w:ascii="Arial" w:eastAsia="CIDFont+F1" w:hAnsi="Arial" w:cs="Arial"/>
          <w:color w:val="000000" w:themeColor="text1"/>
        </w:rPr>
      </w:pPr>
      <w:r w:rsidRPr="00D74025">
        <w:rPr>
          <w:rFonts w:ascii="Arial" w:eastAsia="CIDFont+F1" w:hAnsi="Arial" w:cs="Arial"/>
          <w:color w:val="000000" w:themeColor="text1"/>
        </w:rPr>
        <w:t>SW</w:t>
      </w:r>
      <w:r w:rsidR="00187AE6">
        <w:rPr>
          <w:rFonts w:ascii="Arial" w:eastAsia="CIDFont+F1" w:hAnsi="Arial" w:cs="Arial"/>
          <w:color w:val="000000" w:themeColor="text1"/>
        </w:rPr>
        <w:t>C</w:t>
      </w:r>
      <w:r w:rsidRPr="00D74025">
        <w:rPr>
          <w:rFonts w:ascii="Arial" w:eastAsia="CIDFont+F1" w:hAnsi="Arial" w:cs="Arial"/>
          <w:color w:val="000000" w:themeColor="text1"/>
        </w:rPr>
        <w:t>NT</w:t>
      </w:r>
    </w:p>
    <w:p w14:paraId="53F01C24" w14:textId="77777777" w:rsidR="00B13236" w:rsidRPr="00D74025" w:rsidRDefault="00B13236">
      <w:pPr>
        <w:pStyle w:val="ListParagraph"/>
        <w:numPr>
          <w:ilvl w:val="0"/>
          <w:numId w:val="28"/>
        </w:numPr>
        <w:autoSpaceDE w:val="0"/>
        <w:autoSpaceDN w:val="0"/>
        <w:adjustRightInd w:val="0"/>
        <w:spacing w:before="240" w:beforeAutospacing="0" w:after="0" w:afterAutospacing="0" w:line="276" w:lineRule="auto"/>
        <w:jc w:val="left"/>
        <w:rPr>
          <w:rFonts w:ascii="Arial" w:eastAsia="CIDFont+F1" w:hAnsi="Arial" w:cs="Arial"/>
          <w:color w:val="000000" w:themeColor="text1"/>
        </w:rPr>
      </w:pPr>
      <w:r w:rsidRPr="00D74025">
        <w:rPr>
          <w:rFonts w:ascii="Arial" w:eastAsia="CIDFont+F1" w:hAnsi="Arial" w:cs="Arial"/>
          <w:color w:val="000000" w:themeColor="text1"/>
        </w:rPr>
        <w:t>DSPE-PEG-MAL linker</w:t>
      </w:r>
    </w:p>
    <w:p w14:paraId="3D7460BA" w14:textId="29B48E35" w:rsidR="00B13236" w:rsidRPr="00D74025" w:rsidRDefault="00B13236">
      <w:pPr>
        <w:pStyle w:val="ListParagraph"/>
        <w:numPr>
          <w:ilvl w:val="0"/>
          <w:numId w:val="28"/>
        </w:numPr>
        <w:autoSpaceDE w:val="0"/>
        <w:autoSpaceDN w:val="0"/>
        <w:adjustRightInd w:val="0"/>
        <w:spacing w:before="240" w:beforeAutospacing="0" w:after="0" w:afterAutospacing="0" w:line="276" w:lineRule="auto"/>
        <w:jc w:val="left"/>
        <w:rPr>
          <w:rFonts w:ascii="Arial" w:eastAsia="CIDFont+F1" w:hAnsi="Arial" w:cs="Arial"/>
          <w:color w:val="000000" w:themeColor="text1"/>
        </w:rPr>
      </w:pPr>
      <w:r w:rsidRPr="00D74025">
        <w:rPr>
          <w:rFonts w:ascii="Arial" w:eastAsia="CIDFont+F1" w:hAnsi="Arial" w:cs="Arial"/>
          <w:color w:val="000000" w:themeColor="text1"/>
        </w:rPr>
        <w:t>2</w:t>
      </w:r>
      <w:r w:rsidR="000F48BD" w:rsidRPr="00D74025">
        <w:rPr>
          <w:rFonts w:ascii="Arial" w:eastAsia="CIDFont+F1" w:hAnsi="Arial" w:cs="Arial"/>
          <w:color w:val="000000" w:themeColor="text1"/>
        </w:rPr>
        <w:t xml:space="preserve"> </w:t>
      </w:r>
      <w:proofErr w:type="spellStart"/>
      <w:r w:rsidRPr="00D74025">
        <w:rPr>
          <w:rFonts w:ascii="Arial" w:eastAsia="CIDFont+F1" w:hAnsi="Arial" w:cs="Arial"/>
          <w:color w:val="000000" w:themeColor="text1"/>
        </w:rPr>
        <w:t>kD</w:t>
      </w:r>
      <w:proofErr w:type="spellEnd"/>
      <w:r w:rsidRPr="00D74025">
        <w:rPr>
          <w:rFonts w:ascii="Arial" w:eastAsia="CIDFont+F1" w:hAnsi="Arial" w:cs="Arial"/>
          <w:color w:val="000000" w:themeColor="text1"/>
        </w:rPr>
        <w:t xml:space="preserve"> dialysis membrane</w:t>
      </w:r>
    </w:p>
    <w:p w14:paraId="34AF9CA2" w14:textId="77777777" w:rsidR="00B13236" w:rsidRPr="00D74025" w:rsidRDefault="00B13236">
      <w:pPr>
        <w:pStyle w:val="ListParagraph"/>
        <w:numPr>
          <w:ilvl w:val="0"/>
          <w:numId w:val="28"/>
        </w:numPr>
        <w:autoSpaceDE w:val="0"/>
        <w:autoSpaceDN w:val="0"/>
        <w:adjustRightInd w:val="0"/>
        <w:spacing w:before="240" w:beforeAutospacing="0" w:after="0" w:afterAutospacing="0" w:line="276" w:lineRule="auto"/>
        <w:jc w:val="left"/>
        <w:rPr>
          <w:rFonts w:ascii="Arial" w:eastAsia="CIDFont+F1" w:hAnsi="Arial" w:cs="Arial"/>
          <w:color w:val="000000" w:themeColor="text1"/>
        </w:rPr>
      </w:pPr>
      <w:r w:rsidRPr="00D74025">
        <w:rPr>
          <w:rFonts w:ascii="Arial" w:eastAsia="CIDFont+F1" w:hAnsi="Arial" w:cs="Arial"/>
          <w:color w:val="000000" w:themeColor="text1"/>
        </w:rPr>
        <w:t>L-cysteine</w:t>
      </w:r>
    </w:p>
    <w:p w14:paraId="5018BD41" w14:textId="0EC04B24" w:rsidR="00B13236" w:rsidRPr="00D74025" w:rsidRDefault="00B13236">
      <w:pPr>
        <w:pStyle w:val="ListParagraph"/>
        <w:numPr>
          <w:ilvl w:val="0"/>
          <w:numId w:val="28"/>
        </w:numPr>
        <w:autoSpaceDE w:val="0"/>
        <w:autoSpaceDN w:val="0"/>
        <w:adjustRightInd w:val="0"/>
        <w:spacing w:before="240" w:beforeAutospacing="0" w:after="0" w:afterAutospacing="0" w:line="276" w:lineRule="auto"/>
        <w:jc w:val="left"/>
        <w:rPr>
          <w:rFonts w:ascii="Arial" w:eastAsia="CIDFont+F1" w:hAnsi="Arial" w:cs="Arial"/>
          <w:color w:val="000000" w:themeColor="text1"/>
        </w:rPr>
      </w:pPr>
      <w:r w:rsidRPr="00D74025">
        <w:rPr>
          <w:rFonts w:ascii="Arial" w:eastAsia="CIDFont+F1" w:hAnsi="Arial" w:cs="Arial"/>
          <w:color w:val="000000" w:themeColor="text1"/>
        </w:rPr>
        <w:t>100</w:t>
      </w:r>
      <w:r w:rsidR="000F48BD" w:rsidRPr="00D74025">
        <w:rPr>
          <w:rFonts w:ascii="Arial" w:eastAsia="CIDFont+F1" w:hAnsi="Arial" w:cs="Arial"/>
          <w:color w:val="000000" w:themeColor="text1"/>
        </w:rPr>
        <w:t xml:space="preserve"> </w:t>
      </w:r>
      <w:proofErr w:type="spellStart"/>
      <w:r w:rsidRPr="00D74025">
        <w:rPr>
          <w:rFonts w:ascii="Arial" w:eastAsia="CIDFont+F1" w:hAnsi="Arial" w:cs="Arial"/>
          <w:color w:val="000000" w:themeColor="text1"/>
        </w:rPr>
        <w:t>kD</w:t>
      </w:r>
      <w:proofErr w:type="spellEnd"/>
      <w:r w:rsidRPr="00D74025">
        <w:rPr>
          <w:rFonts w:ascii="Arial" w:eastAsia="CIDFont+F1" w:hAnsi="Arial" w:cs="Arial"/>
          <w:color w:val="000000" w:themeColor="text1"/>
        </w:rPr>
        <w:t xml:space="preserve"> dialysis membrane</w:t>
      </w:r>
    </w:p>
    <w:p w14:paraId="60214E9D" w14:textId="77777777" w:rsidR="00B13236" w:rsidRPr="00D74025" w:rsidRDefault="00B13236" w:rsidP="00F6020C">
      <w:pPr>
        <w:autoSpaceDE w:val="0"/>
        <w:autoSpaceDN w:val="0"/>
        <w:adjustRightInd w:val="0"/>
        <w:spacing w:before="240" w:line="276" w:lineRule="auto"/>
        <w:rPr>
          <w:rFonts w:ascii="Arial" w:eastAsia="CIDFont+F1" w:hAnsi="Arial" w:cs="Arial"/>
          <w:color w:val="000000" w:themeColor="text1"/>
        </w:rPr>
      </w:pPr>
      <w:r w:rsidRPr="00D74025">
        <w:rPr>
          <w:rFonts w:ascii="Arial" w:eastAsia="CIDFont+F1" w:hAnsi="Arial" w:cs="Arial"/>
          <w:color w:val="000000" w:themeColor="text1"/>
        </w:rPr>
        <w:t>1. Prepare 1% SDS solution.</w:t>
      </w:r>
    </w:p>
    <w:p w14:paraId="78D1BB5E" w14:textId="77777777" w:rsidR="00B13236" w:rsidRPr="00D74025" w:rsidRDefault="00B13236" w:rsidP="00F6020C">
      <w:pPr>
        <w:autoSpaceDE w:val="0"/>
        <w:autoSpaceDN w:val="0"/>
        <w:adjustRightInd w:val="0"/>
        <w:spacing w:line="276" w:lineRule="auto"/>
        <w:ind w:firstLine="708"/>
        <w:rPr>
          <w:rFonts w:ascii="Arial" w:eastAsia="CIDFont+F1" w:hAnsi="Arial" w:cs="Arial"/>
          <w:color w:val="000000" w:themeColor="text1"/>
        </w:rPr>
      </w:pPr>
      <w:r w:rsidRPr="00D74025">
        <w:rPr>
          <w:rFonts w:ascii="Arial" w:eastAsia="CIDFont+F1" w:hAnsi="Arial" w:cs="Arial"/>
          <w:color w:val="000000" w:themeColor="text1"/>
        </w:rPr>
        <w:t>a. Prepare 1% SDS stock.</w:t>
      </w:r>
    </w:p>
    <w:p w14:paraId="210DF94A" w14:textId="39EDDA46" w:rsidR="00B13236" w:rsidRPr="00D74025" w:rsidRDefault="00B13236" w:rsidP="00F6020C">
      <w:pPr>
        <w:autoSpaceDE w:val="0"/>
        <w:autoSpaceDN w:val="0"/>
        <w:adjustRightInd w:val="0"/>
        <w:spacing w:line="276" w:lineRule="auto"/>
        <w:ind w:left="708" w:firstLine="708"/>
        <w:rPr>
          <w:rFonts w:ascii="Arial" w:eastAsia="CIDFont+F1" w:hAnsi="Arial" w:cs="Arial"/>
          <w:color w:val="000000" w:themeColor="text1"/>
        </w:rPr>
      </w:pPr>
      <w:proofErr w:type="spellStart"/>
      <w:r w:rsidRPr="00D74025">
        <w:rPr>
          <w:rFonts w:ascii="Arial" w:eastAsia="CIDFont+F1" w:hAnsi="Arial" w:cs="Arial"/>
          <w:color w:val="000000" w:themeColor="text1"/>
        </w:rPr>
        <w:t>i</w:t>
      </w:r>
      <w:proofErr w:type="spellEnd"/>
      <w:r w:rsidRPr="00D74025">
        <w:rPr>
          <w:rFonts w:ascii="Arial" w:eastAsia="CIDFont+F1" w:hAnsi="Arial" w:cs="Arial"/>
          <w:color w:val="000000" w:themeColor="text1"/>
        </w:rPr>
        <w:t xml:space="preserve">. </w:t>
      </w:r>
      <w:r w:rsidR="000F48BD" w:rsidRPr="00D74025">
        <w:rPr>
          <w:rFonts w:ascii="Arial" w:eastAsia="CIDFont+F1" w:hAnsi="Arial" w:cs="Arial"/>
          <w:color w:val="000000" w:themeColor="text1"/>
        </w:rPr>
        <w:t>0</w:t>
      </w:r>
      <w:r w:rsidRPr="00D74025">
        <w:rPr>
          <w:rFonts w:ascii="Arial" w:eastAsia="CIDFont+F1" w:hAnsi="Arial" w:cs="Arial"/>
          <w:color w:val="000000" w:themeColor="text1"/>
        </w:rPr>
        <w:t>.5</w:t>
      </w:r>
      <w:r w:rsidR="00BA42C1">
        <w:rPr>
          <w:rFonts w:ascii="Arial" w:eastAsia="CIDFont+F1" w:hAnsi="Arial" w:cs="Arial"/>
          <w:color w:val="000000" w:themeColor="text1"/>
        </w:rPr>
        <w:t xml:space="preserve"> </w:t>
      </w:r>
      <w:r w:rsidRPr="00D74025">
        <w:rPr>
          <w:rFonts w:ascii="Arial" w:eastAsia="CIDFont+F1" w:hAnsi="Arial" w:cs="Arial"/>
          <w:color w:val="000000" w:themeColor="text1"/>
        </w:rPr>
        <w:t>g SDS in 50</w:t>
      </w:r>
      <w:r w:rsidR="00D66ABE" w:rsidRPr="00D74025">
        <w:rPr>
          <w:rFonts w:ascii="Arial" w:eastAsia="CIDFont+F1" w:hAnsi="Arial" w:cs="Arial"/>
          <w:color w:val="000000" w:themeColor="text1"/>
        </w:rPr>
        <w:t xml:space="preserve"> </w:t>
      </w:r>
      <w:r w:rsidRPr="00D74025">
        <w:rPr>
          <w:rFonts w:ascii="Arial" w:eastAsia="CIDFont+F1" w:hAnsi="Arial" w:cs="Arial"/>
          <w:color w:val="000000" w:themeColor="text1"/>
        </w:rPr>
        <w:t>mL DI water.</w:t>
      </w:r>
    </w:p>
    <w:p w14:paraId="30215457" w14:textId="256B1BC3" w:rsidR="00B13236" w:rsidRPr="00D74025" w:rsidRDefault="00B13236" w:rsidP="00F6020C">
      <w:pPr>
        <w:autoSpaceDE w:val="0"/>
        <w:autoSpaceDN w:val="0"/>
        <w:adjustRightInd w:val="0"/>
        <w:spacing w:before="240" w:line="276" w:lineRule="auto"/>
        <w:rPr>
          <w:rFonts w:ascii="Arial" w:hAnsi="Arial" w:cs="Arial"/>
          <w:color w:val="000000" w:themeColor="text1"/>
        </w:rPr>
      </w:pPr>
      <w:r w:rsidRPr="00D74025">
        <w:rPr>
          <w:rFonts w:ascii="Arial" w:eastAsia="CIDFont+F1" w:hAnsi="Arial" w:cs="Arial"/>
          <w:color w:val="000000" w:themeColor="text1"/>
        </w:rPr>
        <w:t>2. Prepare SW</w:t>
      </w:r>
      <w:r w:rsidR="000F48BD" w:rsidRPr="00D74025">
        <w:rPr>
          <w:rFonts w:ascii="Arial" w:eastAsia="CIDFont+F1" w:hAnsi="Arial" w:cs="Arial"/>
          <w:color w:val="000000" w:themeColor="text1"/>
        </w:rPr>
        <w:t>C</w:t>
      </w:r>
      <w:r w:rsidRPr="00D74025">
        <w:rPr>
          <w:rFonts w:ascii="Arial" w:eastAsia="CIDFont+F1" w:hAnsi="Arial" w:cs="Arial"/>
          <w:color w:val="000000" w:themeColor="text1"/>
        </w:rPr>
        <w:t xml:space="preserve">NT suspensions. </w:t>
      </w:r>
      <w:r w:rsidRPr="00D74025">
        <w:rPr>
          <w:rFonts w:ascii="Arial" w:hAnsi="Arial" w:cs="Arial"/>
          <w:color w:val="000000" w:themeColor="text1"/>
        </w:rPr>
        <w:t>(2 hours and 45 minutes</w:t>
      </w:r>
      <w:r w:rsidRPr="00D74025">
        <w:rPr>
          <w:rFonts w:ascii="Arial" w:eastAsia="CIDFont+F12" w:hAnsi="Arial" w:cs="Arial"/>
          <w:color w:val="000000" w:themeColor="text1"/>
        </w:rPr>
        <w:t xml:space="preserve"> </w:t>
      </w:r>
      <w:r w:rsidRPr="00D74025">
        <w:rPr>
          <w:rFonts w:ascii="Arial" w:hAnsi="Arial" w:cs="Arial"/>
          <w:color w:val="000000" w:themeColor="text1"/>
        </w:rPr>
        <w:t>store in the fridge)</w:t>
      </w:r>
    </w:p>
    <w:p w14:paraId="09AD59E3" w14:textId="59048BA8" w:rsidR="00B13236" w:rsidRPr="00D74025" w:rsidRDefault="00B13236" w:rsidP="00F6020C">
      <w:pPr>
        <w:autoSpaceDE w:val="0"/>
        <w:autoSpaceDN w:val="0"/>
        <w:adjustRightInd w:val="0"/>
        <w:spacing w:line="276" w:lineRule="auto"/>
        <w:ind w:firstLine="708"/>
        <w:rPr>
          <w:rFonts w:ascii="Arial" w:eastAsia="CIDFont+F1" w:hAnsi="Arial" w:cs="Arial"/>
          <w:color w:val="000000" w:themeColor="text1"/>
        </w:rPr>
      </w:pPr>
      <w:r w:rsidRPr="00D74025">
        <w:rPr>
          <w:rFonts w:ascii="Arial" w:eastAsia="CIDFont+F1" w:hAnsi="Arial" w:cs="Arial"/>
          <w:color w:val="000000" w:themeColor="text1"/>
        </w:rPr>
        <w:t>a. Sonicate the SW</w:t>
      </w:r>
      <w:r w:rsidR="00187AE6">
        <w:rPr>
          <w:rFonts w:ascii="Arial" w:eastAsia="CIDFont+F1" w:hAnsi="Arial" w:cs="Arial"/>
          <w:color w:val="000000" w:themeColor="text1"/>
        </w:rPr>
        <w:t>C</w:t>
      </w:r>
      <w:r w:rsidRPr="00D74025">
        <w:rPr>
          <w:rFonts w:ascii="Arial" w:eastAsia="CIDFont+F1" w:hAnsi="Arial" w:cs="Arial"/>
          <w:color w:val="000000" w:themeColor="text1"/>
        </w:rPr>
        <w:t>NT solution for 30 minutes. (6</w:t>
      </w:r>
      <w:r w:rsidR="000F48BD" w:rsidRPr="00D74025">
        <w:rPr>
          <w:rFonts w:ascii="Arial" w:eastAsia="CIDFont+F1" w:hAnsi="Arial" w:cs="Arial"/>
          <w:color w:val="000000" w:themeColor="text1"/>
        </w:rPr>
        <w:t xml:space="preserve"> </w:t>
      </w:r>
      <w:r w:rsidRPr="00D74025">
        <w:rPr>
          <w:rFonts w:ascii="Arial" w:eastAsia="CIDFont+F1" w:hAnsi="Arial" w:cs="Arial"/>
          <w:color w:val="000000" w:themeColor="text1"/>
        </w:rPr>
        <w:t>mg SW</w:t>
      </w:r>
      <w:r w:rsidR="00187AE6">
        <w:rPr>
          <w:rFonts w:ascii="Arial" w:eastAsia="CIDFont+F1" w:hAnsi="Arial" w:cs="Arial"/>
          <w:color w:val="000000" w:themeColor="text1"/>
        </w:rPr>
        <w:t>C</w:t>
      </w:r>
      <w:r w:rsidRPr="00D74025">
        <w:rPr>
          <w:rFonts w:ascii="Arial" w:eastAsia="CIDFont+F1" w:hAnsi="Arial" w:cs="Arial"/>
          <w:color w:val="000000" w:themeColor="text1"/>
        </w:rPr>
        <w:t>NT in 5 ml 1% SDS)</w:t>
      </w:r>
    </w:p>
    <w:p w14:paraId="5A5E097E" w14:textId="77777777" w:rsidR="00B13236" w:rsidRPr="00D74025" w:rsidRDefault="00B13236" w:rsidP="00F6020C">
      <w:pPr>
        <w:autoSpaceDE w:val="0"/>
        <w:autoSpaceDN w:val="0"/>
        <w:adjustRightInd w:val="0"/>
        <w:spacing w:line="276" w:lineRule="auto"/>
        <w:ind w:left="708" w:firstLine="708"/>
        <w:rPr>
          <w:rFonts w:ascii="Arial" w:eastAsia="CIDFont+F1" w:hAnsi="Arial" w:cs="Arial"/>
          <w:color w:val="000000" w:themeColor="text1"/>
        </w:rPr>
      </w:pPr>
      <w:r w:rsidRPr="00D74025">
        <w:rPr>
          <w:rFonts w:ascii="Arial" w:eastAsia="CIDFont+F1" w:hAnsi="Arial" w:cs="Arial"/>
          <w:color w:val="000000" w:themeColor="text1"/>
        </w:rPr>
        <w:t>a. Use SG65i from 5/13/2013.</w:t>
      </w:r>
    </w:p>
    <w:p w14:paraId="649F112B" w14:textId="77777777" w:rsidR="00B13236" w:rsidRPr="00D74025" w:rsidRDefault="00B13236" w:rsidP="00F6020C">
      <w:pPr>
        <w:autoSpaceDE w:val="0"/>
        <w:autoSpaceDN w:val="0"/>
        <w:adjustRightInd w:val="0"/>
        <w:spacing w:line="276" w:lineRule="auto"/>
        <w:ind w:left="708" w:firstLine="708"/>
        <w:rPr>
          <w:rFonts w:ascii="Arial" w:eastAsia="CIDFont+F1" w:hAnsi="Arial" w:cs="Arial"/>
          <w:color w:val="000000" w:themeColor="text1"/>
        </w:rPr>
      </w:pPr>
      <w:r w:rsidRPr="00D74025">
        <w:rPr>
          <w:rFonts w:ascii="Arial" w:eastAsia="CIDFont+F1" w:hAnsi="Arial" w:cs="Arial"/>
          <w:color w:val="000000" w:themeColor="text1"/>
        </w:rPr>
        <w:t>b. Make solution in a glass vial.</w:t>
      </w:r>
    </w:p>
    <w:p w14:paraId="45629C20" w14:textId="20458E4B" w:rsidR="00B13236" w:rsidRPr="00D74025" w:rsidRDefault="00B13236" w:rsidP="004F5546">
      <w:pPr>
        <w:autoSpaceDE w:val="0"/>
        <w:autoSpaceDN w:val="0"/>
        <w:adjustRightInd w:val="0"/>
        <w:spacing w:line="276" w:lineRule="auto"/>
        <w:ind w:left="1440" w:hanging="90"/>
        <w:rPr>
          <w:rFonts w:ascii="Arial" w:eastAsia="CIDFont+F1" w:hAnsi="Arial" w:cs="Arial"/>
          <w:color w:val="000000" w:themeColor="text1"/>
        </w:rPr>
      </w:pPr>
      <w:r w:rsidRPr="00D74025">
        <w:rPr>
          <w:rFonts w:ascii="Arial" w:eastAsia="CIDFont+F1" w:hAnsi="Arial" w:cs="Arial"/>
          <w:color w:val="000000" w:themeColor="text1"/>
        </w:rPr>
        <w:t xml:space="preserve">c. Sonicate </w:t>
      </w:r>
      <w:r w:rsidR="00123F4A">
        <w:rPr>
          <w:rFonts w:ascii="Arial" w:eastAsia="CIDFont+F1" w:hAnsi="Arial" w:cs="Arial"/>
          <w:color w:val="000000" w:themeColor="text1"/>
        </w:rPr>
        <w:t>it with</w:t>
      </w:r>
      <w:r w:rsidR="004F5546">
        <w:rPr>
          <w:rFonts w:ascii="Arial" w:eastAsia="CIDFont+F1" w:hAnsi="Arial" w:cs="Arial"/>
          <w:color w:val="000000" w:themeColor="text1"/>
        </w:rPr>
        <w:t xml:space="preserve"> </w:t>
      </w:r>
      <w:r w:rsidR="000F48BD" w:rsidRPr="00D74025">
        <w:rPr>
          <w:rFonts w:ascii="Arial" w:eastAsia="CIDFont+F1" w:hAnsi="Arial" w:cs="Arial"/>
          <w:color w:val="000000" w:themeColor="text1"/>
        </w:rPr>
        <w:t>(</w:t>
      </w:r>
      <w:r w:rsidRPr="00D74025">
        <w:rPr>
          <w:rFonts w:ascii="Arial" w:eastAsia="CIDFont+F1" w:hAnsi="Arial" w:cs="Arial"/>
          <w:color w:val="000000" w:themeColor="text1"/>
        </w:rPr>
        <w:t>make sure probe does not touch the glass vial)</w:t>
      </w:r>
      <w:r w:rsidR="00123F4A">
        <w:rPr>
          <w:rFonts w:ascii="Arial" w:eastAsia="CIDFont+F1" w:hAnsi="Arial" w:cs="Arial"/>
          <w:color w:val="000000" w:themeColor="text1"/>
        </w:rPr>
        <w:t>.</w:t>
      </w:r>
    </w:p>
    <w:p w14:paraId="730C5AFA" w14:textId="77777777" w:rsidR="00B13236" w:rsidRPr="00D74025" w:rsidRDefault="00B13236" w:rsidP="00F6020C">
      <w:pPr>
        <w:autoSpaceDE w:val="0"/>
        <w:autoSpaceDN w:val="0"/>
        <w:adjustRightInd w:val="0"/>
        <w:spacing w:line="276" w:lineRule="auto"/>
        <w:ind w:left="708" w:firstLine="708"/>
        <w:rPr>
          <w:rFonts w:ascii="Arial" w:eastAsia="CIDFont+F1" w:hAnsi="Arial" w:cs="Arial"/>
          <w:color w:val="000000" w:themeColor="text1"/>
        </w:rPr>
      </w:pPr>
      <w:r w:rsidRPr="00D74025">
        <w:rPr>
          <w:rFonts w:ascii="Arial" w:eastAsia="CIDFont+F1" w:hAnsi="Arial" w:cs="Arial"/>
          <w:color w:val="000000" w:themeColor="text1"/>
        </w:rPr>
        <w:t>d. Place vial in water bath to prevent it from overheating.</w:t>
      </w:r>
    </w:p>
    <w:p w14:paraId="3C0B237A" w14:textId="7D766D1C" w:rsidR="00B13236" w:rsidRPr="00D74025" w:rsidRDefault="00B13236" w:rsidP="00F6020C">
      <w:pPr>
        <w:autoSpaceDE w:val="0"/>
        <w:autoSpaceDN w:val="0"/>
        <w:adjustRightInd w:val="0"/>
        <w:spacing w:before="240" w:line="276" w:lineRule="auto"/>
        <w:ind w:firstLine="708"/>
        <w:rPr>
          <w:rFonts w:ascii="Arial" w:eastAsia="CIDFont+F1" w:hAnsi="Arial" w:cs="Arial"/>
          <w:color w:val="000000" w:themeColor="text1"/>
        </w:rPr>
      </w:pPr>
      <w:r w:rsidRPr="00D74025">
        <w:rPr>
          <w:rFonts w:ascii="Arial" w:eastAsia="CIDFont+F1" w:hAnsi="Arial" w:cs="Arial"/>
          <w:color w:val="000000" w:themeColor="text1"/>
        </w:rPr>
        <w:t>b. Centrifuge the SW</w:t>
      </w:r>
      <w:r w:rsidR="000F48BD" w:rsidRPr="00D74025">
        <w:rPr>
          <w:rFonts w:ascii="Arial" w:eastAsia="CIDFont+F1" w:hAnsi="Arial" w:cs="Arial"/>
          <w:color w:val="000000" w:themeColor="text1"/>
        </w:rPr>
        <w:t>C</w:t>
      </w:r>
      <w:r w:rsidRPr="00D74025">
        <w:rPr>
          <w:rFonts w:ascii="Arial" w:eastAsia="CIDFont+F1" w:hAnsi="Arial" w:cs="Arial"/>
          <w:color w:val="000000" w:themeColor="text1"/>
        </w:rPr>
        <w:t>NT solution for 30</w:t>
      </w:r>
      <w:r w:rsidR="0018560A">
        <w:rPr>
          <w:rFonts w:ascii="Arial" w:eastAsia="CIDFont+F1" w:hAnsi="Arial" w:cs="Arial"/>
          <w:color w:val="000000" w:themeColor="text1"/>
        </w:rPr>
        <w:t xml:space="preserve"> </w:t>
      </w:r>
      <w:r w:rsidRPr="00D74025">
        <w:rPr>
          <w:rFonts w:ascii="Arial" w:eastAsia="CIDFont+F1" w:hAnsi="Arial" w:cs="Arial"/>
          <w:color w:val="000000" w:themeColor="text1"/>
        </w:rPr>
        <w:t>min at 13</w:t>
      </w:r>
      <w:r w:rsidR="0018560A">
        <w:rPr>
          <w:rFonts w:ascii="Arial" w:eastAsia="CIDFont+F1" w:hAnsi="Arial" w:cs="Arial"/>
          <w:color w:val="000000" w:themeColor="text1"/>
        </w:rPr>
        <w:t>,</w:t>
      </w:r>
      <w:r w:rsidRPr="00D74025">
        <w:rPr>
          <w:rFonts w:ascii="Arial" w:eastAsia="CIDFont+F1" w:hAnsi="Arial" w:cs="Arial"/>
          <w:color w:val="000000" w:themeColor="text1"/>
        </w:rPr>
        <w:t>000</w:t>
      </w:r>
      <w:r w:rsidR="0018560A">
        <w:rPr>
          <w:rFonts w:ascii="Arial" w:eastAsia="CIDFont+F1" w:hAnsi="Arial" w:cs="Arial"/>
          <w:color w:val="000000" w:themeColor="text1"/>
        </w:rPr>
        <w:t xml:space="preserve"> </w:t>
      </w:r>
      <w:r w:rsidRPr="00D74025">
        <w:rPr>
          <w:rFonts w:ascii="Arial" w:eastAsia="CIDFont+F1" w:hAnsi="Arial" w:cs="Arial"/>
          <w:color w:val="000000" w:themeColor="text1"/>
        </w:rPr>
        <w:t>rpm.</w:t>
      </w:r>
    </w:p>
    <w:p w14:paraId="125CE680" w14:textId="77777777" w:rsidR="00B13236" w:rsidRPr="00D74025" w:rsidRDefault="00B13236" w:rsidP="00F6020C">
      <w:pPr>
        <w:autoSpaceDE w:val="0"/>
        <w:autoSpaceDN w:val="0"/>
        <w:adjustRightInd w:val="0"/>
        <w:spacing w:line="276" w:lineRule="auto"/>
        <w:ind w:left="708" w:firstLine="708"/>
        <w:rPr>
          <w:rFonts w:ascii="Arial" w:eastAsia="CIDFont+F1" w:hAnsi="Arial" w:cs="Arial"/>
          <w:color w:val="000000" w:themeColor="text1"/>
        </w:rPr>
      </w:pPr>
      <w:r w:rsidRPr="00D74025">
        <w:rPr>
          <w:rFonts w:ascii="Arial" w:eastAsia="CIDFont+F1" w:hAnsi="Arial" w:cs="Arial"/>
          <w:color w:val="000000" w:themeColor="text1"/>
        </w:rPr>
        <w:t>a. Store supernatant.</w:t>
      </w:r>
    </w:p>
    <w:p w14:paraId="1103748D" w14:textId="77777777" w:rsidR="00B13236" w:rsidRPr="00D74025" w:rsidRDefault="00B13236" w:rsidP="00F6020C">
      <w:pPr>
        <w:autoSpaceDE w:val="0"/>
        <w:autoSpaceDN w:val="0"/>
        <w:adjustRightInd w:val="0"/>
        <w:spacing w:line="276" w:lineRule="auto"/>
        <w:ind w:left="708" w:firstLine="708"/>
        <w:rPr>
          <w:rFonts w:ascii="Arial" w:eastAsia="CIDFont+F1" w:hAnsi="Arial" w:cs="Arial"/>
          <w:color w:val="000000" w:themeColor="text1"/>
        </w:rPr>
      </w:pPr>
      <w:r w:rsidRPr="00D74025">
        <w:rPr>
          <w:rFonts w:ascii="Arial" w:eastAsia="CIDFont+F1" w:hAnsi="Arial" w:cs="Arial"/>
          <w:color w:val="000000" w:themeColor="text1"/>
        </w:rPr>
        <w:t>b. Aggregates will drop to the bottom of solution.</w:t>
      </w:r>
    </w:p>
    <w:p w14:paraId="4C9AF39A" w14:textId="5A030725" w:rsidR="00B13236" w:rsidRPr="00D74025" w:rsidRDefault="00B13236" w:rsidP="00F6020C">
      <w:pPr>
        <w:autoSpaceDE w:val="0"/>
        <w:autoSpaceDN w:val="0"/>
        <w:adjustRightInd w:val="0"/>
        <w:spacing w:line="276" w:lineRule="auto"/>
        <w:ind w:left="1440"/>
        <w:rPr>
          <w:rFonts w:ascii="Arial" w:eastAsia="CIDFont+F1" w:hAnsi="Arial" w:cs="Arial"/>
          <w:b/>
          <w:color w:val="000000" w:themeColor="text1"/>
        </w:rPr>
      </w:pPr>
      <w:r w:rsidRPr="00D74025">
        <w:rPr>
          <w:rFonts w:ascii="Arial" w:eastAsia="CIDFont+F1" w:hAnsi="Arial" w:cs="Arial"/>
          <w:color w:val="000000" w:themeColor="text1"/>
        </w:rPr>
        <w:t>c. Transfer SW</w:t>
      </w:r>
      <w:r w:rsidR="000F48BD" w:rsidRPr="00D74025">
        <w:rPr>
          <w:rFonts w:ascii="Arial" w:eastAsia="CIDFont+F1" w:hAnsi="Arial" w:cs="Arial"/>
          <w:color w:val="000000" w:themeColor="text1"/>
        </w:rPr>
        <w:t>C</w:t>
      </w:r>
      <w:r w:rsidRPr="00D74025">
        <w:rPr>
          <w:rFonts w:ascii="Arial" w:eastAsia="CIDFont+F1" w:hAnsi="Arial" w:cs="Arial"/>
          <w:color w:val="000000" w:themeColor="text1"/>
        </w:rPr>
        <w:t xml:space="preserve">NTs supernatant solution to new tube and </w:t>
      </w:r>
      <w:r w:rsidRPr="00D74025">
        <w:rPr>
          <w:rFonts w:ascii="Arial" w:eastAsia="CIDFont+F1" w:hAnsi="Arial" w:cs="Arial"/>
          <w:b/>
          <w:color w:val="000000" w:themeColor="text1"/>
        </w:rPr>
        <w:t xml:space="preserve">repeat steps </w:t>
      </w:r>
      <w:proofErr w:type="gramStart"/>
      <w:r w:rsidRPr="00D74025">
        <w:rPr>
          <w:rFonts w:ascii="Arial" w:eastAsia="CIDFont+F1" w:hAnsi="Arial" w:cs="Arial"/>
          <w:b/>
          <w:color w:val="000000" w:themeColor="text1"/>
        </w:rPr>
        <w:t>a and</w:t>
      </w:r>
      <w:proofErr w:type="gramEnd"/>
      <w:r w:rsidRPr="00D74025">
        <w:rPr>
          <w:rFonts w:ascii="Arial" w:eastAsia="CIDFont+F1" w:hAnsi="Arial" w:cs="Arial"/>
          <w:b/>
          <w:color w:val="000000" w:themeColor="text1"/>
        </w:rPr>
        <w:t xml:space="preserve"> b.</w:t>
      </w:r>
    </w:p>
    <w:p w14:paraId="6F80457E" w14:textId="23BC2F92" w:rsidR="00B13236" w:rsidRPr="00D74025" w:rsidRDefault="00B13236" w:rsidP="00F6020C">
      <w:pPr>
        <w:autoSpaceDE w:val="0"/>
        <w:autoSpaceDN w:val="0"/>
        <w:adjustRightInd w:val="0"/>
        <w:spacing w:before="240" w:line="276" w:lineRule="auto"/>
        <w:rPr>
          <w:rFonts w:ascii="Arial" w:eastAsia="CIDFont+F1" w:hAnsi="Arial" w:cs="Arial"/>
          <w:color w:val="000000" w:themeColor="text1"/>
        </w:rPr>
      </w:pPr>
      <w:r w:rsidRPr="00D74025">
        <w:rPr>
          <w:rFonts w:ascii="Arial" w:eastAsia="CIDFont+F1" w:hAnsi="Arial" w:cs="Arial"/>
          <w:color w:val="000000" w:themeColor="text1"/>
        </w:rPr>
        <w:t>3. Dissolve DSPE-PEG-</w:t>
      </w:r>
      <w:r w:rsidR="004F5546">
        <w:rPr>
          <w:rFonts w:ascii="Arial" w:eastAsia="CIDFont+F1" w:hAnsi="Arial" w:cs="Arial"/>
          <w:color w:val="000000" w:themeColor="text1"/>
        </w:rPr>
        <w:t>m</w:t>
      </w:r>
      <w:r w:rsidRPr="00D74025">
        <w:rPr>
          <w:rFonts w:ascii="Arial" w:eastAsia="CIDFont+F1" w:hAnsi="Arial" w:cs="Arial"/>
          <w:color w:val="000000" w:themeColor="text1"/>
        </w:rPr>
        <w:t>aleimide linker (MW 4368 Da) at 1.5 mg/ml in 1% SDS.</w:t>
      </w:r>
    </w:p>
    <w:p w14:paraId="26F6D7DB" w14:textId="69A70B0C" w:rsidR="00B13236" w:rsidRPr="00D74025" w:rsidRDefault="00B13236" w:rsidP="00F6020C">
      <w:pPr>
        <w:autoSpaceDE w:val="0"/>
        <w:autoSpaceDN w:val="0"/>
        <w:adjustRightInd w:val="0"/>
        <w:spacing w:line="276" w:lineRule="auto"/>
        <w:ind w:firstLine="708"/>
        <w:rPr>
          <w:rFonts w:ascii="Arial" w:eastAsia="CIDFont+F1" w:hAnsi="Arial" w:cs="Arial"/>
          <w:color w:val="000000" w:themeColor="text1"/>
        </w:rPr>
      </w:pPr>
      <w:r w:rsidRPr="00D74025">
        <w:rPr>
          <w:rFonts w:ascii="Arial" w:eastAsia="CIDFont+F1" w:hAnsi="Arial" w:cs="Arial"/>
          <w:color w:val="000000" w:themeColor="text1"/>
        </w:rPr>
        <w:t>a. Dissolve 1.5</w:t>
      </w:r>
      <w:r w:rsidR="004F5546">
        <w:rPr>
          <w:rFonts w:ascii="Arial" w:eastAsia="CIDFont+F1" w:hAnsi="Arial" w:cs="Arial"/>
          <w:color w:val="000000" w:themeColor="text1"/>
        </w:rPr>
        <w:t xml:space="preserve"> </w:t>
      </w:r>
      <w:r w:rsidRPr="00D74025">
        <w:rPr>
          <w:rFonts w:ascii="Arial" w:eastAsia="CIDFont+F1" w:hAnsi="Arial" w:cs="Arial"/>
          <w:color w:val="000000" w:themeColor="text1"/>
        </w:rPr>
        <w:t>mg of linker in 1</w:t>
      </w:r>
      <w:r w:rsidR="004F5546">
        <w:rPr>
          <w:rFonts w:ascii="Arial" w:eastAsia="CIDFont+F1" w:hAnsi="Arial" w:cs="Arial"/>
          <w:color w:val="000000" w:themeColor="text1"/>
        </w:rPr>
        <w:t xml:space="preserve"> </w:t>
      </w:r>
      <w:r w:rsidRPr="00D74025">
        <w:rPr>
          <w:rFonts w:ascii="Arial" w:eastAsia="CIDFont+F1" w:hAnsi="Arial" w:cs="Arial"/>
          <w:color w:val="000000" w:themeColor="text1"/>
        </w:rPr>
        <w:t>mL 1% SDS.</w:t>
      </w:r>
      <w:r w:rsidR="000F48BD" w:rsidRPr="00D74025">
        <w:rPr>
          <w:rFonts w:ascii="Arial" w:eastAsia="CIDFont+F1" w:hAnsi="Arial" w:cs="Arial"/>
          <w:color w:val="000000" w:themeColor="text1"/>
        </w:rPr>
        <w:t xml:space="preserve"> Rounds of water bath sonication</w:t>
      </w:r>
      <w:r w:rsidR="004F5546">
        <w:rPr>
          <w:rFonts w:ascii="Arial" w:eastAsia="CIDFont+F1" w:hAnsi="Arial" w:cs="Arial"/>
          <w:color w:val="000000" w:themeColor="text1"/>
        </w:rPr>
        <w:t xml:space="preserve"> </w:t>
      </w:r>
      <w:r w:rsidR="000F48BD" w:rsidRPr="00D74025">
        <w:rPr>
          <w:rFonts w:ascii="Arial" w:eastAsia="CIDFont+F1" w:hAnsi="Arial" w:cs="Arial"/>
          <w:color w:val="000000" w:themeColor="text1"/>
        </w:rPr>
        <w:t xml:space="preserve">and </w:t>
      </w:r>
      <w:proofErr w:type="spellStart"/>
      <w:r w:rsidR="000F48BD" w:rsidRPr="00D74025">
        <w:rPr>
          <w:rFonts w:ascii="Arial" w:eastAsia="CIDFont+F1" w:hAnsi="Arial" w:cs="Arial"/>
          <w:color w:val="000000" w:themeColor="text1"/>
        </w:rPr>
        <w:t>vortexing</w:t>
      </w:r>
      <w:proofErr w:type="spellEnd"/>
      <w:r w:rsidR="000F48BD" w:rsidRPr="00D74025">
        <w:rPr>
          <w:rFonts w:ascii="Arial" w:eastAsia="CIDFont+F1" w:hAnsi="Arial" w:cs="Arial"/>
          <w:color w:val="000000" w:themeColor="text1"/>
        </w:rPr>
        <w:t xml:space="preserve"> helps with dissolution.</w:t>
      </w:r>
    </w:p>
    <w:p w14:paraId="66C3A162" w14:textId="77777777" w:rsidR="00B13236" w:rsidRPr="00D74025" w:rsidRDefault="00B13236" w:rsidP="00F6020C">
      <w:pPr>
        <w:autoSpaceDE w:val="0"/>
        <w:autoSpaceDN w:val="0"/>
        <w:adjustRightInd w:val="0"/>
        <w:spacing w:line="276" w:lineRule="auto"/>
        <w:ind w:firstLine="708"/>
        <w:rPr>
          <w:rFonts w:ascii="Arial" w:eastAsia="CIDFont+F1" w:hAnsi="Arial" w:cs="Arial"/>
          <w:color w:val="000000" w:themeColor="text1"/>
        </w:rPr>
      </w:pPr>
      <w:r w:rsidRPr="00D74025">
        <w:rPr>
          <w:rFonts w:ascii="Arial" w:eastAsia="CIDFont+F1" w:hAnsi="Arial" w:cs="Arial"/>
          <w:color w:val="000000" w:themeColor="text1"/>
        </w:rPr>
        <w:t>b. Store linker at -20˚C under nitrogen.</w:t>
      </w:r>
    </w:p>
    <w:p w14:paraId="7A13089C" w14:textId="41A90791" w:rsidR="00B13236" w:rsidRPr="00D74025" w:rsidRDefault="00B13236" w:rsidP="00F6020C">
      <w:pPr>
        <w:autoSpaceDE w:val="0"/>
        <w:autoSpaceDN w:val="0"/>
        <w:adjustRightInd w:val="0"/>
        <w:spacing w:before="240" w:line="276" w:lineRule="auto"/>
        <w:rPr>
          <w:rFonts w:ascii="Arial" w:eastAsia="CIDFont+F1" w:hAnsi="Arial" w:cs="Arial"/>
          <w:color w:val="000000" w:themeColor="text1"/>
        </w:rPr>
      </w:pPr>
      <w:r w:rsidRPr="00D74025">
        <w:rPr>
          <w:rFonts w:ascii="Arial" w:eastAsia="CIDFont+F1" w:hAnsi="Arial" w:cs="Arial"/>
          <w:color w:val="000000" w:themeColor="text1"/>
        </w:rPr>
        <w:t>4. Add 1 ml of linker to 5 ml of SW</w:t>
      </w:r>
      <w:r w:rsidR="000F48BD" w:rsidRPr="00D74025">
        <w:rPr>
          <w:rFonts w:ascii="Arial" w:eastAsia="CIDFont+F1" w:hAnsi="Arial" w:cs="Arial"/>
          <w:color w:val="000000" w:themeColor="text1"/>
        </w:rPr>
        <w:t>C</w:t>
      </w:r>
      <w:r w:rsidRPr="00D74025">
        <w:rPr>
          <w:rFonts w:ascii="Arial" w:eastAsia="CIDFont+F1" w:hAnsi="Arial" w:cs="Arial"/>
          <w:color w:val="000000" w:themeColor="text1"/>
        </w:rPr>
        <w:t>NT suspension.</w:t>
      </w:r>
    </w:p>
    <w:p w14:paraId="473E4AF9" w14:textId="77777777" w:rsidR="00B13236" w:rsidRPr="00D74025" w:rsidRDefault="00B13236" w:rsidP="00F6020C">
      <w:pPr>
        <w:autoSpaceDE w:val="0"/>
        <w:autoSpaceDN w:val="0"/>
        <w:adjustRightInd w:val="0"/>
        <w:spacing w:before="240" w:line="276" w:lineRule="auto"/>
        <w:rPr>
          <w:rFonts w:ascii="Arial" w:eastAsia="CIDFont+F1" w:hAnsi="Arial" w:cs="Arial"/>
          <w:color w:val="000000" w:themeColor="text1"/>
        </w:rPr>
      </w:pPr>
      <w:r w:rsidRPr="00D74025">
        <w:rPr>
          <w:rFonts w:ascii="Arial" w:eastAsia="CIDFont+F1" w:hAnsi="Arial" w:cs="Arial"/>
          <w:color w:val="000000" w:themeColor="text1"/>
        </w:rPr>
        <w:t>5. Mix at RT for 30 min with gentle shaking on shaker with stir bar.</w:t>
      </w:r>
    </w:p>
    <w:p w14:paraId="3BCF0780" w14:textId="1E6E9575" w:rsidR="00B13236" w:rsidRPr="00D74025" w:rsidRDefault="00B13236" w:rsidP="00F6020C">
      <w:pPr>
        <w:autoSpaceDE w:val="0"/>
        <w:autoSpaceDN w:val="0"/>
        <w:adjustRightInd w:val="0"/>
        <w:spacing w:before="240" w:line="276" w:lineRule="auto"/>
        <w:rPr>
          <w:rFonts w:ascii="Arial" w:eastAsia="CIDFont+F1" w:hAnsi="Arial" w:cs="Arial"/>
          <w:color w:val="000000" w:themeColor="text1"/>
        </w:rPr>
      </w:pPr>
      <w:r w:rsidRPr="00D74025">
        <w:rPr>
          <w:rFonts w:ascii="Arial" w:eastAsia="CIDFont+F1" w:hAnsi="Arial" w:cs="Arial"/>
          <w:color w:val="000000" w:themeColor="text1"/>
        </w:rPr>
        <w:lastRenderedPageBreak/>
        <w:t>6. Dialyze SW</w:t>
      </w:r>
      <w:r w:rsidR="00187AE6">
        <w:rPr>
          <w:rFonts w:ascii="Arial" w:eastAsia="CIDFont+F1" w:hAnsi="Arial" w:cs="Arial"/>
          <w:color w:val="000000" w:themeColor="text1"/>
        </w:rPr>
        <w:t>C</w:t>
      </w:r>
      <w:r w:rsidRPr="00D74025">
        <w:rPr>
          <w:rFonts w:ascii="Arial" w:eastAsia="CIDFont+F1" w:hAnsi="Arial" w:cs="Arial"/>
          <w:color w:val="000000" w:themeColor="text1"/>
        </w:rPr>
        <w:t xml:space="preserve">NT-linker for 8 </w:t>
      </w:r>
      <w:proofErr w:type="spellStart"/>
      <w:r w:rsidRPr="00D74025">
        <w:rPr>
          <w:rFonts w:ascii="Arial" w:eastAsia="CIDFont+F1" w:hAnsi="Arial" w:cs="Arial"/>
          <w:color w:val="000000" w:themeColor="text1"/>
        </w:rPr>
        <w:t>hr</w:t>
      </w:r>
      <w:proofErr w:type="spellEnd"/>
      <w:r w:rsidRPr="00D74025">
        <w:rPr>
          <w:rFonts w:ascii="Arial" w:eastAsia="CIDFont+F1" w:hAnsi="Arial" w:cs="Arial"/>
          <w:color w:val="000000" w:themeColor="text1"/>
        </w:rPr>
        <w:t xml:space="preserve"> against 2 L of DI water. Change the dialysate after 4 hr. Use a 2 </w:t>
      </w:r>
      <w:proofErr w:type="spellStart"/>
      <w:r w:rsidRPr="00D74025">
        <w:rPr>
          <w:rFonts w:ascii="Arial" w:eastAsia="CIDFont+F1" w:hAnsi="Arial" w:cs="Arial"/>
          <w:color w:val="000000" w:themeColor="text1"/>
        </w:rPr>
        <w:t>kD</w:t>
      </w:r>
      <w:proofErr w:type="spellEnd"/>
      <w:r w:rsidRPr="00D74025">
        <w:rPr>
          <w:rFonts w:ascii="Arial" w:eastAsia="CIDFont+F1" w:hAnsi="Arial" w:cs="Arial"/>
          <w:color w:val="000000" w:themeColor="text1"/>
        </w:rPr>
        <w:t xml:space="preserve"> dialysis membrane.</w:t>
      </w:r>
      <w:r w:rsidR="00D66ABE" w:rsidRPr="00D74025">
        <w:rPr>
          <w:rFonts w:ascii="Arial" w:eastAsia="CIDFont+F1" w:hAnsi="Arial" w:cs="Arial"/>
          <w:color w:val="000000" w:themeColor="text1"/>
        </w:rPr>
        <w:t xml:space="preserve"> Do not allow this dialysis to go to long (more than 8 h).</w:t>
      </w:r>
    </w:p>
    <w:p w14:paraId="3E92D78B" w14:textId="3DA223FB" w:rsidR="00B13236" w:rsidRPr="00D74025" w:rsidRDefault="00B13236" w:rsidP="00F6020C">
      <w:pPr>
        <w:autoSpaceDE w:val="0"/>
        <w:autoSpaceDN w:val="0"/>
        <w:adjustRightInd w:val="0"/>
        <w:spacing w:before="240" w:line="276" w:lineRule="auto"/>
        <w:rPr>
          <w:rFonts w:ascii="Arial" w:eastAsia="CIDFont+F1" w:hAnsi="Arial" w:cs="Arial"/>
          <w:color w:val="000000" w:themeColor="text1"/>
        </w:rPr>
      </w:pPr>
      <w:r w:rsidRPr="00D74025">
        <w:rPr>
          <w:rFonts w:ascii="Arial" w:eastAsia="CIDFont+F1" w:hAnsi="Arial" w:cs="Arial"/>
          <w:color w:val="000000" w:themeColor="text1"/>
        </w:rPr>
        <w:t xml:space="preserve">7. Reconstitute 5 mg of </w:t>
      </w:r>
      <w:r w:rsidR="008846E4">
        <w:rPr>
          <w:rFonts w:ascii="Arial" w:eastAsia="CIDFont+F1" w:hAnsi="Arial" w:cs="Arial"/>
          <w:color w:val="000000" w:themeColor="text1"/>
        </w:rPr>
        <w:t>a</w:t>
      </w:r>
      <w:r w:rsidRPr="00D74025">
        <w:rPr>
          <w:rFonts w:ascii="Arial" w:eastAsia="CIDFont+F1" w:hAnsi="Arial" w:cs="Arial"/>
          <w:color w:val="000000" w:themeColor="text1"/>
        </w:rPr>
        <w:t xml:space="preserve">nnexin </w:t>
      </w:r>
      <w:r w:rsidR="008846E4">
        <w:rPr>
          <w:rFonts w:ascii="Arial" w:eastAsia="CIDFont+F1" w:hAnsi="Arial" w:cs="Arial"/>
          <w:color w:val="000000" w:themeColor="text1"/>
        </w:rPr>
        <w:t>A5</w:t>
      </w:r>
      <w:r w:rsidRPr="00D74025">
        <w:rPr>
          <w:rFonts w:ascii="Arial" w:eastAsia="CIDFont+F1" w:hAnsi="Arial" w:cs="Arial"/>
          <w:color w:val="000000" w:themeColor="text1"/>
        </w:rPr>
        <w:t xml:space="preserve"> protein with 1 ml of DI water.</w:t>
      </w:r>
    </w:p>
    <w:p w14:paraId="2263CC1C" w14:textId="2DC17E68" w:rsidR="00B13236" w:rsidRPr="00D74025" w:rsidRDefault="00B13236" w:rsidP="00F6020C">
      <w:pPr>
        <w:autoSpaceDE w:val="0"/>
        <w:autoSpaceDN w:val="0"/>
        <w:adjustRightInd w:val="0"/>
        <w:spacing w:line="276" w:lineRule="auto"/>
        <w:ind w:firstLine="708"/>
        <w:rPr>
          <w:rFonts w:ascii="Arial" w:eastAsia="CIDFont+F1" w:hAnsi="Arial" w:cs="Arial"/>
          <w:color w:val="000000" w:themeColor="text1"/>
        </w:rPr>
      </w:pPr>
      <w:r w:rsidRPr="00D74025">
        <w:rPr>
          <w:rFonts w:ascii="Arial" w:eastAsia="CIDFont+F1" w:hAnsi="Arial" w:cs="Arial"/>
          <w:color w:val="000000" w:themeColor="text1"/>
        </w:rPr>
        <w:t xml:space="preserve">a. Conduct a Bradford </w:t>
      </w:r>
      <w:r w:rsidR="008846E4">
        <w:rPr>
          <w:rFonts w:ascii="Arial" w:eastAsia="CIDFont+F1" w:hAnsi="Arial" w:cs="Arial"/>
          <w:color w:val="000000" w:themeColor="text1"/>
        </w:rPr>
        <w:t>a</w:t>
      </w:r>
      <w:r w:rsidRPr="00D74025">
        <w:rPr>
          <w:rFonts w:ascii="Arial" w:eastAsia="CIDFont+F1" w:hAnsi="Arial" w:cs="Arial"/>
          <w:color w:val="000000" w:themeColor="text1"/>
        </w:rPr>
        <w:t>ssay to confirm protein concentration.</w:t>
      </w:r>
    </w:p>
    <w:p w14:paraId="6410A938" w14:textId="58498F80" w:rsidR="000F48BD" w:rsidRPr="00D74025" w:rsidRDefault="000F48BD" w:rsidP="000F48BD">
      <w:pPr>
        <w:autoSpaceDE w:val="0"/>
        <w:autoSpaceDN w:val="0"/>
        <w:adjustRightInd w:val="0"/>
        <w:spacing w:line="276" w:lineRule="auto"/>
        <w:ind w:left="720"/>
        <w:rPr>
          <w:rFonts w:ascii="Arial" w:eastAsia="CIDFont+F1" w:hAnsi="Arial" w:cs="Arial"/>
          <w:color w:val="000000" w:themeColor="text1"/>
        </w:rPr>
      </w:pPr>
      <w:r w:rsidRPr="00D74025">
        <w:rPr>
          <w:rFonts w:ascii="Arial" w:eastAsia="CIDFont+F1" w:hAnsi="Arial" w:cs="Arial"/>
          <w:color w:val="000000" w:themeColor="text1"/>
        </w:rPr>
        <w:t xml:space="preserve">b. Protein concentration should approach 5 mg/ml. If protein concentration is lower than that, use protein concentrators (10 </w:t>
      </w:r>
      <w:proofErr w:type="spellStart"/>
      <w:r w:rsidRPr="00D74025">
        <w:rPr>
          <w:rFonts w:ascii="Arial" w:eastAsia="CIDFont+F1" w:hAnsi="Arial" w:cs="Arial"/>
          <w:color w:val="000000" w:themeColor="text1"/>
        </w:rPr>
        <w:t>kDa</w:t>
      </w:r>
      <w:proofErr w:type="spellEnd"/>
      <w:r w:rsidRPr="00D74025">
        <w:rPr>
          <w:rFonts w:ascii="Arial" w:eastAsia="CIDFont+F1" w:hAnsi="Arial" w:cs="Arial"/>
          <w:color w:val="000000" w:themeColor="text1"/>
        </w:rPr>
        <w:t>) to increase concentration.</w:t>
      </w:r>
    </w:p>
    <w:p w14:paraId="564C8528" w14:textId="238F6747" w:rsidR="000F48BD" w:rsidRPr="00D74025" w:rsidRDefault="00B13236" w:rsidP="00F6020C">
      <w:pPr>
        <w:autoSpaceDE w:val="0"/>
        <w:autoSpaceDN w:val="0"/>
        <w:adjustRightInd w:val="0"/>
        <w:spacing w:before="240" w:line="276" w:lineRule="auto"/>
        <w:rPr>
          <w:rFonts w:ascii="Arial" w:eastAsia="CIDFont+F1" w:hAnsi="Arial" w:cs="Arial"/>
          <w:color w:val="000000" w:themeColor="text1"/>
        </w:rPr>
      </w:pPr>
      <w:r w:rsidRPr="00D74025">
        <w:rPr>
          <w:rFonts w:ascii="Arial" w:eastAsia="CIDFont+F1" w:hAnsi="Arial" w:cs="Arial"/>
          <w:color w:val="000000" w:themeColor="text1"/>
        </w:rPr>
        <w:t>8. Take 2 ml of SW</w:t>
      </w:r>
      <w:r w:rsidR="000F48BD" w:rsidRPr="00D74025">
        <w:rPr>
          <w:rFonts w:ascii="Arial" w:eastAsia="CIDFont+F1" w:hAnsi="Arial" w:cs="Arial"/>
          <w:color w:val="000000" w:themeColor="text1"/>
        </w:rPr>
        <w:t>C</w:t>
      </w:r>
      <w:r w:rsidRPr="00D74025">
        <w:rPr>
          <w:rFonts w:ascii="Arial" w:eastAsia="CIDFont+F1" w:hAnsi="Arial" w:cs="Arial"/>
          <w:color w:val="000000" w:themeColor="text1"/>
        </w:rPr>
        <w:t>NT-linker suspension and add 5</w:t>
      </w:r>
      <w:r w:rsidR="000F48BD" w:rsidRPr="00D74025">
        <w:rPr>
          <w:rFonts w:ascii="Arial" w:eastAsia="CIDFont+F1" w:hAnsi="Arial" w:cs="Arial"/>
          <w:color w:val="000000" w:themeColor="text1"/>
        </w:rPr>
        <w:t xml:space="preserve"> </w:t>
      </w:r>
      <w:r w:rsidRPr="00D74025">
        <w:rPr>
          <w:rFonts w:ascii="Arial" w:eastAsia="CIDFont+F1" w:hAnsi="Arial" w:cs="Arial"/>
          <w:color w:val="000000" w:themeColor="text1"/>
        </w:rPr>
        <w:t xml:space="preserve">mg of </w:t>
      </w:r>
      <w:r w:rsidR="000F48BD" w:rsidRPr="00D74025">
        <w:rPr>
          <w:rFonts w:ascii="Arial" w:eastAsia="CIDFont+F1" w:hAnsi="Arial" w:cs="Arial"/>
          <w:color w:val="000000" w:themeColor="text1"/>
        </w:rPr>
        <w:t>ANXA5</w:t>
      </w:r>
      <w:r w:rsidRPr="00D74025">
        <w:rPr>
          <w:rFonts w:ascii="Arial" w:eastAsia="CIDFont+F1" w:hAnsi="Arial" w:cs="Arial"/>
          <w:color w:val="000000" w:themeColor="text1"/>
        </w:rPr>
        <w:t xml:space="preserve"> to it. (</w:t>
      </w:r>
      <w:proofErr w:type="spellStart"/>
      <w:proofErr w:type="gramStart"/>
      <w:r w:rsidR="006B0706">
        <w:rPr>
          <w:rFonts w:ascii="Arial" w:eastAsia="CIDFont+F1" w:hAnsi="Arial" w:cs="Arial"/>
          <w:color w:val="000000" w:themeColor="text1"/>
        </w:rPr>
        <w:t>a</w:t>
      </w:r>
      <w:r w:rsidRPr="00D74025">
        <w:rPr>
          <w:rFonts w:ascii="Arial" w:eastAsia="CIDFont+F1" w:hAnsi="Arial" w:cs="Arial"/>
          <w:color w:val="000000" w:themeColor="text1"/>
        </w:rPr>
        <w:t>nnexin:linker</w:t>
      </w:r>
      <w:proofErr w:type="spellEnd"/>
      <w:proofErr w:type="gramEnd"/>
      <w:r w:rsidRPr="00D74025">
        <w:rPr>
          <w:rFonts w:ascii="Arial" w:eastAsia="CIDFont+F1" w:hAnsi="Arial" w:cs="Arial"/>
          <w:color w:val="000000" w:themeColor="text1"/>
        </w:rPr>
        <w:t xml:space="preserve"> molar ratio= 1.05:1)</w:t>
      </w:r>
      <w:r w:rsidR="006B0706">
        <w:rPr>
          <w:rFonts w:ascii="Arial" w:eastAsia="CIDFont+F1" w:hAnsi="Arial" w:cs="Arial"/>
          <w:color w:val="000000" w:themeColor="text1"/>
        </w:rPr>
        <w:t>.</w:t>
      </w:r>
    </w:p>
    <w:p w14:paraId="06D5575D" w14:textId="69F9E5EB" w:rsidR="00B13236" w:rsidRPr="00D74025" w:rsidRDefault="00B13236" w:rsidP="00F6020C">
      <w:pPr>
        <w:autoSpaceDE w:val="0"/>
        <w:autoSpaceDN w:val="0"/>
        <w:adjustRightInd w:val="0"/>
        <w:spacing w:before="240" w:line="276" w:lineRule="auto"/>
        <w:rPr>
          <w:rFonts w:ascii="Arial" w:eastAsia="CIDFont+F1" w:hAnsi="Arial" w:cs="Arial"/>
          <w:color w:val="000000" w:themeColor="text1"/>
        </w:rPr>
      </w:pPr>
      <w:r w:rsidRPr="00D74025">
        <w:rPr>
          <w:rFonts w:ascii="Arial" w:eastAsia="CIDFont+F1" w:hAnsi="Arial" w:cs="Arial"/>
          <w:color w:val="000000" w:themeColor="text1"/>
        </w:rPr>
        <w:t>9. Mix the SW</w:t>
      </w:r>
      <w:r w:rsidR="00D66ABE" w:rsidRPr="00D74025">
        <w:rPr>
          <w:rFonts w:ascii="Arial" w:eastAsia="CIDFont+F1" w:hAnsi="Arial" w:cs="Arial"/>
          <w:color w:val="000000" w:themeColor="text1"/>
        </w:rPr>
        <w:t>C</w:t>
      </w:r>
      <w:r w:rsidRPr="00D74025">
        <w:rPr>
          <w:rFonts w:ascii="Arial" w:eastAsia="CIDFont+F1" w:hAnsi="Arial" w:cs="Arial"/>
          <w:color w:val="000000" w:themeColor="text1"/>
        </w:rPr>
        <w:t xml:space="preserve">NT-linker and </w:t>
      </w:r>
      <w:r w:rsidR="00D66ABE" w:rsidRPr="00D74025">
        <w:rPr>
          <w:rFonts w:ascii="Arial" w:eastAsia="CIDFont+F1" w:hAnsi="Arial" w:cs="Arial"/>
          <w:color w:val="000000" w:themeColor="text1"/>
        </w:rPr>
        <w:t>ANXA5</w:t>
      </w:r>
      <w:r w:rsidRPr="00D74025">
        <w:rPr>
          <w:rFonts w:ascii="Arial" w:eastAsia="CIDFont+F1" w:hAnsi="Arial" w:cs="Arial"/>
          <w:color w:val="000000" w:themeColor="text1"/>
        </w:rPr>
        <w:t xml:space="preserve"> at </w:t>
      </w:r>
      <w:r w:rsidR="00D66ABE" w:rsidRPr="00D74025">
        <w:rPr>
          <w:rFonts w:ascii="Arial" w:eastAsia="CIDFont+F1" w:hAnsi="Arial" w:cs="Arial"/>
          <w:color w:val="000000" w:themeColor="text1"/>
        </w:rPr>
        <w:t>room temperature</w:t>
      </w:r>
      <w:r w:rsidRPr="00D74025">
        <w:rPr>
          <w:rFonts w:ascii="Arial" w:eastAsia="CIDFont+F1" w:hAnsi="Arial" w:cs="Arial"/>
          <w:color w:val="000000" w:themeColor="text1"/>
        </w:rPr>
        <w:t xml:space="preserve"> for 2 h with gentle shaking on shaker (3 ml total volume).</w:t>
      </w:r>
    </w:p>
    <w:p w14:paraId="4185399E" w14:textId="3E9026C9" w:rsidR="00B13236" w:rsidRPr="00D74025" w:rsidRDefault="00B13236" w:rsidP="00F6020C">
      <w:pPr>
        <w:autoSpaceDE w:val="0"/>
        <w:autoSpaceDN w:val="0"/>
        <w:adjustRightInd w:val="0"/>
        <w:spacing w:before="240" w:line="276" w:lineRule="auto"/>
        <w:rPr>
          <w:rFonts w:ascii="Arial" w:eastAsia="CIDFont+F1" w:hAnsi="Arial" w:cs="Arial"/>
          <w:color w:val="000000" w:themeColor="text1"/>
        </w:rPr>
      </w:pPr>
      <w:r w:rsidRPr="00D74025">
        <w:rPr>
          <w:rFonts w:ascii="Arial" w:eastAsia="CIDFont+F1" w:hAnsi="Arial" w:cs="Arial"/>
          <w:color w:val="000000" w:themeColor="text1"/>
        </w:rPr>
        <w:t xml:space="preserve">10. Block unreacted linker sites with 0.166 mg of L-cysteine and mix at RT for 1 </w:t>
      </w:r>
      <w:proofErr w:type="spellStart"/>
      <w:r w:rsidRPr="00D74025">
        <w:rPr>
          <w:rFonts w:ascii="Arial" w:eastAsia="CIDFont+F1" w:hAnsi="Arial" w:cs="Arial"/>
          <w:color w:val="000000" w:themeColor="text1"/>
        </w:rPr>
        <w:t>hr</w:t>
      </w:r>
      <w:proofErr w:type="spellEnd"/>
      <w:r w:rsidRPr="00D74025">
        <w:rPr>
          <w:rFonts w:ascii="Arial" w:eastAsia="CIDFont+F1" w:hAnsi="Arial" w:cs="Arial"/>
          <w:color w:val="000000" w:themeColor="text1"/>
        </w:rPr>
        <w:t xml:space="preserve"> with gentle shaking. (The molar ration of </w:t>
      </w:r>
      <w:proofErr w:type="spellStart"/>
      <w:r w:rsidRPr="00D74025">
        <w:rPr>
          <w:rFonts w:ascii="Arial" w:eastAsia="CIDFont+F1" w:hAnsi="Arial" w:cs="Arial"/>
          <w:color w:val="000000" w:themeColor="text1"/>
        </w:rPr>
        <w:t>L-</w:t>
      </w:r>
      <w:proofErr w:type="gramStart"/>
      <w:r w:rsidRPr="00D74025">
        <w:rPr>
          <w:rFonts w:ascii="Arial" w:eastAsia="CIDFont+F1" w:hAnsi="Arial" w:cs="Arial"/>
          <w:color w:val="000000" w:themeColor="text1"/>
        </w:rPr>
        <w:t>cys:linker</w:t>
      </w:r>
      <w:proofErr w:type="spellEnd"/>
      <w:proofErr w:type="gramEnd"/>
      <w:r w:rsidRPr="00D74025">
        <w:rPr>
          <w:rFonts w:ascii="Arial" w:eastAsia="CIDFont+F1" w:hAnsi="Arial" w:cs="Arial"/>
          <w:color w:val="000000" w:themeColor="text1"/>
        </w:rPr>
        <w:t xml:space="preserve"> is 4:1)</w:t>
      </w:r>
      <w:r w:rsidR="006B0706">
        <w:rPr>
          <w:rFonts w:ascii="Arial" w:eastAsia="CIDFont+F1" w:hAnsi="Arial" w:cs="Arial"/>
          <w:color w:val="000000" w:themeColor="text1"/>
        </w:rPr>
        <w:t>. A</w:t>
      </w:r>
      <w:r w:rsidRPr="00D74025">
        <w:rPr>
          <w:rFonts w:ascii="Arial" w:eastAsia="CIDFont+F1" w:hAnsi="Arial" w:cs="Arial"/>
          <w:color w:val="000000" w:themeColor="text1"/>
        </w:rPr>
        <w:t>dd 33.2</w:t>
      </w:r>
      <w:r w:rsidR="006B0706">
        <w:rPr>
          <w:rFonts w:ascii="Arial" w:eastAsia="CIDFont+F1" w:hAnsi="Arial" w:cs="Arial"/>
          <w:color w:val="000000" w:themeColor="text1"/>
        </w:rPr>
        <w:t xml:space="preserve"> </w:t>
      </w:r>
      <w:proofErr w:type="spellStart"/>
      <w:r w:rsidRPr="00D74025">
        <w:rPr>
          <w:rFonts w:ascii="Arial" w:eastAsia="CIDFont+F1" w:hAnsi="Arial" w:cs="Arial"/>
          <w:color w:val="000000" w:themeColor="text1"/>
        </w:rPr>
        <w:t>μ</w:t>
      </w:r>
      <w:r w:rsidR="006B0706">
        <w:rPr>
          <w:rFonts w:ascii="Arial" w:eastAsia="CIDFont+F1" w:hAnsi="Arial" w:cs="Arial"/>
          <w:color w:val="000000" w:themeColor="text1"/>
        </w:rPr>
        <w:t>L</w:t>
      </w:r>
      <w:proofErr w:type="spellEnd"/>
      <w:r w:rsidRPr="00D74025">
        <w:rPr>
          <w:rFonts w:ascii="Arial" w:eastAsia="CIDFont+F1" w:hAnsi="Arial" w:cs="Arial"/>
          <w:color w:val="000000" w:themeColor="text1"/>
        </w:rPr>
        <w:t xml:space="preserve"> of a 5</w:t>
      </w:r>
      <w:r w:rsidR="00D66ABE" w:rsidRPr="00D74025">
        <w:rPr>
          <w:rFonts w:ascii="Arial" w:eastAsia="CIDFont+F1" w:hAnsi="Arial" w:cs="Arial"/>
          <w:color w:val="000000" w:themeColor="text1"/>
        </w:rPr>
        <w:t> </w:t>
      </w:r>
      <w:r w:rsidRPr="00D74025">
        <w:rPr>
          <w:rFonts w:ascii="Arial" w:eastAsia="CIDFont+F1" w:hAnsi="Arial" w:cs="Arial"/>
          <w:color w:val="000000" w:themeColor="text1"/>
        </w:rPr>
        <w:t>mg/ml solution of L-</w:t>
      </w:r>
      <w:r w:rsidR="006B0706">
        <w:rPr>
          <w:rFonts w:ascii="Arial" w:eastAsia="CIDFont+F1" w:hAnsi="Arial" w:cs="Arial"/>
          <w:color w:val="000000" w:themeColor="text1"/>
        </w:rPr>
        <w:t>c</w:t>
      </w:r>
      <w:r w:rsidRPr="00D74025">
        <w:rPr>
          <w:rFonts w:ascii="Arial" w:eastAsia="CIDFont+F1" w:hAnsi="Arial" w:cs="Arial"/>
          <w:color w:val="000000" w:themeColor="text1"/>
        </w:rPr>
        <w:t>ysteine.</w:t>
      </w:r>
    </w:p>
    <w:p w14:paraId="55007B7D" w14:textId="77777777" w:rsidR="00D66ABE" w:rsidRPr="00D74025" w:rsidRDefault="00D66ABE" w:rsidP="00F6020C">
      <w:pPr>
        <w:autoSpaceDE w:val="0"/>
        <w:autoSpaceDN w:val="0"/>
        <w:adjustRightInd w:val="0"/>
        <w:spacing w:before="240" w:line="276" w:lineRule="auto"/>
        <w:rPr>
          <w:rFonts w:ascii="Arial" w:eastAsia="CIDFont+F1" w:hAnsi="Arial" w:cs="Arial"/>
          <w:color w:val="000000" w:themeColor="text1"/>
        </w:rPr>
      </w:pPr>
    </w:p>
    <w:p w14:paraId="2F002A08" w14:textId="43291355" w:rsidR="00B13236" w:rsidRPr="00D74025" w:rsidRDefault="00B13236" w:rsidP="00D66ABE">
      <w:pPr>
        <w:autoSpaceDE w:val="0"/>
        <w:autoSpaceDN w:val="0"/>
        <w:adjustRightInd w:val="0"/>
        <w:spacing w:line="276" w:lineRule="auto"/>
        <w:rPr>
          <w:rFonts w:ascii="Arial" w:eastAsia="CIDFont+F1" w:hAnsi="Arial" w:cs="Arial"/>
          <w:color w:val="000000" w:themeColor="text1"/>
        </w:rPr>
      </w:pPr>
      <w:r w:rsidRPr="00D74025">
        <w:rPr>
          <w:rFonts w:ascii="Arial" w:eastAsia="CIDFont+F1" w:hAnsi="Arial" w:cs="Arial"/>
          <w:color w:val="000000" w:themeColor="text1"/>
        </w:rPr>
        <w:t>11. Dialyze the SW</w:t>
      </w:r>
      <w:r w:rsidR="00D66ABE" w:rsidRPr="00D74025">
        <w:rPr>
          <w:rFonts w:ascii="Arial" w:eastAsia="CIDFont+F1" w:hAnsi="Arial" w:cs="Arial"/>
          <w:color w:val="000000" w:themeColor="text1"/>
        </w:rPr>
        <w:t>C</w:t>
      </w:r>
      <w:r w:rsidRPr="00D74025">
        <w:rPr>
          <w:rFonts w:ascii="Arial" w:eastAsia="CIDFont+F1" w:hAnsi="Arial" w:cs="Arial"/>
          <w:color w:val="000000" w:themeColor="text1"/>
        </w:rPr>
        <w:t>NT-</w:t>
      </w:r>
      <w:r w:rsidR="00FC62D9">
        <w:rPr>
          <w:rFonts w:ascii="Arial" w:eastAsia="CIDFont+F1" w:hAnsi="Arial" w:cs="Arial"/>
          <w:color w:val="000000" w:themeColor="text1"/>
        </w:rPr>
        <w:t>a</w:t>
      </w:r>
      <w:r w:rsidRPr="00D74025">
        <w:rPr>
          <w:rFonts w:ascii="Arial" w:eastAsia="CIDFont+F1" w:hAnsi="Arial" w:cs="Arial"/>
          <w:color w:val="000000" w:themeColor="text1"/>
        </w:rPr>
        <w:t xml:space="preserve">nnexin </w:t>
      </w:r>
      <w:r w:rsidR="00FC62D9">
        <w:rPr>
          <w:rFonts w:ascii="Arial" w:eastAsia="CIDFont+F1" w:hAnsi="Arial" w:cs="Arial"/>
          <w:color w:val="000000" w:themeColor="text1"/>
        </w:rPr>
        <w:t>A5</w:t>
      </w:r>
      <w:r w:rsidRPr="00D74025">
        <w:rPr>
          <w:rFonts w:ascii="Arial" w:eastAsia="CIDFont+F1" w:hAnsi="Arial" w:cs="Arial"/>
          <w:color w:val="000000" w:themeColor="text1"/>
        </w:rPr>
        <w:t xml:space="preserve"> conjugate for 8 h against 2 L of 20 mM sodium phosphate buffer at pH 7.4 (</w:t>
      </w:r>
      <w:r w:rsidR="00D66ABE" w:rsidRPr="00D74025">
        <w:rPr>
          <w:rFonts w:ascii="Arial" w:eastAsia="CIDFont+F1" w:hAnsi="Arial" w:cs="Arial"/>
          <w:color w:val="000000" w:themeColor="text1"/>
        </w:rPr>
        <w:t xml:space="preserve">8.61 </w:t>
      </w:r>
      <w:r w:rsidRPr="00D74025">
        <w:rPr>
          <w:rFonts w:ascii="Arial" w:eastAsia="CIDFont+F1" w:hAnsi="Arial" w:cs="Arial"/>
          <w:color w:val="000000" w:themeColor="text1"/>
        </w:rPr>
        <w:t>g of sodium phosphate/</w:t>
      </w:r>
      <w:r w:rsidR="00D66ABE" w:rsidRPr="00D74025">
        <w:rPr>
          <w:rFonts w:ascii="Arial" w:eastAsia="CIDFont+F1" w:hAnsi="Arial" w:cs="Arial"/>
          <w:color w:val="000000" w:themeColor="text1"/>
        </w:rPr>
        <w:t xml:space="preserve"> 3 </w:t>
      </w:r>
      <w:r w:rsidRPr="00D74025">
        <w:rPr>
          <w:rFonts w:ascii="Arial" w:eastAsia="CIDFont+F1" w:hAnsi="Arial" w:cs="Arial"/>
          <w:color w:val="000000" w:themeColor="text1"/>
        </w:rPr>
        <w:t>L DI water). Change the dialysate after 4 hr. Use a 100kD dialysis membrane. Do not allow this dialysis to go to long</w:t>
      </w:r>
      <w:r w:rsidR="00D66ABE" w:rsidRPr="00D74025">
        <w:rPr>
          <w:rFonts w:ascii="Arial" w:eastAsia="CIDFont+F1" w:hAnsi="Arial" w:cs="Arial"/>
          <w:color w:val="000000" w:themeColor="text1"/>
        </w:rPr>
        <w:t>)</w:t>
      </w:r>
    </w:p>
    <w:p w14:paraId="34594142" w14:textId="200AE705" w:rsidR="00B13236" w:rsidRPr="00D74025" w:rsidRDefault="00B13236" w:rsidP="00F6020C">
      <w:pPr>
        <w:autoSpaceDE w:val="0"/>
        <w:autoSpaceDN w:val="0"/>
        <w:adjustRightInd w:val="0"/>
        <w:spacing w:before="240" w:line="276" w:lineRule="auto"/>
        <w:rPr>
          <w:rFonts w:ascii="Arial" w:eastAsia="CIDFont+F1" w:hAnsi="Arial" w:cs="Arial"/>
          <w:color w:val="000000" w:themeColor="text1"/>
        </w:rPr>
      </w:pPr>
      <w:r w:rsidRPr="00D74025">
        <w:rPr>
          <w:rFonts w:ascii="Arial" w:eastAsia="CIDFont+F1" w:hAnsi="Arial" w:cs="Arial"/>
          <w:color w:val="000000" w:themeColor="text1"/>
        </w:rPr>
        <w:t>12. Centrifuge the resulting SW</w:t>
      </w:r>
      <w:r w:rsidR="00D66ABE" w:rsidRPr="00D74025">
        <w:rPr>
          <w:rFonts w:ascii="Arial" w:eastAsia="CIDFont+F1" w:hAnsi="Arial" w:cs="Arial"/>
          <w:color w:val="000000" w:themeColor="text1"/>
        </w:rPr>
        <w:t>C</w:t>
      </w:r>
      <w:r w:rsidRPr="00D74025">
        <w:rPr>
          <w:rFonts w:ascii="Arial" w:eastAsia="CIDFont+F1" w:hAnsi="Arial" w:cs="Arial"/>
          <w:color w:val="000000" w:themeColor="text1"/>
        </w:rPr>
        <w:t>NT-</w:t>
      </w:r>
      <w:r w:rsidR="00FC62D9">
        <w:rPr>
          <w:rFonts w:ascii="Arial" w:eastAsia="CIDFont+F1" w:hAnsi="Arial" w:cs="Arial"/>
          <w:color w:val="000000" w:themeColor="text1"/>
        </w:rPr>
        <w:t>a</w:t>
      </w:r>
      <w:r w:rsidRPr="00D74025">
        <w:rPr>
          <w:rFonts w:ascii="Arial" w:eastAsia="CIDFont+F1" w:hAnsi="Arial" w:cs="Arial"/>
          <w:color w:val="000000" w:themeColor="text1"/>
        </w:rPr>
        <w:t xml:space="preserve">nnexin </w:t>
      </w:r>
      <w:r w:rsidR="00FC62D9">
        <w:rPr>
          <w:rFonts w:ascii="Arial" w:eastAsia="CIDFont+F1" w:hAnsi="Arial" w:cs="Arial"/>
          <w:color w:val="000000" w:themeColor="text1"/>
        </w:rPr>
        <w:t>A5</w:t>
      </w:r>
      <w:r w:rsidRPr="00D74025">
        <w:rPr>
          <w:rFonts w:ascii="Arial" w:eastAsia="CIDFont+F1" w:hAnsi="Arial" w:cs="Arial"/>
          <w:color w:val="000000" w:themeColor="text1"/>
        </w:rPr>
        <w:t xml:space="preserve"> conjugate at 15,680g for 1 h to remove aggregates.</w:t>
      </w:r>
    </w:p>
    <w:p w14:paraId="5F295E56" w14:textId="77777777" w:rsidR="00B13236" w:rsidRPr="00D74025" w:rsidRDefault="00B13236" w:rsidP="00F6020C">
      <w:pPr>
        <w:autoSpaceDE w:val="0"/>
        <w:autoSpaceDN w:val="0"/>
        <w:adjustRightInd w:val="0"/>
        <w:spacing w:line="276" w:lineRule="auto"/>
        <w:ind w:firstLine="708"/>
        <w:rPr>
          <w:rFonts w:ascii="Arial" w:eastAsia="CIDFont+F1" w:hAnsi="Arial" w:cs="Arial"/>
          <w:color w:val="000000" w:themeColor="text1"/>
        </w:rPr>
      </w:pPr>
      <w:r w:rsidRPr="00D74025">
        <w:rPr>
          <w:rFonts w:ascii="Arial" w:eastAsia="CIDFont+F1" w:hAnsi="Arial" w:cs="Arial"/>
          <w:color w:val="000000" w:themeColor="text1"/>
        </w:rPr>
        <w:t>a. Keep supernatant.</w:t>
      </w:r>
    </w:p>
    <w:p w14:paraId="5114EF85" w14:textId="4484A1F7" w:rsidR="00B13236" w:rsidRPr="00D74025" w:rsidRDefault="00B13236" w:rsidP="00F6020C">
      <w:pPr>
        <w:autoSpaceDE w:val="0"/>
        <w:autoSpaceDN w:val="0"/>
        <w:adjustRightInd w:val="0"/>
        <w:spacing w:before="240" w:line="276" w:lineRule="auto"/>
        <w:rPr>
          <w:rFonts w:ascii="Arial" w:eastAsia="CIDFont+F1" w:hAnsi="Arial" w:cs="Arial"/>
          <w:color w:val="000000" w:themeColor="text1"/>
        </w:rPr>
      </w:pPr>
      <w:r w:rsidRPr="00D74025">
        <w:rPr>
          <w:rFonts w:ascii="Arial" w:eastAsia="CIDFont+F1" w:hAnsi="Arial" w:cs="Arial"/>
          <w:color w:val="000000" w:themeColor="text1"/>
        </w:rPr>
        <w:t>13. Measure the SW</w:t>
      </w:r>
      <w:r w:rsidR="00D66ABE" w:rsidRPr="00D74025">
        <w:rPr>
          <w:rFonts w:ascii="Arial" w:eastAsia="CIDFont+F1" w:hAnsi="Arial" w:cs="Arial"/>
          <w:color w:val="000000" w:themeColor="text1"/>
        </w:rPr>
        <w:t>C</w:t>
      </w:r>
      <w:r w:rsidRPr="00D74025">
        <w:rPr>
          <w:rFonts w:ascii="Arial" w:eastAsia="CIDFont+F1" w:hAnsi="Arial" w:cs="Arial"/>
          <w:color w:val="000000" w:themeColor="text1"/>
        </w:rPr>
        <w:t>NT and protein concentrations.</w:t>
      </w:r>
    </w:p>
    <w:p w14:paraId="2B3598D6" w14:textId="77777777" w:rsidR="00B13236" w:rsidRPr="00D74025" w:rsidRDefault="00B13236" w:rsidP="00F6020C">
      <w:pPr>
        <w:autoSpaceDE w:val="0"/>
        <w:autoSpaceDN w:val="0"/>
        <w:adjustRightInd w:val="0"/>
        <w:spacing w:line="276" w:lineRule="auto"/>
        <w:ind w:firstLine="708"/>
        <w:rPr>
          <w:rFonts w:ascii="Arial" w:eastAsia="CIDFont+F1" w:hAnsi="Arial" w:cs="Arial"/>
          <w:color w:val="000000" w:themeColor="text1"/>
        </w:rPr>
      </w:pPr>
      <w:r w:rsidRPr="00D74025">
        <w:rPr>
          <w:rFonts w:ascii="Arial" w:eastAsia="CIDFont+F1" w:hAnsi="Arial" w:cs="Arial"/>
          <w:color w:val="000000" w:themeColor="text1"/>
        </w:rPr>
        <w:t>a. Run Bradford assay for protein concentration.</w:t>
      </w:r>
    </w:p>
    <w:p w14:paraId="42350336" w14:textId="2C17ABC1" w:rsidR="00B13236" w:rsidRPr="00D74025" w:rsidRDefault="00B13236" w:rsidP="00D66ABE">
      <w:pPr>
        <w:autoSpaceDE w:val="0"/>
        <w:autoSpaceDN w:val="0"/>
        <w:adjustRightInd w:val="0"/>
        <w:spacing w:line="276" w:lineRule="auto"/>
        <w:ind w:left="720"/>
        <w:rPr>
          <w:rFonts w:ascii="Arial" w:eastAsia="CIDFont+F1" w:hAnsi="Arial" w:cs="Arial"/>
          <w:color w:val="000000" w:themeColor="text1"/>
        </w:rPr>
      </w:pPr>
      <w:r w:rsidRPr="00D74025">
        <w:rPr>
          <w:rFonts w:ascii="Arial" w:eastAsia="CIDFont+F1" w:hAnsi="Arial" w:cs="Arial"/>
          <w:color w:val="000000" w:themeColor="text1"/>
        </w:rPr>
        <w:t>b. Measure SW</w:t>
      </w:r>
      <w:r w:rsidR="00D66ABE" w:rsidRPr="00D74025">
        <w:rPr>
          <w:rFonts w:ascii="Arial" w:eastAsia="CIDFont+F1" w:hAnsi="Arial" w:cs="Arial"/>
          <w:color w:val="000000" w:themeColor="text1"/>
        </w:rPr>
        <w:t>C</w:t>
      </w:r>
      <w:r w:rsidRPr="00D74025">
        <w:rPr>
          <w:rFonts w:ascii="Arial" w:eastAsia="CIDFont+F1" w:hAnsi="Arial" w:cs="Arial"/>
          <w:color w:val="000000" w:themeColor="text1"/>
        </w:rPr>
        <w:t>NT absorbance at 800</w:t>
      </w:r>
      <w:r w:rsidR="00D66ABE" w:rsidRPr="00D74025">
        <w:rPr>
          <w:rFonts w:ascii="Arial" w:eastAsia="CIDFont+F1" w:hAnsi="Arial" w:cs="Arial"/>
          <w:color w:val="000000" w:themeColor="text1"/>
        </w:rPr>
        <w:t xml:space="preserve"> </w:t>
      </w:r>
      <w:r w:rsidRPr="00D74025">
        <w:rPr>
          <w:rFonts w:ascii="Arial" w:eastAsia="CIDFont+F1" w:hAnsi="Arial" w:cs="Arial"/>
          <w:color w:val="000000" w:themeColor="text1"/>
        </w:rPr>
        <w:t>nm</w:t>
      </w:r>
      <w:r w:rsidR="00D66ABE" w:rsidRPr="00D74025">
        <w:rPr>
          <w:rFonts w:ascii="Arial" w:eastAsia="CIDFont+F1" w:hAnsi="Arial" w:cs="Arial"/>
          <w:color w:val="000000" w:themeColor="text1"/>
        </w:rPr>
        <w:t xml:space="preserve"> and compare it to SWCNT standard curve.</w:t>
      </w:r>
    </w:p>
    <w:p w14:paraId="06C914AC" w14:textId="2324D957" w:rsidR="00B13236" w:rsidRPr="00D74025" w:rsidRDefault="00B13236" w:rsidP="00F6020C">
      <w:pPr>
        <w:spacing w:before="240" w:line="276" w:lineRule="auto"/>
        <w:rPr>
          <w:rFonts w:ascii="Arial" w:eastAsia="CIDFont+F1" w:hAnsi="Arial" w:cs="Arial"/>
          <w:color w:val="000000" w:themeColor="text1"/>
        </w:rPr>
      </w:pPr>
      <w:r w:rsidRPr="00D74025">
        <w:rPr>
          <w:rFonts w:ascii="Arial" w:eastAsia="CIDFont+F1" w:hAnsi="Arial" w:cs="Arial"/>
          <w:color w:val="000000" w:themeColor="text1"/>
        </w:rPr>
        <w:t>14. Store conjugate at 4˚C.</w:t>
      </w:r>
    </w:p>
    <w:p w14:paraId="57B2AA5B" w14:textId="619F3A7C" w:rsidR="00D66ABE" w:rsidRPr="00D74025" w:rsidRDefault="00D66ABE" w:rsidP="00F6020C">
      <w:pPr>
        <w:spacing w:before="240" w:line="276" w:lineRule="auto"/>
        <w:rPr>
          <w:rFonts w:ascii="Arial" w:hAnsi="Arial" w:cs="Arial"/>
          <w:color w:val="000000" w:themeColor="text1"/>
        </w:rPr>
      </w:pPr>
      <w:r w:rsidRPr="00D74025">
        <w:rPr>
          <w:rFonts w:ascii="Arial" w:eastAsia="CIDFont+F1" w:hAnsi="Arial" w:cs="Arial"/>
          <w:color w:val="000000" w:themeColor="text1"/>
        </w:rPr>
        <w:t>15. Use prepared sample within 1 week after the end of preparation.</w:t>
      </w:r>
    </w:p>
    <w:p w14:paraId="062127E3" w14:textId="16E36D5E" w:rsidR="00B13236" w:rsidRPr="00D74025" w:rsidRDefault="00B13236" w:rsidP="00F6020C">
      <w:pPr>
        <w:spacing w:line="276" w:lineRule="auto"/>
        <w:rPr>
          <w:rFonts w:ascii="Arial" w:hAnsi="Arial" w:cs="Arial"/>
          <w:color w:val="000000" w:themeColor="text1"/>
        </w:rPr>
      </w:pPr>
    </w:p>
    <w:p w14:paraId="5ECFE1EF" w14:textId="2F5E4DB4" w:rsidR="00DC55AB" w:rsidRPr="00507014" w:rsidRDefault="009706F2" w:rsidP="00507014">
      <w:pPr>
        <w:pStyle w:val="Heading2"/>
        <w:spacing w:line="276" w:lineRule="auto"/>
        <w:ind w:firstLine="0"/>
        <w:rPr>
          <w:rFonts w:ascii="Arial" w:hAnsi="Arial" w:cs="Arial"/>
          <w:b/>
          <w:bCs/>
          <w:color w:val="000000" w:themeColor="text1"/>
          <w:sz w:val="24"/>
          <w:szCs w:val="24"/>
          <w:u w:val="single"/>
        </w:rPr>
      </w:pPr>
      <w:bookmarkStart w:id="208" w:name="_Toc121217299"/>
      <w:r w:rsidRPr="00507014">
        <w:rPr>
          <w:rFonts w:ascii="Arial" w:hAnsi="Arial" w:cs="Arial"/>
          <w:b/>
          <w:bCs/>
          <w:color w:val="000000" w:themeColor="text1"/>
          <w:sz w:val="24"/>
          <w:szCs w:val="24"/>
          <w:u w:val="single"/>
        </w:rPr>
        <w:t>B</w:t>
      </w:r>
      <w:r w:rsidR="00D66ABE" w:rsidRPr="00507014">
        <w:rPr>
          <w:rFonts w:ascii="Arial" w:hAnsi="Arial" w:cs="Arial"/>
          <w:b/>
          <w:bCs/>
          <w:color w:val="000000" w:themeColor="text1"/>
          <w:sz w:val="24"/>
          <w:szCs w:val="24"/>
          <w:u w:val="single"/>
        </w:rPr>
        <w:t>6</w:t>
      </w:r>
      <w:r w:rsidR="00285A31" w:rsidRPr="00507014">
        <w:rPr>
          <w:rFonts w:ascii="Arial" w:hAnsi="Arial" w:cs="Arial"/>
          <w:b/>
          <w:bCs/>
          <w:color w:val="000000" w:themeColor="text1"/>
          <w:sz w:val="24"/>
          <w:szCs w:val="24"/>
          <w:u w:val="single"/>
        </w:rPr>
        <w:t xml:space="preserve">. SWCNT </w:t>
      </w:r>
      <w:r w:rsidR="00507014" w:rsidRPr="00507014">
        <w:rPr>
          <w:rFonts w:ascii="Arial" w:hAnsi="Arial" w:cs="Arial"/>
          <w:b/>
          <w:bCs/>
          <w:color w:val="000000" w:themeColor="text1"/>
          <w:sz w:val="24"/>
          <w:szCs w:val="24"/>
          <w:u w:val="single"/>
        </w:rPr>
        <w:t>s</w:t>
      </w:r>
      <w:r w:rsidR="00285A31" w:rsidRPr="00507014">
        <w:rPr>
          <w:rFonts w:ascii="Arial" w:hAnsi="Arial" w:cs="Arial"/>
          <w:b/>
          <w:bCs/>
          <w:color w:val="000000" w:themeColor="text1"/>
          <w:sz w:val="24"/>
          <w:szCs w:val="24"/>
          <w:u w:val="single"/>
        </w:rPr>
        <w:t xml:space="preserve">tandard </w:t>
      </w:r>
      <w:r w:rsidR="00507014" w:rsidRPr="00507014">
        <w:rPr>
          <w:rFonts w:ascii="Arial" w:hAnsi="Arial" w:cs="Arial"/>
          <w:b/>
          <w:bCs/>
          <w:color w:val="000000" w:themeColor="text1"/>
          <w:sz w:val="24"/>
          <w:szCs w:val="24"/>
          <w:u w:val="single"/>
        </w:rPr>
        <w:t>c</w:t>
      </w:r>
      <w:r w:rsidR="00285A31" w:rsidRPr="00507014">
        <w:rPr>
          <w:rFonts w:ascii="Arial" w:hAnsi="Arial" w:cs="Arial"/>
          <w:b/>
          <w:bCs/>
          <w:color w:val="000000" w:themeColor="text1"/>
          <w:sz w:val="24"/>
          <w:szCs w:val="24"/>
          <w:u w:val="single"/>
        </w:rPr>
        <w:t>urve</w:t>
      </w:r>
      <w:r w:rsidR="00507014" w:rsidRPr="00507014">
        <w:rPr>
          <w:rFonts w:ascii="Arial" w:hAnsi="Arial" w:cs="Arial"/>
          <w:b/>
          <w:bCs/>
          <w:color w:val="000000" w:themeColor="text1"/>
          <w:sz w:val="24"/>
          <w:szCs w:val="24"/>
          <w:u w:val="single"/>
        </w:rPr>
        <w:t xml:space="preserve"> preparation</w:t>
      </w:r>
      <w:bookmarkEnd w:id="208"/>
    </w:p>
    <w:p w14:paraId="076246F0" w14:textId="60481A16" w:rsidR="00285A31" w:rsidRPr="00D74025" w:rsidRDefault="00285A31" w:rsidP="00F6020C">
      <w:pPr>
        <w:spacing w:line="276" w:lineRule="auto"/>
        <w:rPr>
          <w:rFonts w:ascii="Arial" w:hAnsi="Arial" w:cs="Arial"/>
          <w:b/>
          <w:bCs/>
          <w:color w:val="000000" w:themeColor="text1"/>
        </w:rPr>
      </w:pPr>
    </w:p>
    <w:p w14:paraId="10B54847" w14:textId="136872C9" w:rsidR="00285A31" w:rsidRPr="00D74025" w:rsidRDefault="00285A31">
      <w:pPr>
        <w:pStyle w:val="NoSpacing"/>
        <w:numPr>
          <w:ilvl w:val="0"/>
          <w:numId w:val="63"/>
        </w:numPr>
        <w:spacing w:line="276" w:lineRule="auto"/>
        <w:rPr>
          <w:rFonts w:ascii="Arial" w:hAnsi="Arial" w:cs="Arial"/>
          <w:color w:val="000000" w:themeColor="text1"/>
          <w:sz w:val="24"/>
          <w:szCs w:val="24"/>
          <w:lang w:val="en-US" w:eastAsia="pt-BR"/>
        </w:rPr>
      </w:pPr>
      <w:r w:rsidRPr="00D74025">
        <w:rPr>
          <w:rFonts w:ascii="Arial" w:hAnsi="Arial" w:cs="Arial"/>
          <w:color w:val="000000" w:themeColor="text1"/>
          <w:sz w:val="24"/>
          <w:szCs w:val="24"/>
          <w:lang w:val="en-US" w:eastAsia="pt-BR"/>
        </w:rPr>
        <w:t>Sonicate 6 mg of SW</w:t>
      </w:r>
      <w:r w:rsidR="00187AE6">
        <w:rPr>
          <w:rFonts w:ascii="Arial" w:hAnsi="Arial" w:cs="Arial"/>
          <w:color w:val="000000" w:themeColor="text1"/>
          <w:sz w:val="24"/>
          <w:szCs w:val="24"/>
          <w:lang w:val="en-US" w:eastAsia="pt-BR"/>
        </w:rPr>
        <w:t>C</w:t>
      </w:r>
      <w:r w:rsidRPr="00D74025">
        <w:rPr>
          <w:rFonts w:ascii="Arial" w:hAnsi="Arial" w:cs="Arial"/>
          <w:color w:val="000000" w:themeColor="text1"/>
          <w:sz w:val="24"/>
          <w:szCs w:val="24"/>
          <w:lang w:val="en-US" w:eastAsia="pt-BR"/>
        </w:rPr>
        <w:t>NTs in 5 ml of 1% SDS for 1 h</w:t>
      </w:r>
      <w:r w:rsidR="00D66ABE" w:rsidRPr="00D74025">
        <w:rPr>
          <w:rFonts w:ascii="Arial" w:hAnsi="Arial" w:cs="Arial"/>
          <w:color w:val="000000" w:themeColor="text1"/>
          <w:sz w:val="24"/>
          <w:szCs w:val="24"/>
          <w:lang w:val="en-US" w:eastAsia="pt-BR"/>
        </w:rPr>
        <w:t>.</w:t>
      </w:r>
    </w:p>
    <w:p w14:paraId="15A27AC7" w14:textId="1B2DE4FC" w:rsidR="00285A31" w:rsidRPr="00D74025" w:rsidRDefault="00285A31">
      <w:pPr>
        <w:pStyle w:val="NoSpacing"/>
        <w:numPr>
          <w:ilvl w:val="0"/>
          <w:numId w:val="63"/>
        </w:numPr>
        <w:spacing w:line="276" w:lineRule="auto"/>
        <w:rPr>
          <w:rFonts w:ascii="Arial" w:hAnsi="Arial" w:cs="Arial"/>
          <w:color w:val="000000" w:themeColor="text1"/>
          <w:sz w:val="24"/>
          <w:szCs w:val="24"/>
          <w:lang w:val="en-US" w:eastAsia="pt-BR"/>
        </w:rPr>
      </w:pPr>
      <w:r w:rsidRPr="00D74025">
        <w:rPr>
          <w:rFonts w:ascii="Arial" w:hAnsi="Arial" w:cs="Arial"/>
          <w:color w:val="000000" w:themeColor="text1"/>
          <w:sz w:val="24"/>
          <w:szCs w:val="24"/>
          <w:lang w:val="en-US" w:eastAsia="pt-BR"/>
        </w:rPr>
        <w:lastRenderedPageBreak/>
        <w:t xml:space="preserve">Immediately, </w:t>
      </w:r>
      <w:r w:rsidRPr="00D74025">
        <w:rPr>
          <w:rFonts w:ascii="Arial" w:hAnsi="Arial" w:cs="Arial"/>
          <w:b/>
          <w:color w:val="000000" w:themeColor="text1"/>
          <w:sz w:val="24"/>
          <w:szCs w:val="24"/>
          <w:lang w:val="en-US" w:eastAsia="pt-BR"/>
        </w:rPr>
        <w:t>without centrifuging</w:t>
      </w:r>
      <w:r w:rsidRPr="00D74025">
        <w:rPr>
          <w:rFonts w:ascii="Arial" w:hAnsi="Arial" w:cs="Arial"/>
          <w:color w:val="000000" w:themeColor="text1"/>
          <w:sz w:val="24"/>
          <w:szCs w:val="24"/>
          <w:lang w:val="en-US" w:eastAsia="pt-BR"/>
        </w:rPr>
        <w:t xml:space="preserve">, make serial dilutions using </w:t>
      </w:r>
      <w:r w:rsidR="00D66ABE" w:rsidRPr="00D74025">
        <w:rPr>
          <w:rFonts w:ascii="Arial" w:hAnsi="Arial" w:cs="Arial"/>
          <w:color w:val="000000" w:themeColor="text1"/>
          <w:sz w:val="24"/>
          <w:szCs w:val="24"/>
          <w:lang w:val="en-US" w:eastAsia="pt-BR"/>
        </w:rPr>
        <w:t>1% SDS</w:t>
      </w:r>
      <w:r w:rsidRPr="00D74025">
        <w:rPr>
          <w:rFonts w:ascii="Arial" w:hAnsi="Arial" w:cs="Arial"/>
          <w:color w:val="000000" w:themeColor="text1"/>
          <w:sz w:val="24"/>
          <w:szCs w:val="24"/>
          <w:lang w:val="en-US" w:eastAsia="pt-BR"/>
        </w:rPr>
        <w:t xml:space="preserve"> and transfer 250</w:t>
      </w:r>
      <w:r w:rsidR="00D66ABE" w:rsidRPr="00D74025">
        <w:rPr>
          <w:rFonts w:ascii="Arial" w:hAnsi="Arial" w:cs="Arial"/>
          <w:color w:val="000000" w:themeColor="text1"/>
          <w:lang w:val="en-US"/>
        </w:rPr>
        <w:t> </w:t>
      </w:r>
      <w:r w:rsidR="00D66ABE" w:rsidRPr="00D74025">
        <w:rPr>
          <w:color w:val="000000" w:themeColor="text1"/>
        </w:rPr>
        <w:sym w:font="Symbol" w:char="F06D"/>
      </w:r>
      <w:r w:rsidR="00D66ABE" w:rsidRPr="00D74025">
        <w:rPr>
          <w:rFonts w:ascii="Arial" w:hAnsi="Arial" w:cs="Arial"/>
          <w:color w:val="000000" w:themeColor="text1"/>
          <w:lang w:val="en-US"/>
        </w:rPr>
        <w:t>L</w:t>
      </w:r>
      <w:r w:rsidRPr="00D74025">
        <w:rPr>
          <w:rFonts w:ascii="Arial" w:hAnsi="Arial" w:cs="Arial"/>
          <w:color w:val="000000" w:themeColor="text1"/>
          <w:sz w:val="24"/>
          <w:szCs w:val="24"/>
          <w:lang w:val="en-US" w:eastAsia="pt-BR"/>
        </w:rPr>
        <w:t>-samples to a 96-well plate</w:t>
      </w:r>
    </w:p>
    <w:p w14:paraId="154CD380" w14:textId="29085539" w:rsidR="00285A31" w:rsidRPr="00D74025" w:rsidRDefault="00285A31">
      <w:pPr>
        <w:pStyle w:val="NoSpacing"/>
        <w:numPr>
          <w:ilvl w:val="0"/>
          <w:numId w:val="63"/>
        </w:numPr>
        <w:spacing w:line="276" w:lineRule="auto"/>
        <w:rPr>
          <w:rFonts w:ascii="Arial" w:hAnsi="Arial" w:cs="Arial"/>
          <w:color w:val="000000" w:themeColor="text1"/>
          <w:sz w:val="24"/>
          <w:szCs w:val="24"/>
          <w:lang w:val="en-US" w:eastAsia="pt-BR"/>
        </w:rPr>
      </w:pPr>
      <w:r w:rsidRPr="00D74025">
        <w:rPr>
          <w:rFonts w:ascii="Arial" w:hAnsi="Arial" w:cs="Arial"/>
          <w:color w:val="000000" w:themeColor="text1"/>
          <w:sz w:val="24"/>
          <w:szCs w:val="24"/>
          <w:lang w:val="en-US" w:eastAsia="pt-BR"/>
        </w:rPr>
        <w:t>Measure the absorbance at 800 nm using microtiter plate reader to make a curve of SW</w:t>
      </w:r>
      <w:r w:rsidR="00187AE6">
        <w:rPr>
          <w:rFonts w:ascii="Arial" w:hAnsi="Arial" w:cs="Arial"/>
          <w:color w:val="000000" w:themeColor="text1"/>
          <w:sz w:val="24"/>
          <w:szCs w:val="24"/>
          <w:lang w:val="en-US" w:eastAsia="pt-BR"/>
        </w:rPr>
        <w:t>C</w:t>
      </w:r>
      <w:r w:rsidRPr="00D74025">
        <w:rPr>
          <w:rFonts w:ascii="Arial" w:hAnsi="Arial" w:cs="Arial"/>
          <w:color w:val="000000" w:themeColor="text1"/>
          <w:sz w:val="24"/>
          <w:szCs w:val="24"/>
          <w:lang w:val="en-US" w:eastAsia="pt-BR"/>
        </w:rPr>
        <w:t>NT concentration versus absorbance.</w:t>
      </w:r>
    </w:p>
    <w:p w14:paraId="3F5A999C" w14:textId="77777777" w:rsidR="00285A31" w:rsidRPr="00D74025" w:rsidRDefault="00285A31" w:rsidP="00F6020C">
      <w:pPr>
        <w:pStyle w:val="NoSpacing"/>
        <w:spacing w:line="276" w:lineRule="auto"/>
        <w:rPr>
          <w:rFonts w:ascii="Arial" w:hAnsi="Arial" w:cs="Arial"/>
          <w:i/>
          <w:color w:val="000000" w:themeColor="text1"/>
          <w:sz w:val="24"/>
          <w:szCs w:val="24"/>
          <w:lang w:val="en-US" w:eastAsia="pt-BR"/>
        </w:rPr>
      </w:pPr>
    </w:p>
    <w:p w14:paraId="11C3D3C9" w14:textId="77777777" w:rsidR="00285A31" w:rsidRPr="008A173A" w:rsidRDefault="00285A31" w:rsidP="00F6020C">
      <w:pPr>
        <w:spacing w:before="100" w:beforeAutospacing="1" w:after="300" w:line="276" w:lineRule="auto"/>
        <w:rPr>
          <w:rFonts w:ascii="Arial" w:hAnsi="Arial" w:cs="Arial"/>
          <w:color w:val="000000" w:themeColor="text1"/>
          <w:u w:val="single"/>
          <w:lang w:eastAsia="pt-BR"/>
        </w:rPr>
      </w:pPr>
      <w:r w:rsidRPr="008A173A">
        <w:rPr>
          <w:rFonts w:ascii="Arial" w:hAnsi="Arial" w:cs="Arial"/>
          <w:color w:val="000000" w:themeColor="text1"/>
          <w:u w:val="single"/>
          <w:lang w:eastAsia="pt-BR"/>
        </w:rPr>
        <w:t>Making the Standards: Serial Dilutions</w:t>
      </w:r>
    </w:p>
    <w:p w14:paraId="20A07EE4" w14:textId="77777777" w:rsidR="00285A31" w:rsidRPr="00D74025" w:rsidRDefault="00285A31">
      <w:pPr>
        <w:numPr>
          <w:ilvl w:val="0"/>
          <w:numId w:val="61"/>
        </w:numPr>
        <w:spacing w:before="100" w:beforeAutospacing="1" w:after="150" w:line="276" w:lineRule="auto"/>
        <w:ind w:left="360"/>
        <w:rPr>
          <w:rFonts w:ascii="Arial" w:hAnsi="Arial" w:cs="Arial"/>
          <w:color w:val="000000" w:themeColor="text1"/>
          <w:lang w:eastAsia="pt-BR"/>
        </w:rPr>
      </w:pPr>
      <w:r w:rsidRPr="00D74025">
        <w:rPr>
          <w:rFonts w:ascii="Arial" w:hAnsi="Arial" w:cs="Arial"/>
          <w:color w:val="000000" w:themeColor="text1"/>
          <w:lang w:eastAsia="pt-BR"/>
        </w:rPr>
        <w:t xml:space="preserve">Make a concentrated stock solution of the standard. Typically, the compound is accurately weighed out and then </w:t>
      </w:r>
      <w:r w:rsidRPr="00D74025">
        <w:rPr>
          <w:rFonts w:ascii="Arial" w:hAnsi="Arial" w:cs="Arial"/>
          <w:b/>
          <w:color w:val="000000" w:themeColor="text1"/>
          <w:lang w:eastAsia="pt-BR"/>
        </w:rPr>
        <w:t>quantitatively transferred</w:t>
      </w:r>
      <w:r w:rsidRPr="00D74025">
        <w:rPr>
          <w:rFonts w:ascii="Arial" w:hAnsi="Arial" w:cs="Arial"/>
          <w:color w:val="000000" w:themeColor="text1"/>
          <w:lang w:eastAsia="pt-BR"/>
        </w:rPr>
        <w:t xml:space="preserve"> into a </w:t>
      </w:r>
      <w:r w:rsidRPr="00D74025">
        <w:rPr>
          <w:rFonts w:ascii="Arial" w:hAnsi="Arial" w:cs="Arial"/>
          <w:b/>
          <w:color w:val="000000" w:themeColor="text1"/>
          <w:lang w:eastAsia="pt-BR"/>
        </w:rPr>
        <w:t>volumetric flask</w:t>
      </w:r>
      <w:r w:rsidRPr="00D74025">
        <w:rPr>
          <w:rFonts w:ascii="Arial" w:hAnsi="Arial" w:cs="Arial"/>
          <w:color w:val="000000" w:themeColor="text1"/>
          <w:lang w:eastAsia="pt-BR"/>
        </w:rPr>
        <w:t>. Add some solvent, mix so the sample dissolves, then fill to the line with the proper solvent.</w:t>
      </w:r>
    </w:p>
    <w:p w14:paraId="4830C57F" w14:textId="0E935F00" w:rsidR="00285A31" w:rsidRPr="00D74025" w:rsidRDefault="00285A31">
      <w:pPr>
        <w:numPr>
          <w:ilvl w:val="0"/>
          <w:numId w:val="61"/>
        </w:numPr>
        <w:spacing w:before="100" w:beforeAutospacing="1" w:after="150" w:line="276" w:lineRule="auto"/>
        <w:ind w:left="360"/>
        <w:rPr>
          <w:rFonts w:ascii="Arial" w:hAnsi="Arial" w:cs="Arial"/>
          <w:color w:val="000000" w:themeColor="text1"/>
          <w:lang w:eastAsia="pt-BR"/>
        </w:rPr>
      </w:pPr>
      <w:r w:rsidRPr="00D74025">
        <w:rPr>
          <w:rFonts w:ascii="Arial" w:hAnsi="Arial" w:cs="Arial"/>
          <w:color w:val="000000" w:themeColor="text1"/>
          <w:lang w:eastAsia="pt-BR"/>
        </w:rPr>
        <w:t xml:space="preserve">Perform serial dilutions. Take another volumetric flask and pipette the amount of standard needed for the dilution, then fill to the line with solvent and mix. A </w:t>
      </w:r>
      <w:r w:rsidR="006B2CA2">
        <w:rPr>
          <w:rFonts w:ascii="Arial" w:hAnsi="Arial" w:cs="Arial"/>
          <w:color w:val="000000" w:themeColor="text1"/>
          <w:lang w:eastAsia="pt-BR"/>
        </w:rPr>
        <w:t>two</w:t>
      </w:r>
      <w:r w:rsidRPr="00D74025">
        <w:rPr>
          <w:rFonts w:ascii="Arial" w:hAnsi="Arial" w:cs="Arial"/>
          <w:color w:val="000000" w:themeColor="text1"/>
          <w:lang w:eastAsia="pt-BR"/>
        </w:rPr>
        <w:t>-fold dilution is typically made, so for a 10-mL volumetric flask, add 1 mL of the previous dilution.</w:t>
      </w:r>
    </w:p>
    <w:p w14:paraId="12157CB8" w14:textId="77777777" w:rsidR="00285A31" w:rsidRPr="00D74025" w:rsidRDefault="00285A31">
      <w:pPr>
        <w:numPr>
          <w:ilvl w:val="0"/>
          <w:numId w:val="61"/>
        </w:numPr>
        <w:spacing w:before="100" w:beforeAutospacing="1" w:after="150" w:line="276" w:lineRule="auto"/>
        <w:ind w:left="360"/>
        <w:rPr>
          <w:rFonts w:ascii="Arial" w:hAnsi="Arial" w:cs="Arial"/>
          <w:color w:val="000000" w:themeColor="text1"/>
          <w:lang w:eastAsia="pt-BR"/>
        </w:rPr>
      </w:pPr>
      <w:r w:rsidRPr="00D74025">
        <w:rPr>
          <w:rFonts w:ascii="Arial" w:hAnsi="Arial" w:cs="Arial"/>
          <w:color w:val="000000" w:themeColor="text1"/>
          <w:lang w:eastAsia="pt-BR"/>
        </w:rPr>
        <w:t>Continue as needed for more dilutions, pipetting from the previous solution to dilute it to make the next sample. For a good calibration curve, at least 5 concentrations are needed.</w:t>
      </w:r>
    </w:p>
    <w:p w14:paraId="5D5E61AE" w14:textId="6E5817C5" w:rsidR="00285A31" w:rsidRPr="008A173A" w:rsidRDefault="00285A31" w:rsidP="008A173A">
      <w:pPr>
        <w:spacing w:before="100" w:beforeAutospacing="1" w:after="300" w:line="276" w:lineRule="auto"/>
        <w:rPr>
          <w:rFonts w:ascii="Arial" w:hAnsi="Arial" w:cs="Arial"/>
          <w:color w:val="000000" w:themeColor="text1"/>
          <w:u w:val="single"/>
          <w:lang w:eastAsia="pt-BR"/>
        </w:rPr>
      </w:pPr>
      <w:r w:rsidRPr="008A173A">
        <w:rPr>
          <w:rFonts w:ascii="Arial" w:hAnsi="Arial" w:cs="Arial"/>
          <w:color w:val="000000" w:themeColor="text1"/>
          <w:u w:val="single"/>
          <w:lang w:eastAsia="pt-BR"/>
        </w:rPr>
        <w:t xml:space="preserve">Run the </w:t>
      </w:r>
      <w:r w:rsidR="006B2CA2">
        <w:rPr>
          <w:rFonts w:ascii="Arial" w:hAnsi="Arial" w:cs="Arial"/>
          <w:color w:val="000000" w:themeColor="text1"/>
          <w:u w:val="single"/>
          <w:lang w:eastAsia="pt-BR"/>
        </w:rPr>
        <w:t>s</w:t>
      </w:r>
      <w:r w:rsidRPr="008A173A">
        <w:rPr>
          <w:rFonts w:ascii="Arial" w:hAnsi="Arial" w:cs="Arial"/>
          <w:color w:val="000000" w:themeColor="text1"/>
          <w:u w:val="single"/>
          <w:lang w:eastAsia="pt-BR"/>
        </w:rPr>
        <w:t xml:space="preserve">amples for the </w:t>
      </w:r>
      <w:r w:rsidR="006B2CA2">
        <w:rPr>
          <w:rFonts w:ascii="Arial" w:hAnsi="Arial" w:cs="Arial"/>
          <w:color w:val="000000" w:themeColor="text1"/>
          <w:u w:val="single"/>
          <w:lang w:eastAsia="pt-BR"/>
        </w:rPr>
        <w:t>c</w:t>
      </w:r>
      <w:r w:rsidRPr="008A173A">
        <w:rPr>
          <w:rFonts w:ascii="Arial" w:hAnsi="Arial" w:cs="Arial"/>
          <w:color w:val="000000" w:themeColor="text1"/>
          <w:u w:val="single"/>
          <w:lang w:eastAsia="pt-BR"/>
        </w:rPr>
        <w:t xml:space="preserve">alibration </w:t>
      </w:r>
      <w:r w:rsidR="006B2CA2">
        <w:rPr>
          <w:rFonts w:ascii="Arial" w:hAnsi="Arial" w:cs="Arial"/>
          <w:color w:val="000000" w:themeColor="text1"/>
          <w:u w:val="single"/>
          <w:lang w:eastAsia="pt-BR"/>
        </w:rPr>
        <w:t>c</w:t>
      </w:r>
      <w:r w:rsidRPr="008A173A">
        <w:rPr>
          <w:rFonts w:ascii="Arial" w:hAnsi="Arial" w:cs="Arial"/>
          <w:color w:val="000000" w:themeColor="text1"/>
          <w:u w:val="single"/>
          <w:lang w:eastAsia="pt-BR"/>
        </w:rPr>
        <w:t xml:space="preserve">urve and the </w:t>
      </w:r>
      <w:r w:rsidR="006B2CA2">
        <w:rPr>
          <w:rFonts w:ascii="Arial" w:hAnsi="Arial" w:cs="Arial"/>
          <w:color w:val="000000" w:themeColor="text1"/>
          <w:u w:val="single"/>
          <w:lang w:eastAsia="pt-BR"/>
        </w:rPr>
        <w:t>u</w:t>
      </w:r>
      <w:r w:rsidRPr="008A173A">
        <w:rPr>
          <w:rFonts w:ascii="Arial" w:hAnsi="Arial" w:cs="Arial"/>
          <w:color w:val="000000" w:themeColor="text1"/>
          <w:u w:val="single"/>
          <w:lang w:eastAsia="pt-BR"/>
        </w:rPr>
        <w:t xml:space="preserve">nknown </w:t>
      </w:r>
      <w:r w:rsidR="006B2CA2">
        <w:rPr>
          <w:rFonts w:ascii="Arial" w:hAnsi="Arial" w:cs="Arial"/>
          <w:color w:val="000000" w:themeColor="text1"/>
          <w:u w:val="single"/>
          <w:lang w:eastAsia="pt-BR"/>
        </w:rPr>
        <w:t>s</w:t>
      </w:r>
      <w:r w:rsidRPr="008A173A">
        <w:rPr>
          <w:rFonts w:ascii="Arial" w:hAnsi="Arial" w:cs="Arial"/>
          <w:color w:val="000000" w:themeColor="text1"/>
          <w:u w:val="single"/>
          <w:lang w:eastAsia="pt-BR"/>
        </w:rPr>
        <w:t>amples</w:t>
      </w:r>
    </w:p>
    <w:p w14:paraId="08D62AF4" w14:textId="77777777" w:rsidR="00285A31" w:rsidRPr="00D74025" w:rsidRDefault="00285A31">
      <w:pPr>
        <w:numPr>
          <w:ilvl w:val="0"/>
          <w:numId w:val="62"/>
        </w:numPr>
        <w:spacing w:before="100" w:beforeAutospacing="1" w:after="150" w:line="276" w:lineRule="auto"/>
        <w:ind w:left="360"/>
        <w:rPr>
          <w:rFonts w:ascii="Arial" w:hAnsi="Arial" w:cs="Arial"/>
          <w:color w:val="000000" w:themeColor="text1"/>
          <w:lang w:eastAsia="pt-BR"/>
        </w:rPr>
      </w:pPr>
      <w:r w:rsidRPr="00D74025">
        <w:rPr>
          <w:rFonts w:ascii="Arial" w:hAnsi="Arial" w:cs="Arial"/>
          <w:color w:val="000000" w:themeColor="text1"/>
          <w:lang w:eastAsia="pt-BR"/>
        </w:rPr>
        <w:t>Run the samples with the UV-Vis spectrophotometer to determine the instrumental response needed for the calibration curve.</w:t>
      </w:r>
    </w:p>
    <w:p w14:paraId="1B3A84D8" w14:textId="77777777" w:rsidR="00285A31" w:rsidRPr="00D74025" w:rsidRDefault="00285A31">
      <w:pPr>
        <w:numPr>
          <w:ilvl w:val="0"/>
          <w:numId w:val="62"/>
        </w:numPr>
        <w:spacing w:before="100" w:beforeAutospacing="1" w:after="150" w:line="276" w:lineRule="auto"/>
        <w:ind w:left="360"/>
        <w:rPr>
          <w:rFonts w:ascii="Arial" w:hAnsi="Arial" w:cs="Arial"/>
          <w:color w:val="000000" w:themeColor="text1"/>
          <w:lang w:eastAsia="pt-BR"/>
        </w:rPr>
      </w:pPr>
      <w:r w:rsidRPr="00D74025">
        <w:rPr>
          <w:rFonts w:ascii="Arial" w:hAnsi="Arial" w:cs="Arial"/>
          <w:color w:val="000000" w:themeColor="text1"/>
          <w:lang w:eastAsia="pt-BR"/>
        </w:rPr>
        <w:t>Take the reading with the first sample. It is a good idea to run the samples in random order (</w:t>
      </w:r>
      <w:proofErr w:type="gramStart"/>
      <w:r w:rsidRPr="00D74025">
        <w:rPr>
          <w:rFonts w:ascii="Arial" w:hAnsi="Arial" w:cs="Arial"/>
          <w:i/>
          <w:iCs/>
          <w:color w:val="000000" w:themeColor="text1"/>
          <w:lang w:eastAsia="pt-BR"/>
        </w:rPr>
        <w:t>i.e.</w:t>
      </w:r>
      <w:proofErr w:type="gramEnd"/>
      <w:r w:rsidRPr="00D74025">
        <w:rPr>
          <w:rFonts w:ascii="Arial" w:hAnsi="Arial" w:cs="Arial"/>
          <w:color w:val="000000" w:themeColor="text1"/>
          <w:lang w:eastAsia="pt-BR"/>
        </w:rPr>
        <w:t xml:space="preserve"> not highest to lowest or lowest to highest) in case there are any systematic errors. </w:t>
      </w:r>
      <w:proofErr w:type="gramStart"/>
      <w:r w:rsidRPr="00D74025">
        <w:rPr>
          <w:rFonts w:ascii="Arial" w:hAnsi="Arial" w:cs="Arial"/>
          <w:color w:val="000000" w:themeColor="text1"/>
          <w:lang w:eastAsia="pt-BR"/>
        </w:rPr>
        <w:t>In order to</w:t>
      </w:r>
      <w:proofErr w:type="gramEnd"/>
      <w:r w:rsidRPr="00D74025">
        <w:rPr>
          <w:rFonts w:ascii="Arial" w:hAnsi="Arial" w:cs="Arial"/>
          <w:color w:val="000000" w:themeColor="text1"/>
          <w:lang w:eastAsia="pt-BR"/>
        </w:rPr>
        <w:t xml:space="preserve"> get an estimate of noise, repeat the reading on any given sample 3–5x.</w:t>
      </w:r>
    </w:p>
    <w:p w14:paraId="2F0720C5" w14:textId="77777777" w:rsidR="00285A31" w:rsidRPr="00D74025" w:rsidRDefault="00285A31">
      <w:pPr>
        <w:numPr>
          <w:ilvl w:val="0"/>
          <w:numId w:val="62"/>
        </w:numPr>
        <w:spacing w:before="100" w:beforeAutospacing="1" w:after="150" w:line="276" w:lineRule="auto"/>
        <w:ind w:left="360"/>
        <w:rPr>
          <w:rFonts w:ascii="Arial" w:hAnsi="Arial" w:cs="Arial"/>
          <w:color w:val="000000" w:themeColor="text1"/>
          <w:lang w:eastAsia="pt-BR"/>
        </w:rPr>
      </w:pPr>
      <w:r w:rsidRPr="00D74025">
        <w:rPr>
          <w:rFonts w:ascii="Arial" w:hAnsi="Arial" w:cs="Arial"/>
          <w:color w:val="000000" w:themeColor="text1"/>
          <w:lang w:eastAsia="pt-BR"/>
        </w:rPr>
        <w:t>Run the additional standard samples, repeating the measurements for each sample to get an estimate of noise. Record the data to make a plot later.</w:t>
      </w:r>
    </w:p>
    <w:p w14:paraId="3F80F84A" w14:textId="77777777" w:rsidR="00285A31" w:rsidRPr="00D74025" w:rsidRDefault="00285A31">
      <w:pPr>
        <w:numPr>
          <w:ilvl w:val="0"/>
          <w:numId w:val="62"/>
        </w:numPr>
        <w:spacing w:before="100" w:beforeAutospacing="1" w:after="150" w:line="276" w:lineRule="auto"/>
        <w:ind w:left="360"/>
        <w:rPr>
          <w:rFonts w:ascii="Arial" w:hAnsi="Arial" w:cs="Arial"/>
          <w:color w:val="000000" w:themeColor="text1"/>
          <w:lang w:eastAsia="pt-BR"/>
        </w:rPr>
      </w:pPr>
      <w:r w:rsidRPr="00D74025">
        <w:rPr>
          <w:rFonts w:ascii="Arial" w:hAnsi="Arial" w:cs="Arial"/>
          <w:color w:val="000000" w:themeColor="text1"/>
          <w:lang w:eastAsia="pt-BR"/>
        </w:rPr>
        <w:t>Run the unknown sample(s). Use as similar conditions to running the standards as possible. Thus, the sample matrix or buffer should be the same, the pH should be the same, and the concentration should be in the range of the standards run.</w:t>
      </w:r>
    </w:p>
    <w:p w14:paraId="491DA0F9" w14:textId="0011429D" w:rsidR="00285A31" w:rsidRDefault="00285A31" w:rsidP="00F6020C">
      <w:pPr>
        <w:spacing w:line="276" w:lineRule="auto"/>
        <w:rPr>
          <w:rFonts w:ascii="Arial" w:hAnsi="Arial" w:cs="Arial"/>
          <w:b/>
          <w:bCs/>
          <w:color w:val="000000" w:themeColor="text1"/>
        </w:rPr>
      </w:pPr>
    </w:p>
    <w:p w14:paraId="313521C8" w14:textId="77777777" w:rsidR="00F022DE" w:rsidRPr="00D74025" w:rsidRDefault="00F022DE" w:rsidP="00F6020C">
      <w:pPr>
        <w:spacing w:line="276" w:lineRule="auto"/>
        <w:rPr>
          <w:rFonts w:ascii="Arial" w:hAnsi="Arial" w:cs="Arial"/>
          <w:b/>
          <w:bCs/>
          <w:color w:val="000000" w:themeColor="text1"/>
        </w:rPr>
      </w:pPr>
    </w:p>
    <w:p w14:paraId="24ED3EE9" w14:textId="58D53768" w:rsidR="00DC55AB" w:rsidRPr="00507014" w:rsidRDefault="00123DF6" w:rsidP="00507014">
      <w:pPr>
        <w:pStyle w:val="Heading2"/>
        <w:spacing w:line="276" w:lineRule="auto"/>
        <w:ind w:firstLine="0"/>
        <w:rPr>
          <w:rFonts w:ascii="Arial" w:hAnsi="Arial" w:cs="Arial"/>
          <w:b/>
          <w:bCs/>
          <w:color w:val="000000" w:themeColor="text1"/>
          <w:sz w:val="24"/>
          <w:szCs w:val="24"/>
          <w:u w:val="single"/>
        </w:rPr>
      </w:pPr>
      <w:bookmarkStart w:id="209" w:name="_Toc121217300"/>
      <w:r w:rsidRPr="00507014">
        <w:rPr>
          <w:rFonts w:ascii="Arial" w:hAnsi="Arial" w:cs="Arial"/>
          <w:b/>
          <w:bCs/>
          <w:color w:val="000000" w:themeColor="text1"/>
          <w:sz w:val="24"/>
          <w:szCs w:val="24"/>
          <w:u w:val="single"/>
        </w:rPr>
        <w:lastRenderedPageBreak/>
        <w:t>B</w:t>
      </w:r>
      <w:r w:rsidR="00D66ABE" w:rsidRPr="00507014">
        <w:rPr>
          <w:rFonts w:ascii="Arial" w:hAnsi="Arial" w:cs="Arial"/>
          <w:b/>
          <w:bCs/>
          <w:color w:val="000000" w:themeColor="text1"/>
          <w:sz w:val="24"/>
          <w:szCs w:val="24"/>
          <w:u w:val="single"/>
        </w:rPr>
        <w:t>7</w:t>
      </w:r>
      <w:r w:rsidRPr="00507014">
        <w:rPr>
          <w:rFonts w:ascii="Arial" w:hAnsi="Arial" w:cs="Arial"/>
          <w:b/>
          <w:bCs/>
          <w:color w:val="000000" w:themeColor="text1"/>
          <w:sz w:val="24"/>
          <w:szCs w:val="24"/>
          <w:u w:val="single"/>
        </w:rPr>
        <w:t xml:space="preserve">. </w:t>
      </w:r>
      <w:r w:rsidR="00DC55AB" w:rsidRPr="00507014">
        <w:rPr>
          <w:rFonts w:ascii="Arial" w:hAnsi="Arial" w:cs="Arial"/>
          <w:b/>
          <w:bCs/>
          <w:color w:val="000000" w:themeColor="text1"/>
          <w:sz w:val="24"/>
          <w:szCs w:val="24"/>
          <w:u w:val="single"/>
        </w:rPr>
        <w:t>AuNP-</w:t>
      </w:r>
      <w:r w:rsidR="00B86DA1">
        <w:rPr>
          <w:rFonts w:ascii="Arial" w:hAnsi="Arial" w:cs="Arial"/>
          <w:b/>
          <w:bCs/>
          <w:color w:val="000000" w:themeColor="text1"/>
          <w:sz w:val="24"/>
          <w:szCs w:val="24"/>
          <w:u w:val="single"/>
        </w:rPr>
        <w:t>a</w:t>
      </w:r>
      <w:r w:rsidR="00DC55AB" w:rsidRPr="00507014">
        <w:rPr>
          <w:rFonts w:ascii="Arial" w:hAnsi="Arial" w:cs="Arial"/>
          <w:b/>
          <w:bCs/>
          <w:color w:val="000000" w:themeColor="text1"/>
          <w:sz w:val="24"/>
          <w:szCs w:val="24"/>
          <w:u w:val="single"/>
        </w:rPr>
        <w:t>nnexin</w:t>
      </w:r>
      <w:r w:rsidR="00465EEF">
        <w:rPr>
          <w:rFonts w:ascii="Arial" w:hAnsi="Arial" w:cs="Arial"/>
          <w:b/>
          <w:bCs/>
          <w:color w:val="000000" w:themeColor="text1"/>
          <w:sz w:val="24"/>
          <w:szCs w:val="24"/>
          <w:u w:val="single"/>
        </w:rPr>
        <w:t xml:space="preserve"> A5</w:t>
      </w:r>
      <w:r w:rsidR="00DC55AB" w:rsidRPr="00507014">
        <w:rPr>
          <w:rFonts w:ascii="Arial" w:hAnsi="Arial" w:cs="Arial"/>
          <w:b/>
          <w:bCs/>
          <w:color w:val="000000" w:themeColor="text1"/>
          <w:sz w:val="24"/>
          <w:szCs w:val="24"/>
          <w:u w:val="single"/>
        </w:rPr>
        <w:t>-DM1 conjugation</w:t>
      </w:r>
      <w:bookmarkEnd w:id="209"/>
    </w:p>
    <w:p w14:paraId="3C933E0C" w14:textId="77777777" w:rsidR="00DC55AB" w:rsidRPr="00D74025" w:rsidRDefault="00DC55AB" w:rsidP="00F6020C">
      <w:pPr>
        <w:spacing w:line="276" w:lineRule="auto"/>
        <w:rPr>
          <w:rFonts w:ascii="Arial" w:hAnsi="Arial" w:cs="Arial"/>
          <w:color w:val="000000" w:themeColor="text1"/>
        </w:rPr>
      </w:pPr>
    </w:p>
    <w:p w14:paraId="77C029AF" w14:textId="4FD7B527" w:rsidR="00DC55AB" w:rsidRDefault="00DC55AB" w:rsidP="00F6020C">
      <w:pPr>
        <w:spacing w:line="276" w:lineRule="auto"/>
        <w:rPr>
          <w:rFonts w:ascii="Arial" w:hAnsi="Arial" w:cs="Arial"/>
          <w:color w:val="000000" w:themeColor="text1"/>
          <w:u w:val="single"/>
        </w:rPr>
      </w:pPr>
      <w:r w:rsidRPr="00507014">
        <w:rPr>
          <w:rFonts w:ascii="Arial" w:hAnsi="Arial" w:cs="Arial"/>
          <w:color w:val="000000" w:themeColor="text1"/>
          <w:u w:val="single"/>
        </w:rPr>
        <w:t>First day</w:t>
      </w:r>
    </w:p>
    <w:p w14:paraId="214D6CF1" w14:textId="77777777" w:rsidR="00507014" w:rsidRPr="00507014" w:rsidRDefault="00507014" w:rsidP="00F6020C">
      <w:pPr>
        <w:spacing w:line="276" w:lineRule="auto"/>
        <w:rPr>
          <w:rFonts w:ascii="Arial" w:hAnsi="Arial" w:cs="Arial"/>
          <w:color w:val="000000" w:themeColor="text1"/>
          <w:u w:val="single"/>
        </w:rPr>
      </w:pPr>
    </w:p>
    <w:p w14:paraId="220C267F" w14:textId="4D464C61" w:rsidR="00DC55AB" w:rsidRPr="00D74025" w:rsidRDefault="00DC55AB" w:rsidP="00F6020C">
      <w:pPr>
        <w:spacing w:line="276" w:lineRule="auto"/>
        <w:ind w:firstLine="360"/>
        <w:rPr>
          <w:rFonts w:ascii="Arial" w:hAnsi="Arial" w:cs="Arial"/>
          <w:color w:val="000000" w:themeColor="text1"/>
          <w:u w:val="single"/>
        </w:rPr>
      </w:pPr>
      <w:r w:rsidRPr="00D74025">
        <w:rPr>
          <w:rFonts w:ascii="Arial" w:hAnsi="Arial" w:cs="Arial"/>
          <w:color w:val="000000" w:themeColor="text1"/>
          <w:u w:val="single"/>
        </w:rPr>
        <w:t>A</w:t>
      </w:r>
      <w:r w:rsidR="000F4E02">
        <w:rPr>
          <w:rFonts w:ascii="Arial" w:hAnsi="Arial" w:cs="Arial"/>
          <w:color w:val="000000" w:themeColor="text1"/>
          <w:u w:val="single"/>
        </w:rPr>
        <w:t>NXA5</w:t>
      </w:r>
      <w:r w:rsidRPr="00D74025">
        <w:rPr>
          <w:rFonts w:ascii="Arial" w:hAnsi="Arial" w:cs="Arial"/>
          <w:color w:val="000000" w:themeColor="text1"/>
          <w:u w:val="single"/>
        </w:rPr>
        <w:t>-DM1 preparation</w:t>
      </w:r>
    </w:p>
    <w:p w14:paraId="472D9CCB" w14:textId="2BE3656D" w:rsidR="00DC55AB" w:rsidRPr="00D74025" w:rsidRDefault="00DC55AB">
      <w:pPr>
        <w:pStyle w:val="ListParagraph"/>
        <w:numPr>
          <w:ilvl w:val="0"/>
          <w:numId w:val="44"/>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Completely dissolve 12 </w:t>
      </w:r>
      <w:r w:rsidR="00F022DE">
        <w:rPr>
          <w:rFonts w:ascii="Arial" w:hAnsi="Arial" w:cs="Arial"/>
          <w:color w:val="000000" w:themeColor="text1"/>
        </w:rPr>
        <w:t>mg</w:t>
      </w:r>
      <w:r w:rsidRPr="00D74025">
        <w:rPr>
          <w:rFonts w:ascii="Arial" w:hAnsi="Arial" w:cs="Arial"/>
          <w:color w:val="000000" w:themeColor="text1"/>
        </w:rPr>
        <w:t xml:space="preserve"> of </w:t>
      </w:r>
      <w:proofErr w:type="spellStart"/>
      <w:r w:rsidR="00FE4CE8">
        <w:rPr>
          <w:rFonts w:ascii="Arial" w:hAnsi="Arial" w:cs="Arial"/>
          <w:color w:val="000000" w:themeColor="text1"/>
        </w:rPr>
        <w:t>s</w:t>
      </w:r>
      <w:r w:rsidRPr="00D74025">
        <w:rPr>
          <w:rFonts w:ascii="Arial" w:hAnsi="Arial" w:cs="Arial"/>
          <w:color w:val="000000" w:themeColor="text1"/>
        </w:rPr>
        <w:t>ulfo</w:t>
      </w:r>
      <w:proofErr w:type="spellEnd"/>
      <w:r w:rsidRPr="00D74025">
        <w:rPr>
          <w:rFonts w:ascii="Arial" w:hAnsi="Arial" w:cs="Arial"/>
          <w:color w:val="000000" w:themeColor="text1"/>
        </w:rPr>
        <w:t xml:space="preserve">-SMCC in 2000 </w:t>
      </w:r>
      <w:r w:rsidR="00F022DE">
        <w:rPr>
          <w:rFonts w:ascii="Arial" w:hAnsi="Arial" w:cs="Arial"/>
          <w:color w:val="000000" w:themeColor="text1"/>
        </w:rPr>
        <w:sym w:font="Symbol" w:char="F06D"/>
      </w:r>
      <w:r w:rsidRPr="00D74025">
        <w:rPr>
          <w:rFonts w:ascii="Arial" w:hAnsi="Arial" w:cs="Arial"/>
          <w:color w:val="000000" w:themeColor="text1"/>
        </w:rPr>
        <w:t>L of DI water</w:t>
      </w:r>
      <w:r w:rsidR="00F022DE">
        <w:rPr>
          <w:rFonts w:ascii="Arial" w:hAnsi="Arial" w:cs="Arial"/>
          <w:color w:val="000000" w:themeColor="text1"/>
        </w:rPr>
        <w:t>.</w:t>
      </w:r>
    </w:p>
    <w:p w14:paraId="3BE4FC9A" w14:textId="36669B59" w:rsidR="00DC55AB" w:rsidRPr="00D74025" w:rsidRDefault="00DC55AB">
      <w:pPr>
        <w:pStyle w:val="ListParagraph"/>
        <w:numPr>
          <w:ilvl w:val="1"/>
          <w:numId w:val="44"/>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This is a 100x molar ratio to 1 mg/mL annexin, about 10x molar ratio for the available lysine residues on annexin</w:t>
      </w:r>
      <w:r w:rsidR="00F022DE">
        <w:rPr>
          <w:rFonts w:ascii="Arial" w:hAnsi="Arial" w:cs="Arial"/>
          <w:color w:val="000000" w:themeColor="text1"/>
        </w:rPr>
        <w:t>.</w:t>
      </w:r>
    </w:p>
    <w:p w14:paraId="5ABB6627" w14:textId="77777777" w:rsidR="00DC55AB" w:rsidRPr="00D74025" w:rsidRDefault="00DC55AB">
      <w:pPr>
        <w:pStyle w:val="ListParagraph"/>
        <w:numPr>
          <w:ilvl w:val="1"/>
          <w:numId w:val="44"/>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If necessary, heat up </w:t>
      </w:r>
      <w:proofErr w:type="spellStart"/>
      <w:r w:rsidRPr="00D74025">
        <w:rPr>
          <w:rFonts w:ascii="Arial" w:hAnsi="Arial" w:cs="Arial"/>
          <w:color w:val="000000" w:themeColor="text1"/>
        </w:rPr>
        <w:t>sulfo</w:t>
      </w:r>
      <w:proofErr w:type="spellEnd"/>
      <w:r w:rsidRPr="00D74025">
        <w:rPr>
          <w:rFonts w:ascii="Arial" w:hAnsi="Arial" w:cs="Arial"/>
          <w:color w:val="000000" w:themeColor="text1"/>
        </w:rPr>
        <w:t>-SMCC in water bath at 60°C to help it solubilize. Wait it to cool down to room temperature before adding it to ANXA5.</w:t>
      </w:r>
    </w:p>
    <w:p w14:paraId="624AC793" w14:textId="73A701CA" w:rsidR="00DC55AB" w:rsidRPr="00D74025" w:rsidRDefault="00DC55AB">
      <w:pPr>
        <w:pStyle w:val="ListParagraph"/>
        <w:numPr>
          <w:ilvl w:val="0"/>
          <w:numId w:val="44"/>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Add </w:t>
      </w:r>
      <w:proofErr w:type="gramStart"/>
      <w:r w:rsidRPr="00D74025">
        <w:rPr>
          <w:rFonts w:ascii="Arial" w:hAnsi="Arial" w:cs="Arial"/>
          <w:color w:val="000000" w:themeColor="text1"/>
        </w:rPr>
        <w:t>all of</w:t>
      </w:r>
      <w:proofErr w:type="gramEnd"/>
      <w:r w:rsidRPr="00D74025">
        <w:rPr>
          <w:rFonts w:ascii="Arial" w:hAnsi="Arial" w:cs="Arial"/>
          <w:color w:val="000000" w:themeColor="text1"/>
        </w:rPr>
        <w:t xml:space="preserve"> the </w:t>
      </w:r>
      <w:proofErr w:type="spellStart"/>
      <w:r w:rsidR="00F022DE">
        <w:rPr>
          <w:rFonts w:ascii="Arial" w:hAnsi="Arial" w:cs="Arial"/>
          <w:color w:val="000000" w:themeColor="text1"/>
        </w:rPr>
        <w:t>s</w:t>
      </w:r>
      <w:r w:rsidRPr="00D74025">
        <w:rPr>
          <w:rFonts w:ascii="Arial" w:hAnsi="Arial" w:cs="Arial"/>
          <w:color w:val="000000" w:themeColor="text1"/>
        </w:rPr>
        <w:t>ulfo</w:t>
      </w:r>
      <w:proofErr w:type="spellEnd"/>
      <w:r w:rsidRPr="00D74025">
        <w:rPr>
          <w:rFonts w:ascii="Arial" w:hAnsi="Arial" w:cs="Arial"/>
          <w:color w:val="000000" w:themeColor="text1"/>
        </w:rPr>
        <w:t>-SMCC solution to 10 mg of annexin</w:t>
      </w:r>
    </w:p>
    <w:p w14:paraId="69D73156" w14:textId="77777777" w:rsidR="00DC55AB" w:rsidRPr="00D74025" w:rsidRDefault="00DC55AB">
      <w:pPr>
        <w:pStyle w:val="ListParagraph"/>
        <w:numPr>
          <w:ilvl w:val="0"/>
          <w:numId w:val="44"/>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Allow the mixture to react at 4 ºC for </w:t>
      </w:r>
      <w:r w:rsidRPr="00D74025">
        <w:rPr>
          <w:rFonts w:ascii="Arial" w:hAnsi="Arial" w:cs="Arial"/>
          <w:b/>
          <w:bCs/>
          <w:color w:val="000000" w:themeColor="text1"/>
        </w:rPr>
        <w:t>1 hour.</w:t>
      </w:r>
    </w:p>
    <w:p w14:paraId="7F8C8F66" w14:textId="0211A437" w:rsidR="00DC55AB" w:rsidRPr="00D74025" w:rsidRDefault="00DC55AB">
      <w:pPr>
        <w:pStyle w:val="ListParagraph"/>
        <w:numPr>
          <w:ilvl w:val="0"/>
          <w:numId w:val="44"/>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Completely dissolve 10.0 </w:t>
      </w:r>
      <w:r w:rsidR="003F3CAC">
        <w:rPr>
          <w:rFonts w:ascii="Arial" w:hAnsi="Arial" w:cs="Arial"/>
          <w:color w:val="000000" w:themeColor="text1"/>
        </w:rPr>
        <w:t>mg</w:t>
      </w:r>
      <w:r w:rsidRPr="00D74025">
        <w:rPr>
          <w:rFonts w:ascii="Arial" w:hAnsi="Arial" w:cs="Arial"/>
          <w:color w:val="000000" w:themeColor="text1"/>
        </w:rPr>
        <w:t xml:space="preserve"> of DM1 in 1500 </w:t>
      </w:r>
      <w:r w:rsidR="003F3CAC">
        <w:rPr>
          <w:rFonts w:ascii="Arial" w:hAnsi="Arial" w:cs="Arial"/>
          <w:color w:val="000000" w:themeColor="text1"/>
        </w:rPr>
        <w:sym w:font="Symbol" w:char="F06D"/>
      </w:r>
      <w:r w:rsidR="003F3CAC" w:rsidRPr="00D74025">
        <w:rPr>
          <w:rFonts w:ascii="Arial" w:hAnsi="Arial" w:cs="Arial"/>
          <w:color w:val="000000" w:themeColor="text1"/>
        </w:rPr>
        <w:t>L</w:t>
      </w:r>
      <w:r w:rsidRPr="00D74025">
        <w:rPr>
          <w:rFonts w:ascii="Arial" w:hAnsi="Arial" w:cs="Arial"/>
          <w:color w:val="000000" w:themeColor="text1"/>
        </w:rPr>
        <w:t xml:space="preserve"> of DMSO</w:t>
      </w:r>
    </w:p>
    <w:p w14:paraId="4E66301E" w14:textId="0E9EB47E" w:rsidR="00DC55AB" w:rsidRPr="00D74025" w:rsidRDefault="00DC55AB">
      <w:pPr>
        <w:pStyle w:val="ListParagraph"/>
        <w:numPr>
          <w:ilvl w:val="1"/>
          <w:numId w:val="45"/>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This is a 50x molar ratio to 10 mg/mL annexin, the degree of </w:t>
      </w:r>
      <w:proofErr w:type="spellStart"/>
      <w:r w:rsidR="003F3CAC">
        <w:rPr>
          <w:rFonts w:ascii="Arial" w:hAnsi="Arial" w:cs="Arial"/>
          <w:color w:val="000000" w:themeColor="text1"/>
        </w:rPr>
        <w:t>s</w:t>
      </w:r>
      <w:r w:rsidRPr="00D74025">
        <w:rPr>
          <w:rFonts w:ascii="Arial" w:hAnsi="Arial" w:cs="Arial"/>
          <w:color w:val="000000" w:themeColor="text1"/>
        </w:rPr>
        <w:t>ulfo</w:t>
      </w:r>
      <w:proofErr w:type="spellEnd"/>
      <w:r w:rsidRPr="00D74025">
        <w:rPr>
          <w:rFonts w:ascii="Arial" w:hAnsi="Arial" w:cs="Arial"/>
          <w:color w:val="000000" w:themeColor="text1"/>
        </w:rPr>
        <w:t>-SMCC conjugation determines the number of available maleimide reaction sites</w:t>
      </w:r>
    </w:p>
    <w:p w14:paraId="4150D6AD" w14:textId="77777777" w:rsidR="00DC55AB" w:rsidRPr="00D74025" w:rsidRDefault="00DC55AB">
      <w:pPr>
        <w:pStyle w:val="ListParagraph"/>
        <w:numPr>
          <w:ilvl w:val="0"/>
          <w:numId w:val="45"/>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Add </w:t>
      </w:r>
      <w:proofErr w:type="gramStart"/>
      <w:r w:rsidRPr="00D74025">
        <w:rPr>
          <w:rFonts w:ascii="Arial" w:hAnsi="Arial" w:cs="Arial"/>
          <w:color w:val="000000" w:themeColor="text1"/>
        </w:rPr>
        <w:t>all of</w:t>
      </w:r>
      <w:proofErr w:type="gramEnd"/>
      <w:r w:rsidRPr="00D74025">
        <w:rPr>
          <w:rFonts w:ascii="Arial" w:hAnsi="Arial" w:cs="Arial"/>
          <w:color w:val="000000" w:themeColor="text1"/>
        </w:rPr>
        <w:t xml:space="preserve"> the DM1 solution in DMSO to the prepared annexin-SMCC conjugate</w:t>
      </w:r>
    </w:p>
    <w:p w14:paraId="55487447" w14:textId="77777777" w:rsidR="00DC55AB" w:rsidRPr="00D74025" w:rsidRDefault="00DC55AB">
      <w:pPr>
        <w:pStyle w:val="ListParagraph"/>
        <w:numPr>
          <w:ilvl w:val="0"/>
          <w:numId w:val="45"/>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Allow the mixture to react at 4 ºC </w:t>
      </w:r>
      <w:r w:rsidRPr="00D74025">
        <w:rPr>
          <w:rFonts w:ascii="Arial" w:hAnsi="Arial" w:cs="Arial"/>
          <w:b/>
          <w:bCs/>
          <w:color w:val="000000" w:themeColor="text1"/>
        </w:rPr>
        <w:t>overnight</w:t>
      </w:r>
      <w:r w:rsidRPr="00D74025">
        <w:rPr>
          <w:rFonts w:ascii="Arial" w:hAnsi="Arial" w:cs="Arial"/>
          <w:color w:val="000000" w:themeColor="text1"/>
        </w:rPr>
        <w:t>.</w:t>
      </w:r>
    </w:p>
    <w:p w14:paraId="57A1A1EE" w14:textId="77777777" w:rsidR="00DC55AB" w:rsidRPr="00D74025" w:rsidRDefault="00DC55AB" w:rsidP="00F6020C">
      <w:pPr>
        <w:spacing w:line="276" w:lineRule="auto"/>
        <w:ind w:firstLine="360"/>
        <w:rPr>
          <w:rFonts w:ascii="Arial" w:hAnsi="Arial" w:cs="Arial"/>
          <w:color w:val="000000" w:themeColor="text1"/>
          <w:u w:val="single"/>
        </w:rPr>
      </w:pPr>
      <w:r w:rsidRPr="00D74025">
        <w:rPr>
          <w:rFonts w:ascii="Arial" w:hAnsi="Arial" w:cs="Arial"/>
          <w:color w:val="000000" w:themeColor="text1"/>
          <w:u w:val="single"/>
        </w:rPr>
        <w:t xml:space="preserve">PEGylating AuNP </w:t>
      </w:r>
    </w:p>
    <w:p w14:paraId="6ECE1501" w14:textId="140D19A7" w:rsidR="00DC55AB" w:rsidRPr="00D74025" w:rsidRDefault="00DC55AB">
      <w:pPr>
        <w:pStyle w:val="ListParagraph"/>
        <w:numPr>
          <w:ilvl w:val="0"/>
          <w:numId w:val="49"/>
        </w:numPr>
        <w:spacing w:before="0" w:beforeAutospacing="0" w:after="160" w:afterAutospacing="0" w:line="276" w:lineRule="auto"/>
        <w:jc w:val="left"/>
        <w:rPr>
          <w:rFonts w:ascii="Arial" w:hAnsi="Arial" w:cs="Arial"/>
          <w:color w:val="000000" w:themeColor="text1"/>
          <w:u w:val="single"/>
        </w:rPr>
      </w:pPr>
      <w:r w:rsidRPr="00D74025">
        <w:rPr>
          <w:rFonts w:ascii="Arial" w:hAnsi="Arial" w:cs="Arial"/>
          <w:color w:val="000000" w:themeColor="text1"/>
        </w:rPr>
        <w:t>Dilute AuNPs to (20 mg∙</w:t>
      </w:r>
      <w:proofErr w:type="gramStart"/>
      <w:r w:rsidRPr="00D74025">
        <w:rPr>
          <w:rFonts w:ascii="Arial" w:hAnsi="Arial" w:cs="Arial"/>
          <w:color w:val="000000" w:themeColor="text1"/>
        </w:rPr>
        <w:t>ml</w:t>
      </w:r>
      <w:r w:rsidRPr="00D74025">
        <w:rPr>
          <w:rFonts w:ascii="Arial" w:hAnsi="Arial" w:cs="Arial"/>
          <w:color w:val="000000" w:themeColor="text1"/>
          <w:vertAlign w:val="superscript"/>
        </w:rPr>
        <w:t>-1</w:t>
      </w:r>
      <w:proofErr w:type="gramEnd"/>
      <w:r w:rsidRPr="00D74025">
        <w:rPr>
          <w:rFonts w:ascii="Arial" w:hAnsi="Arial" w:cs="Arial"/>
          <w:color w:val="000000" w:themeColor="text1"/>
        </w:rPr>
        <w:t>, 0.1 M) in PBS</w:t>
      </w:r>
      <w:r w:rsidR="00AA4415">
        <w:rPr>
          <w:rFonts w:ascii="Arial" w:hAnsi="Arial" w:cs="Arial"/>
          <w:color w:val="000000" w:themeColor="text1"/>
        </w:rPr>
        <w:t>.</w:t>
      </w:r>
    </w:p>
    <w:p w14:paraId="7308B6A1" w14:textId="23907F90" w:rsidR="00DC55AB" w:rsidRPr="00D74025" w:rsidRDefault="00DC55AB">
      <w:pPr>
        <w:pStyle w:val="ListParagraph"/>
        <w:numPr>
          <w:ilvl w:val="1"/>
          <w:numId w:val="49"/>
        </w:numPr>
        <w:spacing w:before="0" w:beforeAutospacing="0" w:after="160" w:afterAutospacing="0" w:line="276" w:lineRule="auto"/>
        <w:jc w:val="left"/>
        <w:rPr>
          <w:rFonts w:ascii="Arial" w:hAnsi="Arial" w:cs="Arial"/>
          <w:color w:val="000000" w:themeColor="text1"/>
          <w:u w:val="single"/>
        </w:rPr>
      </w:pPr>
      <w:r w:rsidRPr="00D74025">
        <w:rPr>
          <w:rFonts w:ascii="Arial" w:hAnsi="Arial" w:cs="Arial"/>
          <w:color w:val="000000" w:themeColor="text1"/>
        </w:rPr>
        <w:t>AuroVistTM-15 nm initially at 200 mg ml</w:t>
      </w:r>
      <w:r w:rsidRPr="00D74025">
        <w:rPr>
          <w:rFonts w:ascii="Arial" w:hAnsi="Arial" w:cs="Arial"/>
          <w:color w:val="000000" w:themeColor="text1"/>
          <w:vertAlign w:val="superscript"/>
        </w:rPr>
        <w:t>-1</w:t>
      </w:r>
      <w:r w:rsidRPr="00D74025">
        <w:rPr>
          <w:rFonts w:ascii="Arial" w:hAnsi="Arial" w:cs="Arial"/>
          <w:color w:val="000000" w:themeColor="text1"/>
        </w:rPr>
        <w:t xml:space="preserve"> PBS</w:t>
      </w:r>
      <w:r w:rsidR="00AA4415">
        <w:rPr>
          <w:rFonts w:ascii="Arial" w:hAnsi="Arial" w:cs="Arial"/>
          <w:color w:val="000000" w:themeColor="text1"/>
        </w:rPr>
        <w:t>.</w:t>
      </w:r>
    </w:p>
    <w:p w14:paraId="305334A7" w14:textId="797A73ED" w:rsidR="00DC55AB" w:rsidRPr="00D74025" w:rsidRDefault="00DC55AB">
      <w:pPr>
        <w:pStyle w:val="ListParagraph"/>
        <w:numPr>
          <w:ilvl w:val="1"/>
          <w:numId w:val="49"/>
        </w:numPr>
        <w:spacing w:before="0" w:beforeAutospacing="0" w:after="160" w:afterAutospacing="0" w:line="276" w:lineRule="auto"/>
        <w:jc w:val="left"/>
        <w:rPr>
          <w:rFonts w:ascii="Arial" w:hAnsi="Arial" w:cs="Arial"/>
          <w:color w:val="000000" w:themeColor="text1"/>
          <w:u w:val="single"/>
        </w:rPr>
      </w:pPr>
      <w:r w:rsidRPr="00D74025">
        <w:rPr>
          <w:rFonts w:ascii="Arial" w:hAnsi="Arial" w:cs="Arial"/>
          <w:color w:val="000000" w:themeColor="text1"/>
        </w:rPr>
        <w:t>Final volume 0.5 ml</w:t>
      </w:r>
      <w:r w:rsidR="00AA4415">
        <w:rPr>
          <w:rFonts w:ascii="Arial" w:hAnsi="Arial" w:cs="Arial"/>
          <w:color w:val="000000" w:themeColor="text1"/>
        </w:rPr>
        <w:t>.</w:t>
      </w:r>
    </w:p>
    <w:p w14:paraId="0317AF62" w14:textId="7AA9980F" w:rsidR="00DC55AB" w:rsidRPr="00D74025" w:rsidRDefault="00DC55AB">
      <w:pPr>
        <w:pStyle w:val="ListParagraph"/>
        <w:numPr>
          <w:ilvl w:val="1"/>
          <w:numId w:val="49"/>
        </w:numPr>
        <w:spacing w:before="0" w:beforeAutospacing="0" w:after="160" w:afterAutospacing="0" w:line="276" w:lineRule="auto"/>
        <w:jc w:val="left"/>
        <w:rPr>
          <w:rFonts w:ascii="Arial" w:hAnsi="Arial" w:cs="Arial"/>
          <w:color w:val="000000" w:themeColor="text1"/>
          <w:u w:val="single"/>
        </w:rPr>
      </w:pPr>
      <w:r w:rsidRPr="00D74025">
        <w:rPr>
          <w:rFonts w:ascii="Arial" w:hAnsi="Arial" w:cs="Arial"/>
          <w:color w:val="000000" w:themeColor="text1"/>
        </w:rPr>
        <w:t xml:space="preserve">50 </w:t>
      </w:r>
      <w:r w:rsidR="005A39E5">
        <w:rPr>
          <w:rFonts w:ascii="Arial" w:hAnsi="Arial" w:cs="Arial"/>
          <w:color w:val="000000" w:themeColor="text1"/>
        </w:rPr>
        <w:sym w:font="Symbol" w:char="F06D"/>
      </w:r>
      <w:r w:rsidR="005A39E5" w:rsidRPr="00D74025">
        <w:rPr>
          <w:rFonts w:ascii="Arial" w:hAnsi="Arial" w:cs="Arial"/>
          <w:color w:val="000000" w:themeColor="text1"/>
        </w:rPr>
        <w:t>L</w:t>
      </w:r>
      <w:r w:rsidRPr="00D74025">
        <w:rPr>
          <w:rFonts w:ascii="Arial" w:hAnsi="Arial" w:cs="Arial"/>
          <w:color w:val="000000" w:themeColor="text1"/>
        </w:rPr>
        <w:t xml:space="preserve"> of 200 mg ml</w:t>
      </w:r>
      <w:r w:rsidRPr="00D74025">
        <w:rPr>
          <w:rFonts w:ascii="Arial" w:hAnsi="Arial" w:cs="Arial"/>
          <w:color w:val="000000" w:themeColor="text1"/>
          <w:vertAlign w:val="superscript"/>
        </w:rPr>
        <w:t>-1</w:t>
      </w:r>
      <w:r w:rsidRPr="00D74025">
        <w:rPr>
          <w:rFonts w:ascii="Arial" w:hAnsi="Arial" w:cs="Arial"/>
          <w:color w:val="000000" w:themeColor="text1"/>
        </w:rPr>
        <w:t xml:space="preserve"> solution in 450</w:t>
      </w:r>
      <w:r w:rsidR="00AA4415">
        <w:rPr>
          <w:rFonts w:ascii="Arial" w:hAnsi="Arial" w:cs="Arial"/>
          <w:color w:val="000000" w:themeColor="text1"/>
        </w:rPr>
        <w:t xml:space="preserve"> </w:t>
      </w:r>
      <w:r w:rsidR="00AA4415">
        <w:rPr>
          <w:rFonts w:ascii="Arial" w:hAnsi="Arial" w:cs="Arial"/>
          <w:color w:val="000000" w:themeColor="text1"/>
        </w:rPr>
        <w:sym w:font="Symbol" w:char="F06D"/>
      </w:r>
      <w:r w:rsidR="00AA4415" w:rsidRPr="00D74025">
        <w:rPr>
          <w:rFonts w:ascii="Arial" w:hAnsi="Arial" w:cs="Arial"/>
          <w:color w:val="000000" w:themeColor="text1"/>
        </w:rPr>
        <w:t>L</w:t>
      </w:r>
      <w:r w:rsidRPr="00D74025">
        <w:rPr>
          <w:rFonts w:ascii="Arial" w:hAnsi="Arial" w:cs="Arial"/>
          <w:color w:val="000000" w:themeColor="text1"/>
        </w:rPr>
        <w:t xml:space="preserve"> ml of PBS</w:t>
      </w:r>
      <w:r w:rsidR="00AA4415">
        <w:rPr>
          <w:rFonts w:ascii="Arial" w:hAnsi="Arial" w:cs="Arial"/>
          <w:color w:val="000000" w:themeColor="text1"/>
        </w:rPr>
        <w:t>.</w:t>
      </w:r>
    </w:p>
    <w:p w14:paraId="3EAFE55E" w14:textId="77777777" w:rsidR="00DC55AB" w:rsidRPr="00D74025" w:rsidRDefault="00DC55AB">
      <w:pPr>
        <w:pStyle w:val="ListParagraph"/>
        <w:numPr>
          <w:ilvl w:val="0"/>
          <w:numId w:val="49"/>
        </w:numPr>
        <w:spacing w:before="0" w:beforeAutospacing="0" w:after="160" w:afterAutospacing="0" w:line="276" w:lineRule="auto"/>
        <w:jc w:val="left"/>
        <w:rPr>
          <w:rFonts w:ascii="Arial" w:hAnsi="Arial" w:cs="Arial"/>
          <w:color w:val="000000" w:themeColor="text1"/>
          <w:u w:val="single"/>
        </w:rPr>
      </w:pPr>
      <w:r w:rsidRPr="00D74025">
        <w:rPr>
          <w:rFonts w:ascii="Arial" w:hAnsi="Arial" w:cs="Arial"/>
          <w:color w:val="000000" w:themeColor="text1"/>
        </w:rPr>
        <w:t>Dilute 61.2 mg (0.36 M) HS-PEG-NH</w:t>
      </w:r>
      <w:r w:rsidRPr="00D74025">
        <w:rPr>
          <w:rFonts w:ascii="Arial" w:hAnsi="Arial" w:cs="Arial"/>
          <w:color w:val="000000" w:themeColor="text1"/>
          <w:vertAlign w:val="subscript"/>
        </w:rPr>
        <w:t>2</w:t>
      </w:r>
      <w:r w:rsidRPr="00D74025">
        <w:rPr>
          <w:rFonts w:ascii="Arial" w:hAnsi="Arial" w:cs="Arial"/>
          <w:color w:val="000000" w:themeColor="text1"/>
        </w:rPr>
        <w:t xml:space="preserve"> spacer in 0.5 ml of PBS (4:1 weight ratio </w:t>
      </w:r>
      <w:proofErr w:type="spellStart"/>
      <w:r w:rsidRPr="00D74025">
        <w:rPr>
          <w:rFonts w:ascii="Arial" w:hAnsi="Arial" w:cs="Arial"/>
          <w:color w:val="000000" w:themeColor="text1"/>
        </w:rPr>
        <w:t>spacer:AuNPs</w:t>
      </w:r>
      <w:proofErr w:type="spellEnd"/>
      <w:r w:rsidRPr="00D74025">
        <w:rPr>
          <w:rFonts w:ascii="Arial" w:hAnsi="Arial" w:cs="Arial"/>
          <w:color w:val="000000" w:themeColor="text1"/>
        </w:rPr>
        <w:t>).</w:t>
      </w:r>
    </w:p>
    <w:p w14:paraId="7CFF2BC7" w14:textId="77777777" w:rsidR="00DC55AB" w:rsidRPr="00D74025" w:rsidRDefault="00DC55AB">
      <w:pPr>
        <w:pStyle w:val="ListParagraph"/>
        <w:numPr>
          <w:ilvl w:val="1"/>
          <w:numId w:val="49"/>
        </w:numPr>
        <w:spacing w:before="0" w:beforeAutospacing="0" w:after="160" w:afterAutospacing="0" w:line="276" w:lineRule="auto"/>
        <w:jc w:val="left"/>
        <w:rPr>
          <w:rFonts w:ascii="Arial" w:hAnsi="Arial" w:cs="Arial"/>
          <w:color w:val="000000" w:themeColor="text1"/>
          <w:u w:val="single"/>
        </w:rPr>
      </w:pPr>
      <w:r w:rsidRPr="00D74025">
        <w:rPr>
          <w:rFonts w:ascii="Arial" w:hAnsi="Arial" w:cs="Arial"/>
          <w:color w:val="000000" w:themeColor="text1"/>
        </w:rPr>
        <w:t xml:space="preserve">Sonicate spacer solution for 15 min in water bath </w:t>
      </w:r>
      <w:proofErr w:type="spellStart"/>
      <w:r w:rsidRPr="00D74025">
        <w:rPr>
          <w:rFonts w:ascii="Arial" w:hAnsi="Arial" w:cs="Arial"/>
          <w:color w:val="000000" w:themeColor="text1"/>
        </w:rPr>
        <w:t>sonicator</w:t>
      </w:r>
      <w:proofErr w:type="spellEnd"/>
      <w:r w:rsidRPr="00D74025">
        <w:rPr>
          <w:rFonts w:ascii="Arial" w:hAnsi="Arial" w:cs="Arial"/>
          <w:color w:val="000000" w:themeColor="text1"/>
        </w:rPr>
        <w:t>.</w:t>
      </w:r>
    </w:p>
    <w:p w14:paraId="643F5FF6" w14:textId="77777777" w:rsidR="00DC55AB" w:rsidRPr="00D74025" w:rsidRDefault="00DC55AB">
      <w:pPr>
        <w:pStyle w:val="ListParagraph"/>
        <w:numPr>
          <w:ilvl w:val="1"/>
          <w:numId w:val="49"/>
        </w:numPr>
        <w:spacing w:before="0" w:beforeAutospacing="0" w:after="160" w:afterAutospacing="0" w:line="276" w:lineRule="auto"/>
        <w:jc w:val="left"/>
        <w:rPr>
          <w:rFonts w:ascii="Arial" w:hAnsi="Arial" w:cs="Arial"/>
          <w:color w:val="000000" w:themeColor="text1"/>
          <w:u w:val="single"/>
        </w:rPr>
      </w:pPr>
      <w:r w:rsidRPr="00D74025">
        <w:rPr>
          <w:rFonts w:ascii="Arial" w:hAnsi="Arial" w:cs="Arial"/>
          <w:color w:val="000000" w:themeColor="text1"/>
        </w:rPr>
        <w:t>Add HS-PEG-NH</w:t>
      </w:r>
      <w:r w:rsidRPr="00D74025">
        <w:rPr>
          <w:rFonts w:ascii="Arial" w:hAnsi="Arial" w:cs="Arial"/>
          <w:color w:val="000000" w:themeColor="text1"/>
          <w:vertAlign w:val="subscript"/>
        </w:rPr>
        <w:t>2</w:t>
      </w:r>
      <w:r w:rsidRPr="00D74025">
        <w:rPr>
          <w:rFonts w:ascii="Arial" w:hAnsi="Arial" w:cs="Arial"/>
          <w:color w:val="000000" w:themeColor="text1"/>
        </w:rPr>
        <w:t xml:space="preserve"> solution dropwise to AuNPs solution and place on rotator.</w:t>
      </w:r>
    </w:p>
    <w:p w14:paraId="6E514525" w14:textId="77777777" w:rsidR="00DC55AB" w:rsidRPr="00D74025" w:rsidRDefault="00DC55AB">
      <w:pPr>
        <w:pStyle w:val="ListParagraph"/>
        <w:numPr>
          <w:ilvl w:val="1"/>
          <w:numId w:val="49"/>
        </w:numPr>
        <w:spacing w:before="0" w:beforeAutospacing="0" w:after="160" w:afterAutospacing="0" w:line="276" w:lineRule="auto"/>
        <w:jc w:val="left"/>
        <w:rPr>
          <w:rFonts w:ascii="Arial" w:hAnsi="Arial" w:cs="Arial"/>
          <w:color w:val="000000" w:themeColor="text1"/>
          <w:u w:val="single"/>
        </w:rPr>
      </w:pPr>
      <w:r w:rsidRPr="00D74025">
        <w:rPr>
          <w:rFonts w:ascii="Arial" w:hAnsi="Arial" w:cs="Arial"/>
          <w:color w:val="000000" w:themeColor="text1"/>
        </w:rPr>
        <w:t>Let solution stir</w:t>
      </w:r>
      <w:r w:rsidRPr="00D74025">
        <w:rPr>
          <w:rFonts w:ascii="Arial" w:hAnsi="Arial" w:cs="Arial"/>
          <w:b/>
          <w:bCs/>
          <w:color w:val="000000" w:themeColor="text1"/>
        </w:rPr>
        <w:t xml:space="preserve"> overnight</w:t>
      </w:r>
      <w:r w:rsidRPr="00D74025">
        <w:rPr>
          <w:rFonts w:ascii="Arial" w:hAnsi="Arial" w:cs="Arial"/>
          <w:color w:val="000000" w:themeColor="text1"/>
        </w:rPr>
        <w:t xml:space="preserve"> on rotator (speed 1.5) at 4°C.</w:t>
      </w:r>
    </w:p>
    <w:p w14:paraId="3ED6820B" w14:textId="77777777" w:rsidR="00DC55AB" w:rsidRPr="00D74025" w:rsidRDefault="00DC55AB" w:rsidP="00F6020C">
      <w:pPr>
        <w:spacing w:line="276" w:lineRule="auto"/>
        <w:rPr>
          <w:rFonts w:ascii="Arial" w:hAnsi="Arial" w:cs="Arial"/>
          <w:color w:val="000000" w:themeColor="text1"/>
        </w:rPr>
      </w:pPr>
    </w:p>
    <w:p w14:paraId="4647C586" w14:textId="560AAA37" w:rsidR="00DC55AB" w:rsidRDefault="00DC55AB" w:rsidP="00F6020C">
      <w:pPr>
        <w:spacing w:line="276" w:lineRule="auto"/>
        <w:rPr>
          <w:rFonts w:ascii="Arial" w:hAnsi="Arial" w:cs="Arial"/>
          <w:color w:val="000000" w:themeColor="text1"/>
          <w:u w:val="single"/>
        </w:rPr>
      </w:pPr>
      <w:r w:rsidRPr="00507014">
        <w:rPr>
          <w:rFonts w:ascii="Arial" w:hAnsi="Arial" w:cs="Arial"/>
          <w:color w:val="000000" w:themeColor="text1"/>
          <w:u w:val="single"/>
        </w:rPr>
        <w:t>Second day</w:t>
      </w:r>
    </w:p>
    <w:p w14:paraId="7230DC70" w14:textId="77777777" w:rsidR="00507014" w:rsidRPr="00507014" w:rsidRDefault="00507014" w:rsidP="00F6020C">
      <w:pPr>
        <w:spacing w:line="276" w:lineRule="auto"/>
        <w:rPr>
          <w:rFonts w:ascii="Arial" w:hAnsi="Arial" w:cs="Arial"/>
          <w:color w:val="000000" w:themeColor="text1"/>
          <w:u w:val="single"/>
        </w:rPr>
      </w:pPr>
    </w:p>
    <w:p w14:paraId="4A71843D" w14:textId="053C1DDA" w:rsidR="00DC55AB" w:rsidRDefault="00DC55AB" w:rsidP="00F6020C">
      <w:pPr>
        <w:spacing w:line="276" w:lineRule="auto"/>
        <w:ind w:firstLine="360"/>
        <w:rPr>
          <w:rFonts w:ascii="Arial" w:hAnsi="Arial" w:cs="Arial"/>
          <w:color w:val="000000" w:themeColor="text1"/>
          <w:u w:val="single"/>
        </w:rPr>
      </w:pPr>
      <w:r w:rsidRPr="00D74025">
        <w:rPr>
          <w:rFonts w:ascii="Arial" w:hAnsi="Arial" w:cs="Arial"/>
          <w:color w:val="000000" w:themeColor="text1"/>
          <w:u w:val="single"/>
        </w:rPr>
        <w:t>A</w:t>
      </w:r>
      <w:r w:rsidR="000F4E02">
        <w:rPr>
          <w:rFonts w:ascii="Arial" w:hAnsi="Arial" w:cs="Arial"/>
          <w:color w:val="000000" w:themeColor="text1"/>
          <w:u w:val="single"/>
        </w:rPr>
        <w:t>NXA5</w:t>
      </w:r>
      <w:r w:rsidRPr="00D74025">
        <w:rPr>
          <w:rFonts w:ascii="Arial" w:hAnsi="Arial" w:cs="Arial"/>
          <w:color w:val="000000" w:themeColor="text1"/>
          <w:u w:val="single"/>
        </w:rPr>
        <w:t>-DM1 preparation and purification</w:t>
      </w:r>
    </w:p>
    <w:p w14:paraId="6E51E7F8" w14:textId="77777777" w:rsidR="005A39E5" w:rsidRPr="00D74025" w:rsidRDefault="005A39E5" w:rsidP="00F6020C">
      <w:pPr>
        <w:spacing w:line="276" w:lineRule="auto"/>
        <w:ind w:firstLine="360"/>
        <w:rPr>
          <w:rFonts w:ascii="Arial" w:hAnsi="Arial" w:cs="Arial"/>
          <w:color w:val="000000" w:themeColor="text1"/>
          <w:u w:val="single"/>
        </w:rPr>
      </w:pPr>
    </w:p>
    <w:p w14:paraId="7FEAFAD6" w14:textId="5E372966" w:rsidR="00DC55AB" w:rsidRPr="00D74025" w:rsidRDefault="00DC55AB">
      <w:pPr>
        <w:pStyle w:val="ListParagraph"/>
        <w:numPr>
          <w:ilvl w:val="0"/>
          <w:numId w:val="50"/>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Block unreacted </w:t>
      </w:r>
      <w:r w:rsidR="005A39E5">
        <w:rPr>
          <w:rFonts w:ascii="Arial" w:hAnsi="Arial" w:cs="Arial"/>
          <w:color w:val="000000" w:themeColor="text1"/>
        </w:rPr>
        <w:t>m</w:t>
      </w:r>
      <w:r w:rsidRPr="00D74025">
        <w:rPr>
          <w:rFonts w:ascii="Arial" w:hAnsi="Arial" w:cs="Arial"/>
          <w:color w:val="000000" w:themeColor="text1"/>
        </w:rPr>
        <w:t xml:space="preserve">aleimide by adding </w:t>
      </w:r>
      <w:r w:rsidR="005A39E5">
        <w:rPr>
          <w:rFonts w:ascii="Arial" w:hAnsi="Arial" w:cs="Arial"/>
          <w:color w:val="000000" w:themeColor="text1"/>
        </w:rPr>
        <w:t>c</w:t>
      </w:r>
      <w:r w:rsidRPr="00D74025">
        <w:rPr>
          <w:rFonts w:ascii="Arial" w:hAnsi="Arial" w:cs="Arial"/>
          <w:color w:val="000000" w:themeColor="text1"/>
        </w:rPr>
        <w:t>ysteine to the A</w:t>
      </w:r>
      <w:r w:rsidR="000F4E02">
        <w:rPr>
          <w:rFonts w:ascii="Arial" w:hAnsi="Arial" w:cs="Arial"/>
          <w:color w:val="000000" w:themeColor="text1"/>
        </w:rPr>
        <w:t>NXA5</w:t>
      </w:r>
      <w:r w:rsidRPr="00D74025">
        <w:rPr>
          <w:rFonts w:ascii="Arial" w:hAnsi="Arial" w:cs="Arial"/>
          <w:color w:val="000000" w:themeColor="text1"/>
        </w:rPr>
        <w:t xml:space="preserve">-DM1 conjugation vial, and let it react for </w:t>
      </w:r>
      <w:r w:rsidRPr="00D74025">
        <w:rPr>
          <w:rFonts w:ascii="Arial" w:hAnsi="Arial" w:cs="Arial"/>
          <w:b/>
          <w:bCs/>
          <w:color w:val="000000" w:themeColor="text1"/>
        </w:rPr>
        <w:t>2 h</w:t>
      </w:r>
      <w:r w:rsidRPr="00D74025">
        <w:rPr>
          <w:rFonts w:ascii="Arial" w:hAnsi="Arial" w:cs="Arial"/>
          <w:color w:val="000000" w:themeColor="text1"/>
        </w:rPr>
        <w:t xml:space="preserve"> in 4°C.</w:t>
      </w:r>
    </w:p>
    <w:p w14:paraId="74A5EC69" w14:textId="77777777" w:rsidR="00DC55AB" w:rsidRPr="00D74025" w:rsidRDefault="00DC55AB">
      <w:pPr>
        <w:pStyle w:val="ListParagraph"/>
        <w:numPr>
          <w:ilvl w:val="0"/>
          <w:numId w:val="50"/>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Centrifuge conjugate if there is precipitate at the bottom.</w:t>
      </w:r>
    </w:p>
    <w:p w14:paraId="1C6B5DF9" w14:textId="4DB6E408" w:rsidR="00DC55AB" w:rsidRPr="00D74025" w:rsidRDefault="00DC55AB">
      <w:pPr>
        <w:pStyle w:val="ListParagraph"/>
        <w:numPr>
          <w:ilvl w:val="0"/>
          <w:numId w:val="50"/>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Dialyze for </w:t>
      </w:r>
      <w:r w:rsidRPr="00D74025">
        <w:rPr>
          <w:rFonts w:ascii="Arial" w:hAnsi="Arial" w:cs="Arial"/>
          <w:b/>
          <w:bCs/>
          <w:color w:val="000000" w:themeColor="text1"/>
        </w:rPr>
        <w:t>4</w:t>
      </w:r>
      <w:r w:rsidR="00FE4CE8">
        <w:rPr>
          <w:rFonts w:ascii="Arial" w:hAnsi="Arial" w:cs="Arial"/>
          <w:b/>
          <w:bCs/>
          <w:color w:val="000000" w:themeColor="text1"/>
        </w:rPr>
        <w:t xml:space="preserve"> </w:t>
      </w:r>
      <w:r w:rsidRPr="00D74025">
        <w:rPr>
          <w:rFonts w:ascii="Arial" w:hAnsi="Arial" w:cs="Arial"/>
          <w:b/>
          <w:bCs/>
          <w:color w:val="000000" w:themeColor="text1"/>
        </w:rPr>
        <w:t>h</w:t>
      </w:r>
      <w:r w:rsidRPr="00D74025">
        <w:rPr>
          <w:rFonts w:ascii="Arial" w:hAnsi="Arial" w:cs="Arial"/>
          <w:color w:val="000000" w:themeColor="text1"/>
        </w:rPr>
        <w:t xml:space="preserve"> against 2 L of 20 mM phosphate buffer, pH 7.4</w:t>
      </w:r>
    </w:p>
    <w:p w14:paraId="5E00ED9A" w14:textId="77777777" w:rsidR="00DC55AB" w:rsidRPr="00D74025" w:rsidRDefault="00DC55AB">
      <w:pPr>
        <w:pStyle w:val="ListParagraph"/>
        <w:numPr>
          <w:ilvl w:val="1"/>
          <w:numId w:val="45"/>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lastRenderedPageBreak/>
        <w:t xml:space="preserve">Membrane MWCO should be between 1 and 10 </w:t>
      </w:r>
      <w:proofErr w:type="spellStart"/>
      <w:r w:rsidRPr="00D74025">
        <w:rPr>
          <w:rFonts w:ascii="Arial" w:hAnsi="Arial" w:cs="Arial"/>
          <w:color w:val="000000" w:themeColor="text1"/>
        </w:rPr>
        <w:t>kDa</w:t>
      </w:r>
      <w:proofErr w:type="spellEnd"/>
      <w:r w:rsidRPr="00D74025">
        <w:rPr>
          <w:rFonts w:ascii="Arial" w:hAnsi="Arial" w:cs="Arial"/>
          <w:color w:val="000000" w:themeColor="text1"/>
        </w:rPr>
        <w:t xml:space="preserve"> </w:t>
      </w:r>
    </w:p>
    <w:p w14:paraId="64A8061C" w14:textId="77777777" w:rsidR="00DC55AB" w:rsidRPr="00D74025" w:rsidRDefault="00DC55AB">
      <w:pPr>
        <w:pStyle w:val="ListParagraph"/>
        <w:numPr>
          <w:ilvl w:val="0"/>
          <w:numId w:val="45"/>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Determine the product protein concentration by Bradford assay</w:t>
      </w:r>
    </w:p>
    <w:p w14:paraId="1CFF3FDC" w14:textId="77777777" w:rsidR="00DC55AB" w:rsidRPr="00D74025" w:rsidRDefault="00DC55AB">
      <w:pPr>
        <w:pStyle w:val="ListParagraph"/>
        <w:numPr>
          <w:ilvl w:val="0"/>
          <w:numId w:val="45"/>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Determine the extent of DM1 conjugation by reading absorbance at 288 nm of the conjugate and a blank of unconjugated annexin at the same concentration.</w:t>
      </w:r>
    </w:p>
    <w:p w14:paraId="07418CAE" w14:textId="41A7A00C" w:rsidR="00DC55AB" w:rsidRPr="00D74025" w:rsidRDefault="00DC55AB">
      <w:pPr>
        <w:pStyle w:val="ListParagraph"/>
        <w:numPr>
          <w:ilvl w:val="1"/>
          <w:numId w:val="45"/>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Calculate the DM1/A</w:t>
      </w:r>
      <w:r w:rsidR="0060546D">
        <w:rPr>
          <w:rFonts w:ascii="Arial" w:hAnsi="Arial" w:cs="Arial"/>
          <w:color w:val="000000" w:themeColor="text1"/>
        </w:rPr>
        <w:t>NXA5</w:t>
      </w:r>
      <w:r w:rsidRPr="00D74025">
        <w:rPr>
          <w:rFonts w:ascii="Arial" w:hAnsi="Arial" w:cs="Arial"/>
          <w:color w:val="000000" w:themeColor="text1"/>
        </w:rPr>
        <w:t xml:space="preserve"> ratio for the conjugate.</w:t>
      </w:r>
    </w:p>
    <w:p w14:paraId="78BE93B3" w14:textId="77777777" w:rsidR="00DC55AB" w:rsidRPr="00D74025" w:rsidRDefault="00DC55AB" w:rsidP="00F6020C">
      <w:pPr>
        <w:spacing w:line="276" w:lineRule="auto"/>
        <w:ind w:firstLine="360"/>
        <w:rPr>
          <w:rFonts w:ascii="Arial" w:hAnsi="Arial" w:cs="Arial"/>
          <w:color w:val="000000" w:themeColor="text1"/>
          <w:u w:val="single"/>
        </w:rPr>
      </w:pPr>
      <w:r w:rsidRPr="00D74025">
        <w:rPr>
          <w:rFonts w:ascii="Arial" w:hAnsi="Arial" w:cs="Arial"/>
          <w:color w:val="000000" w:themeColor="text1"/>
          <w:u w:val="single"/>
        </w:rPr>
        <w:t>Purification of PEGylated AuNP</w:t>
      </w:r>
    </w:p>
    <w:p w14:paraId="4235257A" w14:textId="77777777" w:rsidR="00DC55AB" w:rsidRPr="00D74025" w:rsidRDefault="00DC55AB">
      <w:pPr>
        <w:pStyle w:val="ListParagraph"/>
        <w:numPr>
          <w:ilvl w:val="0"/>
          <w:numId w:val="47"/>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Wash excess linker away</w:t>
      </w:r>
    </w:p>
    <w:p w14:paraId="0BEB7F15" w14:textId="77777777" w:rsidR="00DC55AB" w:rsidRPr="00D74025" w:rsidRDefault="00DC55AB">
      <w:pPr>
        <w:pStyle w:val="ListParagraph"/>
        <w:numPr>
          <w:ilvl w:val="1"/>
          <w:numId w:val="47"/>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Pipette solution into ultracentrifuge tube. Wash tube with PBS and place wash buffer with nanoparticles. Fill remaining ultracentrifuge tube space with PBS.</w:t>
      </w:r>
    </w:p>
    <w:p w14:paraId="64770039" w14:textId="77777777" w:rsidR="00DC55AB" w:rsidRPr="00D74025" w:rsidRDefault="00DC55AB">
      <w:pPr>
        <w:pStyle w:val="ListParagraph"/>
        <w:numPr>
          <w:ilvl w:val="1"/>
          <w:numId w:val="47"/>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Centrifuge tubes at 16,000g for 20 min.</w:t>
      </w:r>
    </w:p>
    <w:p w14:paraId="4450825E" w14:textId="77777777" w:rsidR="00DC55AB" w:rsidRPr="00D74025" w:rsidRDefault="00DC55AB">
      <w:pPr>
        <w:pStyle w:val="ListParagraph"/>
        <w:numPr>
          <w:ilvl w:val="1"/>
          <w:numId w:val="47"/>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Remove supernatant and redisperse in </w:t>
      </w:r>
      <w:proofErr w:type="spellStart"/>
      <w:r w:rsidRPr="00D74025">
        <w:rPr>
          <w:rFonts w:ascii="Arial" w:hAnsi="Arial" w:cs="Arial"/>
          <w:color w:val="000000" w:themeColor="text1"/>
        </w:rPr>
        <w:t>sulfo</w:t>
      </w:r>
      <w:proofErr w:type="spellEnd"/>
      <w:r w:rsidRPr="00D74025">
        <w:rPr>
          <w:rFonts w:ascii="Arial" w:hAnsi="Arial" w:cs="Arial"/>
          <w:color w:val="000000" w:themeColor="text1"/>
        </w:rPr>
        <w:t xml:space="preserve">-SMCC PBS buffer with water bath/probe </w:t>
      </w:r>
      <w:proofErr w:type="spellStart"/>
      <w:r w:rsidRPr="00D74025">
        <w:rPr>
          <w:rFonts w:ascii="Arial" w:hAnsi="Arial" w:cs="Arial"/>
          <w:color w:val="000000" w:themeColor="text1"/>
        </w:rPr>
        <w:t>sonicator</w:t>
      </w:r>
      <w:proofErr w:type="spellEnd"/>
      <w:r w:rsidRPr="00D74025">
        <w:rPr>
          <w:rFonts w:ascii="Arial" w:hAnsi="Arial" w:cs="Arial"/>
          <w:color w:val="000000" w:themeColor="text1"/>
        </w:rPr>
        <w:t xml:space="preserve"> for </w:t>
      </w:r>
      <w:r w:rsidRPr="00D74025">
        <w:rPr>
          <w:rFonts w:ascii="Arial" w:hAnsi="Arial" w:cs="Arial"/>
          <w:b/>
          <w:color w:val="000000" w:themeColor="text1"/>
        </w:rPr>
        <w:t>10-15min</w:t>
      </w:r>
    </w:p>
    <w:p w14:paraId="5FA62D0F" w14:textId="77777777" w:rsidR="00DC55AB" w:rsidRPr="00D74025" w:rsidRDefault="00DC55AB">
      <w:pPr>
        <w:pStyle w:val="ListParagraph"/>
        <w:numPr>
          <w:ilvl w:val="2"/>
          <w:numId w:val="47"/>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Add 10 mg </w:t>
      </w:r>
      <w:proofErr w:type="spellStart"/>
      <w:r w:rsidRPr="00D74025">
        <w:rPr>
          <w:rFonts w:ascii="Arial" w:hAnsi="Arial" w:cs="Arial"/>
          <w:color w:val="000000" w:themeColor="text1"/>
        </w:rPr>
        <w:t>Sulfo</w:t>
      </w:r>
      <w:proofErr w:type="spellEnd"/>
      <w:r w:rsidRPr="00D74025">
        <w:rPr>
          <w:rFonts w:ascii="Arial" w:hAnsi="Arial" w:cs="Arial"/>
          <w:color w:val="000000" w:themeColor="text1"/>
        </w:rPr>
        <w:t>-SMCC in 0.5 ml PBS</w:t>
      </w:r>
    </w:p>
    <w:p w14:paraId="051B7B49" w14:textId="77777777" w:rsidR="00DC55AB" w:rsidRPr="00D74025" w:rsidRDefault="00DC55AB" w:rsidP="00F6020C">
      <w:pPr>
        <w:spacing w:line="276" w:lineRule="auto"/>
        <w:rPr>
          <w:rFonts w:ascii="Arial" w:hAnsi="Arial" w:cs="Arial"/>
          <w:color w:val="000000" w:themeColor="text1"/>
        </w:rPr>
      </w:pPr>
    </w:p>
    <w:p w14:paraId="0A55430A" w14:textId="01720EA3" w:rsidR="00DC55AB" w:rsidRPr="00D74025" w:rsidRDefault="00DC55AB" w:rsidP="00F6020C">
      <w:pPr>
        <w:spacing w:line="276" w:lineRule="auto"/>
        <w:ind w:firstLine="360"/>
        <w:rPr>
          <w:rFonts w:ascii="Arial" w:hAnsi="Arial" w:cs="Arial"/>
          <w:color w:val="000000" w:themeColor="text1"/>
          <w:u w:val="single"/>
        </w:rPr>
      </w:pPr>
      <w:r w:rsidRPr="00D74025">
        <w:rPr>
          <w:rFonts w:ascii="Arial" w:hAnsi="Arial" w:cs="Arial"/>
          <w:color w:val="000000" w:themeColor="text1"/>
          <w:u w:val="single"/>
        </w:rPr>
        <w:t>Preparation of AuNP-A</w:t>
      </w:r>
      <w:r w:rsidR="000F4E02">
        <w:rPr>
          <w:rFonts w:ascii="Arial" w:hAnsi="Arial" w:cs="Arial"/>
          <w:color w:val="000000" w:themeColor="text1"/>
          <w:u w:val="single"/>
        </w:rPr>
        <w:t>NXA5</w:t>
      </w:r>
      <w:r w:rsidRPr="00D74025">
        <w:rPr>
          <w:rFonts w:ascii="Arial" w:hAnsi="Arial" w:cs="Arial"/>
          <w:color w:val="000000" w:themeColor="text1"/>
          <w:u w:val="single"/>
        </w:rPr>
        <w:t>-DM1</w:t>
      </w:r>
    </w:p>
    <w:p w14:paraId="03F98DDC" w14:textId="77777777" w:rsidR="00DC55AB" w:rsidRPr="00D74025" w:rsidRDefault="00DC55AB" w:rsidP="00F6020C">
      <w:pPr>
        <w:spacing w:line="276" w:lineRule="auto"/>
        <w:rPr>
          <w:rFonts w:ascii="Arial" w:hAnsi="Arial" w:cs="Arial"/>
          <w:color w:val="000000" w:themeColor="text1"/>
        </w:rPr>
      </w:pPr>
    </w:p>
    <w:p w14:paraId="17C3DF61" w14:textId="12F04FFB" w:rsidR="00DC55AB" w:rsidRPr="00D74025" w:rsidRDefault="00DC55AB">
      <w:pPr>
        <w:pStyle w:val="ListParagraph"/>
        <w:numPr>
          <w:ilvl w:val="0"/>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Adding </w:t>
      </w:r>
      <w:r w:rsidR="00C6220F">
        <w:rPr>
          <w:rFonts w:ascii="Arial" w:hAnsi="Arial" w:cs="Arial"/>
          <w:color w:val="000000" w:themeColor="text1"/>
        </w:rPr>
        <w:t>m</w:t>
      </w:r>
      <w:r w:rsidRPr="00D74025">
        <w:rPr>
          <w:rFonts w:ascii="Arial" w:hAnsi="Arial" w:cs="Arial"/>
          <w:color w:val="000000" w:themeColor="text1"/>
        </w:rPr>
        <w:t>aleimide groups to NH</w:t>
      </w:r>
      <w:r w:rsidRPr="00D74025">
        <w:rPr>
          <w:rFonts w:ascii="Arial" w:hAnsi="Arial" w:cs="Arial"/>
          <w:color w:val="000000" w:themeColor="text1"/>
          <w:vertAlign w:val="subscript"/>
        </w:rPr>
        <w:t>2</w:t>
      </w:r>
      <w:r w:rsidRPr="00D74025">
        <w:rPr>
          <w:rFonts w:ascii="Arial" w:hAnsi="Arial" w:cs="Arial"/>
          <w:color w:val="000000" w:themeColor="text1"/>
        </w:rPr>
        <w:t xml:space="preserve"> functionalized AuNPs</w:t>
      </w:r>
    </w:p>
    <w:p w14:paraId="505D5764" w14:textId="30C3BFBF" w:rsidR="00DC55AB" w:rsidRPr="00D74025" w:rsidRDefault="00DC55AB">
      <w:pPr>
        <w:pStyle w:val="ListParagraph"/>
        <w:numPr>
          <w:ilvl w:val="1"/>
          <w:numId w:val="46"/>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Add 10 mg </w:t>
      </w:r>
      <w:proofErr w:type="spellStart"/>
      <w:r w:rsidR="00C6220F">
        <w:rPr>
          <w:rFonts w:ascii="Arial" w:hAnsi="Arial" w:cs="Arial"/>
          <w:color w:val="000000" w:themeColor="text1"/>
        </w:rPr>
        <w:t>s</w:t>
      </w:r>
      <w:r w:rsidRPr="00D74025">
        <w:rPr>
          <w:rFonts w:ascii="Arial" w:hAnsi="Arial" w:cs="Arial"/>
          <w:color w:val="000000" w:themeColor="text1"/>
        </w:rPr>
        <w:t>ulfo</w:t>
      </w:r>
      <w:proofErr w:type="spellEnd"/>
      <w:r w:rsidRPr="00D74025">
        <w:rPr>
          <w:rFonts w:ascii="Arial" w:hAnsi="Arial" w:cs="Arial"/>
          <w:color w:val="000000" w:themeColor="text1"/>
        </w:rPr>
        <w:t>-SMCC solution to AuNP-PEG-NH</w:t>
      </w:r>
      <w:r w:rsidRPr="00D74025">
        <w:rPr>
          <w:rFonts w:ascii="Arial" w:hAnsi="Arial" w:cs="Arial"/>
          <w:color w:val="000000" w:themeColor="text1"/>
          <w:vertAlign w:val="subscript"/>
        </w:rPr>
        <w:t>2</w:t>
      </w:r>
      <w:r w:rsidRPr="00D74025">
        <w:rPr>
          <w:rFonts w:ascii="Arial" w:hAnsi="Arial" w:cs="Arial"/>
          <w:color w:val="000000" w:themeColor="text1"/>
        </w:rPr>
        <w:t>.</w:t>
      </w:r>
    </w:p>
    <w:p w14:paraId="27EE784A" w14:textId="77777777" w:rsidR="00DC55AB" w:rsidRPr="00D74025" w:rsidRDefault="00DC55AB">
      <w:pPr>
        <w:pStyle w:val="ListParagraph"/>
        <w:numPr>
          <w:ilvl w:val="1"/>
          <w:numId w:val="46"/>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Let reaction stir for 30 min under on rotator at room temperature.</w:t>
      </w:r>
    </w:p>
    <w:p w14:paraId="02896403" w14:textId="77777777" w:rsidR="00DC55AB" w:rsidRPr="00D74025" w:rsidRDefault="00DC55AB">
      <w:pPr>
        <w:pStyle w:val="ListParagraph"/>
        <w:numPr>
          <w:ilvl w:val="0"/>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Purifying AuNP-SMCC solution:</w:t>
      </w:r>
    </w:p>
    <w:p w14:paraId="6BCE723F" w14:textId="77777777" w:rsidR="00DC55AB" w:rsidRPr="00D74025" w:rsidRDefault="00DC55AB">
      <w:pPr>
        <w:pStyle w:val="ListParagraph"/>
        <w:numPr>
          <w:ilvl w:val="1"/>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Wash excess crosslinker away:</w:t>
      </w:r>
    </w:p>
    <w:p w14:paraId="6A01CCB4" w14:textId="77777777" w:rsidR="00DC55AB" w:rsidRPr="00D74025" w:rsidRDefault="00DC55AB">
      <w:pPr>
        <w:pStyle w:val="ListParagraph"/>
        <w:numPr>
          <w:ilvl w:val="2"/>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Pipette solution into ultracentrifuge tube. Wash tube with PBS and place wash buffer with nanoparticles. Fill remaining ultracentrifuge tube space with PBS.</w:t>
      </w:r>
    </w:p>
    <w:p w14:paraId="621702DC" w14:textId="77777777" w:rsidR="00DC55AB" w:rsidRPr="00D74025" w:rsidRDefault="00DC55AB">
      <w:pPr>
        <w:pStyle w:val="ListParagraph"/>
        <w:numPr>
          <w:ilvl w:val="2"/>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Centrifuge tubes at 16,000g for 20 min.</w:t>
      </w:r>
    </w:p>
    <w:p w14:paraId="27D59A39" w14:textId="77777777" w:rsidR="00DC55AB" w:rsidRPr="00D74025" w:rsidRDefault="00DC55AB">
      <w:pPr>
        <w:pStyle w:val="ListParagraph"/>
        <w:numPr>
          <w:ilvl w:val="2"/>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Remove supernatant and redisperse in 0.5 ml PBS buffer with water bath/probe </w:t>
      </w:r>
      <w:proofErr w:type="spellStart"/>
      <w:r w:rsidRPr="00D74025">
        <w:rPr>
          <w:rFonts w:ascii="Arial" w:hAnsi="Arial" w:cs="Arial"/>
          <w:color w:val="000000" w:themeColor="text1"/>
        </w:rPr>
        <w:t>sonicator</w:t>
      </w:r>
      <w:proofErr w:type="spellEnd"/>
      <w:r w:rsidRPr="00D74025">
        <w:rPr>
          <w:rFonts w:ascii="Arial" w:hAnsi="Arial" w:cs="Arial"/>
          <w:color w:val="000000" w:themeColor="text1"/>
        </w:rPr>
        <w:t xml:space="preserve"> until total dispersion.</w:t>
      </w:r>
    </w:p>
    <w:p w14:paraId="488A508D" w14:textId="77777777" w:rsidR="00DC55AB" w:rsidRPr="00D74025" w:rsidRDefault="00DC55AB">
      <w:pPr>
        <w:pStyle w:val="ListParagraph"/>
        <w:numPr>
          <w:ilvl w:val="0"/>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Adding ANXA5-DM1 to maleimide functionalized AuNPs:</w:t>
      </w:r>
    </w:p>
    <w:p w14:paraId="7D4114E0" w14:textId="77777777" w:rsidR="00DC55AB" w:rsidRPr="00D74025" w:rsidRDefault="00DC55AB">
      <w:pPr>
        <w:pStyle w:val="ListParagraph"/>
        <w:numPr>
          <w:ilvl w:val="1"/>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Add 5 mg of ANXA5-DM1 previously prepared and purified.</w:t>
      </w:r>
      <w:r w:rsidRPr="00D74025">
        <w:rPr>
          <w:rFonts w:ascii="Arial" w:hAnsi="Arial" w:cs="Arial"/>
          <w:color w:val="000000" w:themeColor="text1"/>
        </w:rPr>
        <w:tab/>
      </w:r>
    </w:p>
    <w:p w14:paraId="44CAC58B" w14:textId="77777777" w:rsidR="00DC55AB" w:rsidRPr="00D74025" w:rsidRDefault="00DC55AB">
      <w:pPr>
        <w:pStyle w:val="ListParagraph"/>
        <w:numPr>
          <w:ilvl w:val="1"/>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Let reaction shake </w:t>
      </w:r>
      <w:r w:rsidRPr="00D74025">
        <w:rPr>
          <w:rFonts w:ascii="Arial" w:hAnsi="Arial" w:cs="Arial"/>
          <w:b/>
          <w:bCs/>
          <w:color w:val="000000" w:themeColor="text1"/>
        </w:rPr>
        <w:t>18 h</w:t>
      </w:r>
      <w:r w:rsidRPr="00D74025">
        <w:rPr>
          <w:rFonts w:ascii="Arial" w:hAnsi="Arial" w:cs="Arial"/>
          <w:color w:val="000000" w:themeColor="text1"/>
        </w:rPr>
        <w:t xml:space="preserve"> under moderate speed at 4°C.</w:t>
      </w:r>
    </w:p>
    <w:p w14:paraId="32093C30" w14:textId="77777777" w:rsidR="00DC55AB" w:rsidRPr="00D74025" w:rsidRDefault="00DC55AB">
      <w:pPr>
        <w:pStyle w:val="ListParagraph"/>
        <w:numPr>
          <w:ilvl w:val="2"/>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Vial should be stabilized in a Styrofoam box and parallel to ensure proper circulation.</w:t>
      </w:r>
    </w:p>
    <w:p w14:paraId="2756DD59" w14:textId="6CB9F24E" w:rsidR="00DC55AB" w:rsidRPr="00D74025" w:rsidRDefault="00DC55AB">
      <w:pPr>
        <w:pStyle w:val="ListParagraph"/>
        <w:numPr>
          <w:ilvl w:val="0"/>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Blocking leftover </w:t>
      </w:r>
      <w:r w:rsidR="00C6220F">
        <w:rPr>
          <w:rFonts w:ascii="Arial" w:hAnsi="Arial" w:cs="Arial"/>
          <w:color w:val="000000" w:themeColor="text1"/>
        </w:rPr>
        <w:t>m</w:t>
      </w:r>
      <w:r w:rsidRPr="00D74025">
        <w:rPr>
          <w:rFonts w:ascii="Arial" w:hAnsi="Arial" w:cs="Arial"/>
          <w:color w:val="000000" w:themeColor="text1"/>
        </w:rPr>
        <w:t>aleimide groups on AuNP-ANXA5-DM1:</w:t>
      </w:r>
    </w:p>
    <w:p w14:paraId="4A7665FD" w14:textId="4E2DB11F" w:rsidR="00DC55AB" w:rsidRPr="00D74025" w:rsidRDefault="00DC55AB">
      <w:pPr>
        <w:pStyle w:val="ListParagraph"/>
        <w:numPr>
          <w:ilvl w:val="1"/>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Dissolve 15mg L-</w:t>
      </w:r>
      <w:r w:rsidR="00C6220F">
        <w:rPr>
          <w:rFonts w:ascii="Arial" w:hAnsi="Arial" w:cs="Arial"/>
          <w:color w:val="000000" w:themeColor="text1"/>
        </w:rPr>
        <w:t>c</w:t>
      </w:r>
      <w:r w:rsidRPr="00D74025">
        <w:rPr>
          <w:rFonts w:ascii="Arial" w:hAnsi="Arial" w:cs="Arial"/>
          <w:color w:val="000000" w:themeColor="text1"/>
        </w:rPr>
        <w:t>ysteine in 1mL PBS.</w:t>
      </w:r>
    </w:p>
    <w:p w14:paraId="3B337FC4" w14:textId="77777777" w:rsidR="00DC55AB" w:rsidRPr="00D74025" w:rsidRDefault="00DC55AB">
      <w:pPr>
        <w:pStyle w:val="ListParagraph"/>
        <w:numPr>
          <w:ilvl w:val="2"/>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Vortex for a minute to dissolve</w:t>
      </w:r>
    </w:p>
    <w:p w14:paraId="41B94869" w14:textId="225396AC" w:rsidR="00DC55AB" w:rsidRPr="00D74025" w:rsidRDefault="00DC55AB">
      <w:pPr>
        <w:pStyle w:val="ListParagraph"/>
        <w:numPr>
          <w:ilvl w:val="1"/>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Add 10</w:t>
      </w:r>
      <w:r w:rsidR="00FF588A">
        <w:rPr>
          <w:rFonts w:ascii="Arial" w:hAnsi="Arial" w:cs="Arial"/>
          <w:color w:val="000000" w:themeColor="text1"/>
        </w:rPr>
        <w:t xml:space="preserve"> </w:t>
      </w:r>
      <w:r w:rsidR="00FF588A">
        <w:rPr>
          <w:rFonts w:ascii="Arial" w:hAnsi="Arial" w:cs="Arial"/>
          <w:color w:val="000000" w:themeColor="text1"/>
          <w:lang w:val="en"/>
        </w:rPr>
        <w:sym w:font="Symbol" w:char="F06D"/>
      </w:r>
      <w:r w:rsidR="00FF588A" w:rsidRPr="00E56710">
        <w:rPr>
          <w:rFonts w:ascii="Arial" w:hAnsi="Arial" w:cs="Arial"/>
          <w:color w:val="000000" w:themeColor="text1"/>
          <w:lang w:val="en"/>
        </w:rPr>
        <w:t>L</w:t>
      </w:r>
      <w:r w:rsidRPr="00D74025">
        <w:rPr>
          <w:rFonts w:ascii="Arial" w:hAnsi="Arial" w:cs="Arial"/>
          <w:color w:val="000000" w:themeColor="text1"/>
        </w:rPr>
        <w:t xml:space="preserve"> L-</w:t>
      </w:r>
      <w:r w:rsidR="00C6220F">
        <w:rPr>
          <w:rFonts w:ascii="Arial" w:hAnsi="Arial" w:cs="Arial"/>
          <w:color w:val="000000" w:themeColor="text1"/>
        </w:rPr>
        <w:t>c</w:t>
      </w:r>
      <w:r w:rsidRPr="00D74025">
        <w:rPr>
          <w:rFonts w:ascii="Arial" w:hAnsi="Arial" w:cs="Arial"/>
          <w:color w:val="000000" w:themeColor="text1"/>
        </w:rPr>
        <w:t>ysteine solution to AuNP-ANXA5</w:t>
      </w:r>
    </w:p>
    <w:p w14:paraId="7C1BC58C" w14:textId="77777777" w:rsidR="00DC55AB" w:rsidRPr="00D74025" w:rsidRDefault="00DC55AB">
      <w:pPr>
        <w:pStyle w:val="ListParagraph"/>
        <w:numPr>
          <w:ilvl w:val="1"/>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Let shake 1 h under moderate speed at 4°C.</w:t>
      </w:r>
    </w:p>
    <w:p w14:paraId="50769128" w14:textId="77777777" w:rsidR="00DC55AB" w:rsidRPr="00D74025" w:rsidRDefault="00DC55AB">
      <w:pPr>
        <w:pStyle w:val="ListParagraph"/>
        <w:numPr>
          <w:ilvl w:val="0"/>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Dialyze it against PBS overnight in 100 </w:t>
      </w:r>
      <w:proofErr w:type="spellStart"/>
      <w:r w:rsidRPr="00D74025">
        <w:rPr>
          <w:rFonts w:ascii="Arial" w:hAnsi="Arial" w:cs="Arial"/>
          <w:color w:val="000000" w:themeColor="text1"/>
        </w:rPr>
        <w:t>kDa</w:t>
      </w:r>
      <w:proofErr w:type="spellEnd"/>
      <w:r w:rsidRPr="00D74025">
        <w:rPr>
          <w:rFonts w:ascii="Arial" w:hAnsi="Arial" w:cs="Arial"/>
          <w:color w:val="000000" w:themeColor="text1"/>
        </w:rPr>
        <w:t xml:space="preserve"> dialysis membrane</w:t>
      </w:r>
    </w:p>
    <w:p w14:paraId="6FAB8AC3" w14:textId="689EB460" w:rsidR="00DC55AB" w:rsidRPr="00D74025" w:rsidRDefault="00DC55AB">
      <w:pPr>
        <w:pStyle w:val="ListParagraph"/>
        <w:numPr>
          <w:ilvl w:val="1"/>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Unbound A</w:t>
      </w:r>
      <w:r w:rsidR="000F4E02">
        <w:rPr>
          <w:rFonts w:ascii="Arial" w:hAnsi="Arial" w:cs="Arial"/>
          <w:color w:val="000000" w:themeColor="text1"/>
        </w:rPr>
        <w:t>NXA5</w:t>
      </w:r>
      <w:r w:rsidRPr="00D74025">
        <w:rPr>
          <w:rFonts w:ascii="Arial" w:hAnsi="Arial" w:cs="Arial"/>
          <w:color w:val="000000" w:themeColor="text1"/>
        </w:rPr>
        <w:t>-DM1 and other components will be washed away</w:t>
      </w:r>
    </w:p>
    <w:p w14:paraId="404E1701" w14:textId="77777777" w:rsidR="00507014" w:rsidRDefault="00507014" w:rsidP="007B0BB9">
      <w:pPr>
        <w:spacing w:line="276" w:lineRule="auto"/>
        <w:rPr>
          <w:rFonts w:ascii="Arial" w:hAnsi="Arial" w:cs="Arial"/>
          <w:b/>
          <w:bCs/>
          <w:color w:val="000000" w:themeColor="text1"/>
        </w:rPr>
      </w:pPr>
    </w:p>
    <w:p w14:paraId="2B5D7CF3" w14:textId="77777777" w:rsidR="00507014" w:rsidRPr="00507014" w:rsidRDefault="00507014" w:rsidP="007B0BB9">
      <w:pPr>
        <w:spacing w:line="276" w:lineRule="auto"/>
        <w:rPr>
          <w:rFonts w:ascii="Arial" w:hAnsi="Arial" w:cs="Arial"/>
          <w:color w:val="000000" w:themeColor="text1"/>
          <w:u w:val="single"/>
        </w:rPr>
      </w:pPr>
    </w:p>
    <w:p w14:paraId="3EBDA33E" w14:textId="60240A87" w:rsidR="007B0BB9" w:rsidRPr="00507014" w:rsidRDefault="00507014" w:rsidP="007B0BB9">
      <w:pPr>
        <w:spacing w:line="276" w:lineRule="auto"/>
        <w:rPr>
          <w:rFonts w:ascii="Arial" w:hAnsi="Arial" w:cs="Arial"/>
          <w:color w:val="000000" w:themeColor="text1"/>
          <w:u w:val="single"/>
        </w:rPr>
      </w:pPr>
      <w:r w:rsidRPr="00507014">
        <w:rPr>
          <w:rFonts w:ascii="Arial" w:hAnsi="Arial" w:cs="Arial"/>
          <w:color w:val="000000" w:themeColor="text1"/>
          <w:u w:val="single"/>
        </w:rPr>
        <w:t>T</w:t>
      </w:r>
      <w:r w:rsidR="007B0BB9" w:rsidRPr="00507014">
        <w:rPr>
          <w:rFonts w:ascii="Arial" w:hAnsi="Arial" w:cs="Arial"/>
          <w:color w:val="000000" w:themeColor="text1"/>
          <w:u w:val="single"/>
        </w:rPr>
        <w:t xml:space="preserve">hird Day </w:t>
      </w:r>
    </w:p>
    <w:p w14:paraId="22F755E0" w14:textId="6DF7B34A" w:rsidR="00DC55AB" w:rsidRPr="00D74025" w:rsidRDefault="00DC55AB">
      <w:pPr>
        <w:pStyle w:val="ListParagraph"/>
        <w:numPr>
          <w:ilvl w:val="3"/>
          <w:numId w:val="46"/>
        </w:numPr>
        <w:spacing w:line="276" w:lineRule="auto"/>
        <w:ind w:left="630"/>
        <w:rPr>
          <w:rFonts w:ascii="Arial" w:hAnsi="Arial" w:cs="Arial"/>
          <w:color w:val="000000" w:themeColor="text1"/>
        </w:rPr>
      </w:pPr>
      <w:r w:rsidRPr="00D74025">
        <w:rPr>
          <w:rFonts w:ascii="Arial" w:hAnsi="Arial" w:cs="Arial"/>
          <w:color w:val="000000" w:themeColor="text1"/>
        </w:rPr>
        <w:t>Measure concentration of AuNP and A</w:t>
      </w:r>
      <w:r w:rsidR="0060546D">
        <w:rPr>
          <w:rFonts w:ascii="Arial" w:hAnsi="Arial" w:cs="Arial"/>
          <w:color w:val="000000" w:themeColor="text1"/>
        </w:rPr>
        <w:t>NXA5</w:t>
      </w:r>
      <w:r w:rsidRPr="00D74025">
        <w:rPr>
          <w:rFonts w:ascii="Arial" w:hAnsi="Arial" w:cs="Arial"/>
          <w:color w:val="000000" w:themeColor="text1"/>
        </w:rPr>
        <w:t xml:space="preserve"> in final product.</w:t>
      </w:r>
    </w:p>
    <w:p w14:paraId="05A62FBF" w14:textId="77777777" w:rsidR="00DC55AB" w:rsidRPr="00D74025" w:rsidRDefault="00DC55AB">
      <w:pPr>
        <w:pStyle w:val="ListParagraph"/>
        <w:numPr>
          <w:ilvl w:val="1"/>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AuNP concentration is measure through absorbance at 520 nm and compared to standard curve.</w:t>
      </w:r>
    </w:p>
    <w:p w14:paraId="53825CCC" w14:textId="77777777" w:rsidR="00DC55AB" w:rsidRPr="00D74025" w:rsidRDefault="00DC55AB">
      <w:pPr>
        <w:pStyle w:val="ListParagraph"/>
        <w:numPr>
          <w:ilvl w:val="1"/>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Protein concentration is measured by Bradford assay, reading absorbance of the suspension at 595 nm, and subtracting the contribution of AuNP at that wavelength.</w:t>
      </w:r>
    </w:p>
    <w:p w14:paraId="4B2ED09B" w14:textId="6413890D" w:rsidR="00DC55AB" w:rsidRPr="00D74025" w:rsidRDefault="00DC55AB">
      <w:pPr>
        <w:pStyle w:val="ListParagraph"/>
        <w:numPr>
          <w:ilvl w:val="2"/>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It might be necessary to use a low concentration standard curve to measure protein concentration (10-100 </w:t>
      </w:r>
      <w:r w:rsidR="00B7235D">
        <w:rPr>
          <w:rFonts w:ascii="Arial" w:hAnsi="Arial" w:cs="Arial"/>
          <w:color w:val="000000" w:themeColor="text1"/>
        </w:rPr>
        <w:sym w:font="Symbol" w:char="F06D"/>
      </w:r>
      <w:r w:rsidRPr="00D74025">
        <w:rPr>
          <w:rFonts w:ascii="Arial" w:hAnsi="Arial" w:cs="Arial"/>
          <w:color w:val="000000" w:themeColor="text1"/>
        </w:rPr>
        <w:t>g/ml).</w:t>
      </w:r>
    </w:p>
    <w:p w14:paraId="5E05A39F" w14:textId="77777777" w:rsidR="00DC55AB" w:rsidRPr="00D74025" w:rsidRDefault="00DC55AB">
      <w:pPr>
        <w:pStyle w:val="ListParagraph"/>
        <w:numPr>
          <w:ilvl w:val="1"/>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The absorbance of AuNP in the solution should be subtracted from the absorption of the conjugate</w:t>
      </w:r>
    </w:p>
    <w:p w14:paraId="1962F862" w14:textId="659427D4" w:rsidR="00DC55AB" w:rsidRPr="00D74025" w:rsidRDefault="00DC55AB">
      <w:pPr>
        <w:pStyle w:val="ListParagraph"/>
        <w:numPr>
          <w:ilvl w:val="2"/>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After measuring the concentration of AuNP in the suspension, dilute stock solution to the concentration of the suspension and measure it with Bradford </w:t>
      </w:r>
      <w:r w:rsidR="00DD3DF7">
        <w:rPr>
          <w:rFonts w:ascii="Arial" w:hAnsi="Arial" w:cs="Arial"/>
          <w:color w:val="000000" w:themeColor="text1"/>
        </w:rPr>
        <w:t>r</w:t>
      </w:r>
      <w:r w:rsidRPr="00D74025">
        <w:rPr>
          <w:rFonts w:ascii="Arial" w:hAnsi="Arial" w:cs="Arial"/>
          <w:color w:val="000000" w:themeColor="text1"/>
        </w:rPr>
        <w:t>eagent parallel to the measurement of the protein concentration in the suspension.</w:t>
      </w:r>
    </w:p>
    <w:p w14:paraId="04DF977B" w14:textId="724681B6" w:rsidR="00DC55AB" w:rsidRPr="00D74025" w:rsidRDefault="00DC55AB">
      <w:pPr>
        <w:pStyle w:val="ListParagraph"/>
        <w:numPr>
          <w:ilvl w:val="1"/>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Calculate the A</w:t>
      </w:r>
      <w:r w:rsidR="0060546D">
        <w:rPr>
          <w:rFonts w:ascii="Arial" w:hAnsi="Arial" w:cs="Arial"/>
          <w:color w:val="000000" w:themeColor="text1"/>
        </w:rPr>
        <w:t>NXA5</w:t>
      </w:r>
      <w:r w:rsidRPr="00D74025">
        <w:rPr>
          <w:rFonts w:ascii="Arial" w:hAnsi="Arial" w:cs="Arial"/>
          <w:color w:val="000000" w:themeColor="text1"/>
        </w:rPr>
        <w:t>/AuNP ratio.</w:t>
      </w:r>
    </w:p>
    <w:p w14:paraId="10C2EEED" w14:textId="77777777" w:rsidR="00DC55AB" w:rsidRPr="00D74025" w:rsidRDefault="00DC55AB">
      <w:pPr>
        <w:pStyle w:val="ListParagraph"/>
        <w:numPr>
          <w:ilvl w:val="0"/>
          <w:numId w:val="4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Store it in 4°C fridge</w:t>
      </w:r>
    </w:p>
    <w:p w14:paraId="2154B824" w14:textId="77777777" w:rsidR="00DC55AB" w:rsidRPr="00D74025" w:rsidRDefault="00DC55AB" w:rsidP="00F6020C">
      <w:pPr>
        <w:spacing w:line="276" w:lineRule="auto"/>
        <w:rPr>
          <w:rFonts w:ascii="Arial" w:hAnsi="Arial" w:cs="Arial"/>
          <w:color w:val="000000" w:themeColor="text1"/>
        </w:rPr>
      </w:pPr>
    </w:p>
    <w:p w14:paraId="2DE766AC" w14:textId="215A9ED1" w:rsidR="00B13236" w:rsidRPr="00D74025" w:rsidRDefault="00B13236" w:rsidP="00F6020C">
      <w:pPr>
        <w:spacing w:line="276" w:lineRule="auto"/>
        <w:rPr>
          <w:rFonts w:ascii="Arial" w:hAnsi="Arial" w:cs="Arial"/>
          <w:color w:val="000000" w:themeColor="text1"/>
        </w:rPr>
      </w:pPr>
    </w:p>
    <w:p w14:paraId="2C8B7299" w14:textId="481E6C6B" w:rsidR="00B13236" w:rsidRPr="00D74025" w:rsidRDefault="00B13236" w:rsidP="00F6020C">
      <w:pPr>
        <w:spacing w:line="276" w:lineRule="auto"/>
        <w:rPr>
          <w:rFonts w:ascii="Arial" w:hAnsi="Arial" w:cs="Arial"/>
          <w:color w:val="000000" w:themeColor="text1"/>
        </w:rPr>
      </w:pPr>
    </w:p>
    <w:p w14:paraId="52321618" w14:textId="66866CA9" w:rsidR="003A1D85" w:rsidRPr="00D74025" w:rsidRDefault="003A1D85" w:rsidP="00F6020C">
      <w:pPr>
        <w:spacing w:line="276" w:lineRule="auto"/>
        <w:rPr>
          <w:rFonts w:ascii="Arial" w:hAnsi="Arial" w:cs="Arial"/>
          <w:color w:val="000000" w:themeColor="text1"/>
        </w:rPr>
      </w:pPr>
    </w:p>
    <w:p w14:paraId="4E037658" w14:textId="75DFFDD5" w:rsidR="003A1D85" w:rsidRPr="00D74025" w:rsidRDefault="003A1D85" w:rsidP="00F6020C">
      <w:pPr>
        <w:spacing w:line="276" w:lineRule="auto"/>
        <w:rPr>
          <w:rFonts w:ascii="Arial" w:hAnsi="Arial" w:cs="Arial"/>
          <w:color w:val="000000" w:themeColor="text1"/>
        </w:rPr>
      </w:pPr>
    </w:p>
    <w:p w14:paraId="2D19DBDA" w14:textId="5413FD41" w:rsidR="003A1D85" w:rsidRPr="00D74025" w:rsidRDefault="003A1D85" w:rsidP="00F6020C">
      <w:pPr>
        <w:spacing w:line="276" w:lineRule="auto"/>
        <w:rPr>
          <w:rFonts w:ascii="Arial" w:hAnsi="Arial" w:cs="Arial"/>
          <w:color w:val="000000" w:themeColor="text1"/>
        </w:rPr>
      </w:pPr>
    </w:p>
    <w:p w14:paraId="1DE79642" w14:textId="402EBFE9" w:rsidR="003A1D85" w:rsidRPr="00494A09" w:rsidRDefault="001D20B7" w:rsidP="00494A09">
      <w:pPr>
        <w:pStyle w:val="Heading2"/>
        <w:spacing w:line="276" w:lineRule="auto"/>
        <w:ind w:firstLine="0"/>
        <w:rPr>
          <w:rFonts w:ascii="Arial" w:hAnsi="Arial" w:cs="Arial"/>
          <w:b/>
          <w:bCs/>
          <w:color w:val="000000" w:themeColor="text1"/>
          <w:sz w:val="24"/>
          <w:szCs w:val="24"/>
          <w:u w:val="single"/>
        </w:rPr>
      </w:pPr>
      <w:bookmarkStart w:id="210" w:name="_Toc121217301"/>
      <w:r w:rsidRPr="00494A09">
        <w:rPr>
          <w:rFonts w:ascii="Arial" w:hAnsi="Arial" w:cs="Arial"/>
          <w:b/>
          <w:bCs/>
          <w:color w:val="000000" w:themeColor="text1"/>
          <w:sz w:val="24"/>
          <w:szCs w:val="24"/>
          <w:u w:val="single"/>
        </w:rPr>
        <w:t>B</w:t>
      </w:r>
      <w:r w:rsidR="00D66ABE" w:rsidRPr="00494A09">
        <w:rPr>
          <w:rFonts w:ascii="Arial" w:hAnsi="Arial" w:cs="Arial"/>
          <w:b/>
          <w:bCs/>
          <w:color w:val="000000" w:themeColor="text1"/>
          <w:sz w:val="24"/>
          <w:szCs w:val="24"/>
          <w:u w:val="single"/>
        </w:rPr>
        <w:t>8</w:t>
      </w:r>
      <w:r w:rsidR="00920523" w:rsidRPr="00494A09">
        <w:rPr>
          <w:rFonts w:ascii="Arial" w:hAnsi="Arial" w:cs="Arial"/>
          <w:b/>
          <w:bCs/>
          <w:color w:val="000000" w:themeColor="text1"/>
          <w:sz w:val="24"/>
          <w:szCs w:val="24"/>
          <w:u w:val="single"/>
        </w:rPr>
        <w:t xml:space="preserve">. </w:t>
      </w:r>
      <w:r w:rsidRPr="00494A09">
        <w:rPr>
          <w:rFonts w:ascii="Arial" w:hAnsi="Arial" w:cs="Arial"/>
          <w:b/>
          <w:bCs/>
          <w:color w:val="000000" w:themeColor="text1"/>
          <w:sz w:val="24"/>
          <w:szCs w:val="24"/>
          <w:u w:val="single"/>
        </w:rPr>
        <w:t xml:space="preserve">Nanoparticle protein </w:t>
      </w:r>
      <w:r w:rsidR="00920523" w:rsidRPr="00494A09">
        <w:rPr>
          <w:rFonts w:ascii="Arial" w:hAnsi="Arial" w:cs="Arial"/>
          <w:b/>
          <w:bCs/>
          <w:color w:val="000000" w:themeColor="text1"/>
          <w:sz w:val="24"/>
          <w:szCs w:val="24"/>
          <w:u w:val="single"/>
        </w:rPr>
        <w:t>conjugates</w:t>
      </w:r>
      <w:r w:rsidRPr="00494A09">
        <w:rPr>
          <w:rFonts w:ascii="Arial" w:hAnsi="Arial" w:cs="Arial"/>
          <w:b/>
          <w:bCs/>
          <w:color w:val="000000" w:themeColor="text1"/>
          <w:sz w:val="24"/>
          <w:szCs w:val="24"/>
          <w:u w:val="single"/>
        </w:rPr>
        <w:t xml:space="preserve"> sterilization and assessment of sterility</w:t>
      </w:r>
      <w:bookmarkEnd w:id="210"/>
    </w:p>
    <w:p w14:paraId="0411D5FF" w14:textId="4B1794DD" w:rsidR="001D20B7" w:rsidRPr="00D74025" w:rsidRDefault="001D20B7" w:rsidP="00F6020C">
      <w:pPr>
        <w:spacing w:line="276" w:lineRule="auto"/>
        <w:rPr>
          <w:rFonts w:ascii="Arial" w:hAnsi="Arial" w:cs="Arial"/>
          <w:color w:val="000000" w:themeColor="text1"/>
        </w:rPr>
      </w:pPr>
    </w:p>
    <w:p w14:paraId="00B3FF0E" w14:textId="26D3BE8B" w:rsidR="001D20B7" w:rsidRPr="00D74025" w:rsidRDefault="001D20B7">
      <w:pPr>
        <w:pStyle w:val="ListParagraph"/>
        <w:numPr>
          <w:ilvl w:val="0"/>
          <w:numId w:val="60"/>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Place the suspension in a small petri dish, to allow the formation of a thin layer of the fluid</w:t>
      </w:r>
      <w:r w:rsidR="00980AA5">
        <w:rPr>
          <w:rFonts w:ascii="Arial" w:hAnsi="Arial" w:cs="Arial"/>
          <w:color w:val="000000" w:themeColor="text1"/>
        </w:rPr>
        <w:t>.</w:t>
      </w:r>
    </w:p>
    <w:p w14:paraId="144C77A8" w14:textId="3ED4ACA2" w:rsidR="001D20B7" w:rsidRPr="00D74025" w:rsidRDefault="001D20B7">
      <w:pPr>
        <w:pStyle w:val="ListParagraph"/>
        <w:numPr>
          <w:ilvl w:val="0"/>
          <w:numId w:val="60"/>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Subject the petri dish to a direct UV (UV-C, shortwave UV at 254 nm) irradiation for 30 min in a sterile environment - sterilized in a regular laminar flow hood equipped with a Philips UV-C lamp (30 Watts)</w:t>
      </w:r>
      <w:r w:rsidR="00980AA5">
        <w:rPr>
          <w:rFonts w:ascii="Arial" w:hAnsi="Arial" w:cs="Arial"/>
          <w:color w:val="000000" w:themeColor="text1"/>
        </w:rPr>
        <w:t>.</w:t>
      </w:r>
    </w:p>
    <w:p w14:paraId="465A2CA1" w14:textId="125E183E" w:rsidR="001D20B7" w:rsidRPr="00D74025" w:rsidRDefault="001D20B7">
      <w:pPr>
        <w:pStyle w:val="ListParagraph"/>
        <w:numPr>
          <w:ilvl w:val="0"/>
          <w:numId w:val="60"/>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Store the samples in an aseptic vial</w:t>
      </w:r>
      <w:r w:rsidR="00980AA5">
        <w:rPr>
          <w:rFonts w:ascii="Arial" w:hAnsi="Arial" w:cs="Arial"/>
          <w:color w:val="000000" w:themeColor="text1"/>
        </w:rPr>
        <w:t>.</w:t>
      </w:r>
    </w:p>
    <w:p w14:paraId="0C6EFB80" w14:textId="3FBA3B22" w:rsidR="001D20B7" w:rsidRPr="00D74025" w:rsidRDefault="001D20B7">
      <w:pPr>
        <w:pStyle w:val="ListParagraph"/>
        <w:numPr>
          <w:ilvl w:val="0"/>
          <w:numId w:val="60"/>
        </w:numPr>
        <w:autoSpaceDE w:val="0"/>
        <w:autoSpaceDN w:val="0"/>
        <w:adjustRightInd w:val="0"/>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To confirm sterility, plate tap water, non-sterile, and sterile SW</w:t>
      </w:r>
      <w:r w:rsidR="00187AE6">
        <w:rPr>
          <w:rFonts w:ascii="Arial" w:hAnsi="Arial" w:cs="Arial"/>
          <w:color w:val="000000" w:themeColor="text1"/>
        </w:rPr>
        <w:t>C</w:t>
      </w:r>
      <w:r w:rsidRPr="00D74025">
        <w:rPr>
          <w:rFonts w:ascii="Arial" w:hAnsi="Arial" w:cs="Arial"/>
          <w:color w:val="000000" w:themeColor="text1"/>
        </w:rPr>
        <w:t xml:space="preserve">NTs suspensions in an agar plate enriched with LB medium. </w:t>
      </w:r>
    </w:p>
    <w:p w14:paraId="62B6C7BC" w14:textId="77777777" w:rsidR="001D20B7" w:rsidRPr="00D74025" w:rsidRDefault="001D20B7" w:rsidP="00F6020C">
      <w:pPr>
        <w:spacing w:line="276" w:lineRule="auto"/>
        <w:rPr>
          <w:rFonts w:ascii="Arial" w:hAnsi="Arial" w:cs="Arial"/>
          <w:color w:val="000000" w:themeColor="text1"/>
        </w:rPr>
      </w:pPr>
    </w:p>
    <w:p w14:paraId="2F046A23" w14:textId="1EF001C8" w:rsidR="003A1D85" w:rsidRDefault="00A81FBA" w:rsidP="00507014">
      <w:pPr>
        <w:pStyle w:val="Heading2"/>
        <w:spacing w:line="276" w:lineRule="auto"/>
        <w:ind w:firstLine="0"/>
        <w:rPr>
          <w:rFonts w:ascii="Arial" w:hAnsi="Arial" w:cs="Arial"/>
          <w:b/>
          <w:bCs/>
          <w:color w:val="000000" w:themeColor="text1"/>
          <w:sz w:val="24"/>
          <w:szCs w:val="24"/>
          <w:u w:val="single"/>
          <w:lang w:val="pt-BR"/>
        </w:rPr>
      </w:pPr>
      <w:bookmarkStart w:id="211" w:name="_Toc121217302"/>
      <w:r w:rsidRPr="00507014">
        <w:rPr>
          <w:rFonts w:ascii="Arial" w:hAnsi="Arial" w:cs="Arial"/>
          <w:b/>
          <w:bCs/>
          <w:color w:val="000000" w:themeColor="text1"/>
          <w:sz w:val="24"/>
          <w:szCs w:val="24"/>
          <w:u w:val="single"/>
          <w:lang w:val="pt-BR"/>
        </w:rPr>
        <w:lastRenderedPageBreak/>
        <w:t>B</w:t>
      </w:r>
      <w:r w:rsidR="00D66ABE" w:rsidRPr="00507014">
        <w:rPr>
          <w:rFonts w:ascii="Arial" w:hAnsi="Arial" w:cs="Arial"/>
          <w:b/>
          <w:bCs/>
          <w:color w:val="000000" w:themeColor="text1"/>
          <w:sz w:val="24"/>
          <w:szCs w:val="24"/>
          <w:u w:val="single"/>
          <w:lang w:val="pt-BR"/>
        </w:rPr>
        <w:t>9</w:t>
      </w:r>
      <w:r w:rsidR="001B189F" w:rsidRPr="00507014">
        <w:rPr>
          <w:rFonts w:ascii="Arial" w:hAnsi="Arial" w:cs="Arial"/>
          <w:b/>
          <w:bCs/>
          <w:color w:val="000000" w:themeColor="text1"/>
          <w:sz w:val="24"/>
          <w:szCs w:val="24"/>
          <w:u w:val="single"/>
          <w:lang w:val="pt-BR"/>
        </w:rPr>
        <w:t xml:space="preserve">. AuNP-ANXA5-DM1 </w:t>
      </w:r>
      <w:proofErr w:type="spellStart"/>
      <w:r w:rsidR="001B189F" w:rsidRPr="00507014">
        <w:rPr>
          <w:rFonts w:ascii="Arial" w:hAnsi="Arial" w:cs="Arial"/>
          <w:b/>
          <w:bCs/>
          <w:color w:val="000000" w:themeColor="text1"/>
          <w:sz w:val="24"/>
          <w:szCs w:val="24"/>
          <w:u w:val="single"/>
          <w:lang w:val="pt-BR"/>
        </w:rPr>
        <w:t>conjugate</w:t>
      </w:r>
      <w:proofErr w:type="spellEnd"/>
      <w:r w:rsidR="001B189F" w:rsidRPr="00507014">
        <w:rPr>
          <w:rFonts w:ascii="Arial" w:hAnsi="Arial" w:cs="Arial"/>
          <w:b/>
          <w:bCs/>
          <w:color w:val="000000" w:themeColor="text1"/>
          <w:sz w:val="24"/>
          <w:szCs w:val="24"/>
          <w:u w:val="single"/>
          <w:lang w:val="pt-BR"/>
        </w:rPr>
        <w:t xml:space="preserve"> </w:t>
      </w:r>
      <w:proofErr w:type="spellStart"/>
      <w:r w:rsidR="001B189F" w:rsidRPr="00507014">
        <w:rPr>
          <w:rFonts w:ascii="Arial" w:hAnsi="Arial" w:cs="Arial"/>
          <w:b/>
          <w:bCs/>
          <w:color w:val="000000" w:themeColor="text1"/>
          <w:sz w:val="24"/>
          <w:szCs w:val="24"/>
          <w:u w:val="single"/>
          <w:lang w:val="pt-BR"/>
        </w:rPr>
        <w:t>quantification</w:t>
      </w:r>
      <w:bookmarkEnd w:id="211"/>
      <w:proofErr w:type="spellEnd"/>
    </w:p>
    <w:p w14:paraId="78810921" w14:textId="77777777" w:rsidR="00507014" w:rsidRPr="00507014" w:rsidRDefault="00507014" w:rsidP="00507014">
      <w:pPr>
        <w:rPr>
          <w:lang w:val="pt-BR"/>
        </w:rPr>
      </w:pPr>
    </w:p>
    <w:p w14:paraId="56525900" w14:textId="72EA9BBE" w:rsidR="001B189F" w:rsidRPr="00D74025" w:rsidRDefault="00A13500" w:rsidP="00F6020C">
      <w:pPr>
        <w:spacing w:line="276" w:lineRule="auto"/>
        <w:rPr>
          <w:rFonts w:ascii="Arial" w:hAnsi="Arial" w:cs="Arial"/>
          <w:color w:val="000000" w:themeColor="text1"/>
        </w:rPr>
      </w:pPr>
      <w:r w:rsidRPr="00D74025">
        <w:rPr>
          <w:rFonts w:ascii="Arial" w:hAnsi="Arial" w:cs="Arial"/>
          <w:color w:val="000000" w:themeColor="text1"/>
        </w:rPr>
        <w:t xml:space="preserve">After conjugating DM1 to ANXA5, quantify the extent of </w:t>
      </w:r>
      <w:r w:rsidR="008806E4" w:rsidRPr="00D74025">
        <w:rPr>
          <w:rFonts w:ascii="Arial" w:hAnsi="Arial" w:cs="Arial"/>
          <w:color w:val="000000" w:themeColor="text1"/>
        </w:rPr>
        <w:t>conjugation:</w:t>
      </w:r>
    </w:p>
    <w:p w14:paraId="304FBDD4" w14:textId="2441A042" w:rsidR="008806E4" w:rsidRPr="00D74025" w:rsidRDefault="008806E4">
      <w:pPr>
        <w:pStyle w:val="ListParagraph"/>
        <w:numPr>
          <w:ilvl w:val="0"/>
          <w:numId w:val="81"/>
        </w:numPr>
        <w:spacing w:line="276" w:lineRule="auto"/>
        <w:rPr>
          <w:rFonts w:ascii="Arial" w:hAnsi="Arial" w:cs="Arial"/>
          <w:color w:val="000000" w:themeColor="text1"/>
        </w:rPr>
      </w:pPr>
      <w:r w:rsidRPr="00D74025">
        <w:rPr>
          <w:rFonts w:ascii="Arial" w:hAnsi="Arial" w:cs="Arial"/>
          <w:color w:val="000000" w:themeColor="text1"/>
        </w:rPr>
        <w:t>Perform Bradford assay and determine ANXA5 concentration</w:t>
      </w:r>
      <w:r w:rsidR="00980AA5">
        <w:rPr>
          <w:rFonts w:ascii="Arial" w:hAnsi="Arial" w:cs="Arial"/>
          <w:color w:val="000000" w:themeColor="text1"/>
        </w:rPr>
        <w:t>.</w:t>
      </w:r>
    </w:p>
    <w:p w14:paraId="65CDBDF8" w14:textId="04ADBB94" w:rsidR="008806E4" w:rsidRPr="00D74025" w:rsidRDefault="0085314D">
      <w:pPr>
        <w:pStyle w:val="ListParagraph"/>
        <w:numPr>
          <w:ilvl w:val="0"/>
          <w:numId w:val="81"/>
        </w:numPr>
        <w:spacing w:line="276" w:lineRule="auto"/>
        <w:rPr>
          <w:rFonts w:ascii="Arial" w:hAnsi="Arial" w:cs="Arial"/>
          <w:color w:val="000000" w:themeColor="text1"/>
        </w:rPr>
      </w:pPr>
      <w:r w:rsidRPr="00D74025">
        <w:rPr>
          <w:rFonts w:ascii="Arial" w:hAnsi="Arial" w:cs="Arial"/>
          <w:color w:val="000000" w:themeColor="text1"/>
        </w:rPr>
        <w:t xml:space="preserve">Utilize the standard curve of </w:t>
      </w:r>
      <w:r w:rsidR="00C8312B" w:rsidRPr="00D74025">
        <w:rPr>
          <w:rFonts w:ascii="Arial" w:hAnsi="Arial" w:cs="Arial"/>
          <w:color w:val="000000" w:themeColor="text1"/>
        </w:rPr>
        <w:t xml:space="preserve">ANXA5 </w:t>
      </w:r>
      <w:r w:rsidR="009676DA" w:rsidRPr="00D74025">
        <w:rPr>
          <w:rFonts w:ascii="Arial" w:hAnsi="Arial" w:cs="Arial"/>
          <w:color w:val="000000" w:themeColor="text1"/>
        </w:rPr>
        <w:t xml:space="preserve">concentration vs absorbance at 288 nm to determine </w:t>
      </w:r>
      <w:r w:rsidR="00F87C9B" w:rsidRPr="00D74025">
        <w:rPr>
          <w:rFonts w:ascii="Arial" w:hAnsi="Arial" w:cs="Arial"/>
          <w:color w:val="000000" w:themeColor="text1"/>
        </w:rPr>
        <w:t xml:space="preserve">ANXA5 </w:t>
      </w:r>
      <w:r w:rsidR="00483CC9" w:rsidRPr="00D74025">
        <w:rPr>
          <w:rFonts w:ascii="Arial" w:hAnsi="Arial" w:cs="Arial"/>
          <w:color w:val="000000" w:themeColor="text1"/>
        </w:rPr>
        <w:t xml:space="preserve">contribution </w:t>
      </w:r>
      <w:r w:rsidR="00F87C9B" w:rsidRPr="00D74025">
        <w:rPr>
          <w:rFonts w:ascii="Arial" w:hAnsi="Arial" w:cs="Arial"/>
          <w:color w:val="000000" w:themeColor="text1"/>
        </w:rPr>
        <w:t>to 288 nm signal (</w:t>
      </w:r>
      <w:r w:rsidR="00F852A9" w:rsidRPr="00D74025">
        <w:rPr>
          <w:rFonts w:ascii="Arial" w:hAnsi="Arial" w:cs="Arial"/>
          <w:color w:val="000000" w:themeColor="text1"/>
        </w:rPr>
        <w:t>ANXA5 A.U.)</w:t>
      </w:r>
      <w:r w:rsidR="00980AA5">
        <w:rPr>
          <w:rFonts w:ascii="Arial" w:hAnsi="Arial" w:cs="Arial"/>
          <w:color w:val="000000" w:themeColor="text1"/>
        </w:rPr>
        <w:t>.</w:t>
      </w:r>
    </w:p>
    <w:p w14:paraId="6120EF32" w14:textId="26C34BFB" w:rsidR="00F852A9" w:rsidRPr="00D74025" w:rsidRDefault="00134091">
      <w:pPr>
        <w:pStyle w:val="ListParagraph"/>
        <w:numPr>
          <w:ilvl w:val="0"/>
          <w:numId w:val="81"/>
        </w:numPr>
        <w:spacing w:line="276" w:lineRule="auto"/>
        <w:rPr>
          <w:rFonts w:ascii="Arial" w:hAnsi="Arial" w:cs="Arial"/>
          <w:color w:val="000000" w:themeColor="text1"/>
        </w:rPr>
      </w:pPr>
      <w:r w:rsidRPr="00D74025">
        <w:rPr>
          <w:rFonts w:ascii="Arial" w:hAnsi="Arial" w:cs="Arial"/>
          <w:color w:val="000000" w:themeColor="text1"/>
        </w:rPr>
        <w:t xml:space="preserve">Determine the contribution of </w:t>
      </w:r>
      <w:r w:rsidR="009447BE" w:rsidRPr="00D74025">
        <w:rPr>
          <w:rFonts w:ascii="Arial" w:hAnsi="Arial" w:cs="Arial"/>
          <w:color w:val="000000" w:themeColor="text1"/>
        </w:rPr>
        <w:t>ANXA5-DM1 conjugate to 288 nm signal by reading the endpoint absorption of the conjugate</w:t>
      </w:r>
      <w:r w:rsidR="00AA37DA" w:rsidRPr="00D74025">
        <w:rPr>
          <w:rFonts w:ascii="Arial" w:hAnsi="Arial" w:cs="Arial"/>
          <w:color w:val="000000" w:themeColor="text1"/>
        </w:rPr>
        <w:t xml:space="preserve"> (100 </w:t>
      </w:r>
      <w:r w:rsidR="00AA37DA" w:rsidRPr="00D74025">
        <w:rPr>
          <w:rFonts w:ascii="Arial" w:hAnsi="Arial" w:cs="Arial"/>
          <w:color w:val="000000" w:themeColor="text1"/>
        </w:rPr>
        <w:sym w:font="Symbol" w:char="F06D"/>
      </w:r>
      <w:r w:rsidR="00AA37DA" w:rsidRPr="00D74025">
        <w:rPr>
          <w:rFonts w:ascii="Arial" w:hAnsi="Arial" w:cs="Arial"/>
          <w:color w:val="000000" w:themeColor="text1"/>
        </w:rPr>
        <w:t>L sample)</w:t>
      </w:r>
      <w:r w:rsidR="00780240" w:rsidRPr="00D74025">
        <w:rPr>
          <w:rFonts w:ascii="Arial" w:hAnsi="Arial" w:cs="Arial"/>
          <w:color w:val="000000" w:themeColor="text1"/>
        </w:rPr>
        <w:t>: conjugate A</w:t>
      </w:r>
      <w:r w:rsidR="004640F9" w:rsidRPr="00D74025">
        <w:rPr>
          <w:rFonts w:ascii="Arial" w:hAnsi="Arial" w:cs="Arial"/>
          <w:color w:val="000000" w:themeColor="text1"/>
        </w:rPr>
        <w:t>.U.</w:t>
      </w:r>
    </w:p>
    <w:p w14:paraId="08218B23" w14:textId="1801C7B4" w:rsidR="004640F9" w:rsidRPr="00D74025" w:rsidRDefault="00780240">
      <w:pPr>
        <w:pStyle w:val="ListParagraph"/>
        <w:numPr>
          <w:ilvl w:val="0"/>
          <w:numId w:val="81"/>
        </w:numPr>
        <w:spacing w:line="276" w:lineRule="auto"/>
        <w:rPr>
          <w:rFonts w:ascii="Arial" w:hAnsi="Arial" w:cs="Arial"/>
          <w:color w:val="000000" w:themeColor="text1"/>
        </w:rPr>
      </w:pPr>
      <w:r w:rsidRPr="00D74025">
        <w:rPr>
          <w:rFonts w:ascii="Arial" w:hAnsi="Arial" w:cs="Arial"/>
          <w:color w:val="000000" w:themeColor="text1"/>
        </w:rPr>
        <w:t>Calculate the contribution of DM1 to the 288 nm signal (DM1 A.U.)</w:t>
      </w:r>
      <w:r w:rsidR="00AD4657" w:rsidRPr="00D74025">
        <w:rPr>
          <w:rFonts w:ascii="Arial" w:hAnsi="Arial" w:cs="Arial"/>
          <w:color w:val="000000" w:themeColor="text1"/>
        </w:rPr>
        <w:t xml:space="preserve"> as shown in the equation below</w:t>
      </w:r>
      <w:r w:rsidR="00980AA5">
        <w:rPr>
          <w:rFonts w:ascii="Arial" w:hAnsi="Arial" w:cs="Arial"/>
          <w:color w:val="000000" w:themeColor="text1"/>
        </w:rPr>
        <w:t>:</w:t>
      </w:r>
    </w:p>
    <w:p w14:paraId="6A93CA32" w14:textId="27484C17" w:rsidR="0045764B" w:rsidRPr="00D74025" w:rsidRDefault="00DE0DE2" w:rsidP="0045764B">
      <w:pPr>
        <w:spacing w:line="276" w:lineRule="auto"/>
        <w:rPr>
          <w:rFonts w:ascii="Arial" w:hAnsi="Arial" w:cs="Arial"/>
          <w:color w:val="000000" w:themeColor="text1"/>
        </w:rPr>
      </w:pPr>
      <m:oMathPara>
        <m:oMath>
          <m:d>
            <m:dPr>
              <m:ctrlPr>
                <w:rPr>
                  <w:rFonts w:ascii="Cambria Math" w:hAnsi="Cambria Math" w:cs="Arial"/>
                  <w:i/>
                  <w:color w:val="000000" w:themeColor="text1"/>
                </w:rPr>
              </m:ctrlPr>
            </m:dPr>
            <m:e>
              <m:r>
                <w:rPr>
                  <w:rFonts w:ascii="Cambria Math" w:hAnsi="Cambria Math" w:cs="Arial"/>
                  <w:color w:val="000000" w:themeColor="text1"/>
                </w:rPr>
                <m:t>DM</m:t>
              </m:r>
              <m:r>
                <w:rPr>
                  <w:rFonts w:ascii="Cambria Math" w:hAnsi="Cambria Math" w:cs="Arial"/>
                  <w:color w:val="000000" w:themeColor="text1"/>
                </w:rPr>
                <m:t xml:space="preserve">1 </m:t>
              </m:r>
              <m:r>
                <w:rPr>
                  <w:rFonts w:ascii="Cambria Math" w:hAnsi="Cambria Math" w:cs="Arial"/>
                  <w:color w:val="000000" w:themeColor="text1"/>
                </w:rPr>
                <m:t>A</m:t>
              </m:r>
              <m:r>
                <w:rPr>
                  <w:rFonts w:ascii="Cambria Math" w:hAnsi="Cambria Math" w:cs="Arial"/>
                  <w:color w:val="000000" w:themeColor="text1"/>
                </w:rPr>
                <m:t>.</m:t>
              </m:r>
              <m:r>
                <w:rPr>
                  <w:rFonts w:ascii="Cambria Math" w:hAnsi="Cambria Math" w:cs="Arial"/>
                  <w:color w:val="000000" w:themeColor="text1"/>
                </w:rPr>
                <m:t>U</m:t>
              </m:r>
              <m:r>
                <w:rPr>
                  <w:rFonts w:ascii="Cambria Math" w:hAnsi="Cambria Math" w:cs="Arial"/>
                  <w:color w:val="000000" w:themeColor="text1"/>
                </w:rPr>
                <m:t xml:space="preserve">. </m:t>
              </m:r>
              <m:r>
                <w:rPr>
                  <w:rFonts w:ascii="Cambria Math" w:hAnsi="Cambria Math" w:cs="Arial"/>
                  <w:color w:val="000000" w:themeColor="text1"/>
                </w:rPr>
                <m:t>at</m:t>
              </m:r>
              <m:r>
                <w:rPr>
                  <w:rFonts w:ascii="Cambria Math" w:hAnsi="Cambria Math" w:cs="Arial"/>
                  <w:color w:val="000000" w:themeColor="text1"/>
                </w:rPr>
                <m:t xml:space="preserve"> 288 </m:t>
              </m:r>
              <m:r>
                <w:rPr>
                  <w:rFonts w:ascii="Cambria Math" w:hAnsi="Cambria Math" w:cs="Arial"/>
                  <w:color w:val="000000" w:themeColor="text1"/>
                </w:rPr>
                <m:t>nm</m:t>
              </m:r>
            </m:e>
          </m:d>
          <m:r>
            <w:rPr>
              <w:rFonts w:ascii="Cambria Math" w:hAnsi="Cambria Math" w:cs="Arial"/>
              <w:color w:val="000000" w:themeColor="text1"/>
            </w:rPr>
            <m:t>=</m:t>
          </m:r>
          <m:d>
            <m:dPr>
              <m:ctrlPr>
                <w:rPr>
                  <w:rFonts w:ascii="Cambria Math" w:hAnsi="Cambria Math" w:cs="Arial"/>
                  <w:i/>
                  <w:color w:val="000000" w:themeColor="text1"/>
                </w:rPr>
              </m:ctrlPr>
            </m:dPr>
            <m:e>
              <m:r>
                <w:rPr>
                  <w:rFonts w:ascii="Cambria Math" w:hAnsi="Cambria Math" w:cs="Arial"/>
                  <w:color w:val="000000" w:themeColor="text1"/>
                </w:rPr>
                <m:t>conjugate</m:t>
              </m:r>
              <m:r>
                <w:rPr>
                  <w:rFonts w:ascii="Cambria Math" w:hAnsi="Cambria Math" w:cs="Arial"/>
                  <w:color w:val="000000" w:themeColor="text1"/>
                </w:rPr>
                <m:t xml:space="preserve"> </m:t>
              </m:r>
              <m:r>
                <w:rPr>
                  <w:rFonts w:ascii="Cambria Math" w:hAnsi="Cambria Math" w:cs="Arial"/>
                  <w:color w:val="000000" w:themeColor="text1"/>
                </w:rPr>
                <m:t>A</m:t>
              </m:r>
              <m:r>
                <w:rPr>
                  <w:rFonts w:ascii="Cambria Math" w:hAnsi="Cambria Math" w:cs="Arial"/>
                  <w:color w:val="000000" w:themeColor="text1"/>
                </w:rPr>
                <m:t>.</m:t>
              </m:r>
              <m:r>
                <w:rPr>
                  <w:rFonts w:ascii="Cambria Math" w:hAnsi="Cambria Math" w:cs="Arial"/>
                  <w:color w:val="000000" w:themeColor="text1"/>
                </w:rPr>
                <m:t>U</m:t>
              </m:r>
              <m:r>
                <w:rPr>
                  <w:rFonts w:ascii="Cambria Math" w:hAnsi="Cambria Math" w:cs="Arial"/>
                  <w:color w:val="000000" w:themeColor="text1"/>
                </w:rPr>
                <m:t xml:space="preserve">. </m:t>
              </m:r>
              <m:r>
                <w:rPr>
                  <w:rFonts w:ascii="Cambria Math" w:hAnsi="Cambria Math" w:cs="Arial"/>
                  <w:color w:val="000000" w:themeColor="text1"/>
                </w:rPr>
                <m:t>at</m:t>
              </m:r>
              <m:r>
                <w:rPr>
                  <w:rFonts w:ascii="Cambria Math" w:hAnsi="Cambria Math" w:cs="Arial"/>
                  <w:color w:val="000000" w:themeColor="text1"/>
                </w:rPr>
                <m:t xml:space="preserve"> 288 </m:t>
              </m:r>
              <m:r>
                <w:rPr>
                  <w:rFonts w:ascii="Cambria Math" w:hAnsi="Cambria Math" w:cs="Arial"/>
                  <w:color w:val="000000" w:themeColor="text1"/>
                </w:rPr>
                <m:t>nm</m:t>
              </m:r>
            </m:e>
          </m:d>
          <m:r>
            <w:rPr>
              <w:rFonts w:ascii="Cambria Math" w:hAnsi="Cambria Math" w:cs="Arial"/>
              <w:color w:val="000000" w:themeColor="text1"/>
            </w:rPr>
            <m:t>-</m:t>
          </m:r>
          <m:r>
            <w:rPr>
              <w:rFonts w:ascii="Cambria Math" w:hAnsi="Cambria Math" w:cs="Arial"/>
              <w:color w:val="000000" w:themeColor="text1"/>
            </w:rPr>
            <m:t>(</m:t>
          </m:r>
          <m:r>
            <w:rPr>
              <w:rFonts w:ascii="Cambria Math" w:hAnsi="Cambria Math" w:cs="Arial"/>
              <w:color w:val="000000" w:themeColor="text1"/>
            </w:rPr>
            <m:t>ANXA</m:t>
          </m:r>
          <m:r>
            <w:rPr>
              <w:rFonts w:ascii="Cambria Math" w:hAnsi="Cambria Math" w:cs="Arial"/>
              <w:color w:val="000000" w:themeColor="text1"/>
            </w:rPr>
            <m:t xml:space="preserve">5 </m:t>
          </m:r>
          <m:r>
            <w:rPr>
              <w:rFonts w:ascii="Cambria Math" w:hAnsi="Cambria Math" w:cs="Arial"/>
              <w:color w:val="000000" w:themeColor="text1"/>
            </w:rPr>
            <m:t>A</m:t>
          </m:r>
          <m:r>
            <w:rPr>
              <w:rFonts w:ascii="Cambria Math" w:hAnsi="Cambria Math" w:cs="Arial"/>
              <w:color w:val="000000" w:themeColor="text1"/>
            </w:rPr>
            <m:t>.</m:t>
          </m:r>
          <m:r>
            <w:rPr>
              <w:rFonts w:ascii="Cambria Math" w:hAnsi="Cambria Math" w:cs="Arial"/>
              <w:color w:val="000000" w:themeColor="text1"/>
            </w:rPr>
            <m:t>U</m:t>
          </m:r>
          <m:r>
            <w:rPr>
              <w:rFonts w:ascii="Cambria Math" w:hAnsi="Cambria Math" w:cs="Arial"/>
              <w:color w:val="000000" w:themeColor="text1"/>
            </w:rPr>
            <m:t xml:space="preserve">.  </m:t>
          </m:r>
          <m:r>
            <w:rPr>
              <w:rFonts w:ascii="Cambria Math" w:hAnsi="Cambria Math" w:cs="Arial"/>
              <w:color w:val="000000" w:themeColor="text1"/>
            </w:rPr>
            <m:t>at</m:t>
          </m:r>
          <m:r>
            <w:rPr>
              <w:rFonts w:ascii="Cambria Math" w:hAnsi="Cambria Math" w:cs="Arial"/>
              <w:color w:val="000000" w:themeColor="text1"/>
            </w:rPr>
            <m:t xml:space="preserve"> 288 </m:t>
          </m:r>
          <m:r>
            <w:rPr>
              <w:rFonts w:ascii="Cambria Math" w:hAnsi="Cambria Math" w:cs="Arial"/>
              <w:color w:val="000000" w:themeColor="text1"/>
            </w:rPr>
            <m:t>nm</m:t>
          </m:r>
          <m:r>
            <w:rPr>
              <w:rFonts w:ascii="Cambria Math" w:hAnsi="Cambria Math" w:cs="Arial"/>
              <w:color w:val="000000" w:themeColor="text1"/>
            </w:rPr>
            <m:t>)</m:t>
          </m:r>
        </m:oMath>
      </m:oMathPara>
    </w:p>
    <w:p w14:paraId="24BF3983" w14:textId="7E32CF9F" w:rsidR="00AD4657" w:rsidRPr="00D74025" w:rsidRDefault="008E2331">
      <w:pPr>
        <w:pStyle w:val="ListParagraph"/>
        <w:numPr>
          <w:ilvl w:val="0"/>
          <w:numId w:val="81"/>
        </w:numPr>
        <w:spacing w:line="276" w:lineRule="auto"/>
        <w:rPr>
          <w:rFonts w:ascii="Arial" w:hAnsi="Arial" w:cs="Arial"/>
          <w:color w:val="000000" w:themeColor="text1"/>
        </w:rPr>
      </w:pPr>
      <w:r w:rsidRPr="00D74025">
        <w:rPr>
          <w:rFonts w:ascii="Arial" w:hAnsi="Arial" w:cs="Arial"/>
          <w:color w:val="000000" w:themeColor="text1"/>
        </w:rPr>
        <w:t>Compare DM1 A.U.</w:t>
      </w:r>
      <w:r w:rsidR="003F1D8E" w:rsidRPr="00D74025">
        <w:rPr>
          <w:rFonts w:ascii="Arial" w:hAnsi="Arial" w:cs="Arial"/>
          <w:color w:val="000000" w:themeColor="text1"/>
        </w:rPr>
        <w:t xml:space="preserve"> at 288 nm</w:t>
      </w:r>
      <w:r w:rsidRPr="00D74025">
        <w:rPr>
          <w:rFonts w:ascii="Arial" w:hAnsi="Arial" w:cs="Arial"/>
          <w:color w:val="000000" w:themeColor="text1"/>
        </w:rPr>
        <w:t xml:space="preserve"> to the </w:t>
      </w:r>
      <w:r w:rsidR="0045764B" w:rsidRPr="00D74025">
        <w:rPr>
          <w:rFonts w:ascii="Arial" w:hAnsi="Arial" w:cs="Arial"/>
          <w:color w:val="000000" w:themeColor="text1"/>
        </w:rPr>
        <w:t>DM1 standard curve in DMSO at 288 nm</w:t>
      </w:r>
      <w:r w:rsidR="003F1D8E" w:rsidRPr="00D74025">
        <w:rPr>
          <w:rFonts w:ascii="Arial" w:hAnsi="Arial" w:cs="Arial"/>
          <w:color w:val="000000" w:themeColor="text1"/>
        </w:rPr>
        <w:t xml:space="preserve"> to determine DM1 concentration in the conjugate.</w:t>
      </w:r>
    </w:p>
    <w:p w14:paraId="3C9320E0" w14:textId="1756FAF1" w:rsidR="0045764B" w:rsidRPr="00D74025" w:rsidRDefault="00E36FF2">
      <w:pPr>
        <w:pStyle w:val="ListParagraph"/>
        <w:numPr>
          <w:ilvl w:val="0"/>
          <w:numId w:val="81"/>
        </w:numPr>
        <w:spacing w:line="276" w:lineRule="auto"/>
        <w:rPr>
          <w:rFonts w:ascii="Arial" w:hAnsi="Arial" w:cs="Arial"/>
          <w:color w:val="000000" w:themeColor="text1"/>
        </w:rPr>
      </w:pPr>
      <w:r w:rsidRPr="00D74025">
        <w:rPr>
          <w:rFonts w:ascii="Arial" w:hAnsi="Arial" w:cs="Arial"/>
          <w:color w:val="000000" w:themeColor="text1"/>
        </w:rPr>
        <w:t xml:space="preserve">Convert mass concentrations to molar concentrations for both DM1 and </w:t>
      </w:r>
      <w:proofErr w:type="gramStart"/>
      <w:r w:rsidRPr="00D74025">
        <w:rPr>
          <w:rFonts w:ascii="Arial" w:hAnsi="Arial" w:cs="Arial"/>
          <w:color w:val="000000" w:themeColor="text1"/>
        </w:rPr>
        <w:t>ANXA5, and</w:t>
      </w:r>
      <w:proofErr w:type="gramEnd"/>
      <w:r w:rsidRPr="00D74025">
        <w:rPr>
          <w:rFonts w:ascii="Arial" w:hAnsi="Arial" w:cs="Arial"/>
          <w:color w:val="000000" w:themeColor="text1"/>
        </w:rPr>
        <w:t xml:space="preserve"> determine </w:t>
      </w:r>
      <w:r w:rsidR="00061C41" w:rsidRPr="00D74025">
        <w:rPr>
          <w:rFonts w:ascii="Arial" w:hAnsi="Arial" w:cs="Arial"/>
          <w:color w:val="000000" w:themeColor="text1"/>
        </w:rPr>
        <w:t>molar ratio of DM1/ANXA5</w:t>
      </w:r>
      <w:r w:rsidR="00980AA5">
        <w:rPr>
          <w:rFonts w:ascii="Arial" w:hAnsi="Arial" w:cs="Arial"/>
          <w:color w:val="000000" w:themeColor="text1"/>
        </w:rPr>
        <w:t>.</w:t>
      </w:r>
    </w:p>
    <w:p w14:paraId="45E9AE00" w14:textId="1D81E747" w:rsidR="00061C41" w:rsidRPr="00D74025" w:rsidRDefault="00061C41">
      <w:pPr>
        <w:pStyle w:val="ListParagraph"/>
        <w:numPr>
          <w:ilvl w:val="0"/>
          <w:numId w:val="81"/>
        </w:numPr>
        <w:spacing w:line="276" w:lineRule="auto"/>
        <w:rPr>
          <w:rFonts w:ascii="Arial" w:hAnsi="Arial" w:cs="Arial"/>
          <w:color w:val="000000" w:themeColor="text1"/>
        </w:rPr>
      </w:pPr>
      <w:r w:rsidRPr="00D74025">
        <w:rPr>
          <w:rFonts w:ascii="Arial" w:hAnsi="Arial" w:cs="Arial"/>
          <w:color w:val="000000" w:themeColor="text1"/>
        </w:rPr>
        <w:t>Perform SDS-page electrophoresis</w:t>
      </w:r>
      <w:r w:rsidR="006201C2" w:rsidRPr="00D74025">
        <w:rPr>
          <w:rFonts w:ascii="Arial" w:hAnsi="Arial" w:cs="Arial"/>
          <w:color w:val="000000" w:themeColor="text1"/>
        </w:rPr>
        <w:t xml:space="preserve"> to confirm conjugation.</w:t>
      </w:r>
    </w:p>
    <w:p w14:paraId="0F1EC19A" w14:textId="4CBC3EE7" w:rsidR="00AD4657" w:rsidRPr="00D74025" w:rsidRDefault="00117F29" w:rsidP="00C57A4D">
      <w:pPr>
        <w:spacing w:line="276" w:lineRule="auto"/>
        <w:rPr>
          <w:rFonts w:ascii="Arial" w:hAnsi="Arial" w:cs="Arial"/>
          <w:color w:val="000000" w:themeColor="text1"/>
        </w:rPr>
      </w:pPr>
      <w:r w:rsidRPr="00D74025">
        <w:rPr>
          <w:rFonts w:ascii="Arial" w:hAnsi="Arial" w:cs="Arial"/>
          <w:color w:val="000000" w:themeColor="text1"/>
        </w:rPr>
        <w:t>After purification of AuNP-ANXA5-</w:t>
      </w:r>
      <w:r w:rsidR="00433901" w:rsidRPr="00D74025">
        <w:rPr>
          <w:rFonts w:ascii="Arial" w:hAnsi="Arial" w:cs="Arial"/>
          <w:color w:val="000000" w:themeColor="text1"/>
        </w:rPr>
        <w:t xml:space="preserve">DM1, determine the </w:t>
      </w:r>
      <w:r w:rsidR="00675DC7" w:rsidRPr="00D74025">
        <w:rPr>
          <w:rFonts w:ascii="Arial" w:hAnsi="Arial" w:cs="Arial"/>
          <w:color w:val="000000" w:themeColor="text1"/>
        </w:rPr>
        <w:t xml:space="preserve">concentrations of both ANXA5 and AuNP </w:t>
      </w:r>
      <w:r w:rsidR="005A3700" w:rsidRPr="00D74025">
        <w:rPr>
          <w:rFonts w:ascii="Arial" w:hAnsi="Arial" w:cs="Arial"/>
          <w:color w:val="000000" w:themeColor="text1"/>
        </w:rPr>
        <w:t>in the conjugate</w:t>
      </w:r>
      <w:r w:rsidR="00E64F8A" w:rsidRPr="00D74025">
        <w:rPr>
          <w:rFonts w:ascii="Arial" w:hAnsi="Arial" w:cs="Arial"/>
          <w:color w:val="000000" w:themeColor="text1"/>
        </w:rPr>
        <w:t>:</w:t>
      </w:r>
    </w:p>
    <w:p w14:paraId="16AEB914" w14:textId="709FEA00" w:rsidR="005A3700" w:rsidRPr="00D74025" w:rsidRDefault="005A3700">
      <w:pPr>
        <w:pStyle w:val="ListParagraph"/>
        <w:numPr>
          <w:ilvl w:val="0"/>
          <w:numId w:val="82"/>
        </w:numPr>
        <w:spacing w:line="276" w:lineRule="auto"/>
        <w:rPr>
          <w:rFonts w:ascii="Arial" w:hAnsi="Arial" w:cs="Arial"/>
          <w:color w:val="000000" w:themeColor="text1"/>
        </w:rPr>
      </w:pPr>
      <w:r w:rsidRPr="00D74025">
        <w:rPr>
          <w:rFonts w:ascii="Arial" w:hAnsi="Arial" w:cs="Arial"/>
          <w:color w:val="000000" w:themeColor="text1"/>
        </w:rPr>
        <w:t>Determine the concentration of AuNP in the conjugate by reading endpoint absorption at 520 nm.</w:t>
      </w:r>
    </w:p>
    <w:p w14:paraId="7043B4E1" w14:textId="7D70D9D1" w:rsidR="005A3700" w:rsidRPr="00D74025" w:rsidRDefault="005A3700">
      <w:pPr>
        <w:pStyle w:val="ListParagraph"/>
        <w:numPr>
          <w:ilvl w:val="0"/>
          <w:numId w:val="82"/>
        </w:numPr>
        <w:spacing w:line="276" w:lineRule="auto"/>
        <w:rPr>
          <w:rFonts w:ascii="Arial" w:hAnsi="Arial" w:cs="Arial"/>
          <w:color w:val="000000" w:themeColor="text1"/>
        </w:rPr>
      </w:pPr>
      <w:r w:rsidRPr="00D74025">
        <w:rPr>
          <w:rFonts w:ascii="Arial" w:hAnsi="Arial" w:cs="Arial"/>
          <w:color w:val="000000" w:themeColor="text1"/>
        </w:rPr>
        <w:t xml:space="preserve">Utilize the standard curve of 5 </w:t>
      </w:r>
      <w:r w:rsidRPr="00D74025">
        <w:rPr>
          <w:rFonts w:ascii="Arial" w:hAnsi="Arial" w:cs="Arial"/>
          <w:color w:val="000000" w:themeColor="text1"/>
        </w:rPr>
        <w:sym w:font="Symbol" w:char="F06D"/>
      </w:r>
      <w:r w:rsidRPr="00D74025">
        <w:rPr>
          <w:rFonts w:ascii="Arial" w:hAnsi="Arial" w:cs="Arial"/>
          <w:color w:val="000000" w:themeColor="text1"/>
        </w:rPr>
        <w:t xml:space="preserve">L of AuNP in </w:t>
      </w:r>
      <w:r w:rsidR="0089032F" w:rsidRPr="00D74025">
        <w:rPr>
          <w:rFonts w:ascii="Arial" w:hAnsi="Arial" w:cs="Arial"/>
          <w:color w:val="000000" w:themeColor="text1"/>
        </w:rPr>
        <w:t xml:space="preserve">250 </w:t>
      </w:r>
      <w:r w:rsidR="00FF588A">
        <w:rPr>
          <w:rFonts w:ascii="Arial" w:hAnsi="Arial" w:cs="Arial"/>
          <w:color w:val="000000" w:themeColor="text1"/>
          <w:lang w:val="en"/>
        </w:rPr>
        <w:sym w:font="Symbol" w:char="F06D"/>
      </w:r>
      <w:r w:rsidR="00FF588A" w:rsidRPr="00E56710">
        <w:rPr>
          <w:rFonts w:ascii="Arial" w:hAnsi="Arial" w:cs="Arial"/>
          <w:color w:val="000000" w:themeColor="text1"/>
          <w:lang w:val="en"/>
        </w:rPr>
        <w:t>L</w:t>
      </w:r>
      <w:r w:rsidR="0089032F" w:rsidRPr="00D74025">
        <w:rPr>
          <w:rFonts w:ascii="Arial" w:hAnsi="Arial" w:cs="Arial"/>
          <w:color w:val="000000" w:themeColor="text1"/>
        </w:rPr>
        <w:t xml:space="preserve"> of </w:t>
      </w:r>
      <w:r w:rsidR="00EF2C35" w:rsidRPr="00D74025">
        <w:rPr>
          <w:rFonts w:ascii="Arial" w:hAnsi="Arial" w:cs="Arial"/>
          <w:color w:val="000000" w:themeColor="text1"/>
        </w:rPr>
        <w:t xml:space="preserve">Bradford reagent </w:t>
      </w:r>
      <w:r w:rsidR="002E2054" w:rsidRPr="00D74025">
        <w:rPr>
          <w:rFonts w:ascii="Arial" w:hAnsi="Arial" w:cs="Arial"/>
          <w:color w:val="000000" w:themeColor="text1"/>
        </w:rPr>
        <w:t>read at 595 nm</w:t>
      </w:r>
      <w:r w:rsidR="008B79C0" w:rsidRPr="00D74025">
        <w:rPr>
          <w:rFonts w:ascii="Arial" w:hAnsi="Arial" w:cs="Arial"/>
          <w:color w:val="000000" w:themeColor="text1"/>
        </w:rPr>
        <w:t xml:space="preserve"> to determine the contribution of AuNP to the 595 nm signal of the conjugate.</w:t>
      </w:r>
    </w:p>
    <w:p w14:paraId="1DBBFB05" w14:textId="65139614" w:rsidR="008B79C0" w:rsidRPr="00D74025" w:rsidRDefault="008B79C0">
      <w:pPr>
        <w:pStyle w:val="ListParagraph"/>
        <w:numPr>
          <w:ilvl w:val="0"/>
          <w:numId w:val="82"/>
        </w:numPr>
        <w:spacing w:line="276" w:lineRule="auto"/>
        <w:rPr>
          <w:rFonts w:ascii="Arial" w:hAnsi="Arial" w:cs="Arial"/>
          <w:color w:val="000000" w:themeColor="text1"/>
        </w:rPr>
      </w:pPr>
      <w:r w:rsidRPr="00D74025">
        <w:rPr>
          <w:rFonts w:ascii="Arial" w:hAnsi="Arial" w:cs="Arial"/>
          <w:color w:val="000000" w:themeColor="text1"/>
        </w:rPr>
        <w:t xml:space="preserve">Determine the contribution of AuNP-ANXA5-DM1 </w:t>
      </w:r>
      <w:r w:rsidR="00144356" w:rsidRPr="00D74025">
        <w:rPr>
          <w:rFonts w:ascii="Arial" w:hAnsi="Arial" w:cs="Arial"/>
          <w:color w:val="000000" w:themeColor="text1"/>
        </w:rPr>
        <w:t xml:space="preserve">conjugate to the Bradford assay (reading at 595 nm </w:t>
      </w:r>
      <w:r w:rsidR="0045160F" w:rsidRPr="00D74025">
        <w:rPr>
          <w:rFonts w:ascii="Arial" w:hAnsi="Arial" w:cs="Arial"/>
          <w:color w:val="000000" w:themeColor="text1"/>
        </w:rPr>
        <w:t xml:space="preserve">of samples of 5 </w:t>
      </w:r>
      <w:r w:rsidR="0045160F" w:rsidRPr="00D74025">
        <w:rPr>
          <w:rFonts w:ascii="Arial" w:hAnsi="Arial" w:cs="Arial"/>
          <w:color w:val="000000" w:themeColor="text1"/>
        </w:rPr>
        <w:sym w:font="Symbol" w:char="F06D"/>
      </w:r>
      <w:r w:rsidR="0045160F" w:rsidRPr="00D74025">
        <w:rPr>
          <w:rFonts w:ascii="Arial" w:hAnsi="Arial" w:cs="Arial"/>
          <w:color w:val="000000" w:themeColor="text1"/>
        </w:rPr>
        <w:t>L of the conjugate in</w:t>
      </w:r>
      <w:r w:rsidR="00144356" w:rsidRPr="00D74025">
        <w:rPr>
          <w:rFonts w:ascii="Arial" w:hAnsi="Arial" w:cs="Arial"/>
          <w:color w:val="000000" w:themeColor="text1"/>
        </w:rPr>
        <w:t xml:space="preserve"> 250 </w:t>
      </w:r>
      <w:r w:rsidR="00144356" w:rsidRPr="00D74025">
        <w:rPr>
          <w:rFonts w:ascii="Arial" w:hAnsi="Arial" w:cs="Arial"/>
          <w:color w:val="000000" w:themeColor="text1"/>
        </w:rPr>
        <w:sym w:font="Symbol" w:char="F06D"/>
      </w:r>
      <w:r w:rsidR="00144356" w:rsidRPr="00D74025">
        <w:rPr>
          <w:rFonts w:ascii="Arial" w:hAnsi="Arial" w:cs="Arial"/>
          <w:color w:val="000000" w:themeColor="text1"/>
        </w:rPr>
        <w:t>L of Bradford</w:t>
      </w:r>
      <w:r w:rsidR="0045160F" w:rsidRPr="00D74025">
        <w:rPr>
          <w:rFonts w:ascii="Arial" w:hAnsi="Arial" w:cs="Arial"/>
          <w:color w:val="000000" w:themeColor="text1"/>
        </w:rPr>
        <w:t>).</w:t>
      </w:r>
    </w:p>
    <w:p w14:paraId="6057A9C7" w14:textId="4C37D8D4" w:rsidR="003A1D85" w:rsidRPr="00D74025" w:rsidRDefault="006D017C">
      <w:pPr>
        <w:pStyle w:val="ListParagraph"/>
        <w:numPr>
          <w:ilvl w:val="0"/>
          <w:numId w:val="82"/>
        </w:numPr>
        <w:spacing w:line="276" w:lineRule="auto"/>
        <w:rPr>
          <w:rFonts w:ascii="Arial" w:hAnsi="Arial" w:cs="Arial"/>
          <w:color w:val="000000" w:themeColor="text1"/>
        </w:rPr>
      </w:pPr>
      <w:r w:rsidRPr="00D74025">
        <w:rPr>
          <w:rFonts w:ascii="Arial" w:hAnsi="Arial" w:cs="Arial"/>
          <w:color w:val="000000" w:themeColor="text1"/>
        </w:rPr>
        <w:t xml:space="preserve">Calculate the contribution of </w:t>
      </w:r>
      <w:r w:rsidR="00C16D65" w:rsidRPr="00D74025">
        <w:rPr>
          <w:rFonts w:ascii="Arial" w:hAnsi="Arial" w:cs="Arial"/>
          <w:color w:val="000000" w:themeColor="text1"/>
        </w:rPr>
        <w:t>ANXA5</w:t>
      </w:r>
      <w:r w:rsidRPr="00D74025">
        <w:rPr>
          <w:rFonts w:ascii="Arial" w:hAnsi="Arial" w:cs="Arial"/>
          <w:color w:val="000000" w:themeColor="text1"/>
        </w:rPr>
        <w:t xml:space="preserve"> to the </w:t>
      </w:r>
      <w:r w:rsidR="00EC6E24" w:rsidRPr="00D74025">
        <w:rPr>
          <w:rFonts w:ascii="Arial" w:hAnsi="Arial" w:cs="Arial"/>
          <w:color w:val="000000" w:themeColor="text1"/>
        </w:rPr>
        <w:t>595</w:t>
      </w:r>
      <w:r w:rsidRPr="00D74025">
        <w:rPr>
          <w:rFonts w:ascii="Arial" w:hAnsi="Arial" w:cs="Arial"/>
          <w:color w:val="000000" w:themeColor="text1"/>
        </w:rPr>
        <w:t xml:space="preserve"> nm signal (</w:t>
      </w:r>
      <w:r w:rsidR="00C16D65" w:rsidRPr="00D74025">
        <w:rPr>
          <w:rFonts w:ascii="Arial" w:hAnsi="Arial" w:cs="Arial"/>
          <w:color w:val="000000" w:themeColor="text1"/>
        </w:rPr>
        <w:t>ANXA5</w:t>
      </w:r>
      <w:r w:rsidRPr="00D74025">
        <w:rPr>
          <w:rFonts w:ascii="Arial" w:hAnsi="Arial" w:cs="Arial"/>
          <w:color w:val="000000" w:themeColor="text1"/>
        </w:rPr>
        <w:t xml:space="preserve"> A.U.</w:t>
      </w:r>
      <w:r w:rsidR="00EC6E24" w:rsidRPr="00D74025">
        <w:rPr>
          <w:rFonts w:ascii="Arial" w:hAnsi="Arial" w:cs="Arial"/>
          <w:color w:val="000000" w:themeColor="text1"/>
        </w:rPr>
        <w:t xml:space="preserve"> at </w:t>
      </w:r>
      <w:r w:rsidR="00BD58C0" w:rsidRPr="00D74025">
        <w:rPr>
          <w:rFonts w:ascii="Arial" w:hAnsi="Arial" w:cs="Arial"/>
          <w:color w:val="000000" w:themeColor="text1"/>
        </w:rPr>
        <w:t>595 nm in Bradford</w:t>
      </w:r>
      <w:r w:rsidRPr="00D74025">
        <w:rPr>
          <w:rFonts w:ascii="Arial" w:hAnsi="Arial" w:cs="Arial"/>
          <w:color w:val="000000" w:themeColor="text1"/>
        </w:rPr>
        <w:t>) as shown in the equation below</w:t>
      </w:r>
      <w:r w:rsidR="00111A5C" w:rsidRPr="00D74025">
        <w:rPr>
          <w:rFonts w:ascii="Arial" w:hAnsi="Arial" w:cs="Arial"/>
          <w:color w:val="000000" w:themeColor="text1"/>
        </w:rPr>
        <w:t>.</w:t>
      </w:r>
    </w:p>
    <w:p w14:paraId="51C65C32" w14:textId="429A0AEA" w:rsidR="00111A5C" w:rsidRPr="00D74025" w:rsidRDefault="00DE0DE2" w:rsidP="00111A5C">
      <w:pPr>
        <w:spacing w:line="276" w:lineRule="auto"/>
        <w:rPr>
          <w:rFonts w:ascii="Arial" w:hAnsi="Arial" w:cs="Arial"/>
          <w:color w:val="000000" w:themeColor="text1"/>
        </w:rPr>
      </w:pPr>
      <m:oMathPara>
        <m:oMath>
          <m:d>
            <m:dPr>
              <m:ctrlPr>
                <w:rPr>
                  <w:rFonts w:ascii="Cambria Math" w:hAnsi="Cambria Math" w:cs="Arial"/>
                  <w:i/>
                  <w:color w:val="000000" w:themeColor="text1"/>
                </w:rPr>
              </m:ctrlPr>
            </m:dPr>
            <m:e>
              <m:r>
                <w:rPr>
                  <w:rFonts w:ascii="Cambria Math" w:hAnsi="Cambria Math" w:cs="Arial"/>
                  <w:color w:val="000000" w:themeColor="text1"/>
                </w:rPr>
                <m:t>ANXA</m:t>
              </m:r>
              <m:r>
                <w:rPr>
                  <w:rFonts w:ascii="Cambria Math" w:hAnsi="Cambria Math" w:cs="Arial"/>
                  <w:color w:val="000000" w:themeColor="text1"/>
                </w:rPr>
                <m:t xml:space="preserve">5 </m:t>
              </m:r>
              <m:r>
                <w:rPr>
                  <w:rFonts w:ascii="Cambria Math" w:hAnsi="Cambria Math" w:cs="Arial"/>
                  <w:color w:val="000000" w:themeColor="text1"/>
                </w:rPr>
                <m:t>in</m:t>
              </m:r>
              <m:r>
                <w:rPr>
                  <w:rFonts w:ascii="Cambria Math" w:hAnsi="Cambria Math" w:cs="Arial"/>
                  <w:color w:val="000000" w:themeColor="text1"/>
                </w:rPr>
                <m:t xml:space="preserve"> </m:t>
              </m:r>
              <m:r>
                <w:rPr>
                  <w:rFonts w:ascii="Cambria Math" w:hAnsi="Cambria Math" w:cs="Arial"/>
                  <w:color w:val="000000" w:themeColor="text1"/>
                </w:rPr>
                <m:t>Bradford</m:t>
              </m:r>
              <m:r>
                <w:rPr>
                  <w:rFonts w:ascii="Cambria Math" w:hAnsi="Cambria Math" w:cs="Arial"/>
                  <w:color w:val="000000" w:themeColor="text1"/>
                </w:rPr>
                <m:t xml:space="preserve"> </m:t>
              </m:r>
              <m:r>
                <w:rPr>
                  <w:rFonts w:ascii="Cambria Math" w:hAnsi="Cambria Math" w:cs="Arial"/>
                  <w:color w:val="000000" w:themeColor="text1"/>
                </w:rPr>
                <m:t>A</m:t>
              </m:r>
              <m:r>
                <w:rPr>
                  <w:rFonts w:ascii="Cambria Math" w:hAnsi="Cambria Math" w:cs="Arial"/>
                  <w:color w:val="000000" w:themeColor="text1"/>
                </w:rPr>
                <m:t>.</m:t>
              </m:r>
              <m:r>
                <w:rPr>
                  <w:rFonts w:ascii="Cambria Math" w:hAnsi="Cambria Math" w:cs="Arial"/>
                  <w:color w:val="000000" w:themeColor="text1"/>
                </w:rPr>
                <m:t>U</m:t>
              </m:r>
              <m:r>
                <w:rPr>
                  <w:rFonts w:ascii="Cambria Math" w:hAnsi="Cambria Math" w:cs="Arial"/>
                  <w:color w:val="000000" w:themeColor="text1"/>
                </w:rPr>
                <m:t xml:space="preserve">. </m:t>
              </m:r>
              <m:r>
                <w:rPr>
                  <w:rFonts w:ascii="Cambria Math" w:hAnsi="Cambria Math" w:cs="Arial"/>
                  <w:color w:val="000000" w:themeColor="text1"/>
                </w:rPr>
                <m:t>at</m:t>
              </m:r>
              <m:r>
                <w:rPr>
                  <w:rFonts w:ascii="Cambria Math" w:hAnsi="Cambria Math" w:cs="Arial"/>
                  <w:color w:val="000000" w:themeColor="text1"/>
                </w:rPr>
                <m:t xml:space="preserve"> 595 </m:t>
              </m:r>
              <m:r>
                <w:rPr>
                  <w:rFonts w:ascii="Cambria Math" w:hAnsi="Cambria Math" w:cs="Arial"/>
                  <w:color w:val="000000" w:themeColor="text1"/>
                </w:rPr>
                <m:t>nm</m:t>
              </m:r>
            </m:e>
          </m:d>
          <m:r>
            <w:rPr>
              <w:rFonts w:ascii="Cambria Math" w:hAnsi="Cambria Math" w:cs="Arial"/>
              <w:color w:val="000000" w:themeColor="text1"/>
            </w:rPr>
            <m:t>=</m:t>
          </m:r>
          <m:d>
            <m:dPr>
              <m:ctrlPr>
                <w:rPr>
                  <w:rFonts w:ascii="Cambria Math" w:hAnsi="Cambria Math" w:cs="Arial"/>
                  <w:i/>
                  <w:color w:val="000000" w:themeColor="text1"/>
                </w:rPr>
              </m:ctrlPr>
            </m:dPr>
            <m:e>
              <m:r>
                <w:rPr>
                  <w:rFonts w:ascii="Cambria Math" w:hAnsi="Cambria Math" w:cs="Arial"/>
                  <w:color w:val="000000" w:themeColor="text1"/>
                </w:rPr>
                <m:t>conjugate</m:t>
              </m:r>
              <m:r>
                <w:rPr>
                  <w:rFonts w:ascii="Cambria Math" w:hAnsi="Cambria Math" w:cs="Arial"/>
                  <w:color w:val="000000" w:themeColor="text1"/>
                </w:rPr>
                <m:t xml:space="preserve"> </m:t>
              </m:r>
              <m:r>
                <w:rPr>
                  <w:rFonts w:ascii="Cambria Math" w:hAnsi="Cambria Math" w:cs="Arial"/>
                  <w:color w:val="000000" w:themeColor="text1"/>
                </w:rPr>
                <m:t>in</m:t>
              </m:r>
              <m:r>
                <w:rPr>
                  <w:rFonts w:ascii="Cambria Math" w:hAnsi="Cambria Math" w:cs="Arial"/>
                  <w:color w:val="000000" w:themeColor="text1"/>
                </w:rPr>
                <m:t xml:space="preserve"> </m:t>
              </m:r>
              <m:r>
                <w:rPr>
                  <w:rFonts w:ascii="Cambria Math" w:hAnsi="Cambria Math" w:cs="Arial"/>
                  <w:color w:val="000000" w:themeColor="text1"/>
                </w:rPr>
                <m:t>Bradford</m:t>
              </m:r>
              <m:r>
                <w:rPr>
                  <w:rFonts w:ascii="Cambria Math" w:hAnsi="Cambria Math" w:cs="Arial"/>
                  <w:color w:val="000000" w:themeColor="text1"/>
                </w:rPr>
                <m:t xml:space="preserve"> </m:t>
              </m:r>
              <m:r>
                <w:rPr>
                  <w:rFonts w:ascii="Cambria Math" w:hAnsi="Cambria Math" w:cs="Arial"/>
                  <w:color w:val="000000" w:themeColor="text1"/>
                </w:rPr>
                <m:t>A</m:t>
              </m:r>
              <m:r>
                <w:rPr>
                  <w:rFonts w:ascii="Cambria Math" w:hAnsi="Cambria Math" w:cs="Arial"/>
                  <w:color w:val="000000" w:themeColor="text1"/>
                </w:rPr>
                <m:t>.</m:t>
              </m:r>
              <m:r>
                <w:rPr>
                  <w:rFonts w:ascii="Cambria Math" w:hAnsi="Cambria Math" w:cs="Arial"/>
                  <w:color w:val="000000" w:themeColor="text1"/>
                </w:rPr>
                <m:t>U</m:t>
              </m:r>
              <m:r>
                <w:rPr>
                  <w:rFonts w:ascii="Cambria Math" w:hAnsi="Cambria Math" w:cs="Arial"/>
                  <w:color w:val="000000" w:themeColor="text1"/>
                </w:rPr>
                <m:t xml:space="preserve">. </m:t>
              </m:r>
              <m:r>
                <w:rPr>
                  <w:rFonts w:ascii="Cambria Math" w:hAnsi="Cambria Math" w:cs="Arial"/>
                  <w:color w:val="000000" w:themeColor="text1"/>
                </w:rPr>
                <m:t>at</m:t>
              </m:r>
              <m:r>
                <w:rPr>
                  <w:rFonts w:ascii="Cambria Math" w:hAnsi="Cambria Math" w:cs="Arial"/>
                  <w:color w:val="000000" w:themeColor="text1"/>
                </w:rPr>
                <m:t xml:space="preserve"> 595 </m:t>
              </m:r>
              <m:r>
                <w:rPr>
                  <w:rFonts w:ascii="Cambria Math" w:hAnsi="Cambria Math" w:cs="Arial"/>
                  <w:color w:val="000000" w:themeColor="text1"/>
                </w:rPr>
                <m:t>nm</m:t>
              </m:r>
            </m:e>
          </m:d>
          <m:r>
            <w:rPr>
              <w:rFonts w:ascii="Cambria Math" w:hAnsi="Cambria Math" w:cs="Arial"/>
              <w:color w:val="000000" w:themeColor="text1"/>
            </w:rPr>
            <m:t>-</m:t>
          </m:r>
          <m:r>
            <w:rPr>
              <w:rFonts w:ascii="Cambria Math" w:hAnsi="Cambria Math" w:cs="Arial"/>
              <w:color w:val="000000" w:themeColor="text1"/>
            </w:rPr>
            <m:t>(</m:t>
          </m:r>
          <m:r>
            <w:rPr>
              <w:rFonts w:ascii="Cambria Math" w:hAnsi="Cambria Math" w:cs="Arial"/>
              <w:color w:val="000000" w:themeColor="text1"/>
            </w:rPr>
            <m:t>Au</m:t>
          </m:r>
          <m:r>
            <w:rPr>
              <w:rFonts w:ascii="Cambria Math" w:hAnsi="Cambria Math" w:cs="Arial"/>
              <w:color w:val="000000" w:themeColor="text1"/>
            </w:rPr>
            <m:t>N</m:t>
          </m:r>
          <m:r>
            <w:rPr>
              <w:rFonts w:ascii="Cambria Math" w:hAnsi="Cambria Math" w:cs="Arial"/>
              <w:color w:val="000000" w:themeColor="text1"/>
            </w:rPr>
            <m:t>P</m:t>
          </m:r>
          <m:r>
            <w:rPr>
              <w:rFonts w:ascii="Cambria Math" w:hAnsi="Cambria Math" w:cs="Arial"/>
              <w:color w:val="000000" w:themeColor="text1"/>
            </w:rPr>
            <m:t xml:space="preserve"> </m:t>
          </m:r>
          <m:r>
            <w:rPr>
              <w:rFonts w:ascii="Cambria Math" w:hAnsi="Cambria Math" w:cs="Arial"/>
              <w:color w:val="000000" w:themeColor="text1"/>
            </w:rPr>
            <m:t>in</m:t>
          </m:r>
          <m:r>
            <w:rPr>
              <w:rFonts w:ascii="Cambria Math" w:hAnsi="Cambria Math" w:cs="Arial"/>
              <w:color w:val="000000" w:themeColor="text1"/>
            </w:rPr>
            <m:t xml:space="preserve"> </m:t>
          </m:r>
          <m:r>
            <w:rPr>
              <w:rFonts w:ascii="Cambria Math" w:hAnsi="Cambria Math" w:cs="Arial"/>
              <w:color w:val="000000" w:themeColor="text1"/>
            </w:rPr>
            <m:t>Bradford</m:t>
          </m:r>
          <m:r>
            <w:rPr>
              <w:rFonts w:ascii="Cambria Math" w:hAnsi="Cambria Math" w:cs="Arial"/>
              <w:color w:val="000000" w:themeColor="text1"/>
            </w:rPr>
            <m:t xml:space="preserve"> </m:t>
          </m:r>
          <m:r>
            <w:rPr>
              <w:rFonts w:ascii="Cambria Math" w:hAnsi="Cambria Math" w:cs="Arial"/>
              <w:color w:val="000000" w:themeColor="text1"/>
            </w:rPr>
            <m:t>A</m:t>
          </m:r>
          <m:r>
            <w:rPr>
              <w:rFonts w:ascii="Cambria Math" w:hAnsi="Cambria Math" w:cs="Arial"/>
              <w:color w:val="000000" w:themeColor="text1"/>
            </w:rPr>
            <m:t>.</m:t>
          </m:r>
          <m:r>
            <w:rPr>
              <w:rFonts w:ascii="Cambria Math" w:hAnsi="Cambria Math" w:cs="Arial"/>
              <w:color w:val="000000" w:themeColor="text1"/>
            </w:rPr>
            <m:t>U</m:t>
          </m:r>
          <m:r>
            <w:rPr>
              <w:rFonts w:ascii="Cambria Math" w:hAnsi="Cambria Math" w:cs="Arial"/>
              <w:color w:val="000000" w:themeColor="text1"/>
            </w:rPr>
            <m:t xml:space="preserve">.  </m:t>
          </m:r>
          <m:r>
            <w:rPr>
              <w:rFonts w:ascii="Cambria Math" w:hAnsi="Cambria Math" w:cs="Arial"/>
              <w:color w:val="000000" w:themeColor="text1"/>
            </w:rPr>
            <m:t>at</m:t>
          </m:r>
          <m:r>
            <w:rPr>
              <w:rFonts w:ascii="Cambria Math" w:hAnsi="Cambria Math" w:cs="Arial"/>
              <w:color w:val="000000" w:themeColor="text1"/>
            </w:rPr>
            <m:t xml:space="preserve"> 595 </m:t>
          </m:r>
          <m:r>
            <w:rPr>
              <w:rFonts w:ascii="Cambria Math" w:hAnsi="Cambria Math" w:cs="Arial"/>
              <w:color w:val="000000" w:themeColor="text1"/>
            </w:rPr>
            <m:t>nm</m:t>
          </m:r>
          <m:r>
            <w:rPr>
              <w:rFonts w:ascii="Cambria Math" w:hAnsi="Cambria Math" w:cs="Arial"/>
              <w:color w:val="000000" w:themeColor="text1"/>
            </w:rPr>
            <m:t>)</m:t>
          </m:r>
        </m:oMath>
      </m:oMathPara>
    </w:p>
    <w:p w14:paraId="44A74085" w14:textId="4A3444A3" w:rsidR="003A1D85" w:rsidRPr="00D74025" w:rsidRDefault="003F1D8E">
      <w:pPr>
        <w:pStyle w:val="ListParagraph"/>
        <w:numPr>
          <w:ilvl w:val="0"/>
          <w:numId w:val="82"/>
        </w:numPr>
        <w:spacing w:line="276" w:lineRule="auto"/>
        <w:rPr>
          <w:rFonts w:ascii="Arial" w:hAnsi="Arial" w:cs="Arial"/>
          <w:color w:val="000000" w:themeColor="text1"/>
        </w:rPr>
      </w:pPr>
      <w:r w:rsidRPr="00D74025">
        <w:rPr>
          <w:rFonts w:ascii="Arial" w:hAnsi="Arial" w:cs="Arial"/>
          <w:color w:val="000000" w:themeColor="text1"/>
        </w:rPr>
        <w:t xml:space="preserve">Use ANXA5 in Bradford A.U. at </w:t>
      </w:r>
      <w:r w:rsidR="009039B7" w:rsidRPr="00D74025">
        <w:rPr>
          <w:rFonts w:ascii="Arial" w:hAnsi="Arial" w:cs="Arial"/>
          <w:color w:val="000000" w:themeColor="text1"/>
        </w:rPr>
        <w:t>595 nm to determine the ANXA5 concentration in the nanoparticle conjugate</w:t>
      </w:r>
      <w:r w:rsidR="00E40600" w:rsidRPr="00D74025">
        <w:rPr>
          <w:rFonts w:ascii="Arial" w:hAnsi="Arial" w:cs="Arial"/>
          <w:color w:val="000000" w:themeColor="text1"/>
        </w:rPr>
        <w:t>.</w:t>
      </w:r>
    </w:p>
    <w:p w14:paraId="17218596" w14:textId="5C3DDFB6" w:rsidR="00E40600" w:rsidRPr="00D74025" w:rsidRDefault="00E40600">
      <w:pPr>
        <w:pStyle w:val="ListParagraph"/>
        <w:numPr>
          <w:ilvl w:val="0"/>
          <w:numId w:val="82"/>
        </w:numPr>
        <w:spacing w:line="276" w:lineRule="auto"/>
        <w:rPr>
          <w:rFonts w:ascii="Arial" w:hAnsi="Arial" w:cs="Arial"/>
          <w:color w:val="000000" w:themeColor="text1"/>
        </w:rPr>
      </w:pPr>
      <w:r w:rsidRPr="00D74025">
        <w:rPr>
          <w:rFonts w:ascii="Arial" w:hAnsi="Arial" w:cs="Arial"/>
          <w:color w:val="000000" w:themeColor="text1"/>
        </w:rPr>
        <w:lastRenderedPageBreak/>
        <w:t xml:space="preserve">Infer the concentration of DM1 in AuNP-ANXA5-DM1 concentration by </w:t>
      </w:r>
      <w:r w:rsidR="00000F50" w:rsidRPr="00D74025">
        <w:rPr>
          <w:rFonts w:ascii="Arial" w:hAnsi="Arial" w:cs="Arial"/>
          <w:color w:val="000000" w:themeColor="text1"/>
        </w:rPr>
        <w:t xml:space="preserve">multiplying the molar concentration of ANXA5 to the molar ratio </w:t>
      </w:r>
      <w:r w:rsidR="00E64F8A" w:rsidRPr="00D74025">
        <w:rPr>
          <w:rFonts w:ascii="Arial" w:hAnsi="Arial" w:cs="Arial"/>
          <w:color w:val="000000" w:themeColor="text1"/>
        </w:rPr>
        <w:t>DM1/ANXA5.</w:t>
      </w:r>
    </w:p>
    <w:p w14:paraId="76F1A48B" w14:textId="7DA08F0C" w:rsidR="00705AE1" w:rsidRDefault="00705AE1" w:rsidP="00F6020C">
      <w:pPr>
        <w:spacing w:line="276" w:lineRule="auto"/>
        <w:rPr>
          <w:rFonts w:ascii="Arial" w:hAnsi="Arial" w:cs="Arial"/>
          <w:color w:val="000000" w:themeColor="text1"/>
        </w:rPr>
      </w:pPr>
      <w:r>
        <w:rPr>
          <w:rFonts w:ascii="Arial" w:hAnsi="Arial" w:cs="Arial"/>
          <w:color w:val="000000" w:themeColor="text1"/>
        </w:rPr>
        <w:br w:type="page"/>
      </w:r>
    </w:p>
    <w:p w14:paraId="1FC34347" w14:textId="09F6E05A" w:rsidR="003A1D85" w:rsidRPr="00507014" w:rsidRDefault="003F6AFE" w:rsidP="00507014">
      <w:pPr>
        <w:pStyle w:val="Heading1"/>
        <w:spacing w:line="276" w:lineRule="auto"/>
        <w:ind w:firstLine="0"/>
        <w:jc w:val="center"/>
        <w:rPr>
          <w:rFonts w:ascii="Arial" w:hAnsi="Arial" w:cs="Arial"/>
          <w:b/>
          <w:bCs/>
          <w:color w:val="000000" w:themeColor="text1"/>
          <w:sz w:val="28"/>
          <w:szCs w:val="28"/>
        </w:rPr>
      </w:pPr>
      <w:bookmarkStart w:id="212" w:name="_Toc121217303"/>
      <w:r w:rsidRPr="00507014">
        <w:rPr>
          <w:rFonts w:ascii="Arial" w:hAnsi="Arial" w:cs="Arial"/>
          <w:b/>
          <w:bCs/>
          <w:color w:val="000000" w:themeColor="text1"/>
          <w:sz w:val="28"/>
          <w:szCs w:val="28"/>
        </w:rPr>
        <w:lastRenderedPageBreak/>
        <w:t>APPENDIX C</w:t>
      </w:r>
      <w:r w:rsidR="00F17726" w:rsidRPr="00507014">
        <w:rPr>
          <w:rFonts w:ascii="Arial" w:hAnsi="Arial" w:cs="Arial"/>
          <w:b/>
          <w:bCs/>
          <w:color w:val="000000" w:themeColor="text1"/>
          <w:sz w:val="28"/>
          <w:szCs w:val="28"/>
        </w:rPr>
        <w:t xml:space="preserve"> – Cell Culture Protocols</w:t>
      </w:r>
      <w:bookmarkEnd w:id="212"/>
    </w:p>
    <w:p w14:paraId="675F7536" w14:textId="77777777" w:rsidR="0099516B" w:rsidRPr="00D74025" w:rsidRDefault="0099516B" w:rsidP="0099516B">
      <w:pPr>
        <w:autoSpaceDE w:val="0"/>
        <w:autoSpaceDN w:val="0"/>
        <w:adjustRightInd w:val="0"/>
        <w:spacing w:line="276" w:lineRule="auto"/>
        <w:rPr>
          <w:rFonts w:ascii="Arial" w:hAnsi="Arial" w:cs="Arial"/>
          <w:b/>
          <w:bCs/>
          <w:color w:val="000000" w:themeColor="text1"/>
        </w:rPr>
      </w:pPr>
      <w:r w:rsidRPr="00D74025">
        <w:rPr>
          <w:rFonts w:ascii="Arial" w:hAnsi="Arial" w:cs="Arial"/>
          <w:b/>
          <w:bCs/>
          <w:color w:val="000000" w:themeColor="text1"/>
        </w:rPr>
        <w:t xml:space="preserve">Source: </w:t>
      </w:r>
      <w:proofErr w:type="spellStart"/>
      <w:r w:rsidRPr="00D74025">
        <w:rPr>
          <w:rFonts w:ascii="Arial" w:hAnsi="Arial" w:cs="Arial"/>
          <w:b/>
          <w:bCs/>
          <w:color w:val="000000" w:themeColor="text1"/>
        </w:rPr>
        <w:t>Freshney</w:t>
      </w:r>
      <w:proofErr w:type="spellEnd"/>
      <w:r w:rsidRPr="00D74025">
        <w:rPr>
          <w:rFonts w:ascii="Arial" w:hAnsi="Arial" w:cs="Arial"/>
          <w:b/>
          <w:bCs/>
          <w:color w:val="000000" w:themeColor="text1"/>
        </w:rPr>
        <w:t>, Culture of Animal Cells, 2010.</w:t>
      </w:r>
    </w:p>
    <w:p w14:paraId="7F8F5E24" w14:textId="77777777" w:rsidR="00507014" w:rsidRDefault="00507014" w:rsidP="00507014">
      <w:pPr>
        <w:rPr>
          <w:rFonts w:ascii="Arial" w:hAnsi="Arial" w:cs="Arial"/>
          <w:color w:val="000000" w:themeColor="text1"/>
        </w:rPr>
      </w:pPr>
    </w:p>
    <w:p w14:paraId="5F09871A" w14:textId="5EDC4899" w:rsidR="00F17726" w:rsidRPr="00507014" w:rsidRDefault="00F17726" w:rsidP="00507014">
      <w:pPr>
        <w:pStyle w:val="Heading2"/>
        <w:spacing w:line="276" w:lineRule="auto"/>
        <w:ind w:firstLine="0"/>
        <w:rPr>
          <w:rFonts w:ascii="Arial" w:hAnsi="Arial" w:cs="Arial"/>
          <w:b/>
          <w:bCs/>
          <w:color w:val="000000" w:themeColor="text1"/>
          <w:sz w:val="24"/>
          <w:szCs w:val="24"/>
          <w:u w:val="single"/>
        </w:rPr>
      </w:pPr>
      <w:bookmarkStart w:id="213" w:name="_Toc121217304"/>
      <w:r w:rsidRPr="00507014">
        <w:rPr>
          <w:rFonts w:ascii="Arial" w:hAnsi="Arial" w:cs="Arial"/>
          <w:b/>
          <w:bCs/>
          <w:color w:val="000000" w:themeColor="text1"/>
          <w:sz w:val="24"/>
          <w:szCs w:val="24"/>
          <w:u w:val="single"/>
        </w:rPr>
        <w:t>C1</w:t>
      </w:r>
      <w:r w:rsidR="005F6499" w:rsidRPr="00507014">
        <w:rPr>
          <w:rFonts w:ascii="Arial" w:hAnsi="Arial" w:cs="Arial"/>
          <w:b/>
          <w:bCs/>
          <w:color w:val="000000" w:themeColor="text1"/>
          <w:sz w:val="24"/>
          <w:szCs w:val="24"/>
          <w:u w:val="single"/>
        </w:rPr>
        <w:t>.</w:t>
      </w:r>
      <w:r w:rsidRPr="00507014">
        <w:rPr>
          <w:rFonts w:ascii="Arial" w:hAnsi="Arial" w:cs="Arial"/>
          <w:b/>
          <w:bCs/>
          <w:color w:val="000000" w:themeColor="text1"/>
          <w:sz w:val="24"/>
          <w:szCs w:val="24"/>
          <w:u w:val="single"/>
        </w:rPr>
        <w:t xml:space="preserve"> </w:t>
      </w:r>
      <w:r w:rsidR="005A35DF" w:rsidRPr="00507014">
        <w:rPr>
          <w:rFonts w:ascii="Arial" w:hAnsi="Arial" w:cs="Arial"/>
          <w:b/>
          <w:bCs/>
          <w:color w:val="000000" w:themeColor="text1"/>
          <w:sz w:val="24"/>
          <w:szCs w:val="24"/>
          <w:u w:val="single"/>
        </w:rPr>
        <w:t xml:space="preserve">Aseptic </w:t>
      </w:r>
      <w:r w:rsidR="00B86DA1">
        <w:rPr>
          <w:rFonts w:ascii="Arial" w:hAnsi="Arial" w:cs="Arial"/>
          <w:b/>
          <w:bCs/>
          <w:color w:val="000000" w:themeColor="text1"/>
          <w:sz w:val="24"/>
          <w:szCs w:val="24"/>
          <w:u w:val="single"/>
        </w:rPr>
        <w:t>t</w:t>
      </w:r>
      <w:r w:rsidR="005A35DF" w:rsidRPr="00507014">
        <w:rPr>
          <w:rFonts w:ascii="Arial" w:hAnsi="Arial" w:cs="Arial"/>
          <w:b/>
          <w:bCs/>
          <w:color w:val="000000" w:themeColor="text1"/>
          <w:sz w:val="24"/>
          <w:szCs w:val="24"/>
          <w:u w:val="single"/>
        </w:rPr>
        <w:t>echnique in vertical laminar flow</w:t>
      </w:r>
      <w:bookmarkEnd w:id="213"/>
      <w:r w:rsidR="005A35DF" w:rsidRPr="00507014">
        <w:rPr>
          <w:rFonts w:ascii="Arial" w:hAnsi="Arial" w:cs="Arial"/>
          <w:b/>
          <w:bCs/>
          <w:color w:val="000000" w:themeColor="text1"/>
          <w:sz w:val="24"/>
          <w:szCs w:val="24"/>
          <w:u w:val="single"/>
        </w:rPr>
        <w:t xml:space="preserve"> </w:t>
      </w:r>
    </w:p>
    <w:p w14:paraId="2AE6B042" w14:textId="6F04A738" w:rsidR="005A35DF" w:rsidRPr="00D74025" w:rsidRDefault="005A35DF" w:rsidP="00F6020C">
      <w:pPr>
        <w:spacing w:line="276" w:lineRule="auto"/>
        <w:rPr>
          <w:rFonts w:ascii="Arial" w:hAnsi="Arial" w:cs="Arial"/>
          <w:color w:val="000000" w:themeColor="text1"/>
        </w:rPr>
      </w:pPr>
    </w:p>
    <w:p w14:paraId="161D1695" w14:textId="77777777" w:rsidR="005A35DF" w:rsidRPr="00D74025" w:rsidRDefault="005A35DF" w:rsidP="00F6020C">
      <w:pPr>
        <w:autoSpaceDE w:val="0"/>
        <w:autoSpaceDN w:val="0"/>
        <w:adjustRightInd w:val="0"/>
        <w:spacing w:line="276" w:lineRule="auto"/>
        <w:rPr>
          <w:rFonts w:ascii="Arial" w:hAnsi="Arial" w:cs="Arial"/>
          <w:b/>
          <w:bCs/>
          <w:color w:val="000000" w:themeColor="text1"/>
        </w:rPr>
      </w:pPr>
    </w:p>
    <w:p w14:paraId="6CD5FC21" w14:textId="77777777" w:rsidR="005A35DF" w:rsidRPr="00D74025" w:rsidRDefault="005A35DF" w:rsidP="00F6020C">
      <w:pPr>
        <w:autoSpaceDE w:val="0"/>
        <w:autoSpaceDN w:val="0"/>
        <w:adjustRightInd w:val="0"/>
        <w:spacing w:line="276" w:lineRule="auto"/>
        <w:rPr>
          <w:rFonts w:ascii="Arial" w:hAnsi="Arial" w:cs="Arial"/>
          <w:b/>
          <w:bCs/>
          <w:color w:val="000000" w:themeColor="text1"/>
        </w:rPr>
      </w:pPr>
      <w:r w:rsidRPr="00D74025">
        <w:rPr>
          <w:rFonts w:ascii="Arial" w:hAnsi="Arial" w:cs="Arial"/>
          <w:b/>
          <w:bCs/>
          <w:color w:val="000000" w:themeColor="text1"/>
        </w:rPr>
        <w:t>Outline</w:t>
      </w:r>
    </w:p>
    <w:p w14:paraId="683672CD"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Clean and swab down work area, and bring bottles, pipettes, and other instruments. Carry out preparative procedures first (preparation of media and other reagents), followed by culture work. Finally, tidy up and wipe over surface with 70% alcohol.</w:t>
      </w:r>
    </w:p>
    <w:p w14:paraId="0BDF0335" w14:textId="77777777" w:rsidR="005A35DF" w:rsidRPr="00D74025" w:rsidRDefault="005A35DF" w:rsidP="00F6020C">
      <w:pPr>
        <w:autoSpaceDE w:val="0"/>
        <w:autoSpaceDN w:val="0"/>
        <w:adjustRightInd w:val="0"/>
        <w:spacing w:line="276" w:lineRule="auto"/>
        <w:rPr>
          <w:rFonts w:ascii="Arial" w:hAnsi="Arial" w:cs="Arial"/>
          <w:color w:val="000000" w:themeColor="text1"/>
        </w:rPr>
      </w:pPr>
    </w:p>
    <w:p w14:paraId="058ACED7" w14:textId="77777777" w:rsidR="005A35DF" w:rsidRPr="00D74025" w:rsidRDefault="005A35DF" w:rsidP="00F6020C">
      <w:pPr>
        <w:autoSpaceDE w:val="0"/>
        <w:autoSpaceDN w:val="0"/>
        <w:adjustRightInd w:val="0"/>
        <w:spacing w:line="276" w:lineRule="auto"/>
        <w:rPr>
          <w:rFonts w:ascii="Arial" w:hAnsi="Arial" w:cs="Arial"/>
          <w:b/>
          <w:bCs/>
          <w:color w:val="000000" w:themeColor="text1"/>
        </w:rPr>
      </w:pPr>
      <w:r w:rsidRPr="00D74025">
        <w:rPr>
          <w:rFonts w:ascii="Arial" w:hAnsi="Arial" w:cs="Arial"/>
          <w:b/>
          <w:bCs/>
          <w:color w:val="000000" w:themeColor="text1"/>
        </w:rPr>
        <w:t>Materials</w:t>
      </w:r>
    </w:p>
    <w:p w14:paraId="392DC5A1"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Sterile (placed in hood):</w:t>
      </w:r>
    </w:p>
    <w:p w14:paraId="2C037BD2" w14:textId="77777777" w:rsidR="005A35DF" w:rsidRPr="00D74025" w:rsidRDefault="005A35DF" w:rsidP="00F6020C">
      <w:pPr>
        <w:spacing w:line="276" w:lineRule="auto"/>
        <w:rPr>
          <w:rFonts w:ascii="Arial" w:hAnsi="Arial" w:cs="Arial"/>
          <w:color w:val="000000" w:themeColor="text1"/>
        </w:rPr>
      </w:pPr>
      <w:r w:rsidRPr="00D74025">
        <w:rPr>
          <w:rFonts w:ascii="Arial" w:hAnsi="Arial" w:cs="Arial"/>
          <w:color w:val="000000" w:themeColor="text1"/>
        </w:rPr>
        <w:t>Culture medium</w:t>
      </w:r>
    </w:p>
    <w:p w14:paraId="1CB1E1F6" w14:textId="77777777" w:rsidR="005A35DF" w:rsidRPr="00D74025" w:rsidRDefault="005A35DF" w:rsidP="00F6020C">
      <w:pPr>
        <w:spacing w:line="276" w:lineRule="auto"/>
        <w:rPr>
          <w:rFonts w:ascii="Arial" w:hAnsi="Arial" w:cs="Arial"/>
          <w:color w:val="000000" w:themeColor="text1"/>
        </w:rPr>
      </w:pPr>
      <w:r w:rsidRPr="00D74025">
        <w:rPr>
          <w:rFonts w:ascii="Arial" w:hAnsi="Arial" w:cs="Arial"/>
          <w:color w:val="000000" w:themeColor="text1"/>
        </w:rPr>
        <w:t>Pipettes, graduated, and plugged, in an assortment of sizes, 1, 5, 10, 25 mL</w:t>
      </w:r>
    </w:p>
    <w:p w14:paraId="6F365675" w14:textId="77777777" w:rsidR="005A35DF" w:rsidRPr="00D74025" w:rsidRDefault="005A35DF" w:rsidP="00F6020C">
      <w:pPr>
        <w:spacing w:line="276" w:lineRule="auto"/>
        <w:rPr>
          <w:rFonts w:ascii="Arial" w:hAnsi="Arial" w:cs="Arial"/>
          <w:color w:val="000000" w:themeColor="text1"/>
        </w:rPr>
      </w:pPr>
      <w:r w:rsidRPr="00D74025">
        <w:rPr>
          <w:rFonts w:ascii="Arial" w:hAnsi="Arial" w:cs="Arial"/>
          <w:color w:val="000000" w:themeColor="text1"/>
        </w:rPr>
        <w:t>Culture flasks</w:t>
      </w:r>
    </w:p>
    <w:p w14:paraId="129FBA45"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Nonsterile:</w:t>
      </w:r>
    </w:p>
    <w:p w14:paraId="14B9B4F9" w14:textId="77777777" w:rsidR="005A35DF" w:rsidRPr="00D74025" w:rsidRDefault="005A35DF">
      <w:pPr>
        <w:pStyle w:val="ListParagraph"/>
        <w:numPr>
          <w:ilvl w:val="0"/>
          <w:numId w:val="29"/>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Pipette controller or bulb in hood</w:t>
      </w:r>
    </w:p>
    <w:p w14:paraId="33606802" w14:textId="77777777" w:rsidR="005A35DF" w:rsidRPr="00D74025" w:rsidRDefault="005A35DF">
      <w:pPr>
        <w:pStyle w:val="ListParagraph"/>
        <w:numPr>
          <w:ilvl w:val="0"/>
          <w:numId w:val="29"/>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70% alcohol in spray bottle in hood</w:t>
      </w:r>
    </w:p>
    <w:p w14:paraId="1482ED5F" w14:textId="77777777" w:rsidR="005A35DF" w:rsidRPr="00D74025" w:rsidRDefault="005A35DF">
      <w:pPr>
        <w:pStyle w:val="ListParagraph"/>
        <w:numPr>
          <w:ilvl w:val="0"/>
          <w:numId w:val="29"/>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Lint-free swabs or wipes beside hood</w:t>
      </w:r>
    </w:p>
    <w:p w14:paraId="7DD9046A" w14:textId="77777777" w:rsidR="005A35DF" w:rsidRPr="00D74025" w:rsidRDefault="005A35DF">
      <w:pPr>
        <w:pStyle w:val="ListParagraph"/>
        <w:numPr>
          <w:ilvl w:val="0"/>
          <w:numId w:val="29"/>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Absorbent paper tissues beside hood</w:t>
      </w:r>
    </w:p>
    <w:p w14:paraId="098B4B79" w14:textId="77777777" w:rsidR="005A35DF" w:rsidRPr="00D74025" w:rsidRDefault="005A35DF">
      <w:pPr>
        <w:pStyle w:val="ListParagraph"/>
        <w:numPr>
          <w:ilvl w:val="0"/>
          <w:numId w:val="29"/>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Pipette cylinder containing water and disinfectant on floor beside hood</w:t>
      </w:r>
    </w:p>
    <w:p w14:paraId="3FDB2943" w14:textId="77777777" w:rsidR="005A35DF" w:rsidRPr="00D74025" w:rsidRDefault="005A35DF">
      <w:pPr>
        <w:pStyle w:val="ListParagraph"/>
        <w:numPr>
          <w:ilvl w:val="0"/>
          <w:numId w:val="29"/>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Waste bin (for paper waste, swabs, and packaging) on floor beside hood on opposite side from pipette cylinder</w:t>
      </w:r>
    </w:p>
    <w:p w14:paraId="55CAD40B" w14:textId="77777777" w:rsidR="005A35DF" w:rsidRPr="00D74025" w:rsidRDefault="005A35DF">
      <w:pPr>
        <w:pStyle w:val="ListParagraph"/>
        <w:numPr>
          <w:ilvl w:val="0"/>
          <w:numId w:val="29"/>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Suction line to aspirator below hood or waste beaker in hood (both with disinfectant)</w:t>
      </w:r>
    </w:p>
    <w:p w14:paraId="613588A1" w14:textId="77777777" w:rsidR="005A35DF" w:rsidRPr="00D74025" w:rsidRDefault="005A35DF">
      <w:pPr>
        <w:pStyle w:val="ListParagraph"/>
        <w:numPr>
          <w:ilvl w:val="0"/>
          <w:numId w:val="29"/>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Scissors</w:t>
      </w:r>
    </w:p>
    <w:p w14:paraId="5DC77223" w14:textId="77777777" w:rsidR="005A35DF" w:rsidRPr="00D74025" w:rsidRDefault="005A35DF">
      <w:pPr>
        <w:pStyle w:val="ListParagraph"/>
        <w:numPr>
          <w:ilvl w:val="0"/>
          <w:numId w:val="29"/>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Marker pen with alcohol-insoluble ink</w:t>
      </w:r>
    </w:p>
    <w:p w14:paraId="477286E6" w14:textId="77777777" w:rsidR="005A35DF" w:rsidRPr="00D74025" w:rsidRDefault="005A35DF">
      <w:pPr>
        <w:pStyle w:val="ListParagraph"/>
        <w:numPr>
          <w:ilvl w:val="0"/>
          <w:numId w:val="29"/>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Notebook, pen, protocols</w:t>
      </w:r>
    </w:p>
    <w:p w14:paraId="0FAE0BC3" w14:textId="77777777" w:rsidR="005A35DF" w:rsidRPr="00D74025" w:rsidRDefault="005A35DF" w:rsidP="00F6020C">
      <w:pPr>
        <w:autoSpaceDE w:val="0"/>
        <w:autoSpaceDN w:val="0"/>
        <w:adjustRightInd w:val="0"/>
        <w:spacing w:line="276" w:lineRule="auto"/>
        <w:rPr>
          <w:rFonts w:ascii="Arial" w:hAnsi="Arial" w:cs="Arial"/>
          <w:color w:val="000000" w:themeColor="text1"/>
        </w:rPr>
      </w:pPr>
    </w:p>
    <w:p w14:paraId="2305E207" w14:textId="77777777" w:rsidR="005A35DF" w:rsidRPr="00D74025" w:rsidRDefault="005A35DF" w:rsidP="00F6020C">
      <w:pPr>
        <w:autoSpaceDE w:val="0"/>
        <w:autoSpaceDN w:val="0"/>
        <w:adjustRightInd w:val="0"/>
        <w:spacing w:line="276" w:lineRule="auto"/>
        <w:rPr>
          <w:rFonts w:ascii="Arial" w:hAnsi="Arial" w:cs="Arial"/>
          <w:b/>
          <w:bCs/>
          <w:color w:val="000000" w:themeColor="text1"/>
        </w:rPr>
      </w:pPr>
      <w:r w:rsidRPr="00D74025">
        <w:rPr>
          <w:rFonts w:ascii="Arial" w:hAnsi="Arial" w:cs="Arial"/>
          <w:b/>
          <w:bCs/>
          <w:color w:val="000000" w:themeColor="text1"/>
        </w:rPr>
        <w:t>Procedure</w:t>
      </w:r>
    </w:p>
    <w:p w14:paraId="33BCE423"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 </w:t>
      </w:r>
      <w:r w:rsidRPr="00D74025">
        <w:rPr>
          <w:rFonts w:ascii="Arial" w:hAnsi="Arial" w:cs="Arial"/>
          <w:color w:val="000000" w:themeColor="text1"/>
        </w:rPr>
        <w:t>Swab down the work surface and all other inside surfaces of laminar-flow hood, including inside of the front screen, with alcohol and a lint-free swab or tissue.</w:t>
      </w:r>
    </w:p>
    <w:p w14:paraId="4BEE430A" w14:textId="13E77130"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2. </w:t>
      </w:r>
      <w:proofErr w:type="spellStart"/>
      <w:r w:rsidRPr="00D74025">
        <w:rPr>
          <w:rFonts w:ascii="Arial" w:hAnsi="Arial" w:cs="Arial"/>
          <w:color w:val="000000" w:themeColor="text1"/>
        </w:rPr>
        <w:t>Bringmedium</w:t>
      </w:r>
      <w:proofErr w:type="spellEnd"/>
      <w:r w:rsidRPr="00D74025">
        <w:rPr>
          <w:rFonts w:ascii="Arial" w:hAnsi="Arial" w:cs="Arial"/>
          <w:color w:val="000000" w:themeColor="text1"/>
        </w:rPr>
        <w:t xml:space="preserve"> and reagents from cold store, water bath, or otherwise thawed from freezer; swab</w:t>
      </w:r>
      <w:r w:rsidR="00AC4CE3">
        <w:rPr>
          <w:rFonts w:ascii="Arial" w:hAnsi="Arial" w:cs="Arial"/>
          <w:color w:val="000000" w:themeColor="text1"/>
        </w:rPr>
        <w:t xml:space="preserve"> </w:t>
      </w:r>
      <w:r w:rsidRPr="00D74025">
        <w:rPr>
          <w:rFonts w:ascii="Arial" w:hAnsi="Arial" w:cs="Arial"/>
          <w:color w:val="000000" w:themeColor="text1"/>
        </w:rPr>
        <w:t>bottles with alcohol, and place those that you will need first in the hood.</w:t>
      </w:r>
    </w:p>
    <w:p w14:paraId="0E8EB113"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3. </w:t>
      </w:r>
      <w:r w:rsidRPr="00D74025">
        <w:rPr>
          <w:rFonts w:ascii="Arial" w:hAnsi="Arial" w:cs="Arial"/>
          <w:color w:val="000000" w:themeColor="text1"/>
        </w:rPr>
        <w:t>Collect pipettes, and place at one side of the back of work surface in an accessible position.</w:t>
      </w:r>
    </w:p>
    <w:p w14:paraId="132BE299"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lastRenderedPageBreak/>
        <w:t xml:space="preserve">4. </w:t>
      </w:r>
      <w:r w:rsidRPr="00D74025">
        <w:rPr>
          <w:rFonts w:ascii="Arial" w:hAnsi="Arial" w:cs="Arial"/>
          <w:color w:val="000000" w:themeColor="text1"/>
        </w:rPr>
        <w:t>Open pipette cans and place lids on top or alongside, with the open side down, or stack individually wrapped pipettes, sorted by size, on a rack or in cans.</w:t>
      </w:r>
    </w:p>
    <w:p w14:paraId="15A0C002"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5. </w:t>
      </w:r>
      <w:r w:rsidRPr="00D74025">
        <w:rPr>
          <w:rFonts w:ascii="Arial" w:hAnsi="Arial" w:cs="Arial"/>
          <w:color w:val="000000" w:themeColor="text1"/>
        </w:rPr>
        <w:t>Collect any other glassware, plastics, and instruments that you will need, and place them close by (e.g., on a cart or an adjacent bench).</w:t>
      </w:r>
    </w:p>
    <w:p w14:paraId="52F2B796"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6. </w:t>
      </w:r>
      <w:r w:rsidRPr="00D74025">
        <w:rPr>
          <w:rFonts w:ascii="Arial" w:hAnsi="Arial" w:cs="Arial"/>
          <w:color w:val="000000" w:themeColor="text1"/>
        </w:rPr>
        <w:t>Slacken, but do not remove, caps of all bottles about to be used.</w:t>
      </w:r>
    </w:p>
    <w:p w14:paraId="0F7E4847" w14:textId="11A82DAC"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7. </w:t>
      </w:r>
      <w:r w:rsidRPr="00D74025">
        <w:rPr>
          <w:rFonts w:ascii="Arial" w:hAnsi="Arial" w:cs="Arial"/>
          <w:color w:val="000000" w:themeColor="text1"/>
        </w:rPr>
        <w:t>Remove the cap of the flask into which you are about to pipette, and the bottles that you wish to pipette from, and place the caps open side uppermost on the work surface, at the back of the hood and behind the bottle, so that your hand will not pass over them. Alternatively, if you are handling only one cap at a time, grasp the cap in</w:t>
      </w:r>
      <w:r w:rsidR="00AC4CE3">
        <w:rPr>
          <w:rFonts w:ascii="Arial" w:hAnsi="Arial" w:cs="Arial"/>
          <w:color w:val="000000" w:themeColor="text1"/>
        </w:rPr>
        <w:t xml:space="preserve"> </w:t>
      </w:r>
      <w:r w:rsidRPr="00D74025">
        <w:rPr>
          <w:rFonts w:ascii="Arial" w:hAnsi="Arial" w:cs="Arial"/>
          <w:color w:val="000000" w:themeColor="text1"/>
        </w:rPr>
        <w:t>the crook formed between your little finger and the heel of your hand, and replace it when you have finished pipetting.</w:t>
      </w:r>
    </w:p>
    <w:p w14:paraId="7AA7954B"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8. </w:t>
      </w:r>
      <w:r w:rsidRPr="00D74025">
        <w:rPr>
          <w:rFonts w:ascii="Arial" w:hAnsi="Arial" w:cs="Arial"/>
          <w:color w:val="000000" w:themeColor="text1"/>
        </w:rPr>
        <w:t>Select a pipette:</w:t>
      </w:r>
    </w:p>
    <w:p w14:paraId="0A1765B8"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(a) </w:t>
      </w:r>
      <w:r w:rsidRPr="00D74025">
        <w:rPr>
          <w:rFonts w:ascii="Arial" w:hAnsi="Arial" w:cs="Arial"/>
          <w:color w:val="000000" w:themeColor="text1"/>
        </w:rPr>
        <w:t xml:space="preserve">For glass pipettes or bulk-wrapped plastic </w:t>
      </w:r>
    </w:p>
    <w:p w14:paraId="3EA606E8"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w:t>
      </w:r>
      <w:proofErr w:type="spellStart"/>
      <w:r w:rsidRPr="00D74025">
        <w:rPr>
          <w:rFonts w:ascii="Arial" w:hAnsi="Arial" w:cs="Arial"/>
          <w:color w:val="000000" w:themeColor="text1"/>
        </w:rPr>
        <w:t>i</w:t>
      </w:r>
      <w:proofErr w:type="spellEnd"/>
      <w:r w:rsidRPr="00D74025">
        <w:rPr>
          <w:rFonts w:ascii="Arial" w:hAnsi="Arial" w:cs="Arial"/>
          <w:color w:val="000000" w:themeColor="text1"/>
        </w:rPr>
        <w:t>) Take a pipette from the can, lifting it parallel to the other pipettes in the can and touching them as little as possible, particularly at the tops (if the pipette that you are removing touches the end of any of the pipettes still in the can, discard it).</w:t>
      </w:r>
    </w:p>
    <w:p w14:paraId="0263BB91"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(ii) Insert the top end of the pipette into a pipette controller or bulb, pointing the pipette away from you, and holding it well above the graduations, so that the part of the pipette entering the bottle or flask will not be contaminated.</w:t>
      </w:r>
    </w:p>
    <w:p w14:paraId="471F4F84"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(b) </w:t>
      </w:r>
      <w:r w:rsidRPr="00D74025">
        <w:rPr>
          <w:rFonts w:ascii="Arial" w:hAnsi="Arial" w:cs="Arial"/>
          <w:color w:val="000000" w:themeColor="text1"/>
        </w:rPr>
        <w:t>If pipettes individually wrapped plastic:</w:t>
      </w:r>
    </w:p>
    <w:p w14:paraId="173A4A62"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w:t>
      </w:r>
      <w:proofErr w:type="spellStart"/>
      <w:r w:rsidRPr="00D74025">
        <w:rPr>
          <w:rFonts w:ascii="Arial" w:hAnsi="Arial" w:cs="Arial"/>
          <w:color w:val="000000" w:themeColor="text1"/>
        </w:rPr>
        <w:t>i</w:t>
      </w:r>
      <w:proofErr w:type="spellEnd"/>
      <w:r w:rsidRPr="00D74025">
        <w:rPr>
          <w:rFonts w:ascii="Arial" w:hAnsi="Arial" w:cs="Arial"/>
          <w:color w:val="000000" w:themeColor="text1"/>
        </w:rPr>
        <w:t>) Open the pack at the top.</w:t>
      </w:r>
    </w:p>
    <w:p w14:paraId="32444A66"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(ii) Peel the ends back, turning them outside in.</w:t>
      </w:r>
    </w:p>
    <w:p w14:paraId="00E6F8C2"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(iii) Insert the end of the pipette into the bulb or pipette controller.</w:t>
      </w:r>
    </w:p>
    <w:p w14:paraId="37E1EBD1"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(iv) Withdraw the pipette from the wrapping without it touching any part of the outside of the wrapping, or the pipette touching any nonsterile surface.</w:t>
      </w:r>
    </w:p>
    <w:p w14:paraId="71207363"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(v) Discard the wrapping into the waste bin.</w:t>
      </w:r>
    </w:p>
    <w:p w14:paraId="04F786B1" w14:textId="7BECD415"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9. </w:t>
      </w:r>
      <w:r w:rsidRPr="00D74025">
        <w:rPr>
          <w:rFonts w:ascii="Arial" w:hAnsi="Arial" w:cs="Arial"/>
          <w:color w:val="000000" w:themeColor="text1"/>
        </w:rPr>
        <w:t>The pipette in the bulb or pipette controller will now be at right angles to your arm. Take care that the tip of the pipette does not touch the outside of a bottle or the inner surface of the hood; always be aware of where the pipette is. Following this procedure is not easy when you are learning aseptic technique, but it is an essential requirement for success and will come with experience.</w:t>
      </w:r>
    </w:p>
    <w:p w14:paraId="26F6F32B"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10. </w:t>
      </w:r>
      <w:r w:rsidRPr="00D74025">
        <w:rPr>
          <w:rFonts w:ascii="Arial" w:hAnsi="Arial" w:cs="Arial"/>
          <w:color w:val="000000" w:themeColor="text1"/>
        </w:rPr>
        <w:t>Tilt the medium bottle toward the pipette so that your hand does not come over the open neck, withdraw 5 mL of medium, and transfer it a flask, also tilted.</w:t>
      </w:r>
    </w:p>
    <w:p w14:paraId="6ADB7B4E"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11. </w:t>
      </w:r>
      <w:r w:rsidRPr="00D74025">
        <w:rPr>
          <w:rFonts w:ascii="Arial" w:hAnsi="Arial" w:cs="Arial"/>
          <w:color w:val="000000" w:themeColor="text1"/>
        </w:rPr>
        <w:t>Discard the pipette into the pipette cylinder containing disinfectant. Plastic pipettes can be discarded into double-thickness autoclavable biohazard bags.</w:t>
      </w:r>
    </w:p>
    <w:p w14:paraId="01165281"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12. </w:t>
      </w:r>
      <w:r w:rsidRPr="00D74025">
        <w:rPr>
          <w:rFonts w:ascii="Arial" w:hAnsi="Arial" w:cs="Arial"/>
          <w:color w:val="000000" w:themeColor="text1"/>
        </w:rPr>
        <w:t>Recap the flask.</w:t>
      </w:r>
    </w:p>
    <w:p w14:paraId="5067D962"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13. </w:t>
      </w:r>
      <w:r w:rsidRPr="00D74025">
        <w:rPr>
          <w:rFonts w:ascii="Arial" w:hAnsi="Arial" w:cs="Arial"/>
          <w:color w:val="000000" w:themeColor="text1"/>
        </w:rPr>
        <w:t>Replace the cap on the medium bottle and flasks.</w:t>
      </w:r>
    </w:p>
    <w:p w14:paraId="3B0B591F" w14:textId="77777777" w:rsidR="005A35DF" w:rsidRPr="00D74025" w:rsidRDefault="005A35DF" w:rsidP="00F6020C">
      <w:pPr>
        <w:spacing w:line="276" w:lineRule="auto"/>
        <w:rPr>
          <w:rFonts w:ascii="Arial" w:hAnsi="Arial" w:cs="Arial"/>
          <w:color w:val="000000" w:themeColor="text1"/>
        </w:rPr>
      </w:pPr>
      <w:r w:rsidRPr="00D74025">
        <w:rPr>
          <w:rFonts w:ascii="Arial" w:hAnsi="Arial" w:cs="Arial"/>
          <w:color w:val="000000" w:themeColor="text1"/>
        </w:rPr>
        <w:t xml:space="preserve">Bottles may be left open while you complete a particular </w:t>
      </w:r>
      <w:proofErr w:type="gramStart"/>
      <w:r w:rsidRPr="00D74025">
        <w:rPr>
          <w:rFonts w:ascii="Arial" w:hAnsi="Arial" w:cs="Arial"/>
          <w:color w:val="000000" w:themeColor="text1"/>
        </w:rPr>
        <w:t>maneuver, but</w:t>
      </w:r>
      <w:proofErr w:type="gramEnd"/>
      <w:r w:rsidRPr="00D74025">
        <w:rPr>
          <w:rFonts w:ascii="Arial" w:hAnsi="Arial" w:cs="Arial"/>
          <w:color w:val="000000" w:themeColor="text1"/>
        </w:rPr>
        <w:t xml:space="preserve"> should always be closed if you leave the hood for any reason.</w:t>
      </w:r>
    </w:p>
    <w:p w14:paraId="3D66DB5F"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b/>
          <w:bCs/>
          <w:i/>
          <w:iCs/>
          <w:color w:val="000000" w:themeColor="text1"/>
        </w:rPr>
        <w:lastRenderedPageBreak/>
        <w:t xml:space="preserve">Note. </w:t>
      </w:r>
      <w:r w:rsidRPr="00D74025">
        <w:rPr>
          <w:rFonts w:ascii="Arial" w:hAnsi="Arial" w:cs="Arial"/>
          <w:color w:val="000000" w:themeColor="text1"/>
        </w:rPr>
        <w:t>In vertical laminar flow, do not work immediately above an open vessel. In horizontal laminar flow, do not work behind an open vessel.</w:t>
      </w:r>
    </w:p>
    <w:p w14:paraId="2DFA8E93"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14. </w:t>
      </w:r>
      <w:r w:rsidRPr="00D74025">
        <w:rPr>
          <w:rFonts w:ascii="Arial" w:hAnsi="Arial" w:cs="Arial"/>
          <w:color w:val="000000" w:themeColor="text1"/>
        </w:rPr>
        <w:t>On completion of the operation, tighten all caps, and place flasks in incubator.</w:t>
      </w:r>
    </w:p>
    <w:p w14:paraId="003C66B0" w14:textId="2537DAE2"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b/>
          <w:bCs/>
          <w:i/>
          <w:iCs/>
          <w:color w:val="000000" w:themeColor="text1"/>
        </w:rPr>
        <w:t xml:space="preserve">Note. </w:t>
      </w:r>
      <w:r w:rsidRPr="00D74025">
        <w:rPr>
          <w:rFonts w:ascii="Arial" w:hAnsi="Arial" w:cs="Arial"/>
          <w:color w:val="000000" w:themeColor="text1"/>
        </w:rPr>
        <w:t>If shortage of space requires you to stack flasks in the incubator you may need to release the pressure in the flasks after they have been in the incubator for about 30 min as the flasks may distort due to expansion of the gas phase, particularly with larger flasks</w:t>
      </w:r>
      <w:r w:rsidR="005E45B8">
        <w:rPr>
          <w:rFonts w:ascii="Arial" w:hAnsi="Arial" w:cs="Arial"/>
          <w:color w:val="000000" w:themeColor="text1"/>
        </w:rPr>
        <w:t>.</w:t>
      </w:r>
    </w:p>
    <w:p w14:paraId="283C13C7" w14:textId="77777777" w:rsidR="005A35DF" w:rsidRPr="00D74025" w:rsidRDefault="005A35DF"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15. </w:t>
      </w:r>
      <w:r w:rsidRPr="00D74025">
        <w:rPr>
          <w:rFonts w:ascii="Arial" w:hAnsi="Arial" w:cs="Arial"/>
          <w:color w:val="000000" w:themeColor="text1"/>
        </w:rPr>
        <w:t>Remove all solutions and materials no longer required from the work surface, and swab down.</w:t>
      </w:r>
    </w:p>
    <w:p w14:paraId="209007FB" w14:textId="33B58D8A" w:rsidR="005A35DF" w:rsidRPr="00D74025" w:rsidRDefault="005A35DF" w:rsidP="00F6020C">
      <w:pPr>
        <w:spacing w:line="276" w:lineRule="auto"/>
        <w:rPr>
          <w:rFonts w:ascii="Arial" w:hAnsi="Arial" w:cs="Arial"/>
          <w:color w:val="000000" w:themeColor="text1"/>
        </w:rPr>
      </w:pPr>
    </w:p>
    <w:p w14:paraId="5703A579" w14:textId="709DA3E4" w:rsidR="00925420" w:rsidRPr="00507014" w:rsidRDefault="00925420" w:rsidP="00507014">
      <w:pPr>
        <w:pStyle w:val="Heading2"/>
        <w:spacing w:line="276" w:lineRule="auto"/>
        <w:ind w:firstLine="0"/>
        <w:rPr>
          <w:rFonts w:ascii="Arial" w:hAnsi="Arial" w:cs="Arial"/>
          <w:b/>
          <w:bCs/>
          <w:color w:val="000000" w:themeColor="text1"/>
          <w:sz w:val="24"/>
          <w:szCs w:val="24"/>
          <w:u w:val="single"/>
        </w:rPr>
      </w:pPr>
      <w:bookmarkStart w:id="214" w:name="_Toc121217305"/>
      <w:r w:rsidRPr="00507014">
        <w:rPr>
          <w:rFonts w:ascii="Arial" w:hAnsi="Arial" w:cs="Arial"/>
          <w:b/>
          <w:bCs/>
          <w:color w:val="000000" w:themeColor="text1"/>
          <w:sz w:val="24"/>
          <w:szCs w:val="24"/>
          <w:u w:val="single"/>
        </w:rPr>
        <w:t xml:space="preserve">C2. </w:t>
      </w:r>
      <w:r w:rsidR="00EE4068" w:rsidRPr="00507014">
        <w:rPr>
          <w:rFonts w:ascii="Arial" w:hAnsi="Arial" w:cs="Arial"/>
          <w:b/>
          <w:bCs/>
          <w:color w:val="000000" w:themeColor="text1"/>
          <w:sz w:val="24"/>
          <w:szCs w:val="24"/>
          <w:u w:val="single"/>
        </w:rPr>
        <w:t>Feeding a monolayer culture in flasks</w:t>
      </w:r>
      <w:bookmarkEnd w:id="214"/>
    </w:p>
    <w:p w14:paraId="02D1E1DB" w14:textId="48D2403C" w:rsidR="00EE4068" w:rsidRPr="00D74025" w:rsidRDefault="00EE4068" w:rsidP="00F6020C">
      <w:pPr>
        <w:spacing w:line="276" w:lineRule="auto"/>
        <w:rPr>
          <w:rFonts w:ascii="Arial" w:hAnsi="Arial" w:cs="Arial"/>
          <w:color w:val="000000" w:themeColor="text1"/>
        </w:rPr>
      </w:pPr>
    </w:p>
    <w:p w14:paraId="58C83491" w14:textId="77777777" w:rsidR="00EE4068" w:rsidRPr="00D74025" w:rsidRDefault="00EE4068"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Examine the culture by eye and on an inverted microscope. If indicated (</w:t>
      </w:r>
      <w:proofErr w:type="gramStart"/>
      <w:r w:rsidRPr="00D74025">
        <w:rPr>
          <w:rFonts w:ascii="Arial" w:hAnsi="Arial" w:cs="Arial"/>
          <w:color w:val="000000" w:themeColor="text1"/>
        </w:rPr>
        <w:t>e.g.</w:t>
      </w:r>
      <w:proofErr w:type="gramEnd"/>
      <w:r w:rsidRPr="00D74025">
        <w:rPr>
          <w:rFonts w:ascii="Arial" w:hAnsi="Arial" w:cs="Arial"/>
          <w:color w:val="000000" w:themeColor="text1"/>
        </w:rPr>
        <w:t xml:space="preserve"> by a fall in pH), remove the spent medium and add fresh medium. Return the culture to the incubator.</w:t>
      </w:r>
    </w:p>
    <w:p w14:paraId="13958136" w14:textId="77777777" w:rsidR="00EE4068" w:rsidRPr="00D74025" w:rsidRDefault="00EE4068" w:rsidP="00F6020C">
      <w:pPr>
        <w:autoSpaceDE w:val="0"/>
        <w:autoSpaceDN w:val="0"/>
        <w:adjustRightInd w:val="0"/>
        <w:spacing w:line="276" w:lineRule="auto"/>
        <w:rPr>
          <w:rFonts w:ascii="Arial" w:hAnsi="Arial" w:cs="Arial"/>
          <w:b/>
          <w:bCs/>
          <w:color w:val="000000" w:themeColor="text1"/>
        </w:rPr>
      </w:pPr>
      <w:r w:rsidRPr="00D74025">
        <w:rPr>
          <w:rFonts w:ascii="Arial" w:hAnsi="Arial" w:cs="Arial"/>
          <w:b/>
          <w:bCs/>
          <w:color w:val="000000" w:themeColor="text1"/>
        </w:rPr>
        <w:t>Materials</w:t>
      </w:r>
    </w:p>
    <w:p w14:paraId="698AA29F" w14:textId="77777777" w:rsidR="00EE4068" w:rsidRPr="00D74025" w:rsidRDefault="00EE4068"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Sterile:</w:t>
      </w:r>
    </w:p>
    <w:p w14:paraId="068D9BD6" w14:textId="77777777" w:rsidR="00EE4068" w:rsidRPr="00D74025" w:rsidRDefault="00EE4068">
      <w:pPr>
        <w:pStyle w:val="ListParagraph"/>
        <w:numPr>
          <w:ilvl w:val="0"/>
          <w:numId w:val="55"/>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Cell cultures</w:t>
      </w:r>
    </w:p>
    <w:p w14:paraId="01A00DB4" w14:textId="77777777" w:rsidR="00EE4068" w:rsidRPr="00D74025" w:rsidRDefault="00EE4068">
      <w:pPr>
        <w:pStyle w:val="ListParagraph"/>
        <w:numPr>
          <w:ilvl w:val="0"/>
          <w:numId w:val="55"/>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Growth medium</w:t>
      </w:r>
    </w:p>
    <w:p w14:paraId="743A6544" w14:textId="1E9367B0" w:rsidR="00EE4068" w:rsidRPr="00D74025" w:rsidRDefault="00EE4068">
      <w:pPr>
        <w:pStyle w:val="ListParagraph"/>
        <w:numPr>
          <w:ilvl w:val="0"/>
          <w:numId w:val="55"/>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Pipettes, graduated, and plugged in an assortment of sizes, 1, 5, 10, 25 mL, in a square pipette can (glass pipettes will have been sterilized in the can; individually wrapped plastic pipettes can also be placed in a can for protection and</w:t>
      </w:r>
      <w:r w:rsidR="005E45B8">
        <w:rPr>
          <w:rFonts w:ascii="Arial" w:hAnsi="Arial" w:cs="Arial"/>
          <w:color w:val="000000" w:themeColor="text1"/>
        </w:rPr>
        <w:t xml:space="preserve"> </w:t>
      </w:r>
      <w:r w:rsidRPr="00D74025">
        <w:rPr>
          <w:rFonts w:ascii="Arial" w:hAnsi="Arial" w:cs="Arial"/>
          <w:color w:val="000000" w:themeColor="text1"/>
        </w:rPr>
        <w:t>convenience</w:t>
      </w:r>
      <w:r w:rsidR="005E45B8">
        <w:rPr>
          <w:rFonts w:ascii="Arial" w:hAnsi="Arial" w:cs="Arial"/>
          <w:color w:val="000000" w:themeColor="text1"/>
        </w:rPr>
        <w:t>)</w:t>
      </w:r>
    </w:p>
    <w:p w14:paraId="7F4BC85A" w14:textId="76185575" w:rsidR="00EE4068" w:rsidRPr="00D74025" w:rsidRDefault="00EE4068">
      <w:pPr>
        <w:pStyle w:val="ListParagraph"/>
        <w:numPr>
          <w:ilvl w:val="0"/>
          <w:numId w:val="55"/>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Unplugged pipettes for aspirating medium if pump or vacuum line is availabl</w:t>
      </w:r>
      <w:r w:rsidR="005E45B8">
        <w:rPr>
          <w:rFonts w:ascii="Arial" w:hAnsi="Arial" w:cs="Arial"/>
          <w:color w:val="000000" w:themeColor="text1"/>
        </w:rPr>
        <w:t>e</w:t>
      </w:r>
    </w:p>
    <w:p w14:paraId="19522A98" w14:textId="77777777" w:rsidR="00EE4068" w:rsidRPr="00D74025" w:rsidRDefault="00EE4068"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Nonsterile:</w:t>
      </w:r>
    </w:p>
    <w:p w14:paraId="0038D37A" w14:textId="17FD9100" w:rsidR="00EE4068" w:rsidRPr="00D74025" w:rsidRDefault="00EE4068">
      <w:pPr>
        <w:pStyle w:val="ListParagraph"/>
        <w:numPr>
          <w:ilvl w:val="0"/>
          <w:numId w:val="54"/>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Pipette controller or bulb </w:t>
      </w:r>
    </w:p>
    <w:p w14:paraId="1F15A306" w14:textId="75B05A1B" w:rsidR="00EE4068" w:rsidRPr="00D74025" w:rsidRDefault="00EE4068">
      <w:pPr>
        <w:pStyle w:val="ListParagraph"/>
        <w:numPr>
          <w:ilvl w:val="0"/>
          <w:numId w:val="54"/>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Tubing to receiver connected to vacuum line or to receiver via peristaltic pump </w:t>
      </w:r>
    </w:p>
    <w:p w14:paraId="1C1BDD66" w14:textId="77777777" w:rsidR="00EE4068" w:rsidRPr="00D74025" w:rsidRDefault="00EE4068">
      <w:pPr>
        <w:pStyle w:val="ListParagraph"/>
        <w:numPr>
          <w:ilvl w:val="0"/>
          <w:numId w:val="54"/>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Alcohol, 70%, in spray bottle</w:t>
      </w:r>
    </w:p>
    <w:p w14:paraId="7409471A" w14:textId="77777777" w:rsidR="00EE4068" w:rsidRPr="00D74025" w:rsidRDefault="00EE4068">
      <w:pPr>
        <w:pStyle w:val="ListParagraph"/>
        <w:numPr>
          <w:ilvl w:val="0"/>
          <w:numId w:val="54"/>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Lint-free swabs or wipes</w:t>
      </w:r>
    </w:p>
    <w:p w14:paraId="22F9A15D" w14:textId="77777777" w:rsidR="00EE4068" w:rsidRPr="00D74025" w:rsidRDefault="00EE4068">
      <w:pPr>
        <w:pStyle w:val="ListParagraph"/>
        <w:numPr>
          <w:ilvl w:val="0"/>
          <w:numId w:val="54"/>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Absorbent paper tissues</w:t>
      </w:r>
    </w:p>
    <w:p w14:paraId="5DB03C6F" w14:textId="123E7F4F" w:rsidR="00EE4068" w:rsidRPr="00D74025" w:rsidRDefault="00EE4068">
      <w:pPr>
        <w:pStyle w:val="ListParagraph"/>
        <w:numPr>
          <w:ilvl w:val="0"/>
          <w:numId w:val="54"/>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Cylinder or jar containing water and disinfectant for pipette disposal </w:t>
      </w:r>
    </w:p>
    <w:p w14:paraId="4D0B4B62" w14:textId="77777777" w:rsidR="00EE4068" w:rsidRPr="00D74025" w:rsidRDefault="00EE4068">
      <w:pPr>
        <w:pStyle w:val="ListParagraph"/>
        <w:numPr>
          <w:ilvl w:val="0"/>
          <w:numId w:val="54"/>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Marker pen with alcohol-insoluble ink</w:t>
      </w:r>
    </w:p>
    <w:p w14:paraId="4557DF5E" w14:textId="77777777" w:rsidR="00EE4068" w:rsidRPr="00D74025" w:rsidRDefault="00EE4068">
      <w:pPr>
        <w:pStyle w:val="ListParagraph"/>
        <w:numPr>
          <w:ilvl w:val="0"/>
          <w:numId w:val="54"/>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Notebook, pen, protocols</w:t>
      </w:r>
    </w:p>
    <w:p w14:paraId="57210126" w14:textId="77777777" w:rsidR="00EE4068" w:rsidRPr="00D74025" w:rsidRDefault="00EE4068" w:rsidP="00F6020C">
      <w:pPr>
        <w:autoSpaceDE w:val="0"/>
        <w:autoSpaceDN w:val="0"/>
        <w:adjustRightInd w:val="0"/>
        <w:spacing w:line="276" w:lineRule="auto"/>
        <w:rPr>
          <w:rFonts w:ascii="Arial" w:hAnsi="Arial" w:cs="Arial"/>
          <w:b/>
          <w:bCs/>
          <w:color w:val="000000" w:themeColor="text1"/>
        </w:rPr>
      </w:pPr>
      <w:r w:rsidRPr="00D74025">
        <w:rPr>
          <w:rFonts w:ascii="Arial" w:hAnsi="Arial" w:cs="Arial"/>
          <w:b/>
          <w:bCs/>
          <w:color w:val="000000" w:themeColor="text1"/>
        </w:rPr>
        <w:t>Procedure</w:t>
      </w:r>
    </w:p>
    <w:p w14:paraId="2835ED24" w14:textId="77777777" w:rsidR="00EE4068" w:rsidRPr="00D74025" w:rsidRDefault="00EE4068"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 </w:t>
      </w:r>
      <w:r w:rsidRPr="00D74025">
        <w:rPr>
          <w:rFonts w:ascii="Arial" w:hAnsi="Arial" w:cs="Arial"/>
          <w:color w:val="000000" w:themeColor="text1"/>
        </w:rPr>
        <w:t>Prepare the hood by ensuring it is clear and swabbing it with 70% alcohol.</w:t>
      </w:r>
    </w:p>
    <w:p w14:paraId="37D74BDB" w14:textId="77777777" w:rsidR="00EE4068" w:rsidRPr="00D74025" w:rsidRDefault="00EE4068"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2. </w:t>
      </w:r>
      <w:r w:rsidRPr="00D74025">
        <w:rPr>
          <w:rFonts w:ascii="Arial" w:hAnsi="Arial" w:cs="Arial"/>
          <w:color w:val="000000" w:themeColor="text1"/>
        </w:rPr>
        <w:t>Bring the reagents and materials necessary for the procedure, swab bottles with 70% alcohol, and place items required immediately in the hood.</w:t>
      </w:r>
    </w:p>
    <w:p w14:paraId="5985D8DD" w14:textId="77777777" w:rsidR="00EE4068" w:rsidRPr="00D74025" w:rsidRDefault="00EE4068"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3. </w:t>
      </w:r>
      <w:r w:rsidRPr="00D74025">
        <w:rPr>
          <w:rFonts w:ascii="Arial" w:hAnsi="Arial" w:cs="Arial"/>
          <w:color w:val="000000" w:themeColor="text1"/>
        </w:rPr>
        <w:t>Examine the culture carefully for signs of contamination or deterioration.</w:t>
      </w:r>
    </w:p>
    <w:p w14:paraId="7EDD7AFC" w14:textId="77777777" w:rsidR="00EE4068" w:rsidRPr="00D74025" w:rsidRDefault="00EE4068"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lastRenderedPageBreak/>
        <w:t xml:space="preserve">4. </w:t>
      </w:r>
      <w:r w:rsidRPr="00D74025">
        <w:rPr>
          <w:rFonts w:ascii="Arial" w:hAnsi="Arial" w:cs="Arial"/>
          <w:color w:val="000000" w:themeColor="text1"/>
        </w:rPr>
        <w:t xml:space="preserve">Check the previously described criteria—pH and cell density or concentration—and based on your knowledge of the behavior of the culture, decide </w:t>
      </w:r>
      <w:proofErr w:type="gramStart"/>
      <w:r w:rsidRPr="00D74025">
        <w:rPr>
          <w:rFonts w:ascii="Arial" w:hAnsi="Arial" w:cs="Arial"/>
          <w:color w:val="000000" w:themeColor="text1"/>
        </w:rPr>
        <w:t>whether or not</w:t>
      </w:r>
      <w:proofErr w:type="gramEnd"/>
      <w:r w:rsidRPr="00D74025">
        <w:rPr>
          <w:rFonts w:ascii="Arial" w:hAnsi="Arial" w:cs="Arial"/>
          <w:color w:val="000000" w:themeColor="text1"/>
        </w:rPr>
        <w:t xml:space="preserve"> to replace the medium. If feeding is required, proceed as follows.</w:t>
      </w:r>
    </w:p>
    <w:p w14:paraId="11C41A8C" w14:textId="77777777" w:rsidR="00EE4068" w:rsidRPr="00D74025" w:rsidRDefault="00EE4068"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5. </w:t>
      </w:r>
      <w:r w:rsidRPr="00D74025">
        <w:rPr>
          <w:rFonts w:ascii="Arial" w:hAnsi="Arial" w:cs="Arial"/>
          <w:color w:val="000000" w:themeColor="text1"/>
        </w:rPr>
        <w:t>Take the culture to the sterile work area.</w:t>
      </w:r>
    </w:p>
    <w:p w14:paraId="2B3B3039" w14:textId="77777777" w:rsidR="00EE4068" w:rsidRPr="00D74025" w:rsidRDefault="00EE4068"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6. </w:t>
      </w:r>
      <w:r w:rsidRPr="00D74025">
        <w:rPr>
          <w:rFonts w:ascii="Arial" w:hAnsi="Arial" w:cs="Arial"/>
          <w:color w:val="000000" w:themeColor="text1"/>
        </w:rPr>
        <w:t>Uncap the flask.</w:t>
      </w:r>
    </w:p>
    <w:p w14:paraId="18B5B980" w14:textId="77777777" w:rsidR="00EE4068" w:rsidRPr="00D74025" w:rsidRDefault="00EE4068"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7. </w:t>
      </w:r>
      <w:r w:rsidRPr="00D74025">
        <w:rPr>
          <w:rFonts w:ascii="Arial" w:hAnsi="Arial" w:cs="Arial"/>
          <w:color w:val="000000" w:themeColor="text1"/>
        </w:rPr>
        <w:t xml:space="preserve">Take a sterile pipette and insert it into a bulb or pipetting </w:t>
      </w:r>
      <w:proofErr w:type="gramStart"/>
      <w:r w:rsidRPr="00D74025">
        <w:rPr>
          <w:rFonts w:ascii="Arial" w:hAnsi="Arial" w:cs="Arial"/>
          <w:color w:val="000000" w:themeColor="text1"/>
        </w:rPr>
        <w:t>aid, or</w:t>
      </w:r>
      <w:proofErr w:type="gramEnd"/>
      <w:r w:rsidRPr="00D74025">
        <w:rPr>
          <w:rFonts w:ascii="Arial" w:hAnsi="Arial" w:cs="Arial"/>
          <w:color w:val="000000" w:themeColor="text1"/>
        </w:rPr>
        <w:t xml:space="preserve"> select an unplugged pipette and connect it to a vacuum line or pump.</w:t>
      </w:r>
    </w:p>
    <w:p w14:paraId="0E9A1F39" w14:textId="77777777" w:rsidR="00EE4068" w:rsidRPr="00D74025" w:rsidRDefault="00EE4068"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8. </w:t>
      </w:r>
      <w:r w:rsidRPr="00D74025">
        <w:rPr>
          <w:rFonts w:ascii="Arial" w:hAnsi="Arial" w:cs="Arial"/>
          <w:color w:val="000000" w:themeColor="text1"/>
        </w:rPr>
        <w:t xml:space="preserve">Withdraw the </w:t>
      </w:r>
      <w:proofErr w:type="gramStart"/>
      <w:r w:rsidRPr="00D74025">
        <w:rPr>
          <w:rFonts w:ascii="Arial" w:hAnsi="Arial" w:cs="Arial"/>
          <w:color w:val="000000" w:themeColor="text1"/>
        </w:rPr>
        <w:t>medium, and</w:t>
      </w:r>
      <w:proofErr w:type="gramEnd"/>
      <w:r w:rsidRPr="00D74025">
        <w:rPr>
          <w:rFonts w:ascii="Arial" w:hAnsi="Arial" w:cs="Arial"/>
          <w:color w:val="000000" w:themeColor="text1"/>
        </w:rPr>
        <w:t xml:space="preserve"> discard it into a waste beaker or aspirate the medium via a suction line.</w:t>
      </w:r>
    </w:p>
    <w:p w14:paraId="49AC7844" w14:textId="77777777" w:rsidR="00EE4068" w:rsidRPr="00D74025" w:rsidRDefault="00EE4068"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9. </w:t>
      </w:r>
      <w:r w:rsidRPr="00D74025">
        <w:rPr>
          <w:rFonts w:ascii="Arial" w:hAnsi="Arial" w:cs="Arial"/>
          <w:color w:val="000000" w:themeColor="text1"/>
        </w:rPr>
        <w:t>Discard the pipette.</w:t>
      </w:r>
    </w:p>
    <w:p w14:paraId="788EA922" w14:textId="77777777" w:rsidR="00EE4068" w:rsidRPr="00D74025" w:rsidRDefault="00EE4068"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10. </w:t>
      </w:r>
      <w:r w:rsidRPr="00D74025">
        <w:rPr>
          <w:rFonts w:ascii="Arial" w:hAnsi="Arial" w:cs="Arial"/>
          <w:color w:val="000000" w:themeColor="text1"/>
        </w:rPr>
        <w:t>Uncap the medium bottle.</w:t>
      </w:r>
    </w:p>
    <w:p w14:paraId="13FB74CA" w14:textId="77777777" w:rsidR="00EE4068" w:rsidRPr="00D74025" w:rsidRDefault="00EE4068"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11. </w:t>
      </w:r>
      <w:r w:rsidRPr="00D74025">
        <w:rPr>
          <w:rFonts w:ascii="Arial" w:hAnsi="Arial" w:cs="Arial"/>
          <w:color w:val="000000" w:themeColor="text1"/>
        </w:rPr>
        <w:t>Take a fresh pipette and add the same volume of fresh medium as was removed, prewarmed to 37</w:t>
      </w:r>
      <w:r w:rsidRPr="00D74025">
        <w:rPr>
          <w:rFonts w:ascii="Arial" w:eastAsia="MS Gothic" w:hAnsi="Arial" w:cs="Arial"/>
          <w:color w:val="000000" w:themeColor="text1"/>
        </w:rPr>
        <w:t>◦</w:t>
      </w:r>
      <w:r w:rsidRPr="00D74025">
        <w:rPr>
          <w:rFonts w:ascii="Arial" w:hAnsi="Arial" w:cs="Arial"/>
          <w:color w:val="000000" w:themeColor="text1"/>
        </w:rPr>
        <w:t xml:space="preserve">C if it is important that there be no check in cell </w:t>
      </w:r>
      <w:proofErr w:type="gramStart"/>
      <w:r w:rsidRPr="00D74025">
        <w:rPr>
          <w:rFonts w:ascii="Arial" w:hAnsi="Arial" w:cs="Arial"/>
          <w:color w:val="000000" w:themeColor="text1"/>
        </w:rPr>
        <w:t>growth, and</w:t>
      </w:r>
      <w:proofErr w:type="gramEnd"/>
      <w:r w:rsidRPr="00D74025">
        <w:rPr>
          <w:rFonts w:ascii="Arial" w:hAnsi="Arial" w:cs="Arial"/>
          <w:color w:val="000000" w:themeColor="text1"/>
        </w:rPr>
        <w:t xml:space="preserve"> recap the bottle.</w:t>
      </w:r>
    </w:p>
    <w:p w14:paraId="30BC318A" w14:textId="77777777" w:rsidR="00EE4068" w:rsidRPr="00D74025" w:rsidRDefault="00EE4068"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12. </w:t>
      </w:r>
      <w:r w:rsidRPr="00D74025">
        <w:rPr>
          <w:rFonts w:ascii="Arial" w:hAnsi="Arial" w:cs="Arial"/>
          <w:color w:val="000000" w:themeColor="text1"/>
        </w:rPr>
        <w:t>Discard the pipette.</w:t>
      </w:r>
    </w:p>
    <w:p w14:paraId="3EC551E6" w14:textId="77777777" w:rsidR="00EE4068" w:rsidRPr="00D74025" w:rsidRDefault="00EE4068" w:rsidP="00F6020C">
      <w:pPr>
        <w:autoSpaceDE w:val="0"/>
        <w:autoSpaceDN w:val="0"/>
        <w:adjustRightInd w:val="0"/>
        <w:spacing w:line="276" w:lineRule="auto"/>
        <w:rPr>
          <w:rFonts w:ascii="Arial" w:hAnsi="Arial" w:cs="Arial"/>
          <w:i/>
          <w:color w:val="000000" w:themeColor="text1"/>
        </w:rPr>
      </w:pPr>
      <w:r w:rsidRPr="00D74025">
        <w:rPr>
          <w:rFonts w:ascii="Arial" w:hAnsi="Arial" w:cs="Arial"/>
          <w:i/>
          <w:color w:val="000000" w:themeColor="text1"/>
        </w:rPr>
        <w:t>See the necessity of washing the plate with PBS.</w:t>
      </w:r>
    </w:p>
    <w:p w14:paraId="32E3CB6F" w14:textId="77777777" w:rsidR="00EE4068" w:rsidRPr="00D74025" w:rsidRDefault="00EE4068" w:rsidP="00F6020C">
      <w:pPr>
        <w:autoSpaceDE w:val="0"/>
        <w:autoSpaceDN w:val="0"/>
        <w:adjustRightInd w:val="0"/>
        <w:spacing w:line="276" w:lineRule="auto"/>
        <w:rPr>
          <w:rFonts w:ascii="Arial" w:hAnsi="Arial" w:cs="Arial"/>
          <w:i/>
          <w:color w:val="000000" w:themeColor="text1"/>
        </w:rPr>
      </w:pPr>
      <w:r w:rsidRPr="00D74025">
        <w:rPr>
          <w:rFonts w:ascii="Arial" w:hAnsi="Arial" w:cs="Arial"/>
          <w:i/>
          <w:color w:val="000000" w:themeColor="text1"/>
        </w:rPr>
        <w:t>For the 15 cm</w:t>
      </w:r>
      <w:r w:rsidRPr="00D74025">
        <w:rPr>
          <w:rFonts w:ascii="Arial" w:hAnsi="Arial" w:cs="Arial"/>
          <w:i/>
          <w:color w:val="000000" w:themeColor="text1"/>
          <w:vertAlign w:val="superscript"/>
        </w:rPr>
        <w:t xml:space="preserve">2 </w:t>
      </w:r>
      <w:r w:rsidRPr="00D74025">
        <w:rPr>
          <w:rFonts w:ascii="Arial" w:hAnsi="Arial" w:cs="Arial"/>
          <w:i/>
          <w:color w:val="000000" w:themeColor="text1"/>
        </w:rPr>
        <w:t>flask, use 10-15 mL of media.</w:t>
      </w:r>
    </w:p>
    <w:p w14:paraId="680023DC" w14:textId="77777777" w:rsidR="00EE4068" w:rsidRPr="00D74025" w:rsidRDefault="00EE4068"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13. </w:t>
      </w:r>
      <w:r w:rsidRPr="00D74025">
        <w:rPr>
          <w:rFonts w:ascii="Arial" w:hAnsi="Arial" w:cs="Arial"/>
          <w:color w:val="000000" w:themeColor="text1"/>
        </w:rPr>
        <w:t>Recap the flask and the medium bottle.</w:t>
      </w:r>
    </w:p>
    <w:p w14:paraId="686C9426" w14:textId="77777777" w:rsidR="00EE4068" w:rsidRPr="00D74025" w:rsidRDefault="00EE4068" w:rsidP="00F6020C">
      <w:pPr>
        <w:autoSpaceDE w:val="0"/>
        <w:autoSpaceDN w:val="0"/>
        <w:adjustRightInd w:val="0"/>
        <w:spacing w:line="276" w:lineRule="auto"/>
        <w:rPr>
          <w:rFonts w:ascii="Arial" w:hAnsi="Arial" w:cs="Arial"/>
          <w:color w:val="000000" w:themeColor="text1"/>
        </w:rPr>
      </w:pPr>
      <w:r w:rsidRPr="00D74025">
        <w:rPr>
          <w:rFonts w:ascii="Arial" w:hAnsi="Arial" w:cs="Arial"/>
          <w:b/>
          <w:bCs/>
          <w:i/>
          <w:iCs/>
          <w:color w:val="000000" w:themeColor="text1"/>
        </w:rPr>
        <w:t xml:space="preserve">Note. </w:t>
      </w:r>
      <w:r w:rsidRPr="00D74025">
        <w:rPr>
          <w:rFonts w:ascii="Arial" w:hAnsi="Arial" w:cs="Arial"/>
          <w:color w:val="000000" w:themeColor="text1"/>
        </w:rPr>
        <w:t>If the culture is maintained under 5% CO</w:t>
      </w:r>
      <w:r w:rsidRPr="00BA50E2">
        <w:rPr>
          <w:rFonts w:ascii="Arial" w:hAnsi="Arial" w:cs="Arial"/>
          <w:color w:val="000000" w:themeColor="text1"/>
          <w:vertAlign w:val="subscript"/>
        </w:rPr>
        <w:t>2</w:t>
      </w:r>
      <w:r w:rsidRPr="00D74025">
        <w:rPr>
          <w:rFonts w:ascii="Arial" w:hAnsi="Arial" w:cs="Arial"/>
          <w:color w:val="000000" w:themeColor="text1"/>
        </w:rPr>
        <w:t xml:space="preserve"> use a permeable cap for a CO2 incubator or gas the air space in the flask with 5% CO2 for around 10 s before recapping for regular incubators or hot room.</w:t>
      </w:r>
    </w:p>
    <w:p w14:paraId="287C5EDB" w14:textId="77777777" w:rsidR="00EE4068" w:rsidRPr="00D74025" w:rsidRDefault="00EE4068"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14. </w:t>
      </w:r>
      <w:r w:rsidRPr="00D74025">
        <w:rPr>
          <w:rFonts w:ascii="Arial" w:hAnsi="Arial" w:cs="Arial"/>
          <w:color w:val="000000" w:themeColor="text1"/>
        </w:rPr>
        <w:t>Return the culture to the incubator (CO</w:t>
      </w:r>
      <w:r w:rsidRPr="00BA50E2">
        <w:rPr>
          <w:rFonts w:ascii="Arial" w:hAnsi="Arial" w:cs="Arial"/>
          <w:color w:val="000000" w:themeColor="text1"/>
          <w:vertAlign w:val="subscript"/>
        </w:rPr>
        <w:t>2</w:t>
      </w:r>
      <w:r w:rsidRPr="00D74025">
        <w:rPr>
          <w:rFonts w:ascii="Arial" w:hAnsi="Arial" w:cs="Arial"/>
          <w:color w:val="000000" w:themeColor="text1"/>
        </w:rPr>
        <w:t xml:space="preserve"> or not as appropriate).</w:t>
      </w:r>
    </w:p>
    <w:p w14:paraId="464FC45C" w14:textId="77777777" w:rsidR="00EE4068" w:rsidRPr="00D74025" w:rsidRDefault="00EE4068"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15. </w:t>
      </w:r>
      <w:r w:rsidRPr="00D74025">
        <w:rPr>
          <w:rFonts w:ascii="Arial" w:hAnsi="Arial" w:cs="Arial"/>
          <w:color w:val="000000" w:themeColor="text1"/>
        </w:rPr>
        <w:t>Complete the record of observations and feeding on a record sheet or lab book.</w:t>
      </w:r>
    </w:p>
    <w:p w14:paraId="7D2CDE3A" w14:textId="77777777" w:rsidR="00EE4068" w:rsidRPr="00D74025" w:rsidRDefault="00EE4068"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16. </w:t>
      </w:r>
      <w:r w:rsidRPr="00D74025">
        <w:rPr>
          <w:rFonts w:ascii="Arial" w:hAnsi="Arial" w:cs="Arial"/>
          <w:color w:val="000000" w:themeColor="text1"/>
        </w:rPr>
        <w:t>Clear away all pipettes, glassware, and other movable items, and swab down the work surface</w:t>
      </w:r>
    </w:p>
    <w:p w14:paraId="44F7280C" w14:textId="77777777" w:rsidR="00EE4068" w:rsidRPr="00D74025" w:rsidRDefault="00EE4068" w:rsidP="00F6020C">
      <w:pPr>
        <w:spacing w:line="276" w:lineRule="auto"/>
        <w:rPr>
          <w:rFonts w:ascii="Arial" w:hAnsi="Arial" w:cs="Arial"/>
          <w:color w:val="000000" w:themeColor="text1"/>
        </w:rPr>
      </w:pPr>
    </w:p>
    <w:p w14:paraId="2F0BDF62" w14:textId="758575E2" w:rsidR="005A35DF" w:rsidRPr="00D74025" w:rsidRDefault="005A35DF" w:rsidP="00F6020C">
      <w:pPr>
        <w:spacing w:line="276" w:lineRule="auto"/>
        <w:rPr>
          <w:rFonts w:ascii="Arial" w:hAnsi="Arial" w:cs="Arial"/>
          <w:color w:val="000000" w:themeColor="text1"/>
        </w:rPr>
      </w:pPr>
    </w:p>
    <w:p w14:paraId="1C0863A7" w14:textId="08E3BD96" w:rsidR="005A35DF" w:rsidRPr="00D74025" w:rsidRDefault="005A35DF" w:rsidP="00F6020C">
      <w:pPr>
        <w:spacing w:line="276" w:lineRule="auto"/>
        <w:rPr>
          <w:rFonts w:ascii="Arial" w:hAnsi="Arial" w:cs="Arial"/>
          <w:color w:val="000000" w:themeColor="text1"/>
        </w:rPr>
      </w:pPr>
    </w:p>
    <w:p w14:paraId="23ECD4A6" w14:textId="1A80B6E2" w:rsidR="005A35DF" w:rsidRPr="00507014" w:rsidRDefault="00877E0E" w:rsidP="00507014">
      <w:pPr>
        <w:pStyle w:val="Heading2"/>
        <w:spacing w:line="276" w:lineRule="auto"/>
        <w:ind w:firstLine="0"/>
        <w:rPr>
          <w:rFonts w:ascii="Arial" w:hAnsi="Arial" w:cs="Arial"/>
          <w:b/>
          <w:bCs/>
          <w:color w:val="000000" w:themeColor="text1"/>
          <w:sz w:val="24"/>
          <w:szCs w:val="24"/>
          <w:u w:val="single"/>
        </w:rPr>
      </w:pPr>
      <w:bookmarkStart w:id="215" w:name="_Toc121217306"/>
      <w:r w:rsidRPr="00507014">
        <w:rPr>
          <w:rFonts w:ascii="Arial" w:hAnsi="Arial" w:cs="Arial"/>
          <w:b/>
          <w:bCs/>
          <w:color w:val="000000" w:themeColor="text1"/>
          <w:sz w:val="24"/>
          <w:szCs w:val="24"/>
          <w:u w:val="single"/>
        </w:rPr>
        <w:t>C</w:t>
      </w:r>
      <w:r w:rsidR="00D66ABE" w:rsidRPr="00507014">
        <w:rPr>
          <w:rFonts w:ascii="Arial" w:hAnsi="Arial" w:cs="Arial"/>
          <w:b/>
          <w:bCs/>
          <w:color w:val="000000" w:themeColor="text1"/>
          <w:sz w:val="24"/>
          <w:szCs w:val="24"/>
          <w:u w:val="single"/>
        </w:rPr>
        <w:t>3</w:t>
      </w:r>
      <w:r w:rsidRPr="00507014">
        <w:rPr>
          <w:rFonts w:ascii="Arial" w:hAnsi="Arial" w:cs="Arial"/>
          <w:b/>
          <w:bCs/>
          <w:color w:val="000000" w:themeColor="text1"/>
          <w:sz w:val="24"/>
          <w:szCs w:val="24"/>
          <w:u w:val="single"/>
        </w:rPr>
        <w:t xml:space="preserve">. Subculture of </w:t>
      </w:r>
      <w:r w:rsidR="00B86DA1">
        <w:rPr>
          <w:rFonts w:ascii="Arial" w:hAnsi="Arial" w:cs="Arial"/>
          <w:b/>
          <w:bCs/>
          <w:color w:val="000000" w:themeColor="text1"/>
          <w:sz w:val="24"/>
          <w:szCs w:val="24"/>
          <w:u w:val="single"/>
        </w:rPr>
        <w:t>m</w:t>
      </w:r>
      <w:r w:rsidRPr="00507014">
        <w:rPr>
          <w:rFonts w:ascii="Arial" w:hAnsi="Arial" w:cs="Arial"/>
          <w:b/>
          <w:bCs/>
          <w:color w:val="000000" w:themeColor="text1"/>
          <w:sz w:val="24"/>
          <w:szCs w:val="24"/>
          <w:u w:val="single"/>
        </w:rPr>
        <w:t>onolayer cells</w:t>
      </w:r>
      <w:bookmarkEnd w:id="215"/>
    </w:p>
    <w:p w14:paraId="60735CC7" w14:textId="44BB34C1" w:rsidR="00877E0E" w:rsidRPr="00D74025" w:rsidRDefault="00877E0E" w:rsidP="00F6020C">
      <w:pPr>
        <w:spacing w:line="276" w:lineRule="auto"/>
        <w:rPr>
          <w:rFonts w:ascii="Arial" w:hAnsi="Arial" w:cs="Arial"/>
          <w:color w:val="000000" w:themeColor="text1"/>
        </w:rPr>
      </w:pPr>
    </w:p>
    <w:p w14:paraId="25FB9BCE" w14:textId="77777777" w:rsidR="00877E0E" w:rsidRPr="00D74025" w:rsidRDefault="00877E0E" w:rsidP="00F6020C">
      <w:pPr>
        <w:autoSpaceDE w:val="0"/>
        <w:autoSpaceDN w:val="0"/>
        <w:adjustRightInd w:val="0"/>
        <w:spacing w:line="276" w:lineRule="auto"/>
        <w:rPr>
          <w:rFonts w:ascii="Arial" w:hAnsi="Arial" w:cs="Arial"/>
          <w:b/>
          <w:bCs/>
          <w:color w:val="000000" w:themeColor="text1"/>
        </w:rPr>
      </w:pPr>
      <w:r w:rsidRPr="00D74025">
        <w:rPr>
          <w:rFonts w:ascii="Arial" w:hAnsi="Arial" w:cs="Arial"/>
          <w:b/>
          <w:bCs/>
          <w:color w:val="000000" w:themeColor="text1"/>
        </w:rPr>
        <w:t>Materials</w:t>
      </w:r>
    </w:p>
    <w:p w14:paraId="4094F1B9"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Sterile:</w:t>
      </w:r>
    </w:p>
    <w:p w14:paraId="2D0A0F6A"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_ Monolayer culture at late log phase (just reaching confluence)</w:t>
      </w:r>
    </w:p>
    <w:p w14:paraId="75FE1ABD"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_ Growth medium</w:t>
      </w:r>
    </w:p>
    <w:p w14:paraId="3E1FAEE5" w14:textId="224432DA"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_ Trypsin, 0.25% at 4</w:t>
      </w:r>
      <w:r w:rsidRPr="00D74025">
        <w:rPr>
          <w:rFonts w:ascii="Arial" w:eastAsia="MS Gothic" w:hAnsi="Arial" w:cs="Arial"/>
          <w:color w:val="000000" w:themeColor="text1"/>
        </w:rPr>
        <w:t>◦</w:t>
      </w:r>
      <w:r w:rsidRPr="00D74025">
        <w:rPr>
          <w:rFonts w:ascii="Arial" w:hAnsi="Arial" w:cs="Arial"/>
          <w:color w:val="000000" w:themeColor="text1"/>
        </w:rPr>
        <w:t>C</w:t>
      </w:r>
      <w:r w:rsidR="00BF1E52">
        <w:rPr>
          <w:rFonts w:ascii="Arial" w:hAnsi="Arial" w:cs="Arial"/>
          <w:color w:val="000000" w:themeColor="text1"/>
        </w:rPr>
        <w:t xml:space="preserve"> </w:t>
      </w:r>
      <w:r w:rsidRPr="00D74025">
        <w:rPr>
          <w:rFonts w:ascii="Arial" w:hAnsi="Arial" w:cs="Arial"/>
          <w:color w:val="000000" w:themeColor="text1"/>
        </w:rPr>
        <w:t>with 1 mM EDTA</w:t>
      </w:r>
    </w:p>
    <w:p w14:paraId="60856872" w14:textId="371773ED"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_ Pipettes, graduated, and plugged in an assortment of sizes, 1, 5, 10, 25 mL, in a square pipette can</w:t>
      </w:r>
    </w:p>
    <w:p w14:paraId="7904D4C6"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_ Unplugged pipettes for aspirating medium if pump or vacuum line is available</w:t>
      </w:r>
    </w:p>
    <w:p w14:paraId="49639755"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_ Universal containers or 50-mL centrifuge tubes</w:t>
      </w:r>
    </w:p>
    <w:p w14:paraId="0CB164D5"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lastRenderedPageBreak/>
        <w:t xml:space="preserve">_ Culture flasks </w:t>
      </w:r>
    </w:p>
    <w:p w14:paraId="0C7607C3" w14:textId="77777777" w:rsidR="00877E0E" w:rsidRPr="00D74025" w:rsidRDefault="00877E0E" w:rsidP="00F6020C">
      <w:pPr>
        <w:autoSpaceDE w:val="0"/>
        <w:autoSpaceDN w:val="0"/>
        <w:adjustRightInd w:val="0"/>
        <w:spacing w:line="276" w:lineRule="auto"/>
        <w:rPr>
          <w:rFonts w:ascii="Arial" w:hAnsi="Arial" w:cs="Arial"/>
          <w:color w:val="000000" w:themeColor="text1"/>
        </w:rPr>
      </w:pPr>
    </w:p>
    <w:p w14:paraId="27148926"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Nonsterile:</w:t>
      </w:r>
    </w:p>
    <w:p w14:paraId="59DE5151" w14:textId="19C71AAD" w:rsidR="00877E0E" w:rsidRPr="00D74025" w:rsidRDefault="00877E0E" w:rsidP="00F6020C">
      <w:pPr>
        <w:spacing w:line="276" w:lineRule="auto"/>
        <w:rPr>
          <w:rFonts w:ascii="Arial" w:hAnsi="Arial" w:cs="Arial"/>
          <w:color w:val="000000" w:themeColor="text1"/>
        </w:rPr>
      </w:pPr>
      <w:r w:rsidRPr="00D74025">
        <w:rPr>
          <w:rFonts w:ascii="Arial" w:hAnsi="Arial" w:cs="Arial"/>
          <w:color w:val="000000" w:themeColor="text1"/>
        </w:rPr>
        <w:t xml:space="preserve">_ Pipette controller or bulb </w:t>
      </w:r>
    </w:p>
    <w:p w14:paraId="40E27A73" w14:textId="06570E95"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 xml:space="preserve">_ Waste beaker or tubing to receiver connected to vacuum line or to receiver via peristaltic pump </w:t>
      </w:r>
    </w:p>
    <w:p w14:paraId="4B806871"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_ Alcohol, 70%, in spray bottle</w:t>
      </w:r>
    </w:p>
    <w:p w14:paraId="183388A7"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_ Lint-free swabs or wipes</w:t>
      </w:r>
    </w:p>
    <w:p w14:paraId="0C0E1ABB"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_ Absorbent paper tissues</w:t>
      </w:r>
    </w:p>
    <w:p w14:paraId="142423EB" w14:textId="54D7124A"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 xml:space="preserve">_ Pipette cylinder or jar containing water and disinfectant </w:t>
      </w:r>
    </w:p>
    <w:p w14:paraId="4982B9C0"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_ Marker pen with alcohol-insoluble ink</w:t>
      </w:r>
    </w:p>
    <w:p w14:paraId="371CCA40"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_ Notebook, pen, protocols</w:t>
      </w:r>
    </w:p>
    <w:p w14:paraId="6687C85F"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_ Hemocytometer or electronic cell counter</w:t>
      </w:r>
    </w:p>
    <w:p w14:paraId="021EDD86" w14:textId="77777777" w:rsidR="00877E0E" w:rsidRPr="00D74025" w:rsidRDefault="00877E0E" w:rsidP="00F6020C">
      <w:pPr>
        <w:spacing w:line="276" w:lineRule="auto"/>
        <w:rPr>
          <w:rFonts w:ascii="Arial" w:hAnsi="Arial" w:cs="Arial"/>
          <w:color w:val="000000" w:themeColor="text1"/>
        </w:rPr>
      </w:pPr>
    </w:p>
    <w:p w14:paraId="75251E91" w14:textId="77777777" w:rsidR="00877E0E" w:rsidRPr="00D74025" w:rsidRDefault="00877E0E" w:rsidP="00F6020C">
      <w:pPr>
        <w:autoSpaceDE w:val="0"/>
        <w:autoSpaceDN w:val="0"/>
        <w:adjustRightInd w:val="0"/>
        <w:spacing w:line="276" w:lineRule="auto"/>
        <w:rPr>
          <w:rFonts w:ascii="Arial" w:hAnsi="Arial" w:cs="Arial"/>
          <w:b/>
          <w:bCs/>
          <w:color w:val="000000" w:themeColor="text1"/>
        </w:rPr>
      </w:pPr>
      <w:r w:rsidRPr="00D74025">
        <w:rPr>
          <w:rFonts w:ascii="Arial" w:hAnsi="Arial" w:cs="Arial"/>
          <w:b/>
          <w:bCs/>
          <w:color w:val="000000" w:themeColor="text1"/>
        </w:rPr>
        <w:t>Procedure</w:t>
      </w:r>
    </w:p>
    <w:p w14:paraId="2C12860F" w14:textId="59E58882"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 </w:t>
      </w:r>
      <w:r w:rsidRPr="00D74025">
        <w:rPr>
          <w:rFonts w:ascii="Arial" w:hAnsi="Arial" w:cs="Arial"/>
          <w:color w:val="000000" w:themeColor="text1"/>
        </w:rPr>
        <w:t xml:space="preserve">Prepare the hood, and bring the reagents and materials to the hood </w:t>
      </w:r>
    </w:p>
    <w:p w14:paraId="5DADAEB6" w14:textId="55B2C515"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2. </w:t>
      </w:r>
      <w:r w:rsidRPr="00D74025">
        <w:rPr>
          <w:rFonts w:ascii="Arial" w:hAnsi="Arial" w:cs="Arial"/>
          <w:color w:val="000000" w:themeColor="text1"/>
        </w:rPr>
        <w:t xml:space="preserve">Examine the cultures carefully for signs of deterioration or contamination </w:t>
      </w:r>
    </w:p>
    <w:p w14:paraId="6B145DF9" w14:textId="5AE49D52"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3. </w:t>
      </w:r>
      <w:r w:rsidRPr="00D74025">
        <w:rPr>
          <w:rFonts w:ascii="Arial" w:hAnsi="Arial" w:cs="Arial"/>
          <w:color w:val="000000" w:themeColor="text1"/>
        </w:rPr>
        <w:t>Check the criteria</w:t>
      </w:r>
      <w:r w:rsidR="008B4C43">
        <w:rPr>
          <w:rFonts w:ascii="Arial" w:hAnsi="Arial" w:cs="Arial"/>
          <w:color w:val="000000" w:themeColor="text1"/>
        </w:rPr>
        <w:t xml:space="preserve"> </w:t>
      </w:r>
      <w:r w:rsidRPr="00D74025">
        <w:rPr>
          <w:rFonts w:ascii="Arial" w:hAnsi="Arial" w:cs="Arial"/>
          <w:color w:val="000000" w:themeColor="text1"/>
        </w:rPr>
        <w:t xml:space="preserve">and based on your knowledge of the behavior of the culture, decide </w:t>
      </w:r>
      <w:proofErr w:type="gramStart"/>
      <w:r w:rsidRPr="00D74025">
        <w:rPr>
          <w:rFonts w:ascii="Arial" w:hAnsi="Arial" w:cs="Arial"/>
          <w:color w:val="000000" w:themeColor="text1"/>
        </w:rPr>
        <w:t>whether or not</w:t>
      </w:r>
      <w:proofErr w:type="gramEnd"/>
      <w:r w:rsidRPr="00D74025">
        <w:rPr>
          <w:rFonts w:ascii="Arial" w:hAnsi="Arial" w:cs="Arial"/>
          <w:color w:val="000000" w:themeColor="text1"/>
        </w:rPr>
        <w:t xml:space="preserve"> to subculture. If subculture is required, proceed as follows.</w:t>
      </w:r>
    </w:p>
    <w:p w14:paraId="0765FBD7"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4. </w:t>
      </w:r>
      <w:r w:rsidRPr="00D74025">
        <w:rPr>
          <w:rFonts w:ascii="Arial" w:hAnsi="Arial" w:cs="Arial"/>
          <w:color w:val="000000" w:themeColor="text1"/>
        </w:rPr>
        <w:t xml:space="preserve">Take the culture flasks to a sterile work </w:t>
      </w:r>
      <w:proofErr w:type="gramStart"/>
      <w:r w:rsidRPr="00D74025">
        <w:rPr>
          <w:rFonts w:ascii="Arial" w:hAnsi="Arial" w:cs="Arial"/>
          <w:color w:val="000000" w:themeColor="text1"/>
        </w:rPr>
        <w:t>area, and</w:t>
      </w:r>
      <w:proofErr w:type="gramEnd"/>
      <w:r w:rsidRPr="00D74025">
        <w:rPr>
          <w:rFonts w:ascii="Arial" w:hAnsi="Arial" w:cs="Arial"/>
          <w:color w:val="000000" w:themeColor="text1"/>
        </w:rPr>
        <w:t xml:space="preserve"> remove and discard the medium (see Protocol 12.1, steps 7–9). Handle each cell line separately, repeating this procedure from this step for each cell line handled.</w:t>
      </w:r>
    </w:p>
    <w:p w14:paraId="6E7B2D9C" w14:textId="455D9E72"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5. </w:t>
      </w:r>
      <w:r w:rsidRPr="00D74025">
        <w:rPr>
          <w:rFonts w:ascii="Arial" w:hAnsi="Arial" w:cs="Arial"/>
          <w:color w:val="000000" w:themeColor="text1"/>
        </w:rPr>
        <w:t xml:space="preserve">Add </w:t>
      </w:r>
      <w:r w:rsidR="008B4C43">
        <w:rPr>
          <w:rFonts w:ascii="Arial" w:hAnsi="Arial" w:cs="Arial"/>
          <w:color w:val="000000" w:themeColor="text1"/>
        </w:rPr>
        <w:t>PBS</w:t>
      </w:r>
      <w:r w:rsidRPr="00D74025">
        <w:rPr>
          <w:rFonts w:ascii="Arial" w:hAnsi="Arial" w:cs="Arial"/>
          <w:color w:val="000000" w:themeColor="text1"/>
        </w:rPr>
        <w:t xml:space="preserve"> to the side of the flasks opposite the cells </w:t>
      </w:r>
      <w:proofErr w:type="gramStart"/>
      <w:r w:rsidRPr="00D74025">
        <w:rPr>
          <w:rFonts w:ascii="Arial" w:hAnsi="Arial" w:cs="Arial"/>
          <w:color w:val="000000" w:themeColor="text1"/>
        </w:rPr>
        <w:t>so as to</w:t>
      </w:r>
      <w:proofErr w:type="gramEnd"/>
      <w:r w:rsidRPr="00D74025">
        <w:rPr>
          <w:rFonts w:ascii="Arial" w:hAnsi="Arial" w:cs="Arial"/>
          <w:color w:val="000000" w:themeColor="text1"/>
        </w:rPr>
        <w:t xml:space="preserve"> avoid dislodging cells, rinse the prewash over the cells, and remove by pipette. This step is designed to remove traces of serum that would inhibit the action of the trypsin and deplete the divalent cations, which contribute to cell adhesion.</w:t>
      </w:r>
    </w:p>
    <w:p w14:paraId="0691B6F5" w14:textId="79442075"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6. </w:t>
      </w:r>
      <w:r w:rsidRPr="00D74025">
        <w:rPr>
          <w:rFonts w:ascii="Arial" w:hAnsi="Arial" w:cs="Arial"/>
          <w:color w:val="000000" w:themeColor="text1"/>
        </w:rPr>
        <w:t>Add trypsin to the side of the flasks opposite the cells. Turn the flasks over and lay them down. Ensure that the monolayer is completely covered. Leave the flasks stationary for 15 to 30 s. (A shorter exposure may be necessary if the trypsin is at room temperature.)</w:t>
      </w:r>
    </w:p>
    <w:p w14:paraId="1F247D18"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7. </w:t>
      </w:r>
      <w:r w:rsidRPr="00D74025">
        <w:rPr>
          <w:rFonts w:ascii="Arial" w:hAnsi="Arial" w:cs="Arial"/>
          <w:color w:val="000000" w:themeColor="text1"/>
        </w:rPr>
        <w:t>Tilt the flasks to remove the trypsin from the monolayer and quickly check that the monolayer is not detaching. Using trypsin at 4</w:t>
      </w:r>
      <w:r w:rsidRPr="00D74025">
        <w:rPr>
          <w:rFonts w:ascii="Arial" w:eastAsia="MS Gothic" w:hAnsi="Arial" w:cs="Arial"/>
          <w:color w:val="000000" w:themeColor="text1"/>
        </w:rPr>
        <w:t>◦</w:t>
      </w:r>
      <w:r w:rsidRPr="00D74025">
        <w:rPr>
          <w:rFonts w:ascii="Arial" w:hAnsi="Arial" w:cs="Arial"/>
          <w:color w:val="000000" w:themeColor="text1"/>
        </w:rPr>
        <w:t xml:space="preserve">C helps to prevent premature </w:t>
      </w:r>
      <w:proofErr w:type="gramStart"/>
      <w:r w:rsidRPr="00D74025">
        <w:rPr>
          <w:rFonts w:ascii="Arial" w:hAnsi="Arial" w:cs="Arial"/>
          <w:color w:val="000000" w:themeColor="text1"/>
        </w:rPr>
        <w:t>detachment, if</w:t>
      </w:r>
      <w:proofErr w:type="gramEnd"/>
      <w:r w:rsidRPr="00D74025">
        <w:rPr>
          <w:rFonts w:ascii="Arial" w:hAnsi="Arial" w:cs="Arial"/>
          <w:color w:val="000000" w:themeColor="text1"/>
        </w:rPr>
        <w:t xml:space="preserve"> this turns out to be a problem.</w:t>
      </w:r>
    </w:p>
    <w:p w14:paraId="55DFBC03"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8. </w:t>
      </w:r>
      <w:r w:rsidRPr="00D74025">
        <w:rPr>
          <w:rFonts w:ascii="Arial" w:hAnsi="Arial" w:cs="Arial"/>
          <w:color w:val="000000" w:themeColor="text1"/>
        </w:rPr>
        <w:t>Withdraw all but a few drops of the trypsin.</w:t>
      </w:r>
    </w:p>
    <w:p w14:paraId="033CA512" w14:textId="459E28A2"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9. </w:t>
      </w:r>
      <w:r w:rsidRPr="00D74025">
        <w:rPr>
          <w:rFonts w:ascii="Arial" w:hAnsi="Arial" w:cs="Arial"/>
          <w:color w:val="000000" w:themeColor="text1"/>
        </w:rPr>
        <w:t>Incubate, with the flasks lying flat, until the cells round up; now when the bottle is tilted, the monolayer should slide down the surface. (This usually occurs after 5–15 min at 37</w:t>
      </w:r>
      <w:r w:rsidRPr="00D74025">
        <w:rPr>
          <w:rFonts w:ascii="Arial" w:eastAsia="MS Gothic" w:hAnsi="Arial" w:cs="Arial"/>
          <w:color w:val="000000" w:themeColor="text1"/>
        </w:rPr>
        <w:t>◦</w:t>
      </w:r>
      <w:r w:rsidRPr="00D74025">
        <w:rPr>
          <w:rFonts w:ascii="Arial" w:hAnsi="Arial" w:cs="Arial"/>
          <w:color w:val="000000" w:themeColor="text1"/>
        </w:rPr>
        <w:t>C.) Do not leave the flasks longer than necessary, but do not force the cells to detach before they are ready to do so, or else clumping may result.</w:t>
      </w:r>
    </w:p>
    <w:p w14:paraId="48955F2F" w14:textId="2480F2B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b/>
          <w:bCs/>
          <w:i/>
          <w:iCs/>
          <w:color w:val="000000" w:themeColor="text1"/>
        </w:rPr>
        <w:t xml:space="preserve">Note. </w:t>
      </w:r>
      <w:r w:rsidRPr="00D74025">
        <w:rPr>
          <w:rFonts w:ascii="Arial" w:hAnsi="Arial" w:cs="Arial"/>
          <w:color w:val="000000" w:themeColor="text1"/>
        </w:rPr>
        <w:t>In each case the</w:t>
      </w:r>
      <w:r w:rsidR="00E9574D">
        <w:rPr>
          <w:rFonts w:ascii="Arial" w:hAnsi="Arial" w:cs="Arial"/>
          <w:color w:val="000000" w:themeColor="text1"/>
        </w:rPr>
        <w:t xml:space="preserve"> </w:t>
      </w:r>
      <w:r w:rsidRPr="00D74025">
        <w:rPr>
          <w:rFonts w:ascii="Arial" w:hAnsi="Arial" w:cs="Arial"/>
          <w:color w:val="000000" w:themeColor="text1"/>
        </w:rPr>
        <w:t xml:space="preserve">main dissociating agent, be it trypsin or EDTA, is present only briefly, and the incubation is performed in the residue after most of the dissociating </w:t>
      </w:r>
      <w:r w:rsidRPr="00D74025">
        <w:rPr>
          <w:rFonts w:ascii="Arial" w:hAnsi="Arial" w:cs="Arial"/>
          <w:color w:val="000000" w:themeColor="text1"/>
        </w:rPr>
        <w:lastRenderedPageBreak/>
        <w:t>agent has been removed. If you encounter difficulty in getting cells to detach and, subsequently, in preparing a single-cell suspension, you may employ alternative procedures</w:t>
      </w:r>
      <w:r w:rsidR="00E9574D">
        <w:rPr>
          <w:rFonts w:ascii="Arial" w:hAnsi="Arial" w:cs="Arial"/>
          <w:color w:val="000000" w:themeColor="text1"/>
        </w:rPr>
        <w:t>.</w:t>
      </w:r>
    </w:p>
    <w:p w14:paraId="25715808"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10. </w:t>
      </w:r>
      <w:r w:rsidRPr="00D74025">
        <w:rPr>
          <w:rFonts w:ascii="Arial" w:hAnsi="Arial" w:cs="Arial"/>
          <w:color w:val="000000" w:themeColor="text1"/>
        </w:rPr>
        <w:t>Add medium (0.1–0.2 mL/cm2</w:t>
      </w:r>
      <w:proofErr w:type="gramStart"/>
      <w:r w:rsidRPr="00D74025">
        <w:rPr>
          <w:rFonts w:ascii="Arial" w:hAnsi="Arial" w:cs="Arial"/>
          <w:color w:val="000000" w:themeColor="text1"/>
        </w:rPr>
        <w:t>), and</w:t>
      </w:r>
      <w:proofErr w:type="gramEnd"/>
      <w:r w:rsidRPr="00D74025">
        <w:rPr>
          <w:rFonts w:ascii="Arial" w:hAnsi="Arial" w:cs="Arial"/>
          <w:color w:val="000000" w:themeColor="text1"/>
        </w:rPr>
        <w:t xml:space="preserve"> disperse the cells by repeated pipetting over the surface bearing the monolayer.</w:t>
      </w:r>
    </w:p>
    <w:p w14:paraId="084B001A" w14:textId="30B9C6F2"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11. </w:t>
      </w:r>
      <w:r w:rsidRPr="00D74025">
        <w:rPr>
          <w:rFonts w:ascii="Arial" w:hAnsi="Arial" w:cs="Arial"/>
          <w:color w:val="000000" w:themeColor="text1"/>
        </w:rPr>
        <w:t xml:space="preserve">Finally, pipette the cell suspension up and down a few times, with the tip of the pipette resting on the bottom corner of the bottle, taking care not to create foam. The degree of pipetting required will vary from one cell line to another; some cell lines disperse easily, whereas others require vigorous pipetting </w:t>
      </w:r>
      <w:proofErr w:type="gramStart"/>
      <w:r w:rsidRPr="00D74025">
        <w:rPr>
          <w:rFonts w:ascii="Arial" w:hAnsi="Arial" w:cs="Arial"/>
          <w:color w:val="000000" w:themeColor="text1"/>
        </w:rPr>
        <w:t>in order to</w:t>
      </w:r>
      <w:proofErr w:type="gramEnd"/>
      <w:r w:rsidRPr="00D74025">
        <w:rPr>
          <w:rFonts w:ascii="Arial" w:hAnsi="Arial" w:cs="Arial"/>
          <w:color w:val="000000" w:themeColor="text1"/>
        </w:rPr>
        <w:t xml:space="preserve"> disperse them. Almost all cells incur mechanical damage from shearing forces if pipetted too vigorously. Primary suspensions and early-passage cultures are particularly prone to damage, partly because of their greater fragility and partly because of their larger size, but continuous cell lines are usually more resilient and require vigorous pipetting for complete disaggregation. Pipette the suspension up and down sufficiently to disperse the cells into a single-cell suspension. If this step is difficult, apply a more aggressive dissociating agent or DNase</w:t>
      </w:r>
      <w:r w:rsidR="00284F0A">
        <w:rPr>
          <w:rFonts w:ascii="Arial" w:hAnsi="Arial" w:cs="Arial"/>
          <w:color w:val="000000" w:themeColor="text1"/>
        </w:rPr>
        <w:t>.</w:t>
      </w:r>
    </w:p>
    <w:p w14:paraId="404FAD14"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b/>
          <w:bCs/>
          <w:i/>
          <w:iCs/>
          <w:color w:val="000000" w:themeColor="text1"/>
        </w:rPr>
        <w:t xml:space="preserve">Note. </w:t>
      </w:r>
      <w:r w:rsidRPr="00D74025">
        <w:rPr>
          <w:rFonts w:ascii="Arial" w:hAnsi="Arial" w:cs="Arial"/>
          <w:color w:val="000000" w:themeColor="text1"/>
        </w:rPr>
        <w:t>A single-cell suspension is desirable at subculture to ensure an accurate cell count and uniform growth on reseeding. It is essential if quantitative estimates of cell proliferation or of plating efficiency are being made and if cells are to be isolated as clones.</w:t>
      </w:r>
    </w:p>
    <w:p w14:paraId="4BAFA49E" w14:textId="65DEA4E0"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12. </w:t>
      </w:r>
      <w:r w:rsidRPr="00D74025">
        <w:rPr>
          <w:rFonts w:ascii="Arial" w:hAnsi="Arial" w:cs="Arial"/>
          <w:color w:val="000000" w:themeColor="text1"/>
        </w:rPr>
        <w:t xml:space="preserve">Count the cells with a hemocytometer or an electronic </w:t>
      </w:r>
      <w:proofErr w:type="gramStart"/>
      <w:r w:rsidRPr="00D74025">
        <w:rPr>
          <w:rFonts w:ascii="Arial" w:hAnsi="Arial" w:cs="Arial"/>
          <w:color w:val="000000" w:themeColor="text1"/>
        </w:rPr>
        <w:t>counter, and</w:t>
      </w:r>
      <w:proofErr w:type="gramEnd"/>
      <w:r w:rsidRPr="00D74025">
        <w:rPr>
          <w:rFonts w:ascii="Arial" w:hAnsi="Arial" w:cs="Arial"/>
          <w:color w:val="000000" w:themeColor="text1"/>
        </w:rPr>
        <w:t xml:space="preserve"> record the cell counts.</w:t>
      </w:r>
    </w:p>
    <w:p w14:paraId="2C4B1EC3"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13. </w:t>
      </w:r>
      <w:r w:rsidRPr="00D74025">
        <w:rPr>
          <w:rFonts w:ascii="Arial" w:hAnsi="Arial" w:cs="Arial"/>
          <w:color w:val="000000" w:themeColor="text1"/>
        </w:rPr>
        <w:t>Dilute the cell suspensions to the appropriate seeding concentration:</w:t>
      </w:r>
    </w:p>
    <w:p w14:paraId="58E7DEC1"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(a) </w:t>
      </w:r>
      <w:r w:rsidRPr="00D74025">
        <w:rPr>
          <w:rFonts w:ascii="Arial" w:hAnsi="Arial" w:cs="Arial"/>
          <w:color w:val="000000" w:themeColor="text1"/>
        </w:rPr>
        <w:t>By adding the appropriate volume of cell suspension to a premeasured volume of medium in a culture flask or</w:t>
      </w:r>
    </w:p>
    <w:p w14:paraId="525969A1"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(b) </w:t>
      </w:r>
      <w:r w:rsidRPr="00D74025">
        <w:rPr>
          <w:rFonts w:ascii="Arial" w:hAnsi="Arial" w:cs="Arial"/>
          <w:color w:val="000000" w:themeColor="text1"/>
        </w:rPr>
        <w:t>By diluting the cells to the total volume required and distributing that volume among several flasks.</w:t>
      </w:r>
    </w:p>
    <w:p w14:paraId="4B362552"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b/>
          <w:bCs/>
          <w:i/>
          <w:iCs/>
          <w:color w:val="000000" w:themeColor="text1"/>
        </w:rPr>
        <w:t xml:space="preserve">Note. </w:t>
      </w:r>
      <w:r w:rsidRPr="00D74025">
        <w:rPr>
          <w:rFonts w:ascii="Arial" w:hAnsi="Arial" w:cs="Arial"/>
          <w:color w:val="000000" w:themeColor="text1"/>
        </w:rPr>
        <w:t xml:space="preserve">Procedure (a) is useful for routine subculture when only a few flasks are used and precise cell counts and reproducibility are not critical, but procedure (b) </w:t>
      </w:r>
      <w:proofErr w:type="gramStart"/>
      <w:r w:rsidRPr="00D74025">
        <w:rPr>
          <w:rFonts w:ascii="Arial" w:hAnsi="Arial" w:cs="Arial"/>
          <w:color w:val="000000" w:themeColor="text1"/>
        </w:rPr>
        <w:t>is  preferable</w:t>
      </w:r>
      <w:proofErr w:type="gramEnd"/>
      <w:r w:rsidRPr="00D74025">
        <w:rPr>
          <w:rFonts w:ascii="Arial" w:hAnsi="Arial" w:cs="Arial"/>
          <w:color w:val="000000" w:themeColor="text1"/>
        </w:rPr>
        <w:t xml:space="preserve"> when setting up several replicates, because the total number of manipulations is reduced and the concentrations of cells in each flask will be identical.</w:t>
      </w:r>
    </w:p>
    <w:p w14:paraId="7742A0D7" w14:textId="34A8E924"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14. </w:t>
      </w:r>
      <w:r w:rsidRPr="00D74025">
        <w:rPr>
          <w:rFonts w:ascii="Arial" w:hAnsi="Arial" w:cs="Arial"/>
          <w:color w:val="000000" w:themeColor="text1"/>
        </w:rPr>
        <w:t>If the cells are grown in elevated CO</w:t>
      </w:r>
      <w:r w:rsidRPr="00481E5E">
        <w:rPr>
          <w:rFonts w:ascii="Arial" w:hAnsi="Arial" w:cs="Arial"/>
          <w:color w:val="000000" w:themeColor="text1"/>
          <w:vertAlign w:val="subscript"/>
        </w:rPr>
        <w:t>2</w:t>
      </w:r>
      <w:r w:rsidRPr="00D74025">
        <w:rPr>
          <w:rFonts w:ascii="Arial" w:hAnsi="Arial" w:cs="Arial"/>
          <w:color w:val="000000" w:themeColor="text1"/>
        </w:rPr>
        <w:t xml:space="preserve"> in a regular incubator or hot room, gas the flask by blowing the correct gas mixture (usually 5% CO</w:t>
      </w:r>
      <w:r w:rsidRPr="00284F0A">
        <w:rPr>
          <w:rFonts w:ascii="Arial" w:hAnsi="Arial" w:cs="Arial"/>
          <w:color w:val="000000" w:themeColor="text1"/>
          <w:vertAlign w:val="subscript"/>
        </w:rPr>
        <w:t>2</w:t>
      </w:r>
      <w:r w:rsidRPr="00D74025">
        <w:rPr>
          <w:rFonts w:ascii="Arial" w:hAnsi="Arial" w:cs="Arial"/>
          <w:color w:val="000000" w:themeColor="text1"/>
        </w:rPr>
        <w:t>) from a premixed cylinder, or a gas blender, through a filtered line into the flask above the medium. Do not bubble gas through the medium, as doing so will generate bubbles, which can denature some constituents of the medium and increase the risk of contamination. Alternatively, if culture will be in a CO</w:t>
      </w:r>
      <w:r w:rsidRPr="00481E5E">
        <w:rPr>
          <w:rFonts w:ascii="Arial" w:hAnsi="Arial" w:cs="Arial"/>
          <w:color w:val="000000" w:themeColor="text1"/>
          <w:vertAlign w:val="subscript"/>
        </w:rPr>
        <w:t>2</w:t>
      </w:r>
      <w:r w:rsidRPr="00D74025">
        <w:rPr>
          <w:rFonts w:ascii="Arial" w:hAnsi="Arial" w:cs="Arial"/>
          <w:color w:val="000000" w:themeColor="text1"/>
        </w:rPr>
        <w:t xml:space="preserve"> incubator, use a gas-permeable cap. If the normal gas phase is air, as with </w:t>
      </w:r>
      <w:proofErr w:type="gramStart"/>
      <w:r w:rsidRPr="00D74025">
        <w:rPr>
          <w:rFonts w:ascii="Arial" w:hAnsi="Arial" w:cs="Arial"/>
          <w:color w:val="000000" w:themeColor="text1"/>
        </w:rPr>
        <w:t>Eagle’s  medium</w:t>
      </w:r>
      <w:proofErr w:type="gramEnd"/>
      <w:r w:rsidRPr="00D74025">
        <w:rPr>
          <w:rFonts w:ascii="Arial" w:hAnsi="Arial" w:cs="Arial"/>
          <w:color w:val="000000" w:themeColor="text1"/>
        </w:rPr>
        <w:t xml:space="preserve"> with Hanks’s salts, no or</w:t>
      </w:r>
      <w:r w:rsidR="00481E5E">
        <w:rPr>
          <w:rFonts w:ascii="Arial" w:hAnsi="Arial" w:cs="Arial"/>
          <w:color w:val="000000" w:themeColor="text1"/>
        </w:rPr>
        <w:t xml:space="preserve"> </w:t>
      </w:r>
      <w:r w:rsidRPr="00D74025">
        <w:rPr>
          <w:rFonts w:ascii="Arial" w:hAnsi="Arial" w:cs="Arial"/>
          <w:color w:val="000000" w:themeColor="text1"/>
        </w:rPr>
        <w:t>minimal gassing is required and the flask is sealed.</w:t>
      </w:r>
    </w:p>
    <w:p w14:paraId="52214114"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lastRenderedPageBreak/>
        <w:t xml:space="preserve">15. </w:t>
      </w:r>
      <w:r w:rsidRPr="00D74025">
        <w:rPr>
          <w:rFonts w:ascii="Arial" w:hAnsi="Arial" w:cs="Arial"/>
          <w:color w:val="000000" w:themeColor="text1"/>
        </w:rPr>
        <w:t xml:space="preserve">Cap the </w:t>
      </w:r>
      <w:proofErr w:type="gramStart"/>
      <w:r w:rsidRPr="00D74025">
        <w:rPr>
          <w:rFonts w:ascii="Arial" w:hAnsi="Arial" w:cs="Arial"/>
          <w:color w:val="000000" w:themeColor="text1"/>
        </w:rPr>
        <w:t>flasks, and</w:t>
      </w:r>
      <w:proofErr w:type="gramEnd"/>
      <w:r w:rsidRPr="00D74025">
        <w:rPr>
          <w:rFonts w:ascii="Arial" w:hAnsi="Arial" w:cs="Arial"/>
          <w:color w:val="000000" w:themeColor="text1"/>
        </w:rPr>
        <w:t xml:space="preserve"> return them to the incubator. Check the pH after about 1 h. If the pH rises in a medium with a gas phase of air, then return the flasks to the aseptic area and gas the culture briefly (1–2 s) with 5% CO</w:t>
      </w:r>
      <w:r w:rsidRPr="00481E5E">
        <w:rPr>
          <w:rFonts w:ascii="Arial" w:hAnsi="Arial" w:cs="Arial"/>
          <w:color w:val="000000" w:themeColor="text1"/>
          <w:vertAlign w:val="subscript"/>
        </w:rPr>
        <w:t>2</w:t>
      </w:r>
      <w:r w:rsidRPr="00D74025">
        <w:rPr>
          <w:rFonts w:ascii="Arial" w:hAnsi="Arial" w:cs="Arial"/>
          <w:color w:val="000000" w:themeColor="text1"/>
        </w:rPr>
        <w:t>. As each culture will behave predictably in the same medium, you eventually will know which cells to gas when they are reseeded, without having to incubate them first. If the pH rises in medium that already has a 5% CO</w:t>
      </w:r>
      <w:r w:rsidRPr="000C6B58">
        <w:rPr>
          <w:rFonts w:ascii="Arial" w:hAnsi="Arial" w:cs="Arial"/>
          <w:color w:val="000000" w:themeColor="text1"/>
          <w:vertAlign w:val="subscript"/>
        </w:rPr>
        <w:t>2</w:t>
      </w:r>
      <w:r w:rsidRPr="00D74025">
        <w:rPr>
          <w:rFonts w:ascii="Arial" w:hAnsi="Arial" w:cs="Arial"/>
          <w:color w:val="000000" w:themeColor="text1"/>
        </w:rPr>
        <w:t xml:space="preserve"> gas phase, either increase the CO</w:t>
      </w:r>
      <w:r w:rsidRPr="00481E5E">
        <w:rPr>
          <w:rFonts w:ascii="Arial" w:hAnsi="Arial" w:cs="Arial"/>
          <w:color w:val="000000" w:themeColor="text1"/>
          <w:vertAlign w:val="subscript"/>
        </w:rPr>
        <w:t>2</w:t>
      </w:r>
      <w:r w:rsidRPr="00D74025">
        <w:rPr>
          <w:rFonts w:ascii="Arial" w:hAnsi="Arial" w:cs="Arial"/>
          <w:color w:val="000000" w:themeColor="text1"/>
        </w:rPr>
        <w:t xml:space="preserve"> to 7% or 10% or add sterile 0.1 M HCl.</w:t>
      </w:r>
    </w:p>
    <w:p w14:paraId="60CA8889" w14:textId="464BC61B"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b/>
          <w:bCs/>
          <w:i/>
          <w:iCs/>
          <w:color w:val="000000" w:themeColor="text1"/>
        </w:rPr>
        <w:t xml:space="preserve">Note. </w:t>
      </w:r>
      <w:r w:rsidRPr="00D74025">
        <w:rPr>
          <w:rFonts w:ascii="Arial" w:hAnsi="Arial" w:cs="Arial"/>
          <w:color w:val="000000" w:themeColor="text1"/>
        </w:rPr>
        <w:t xml:space="preserve">The procedure in step 15 should not become a long-term solution to the problem of high pH after subculture. If the problem persists, then reduce the pH of the medium at the time it is made </w:t>
      </w:r>
      <w:proofErr w:type="gramStart"/>
      <w:r w:rsidRPr="00D74025">
        <w:rPr>
          <w:rFonts w:ascii="Arial" w:hAnsi="Arial" w:cs="Arial"/>
          <w:color w:val="000000" w:themeColor="text1"/>
        </w:rPr>
        <w:t>up, and</w:t>
      </w:r>
      <w:proofErr w:type="gramEnd"/>
      <w:r w:rsidRPr="00D74025">
        <w:rPr>
          <w:rFonts w:ascii="Arial" w:hAnsi="Arial" w:cs="Arial"/>
          <w:color w:val="000000" w:themeColor="text1"/>
        </w:rPr>
        <w:t xml:space="preserve"> check the pH of the medium in the incubator or in a gassed flask</w:t>
      </w:r>
      <w:r w:rsidR="000C6B58">
        <w:rPr>
          <w:rFonts w:ascii="Arial" w:hAnsi="Arial" w:cs="Arial"/>
          <w:color w:val="000000" w:themeColor="text1"/>
        </w:rPr>
        <w:t>.</w:t>
      </w:r>
    </w:p>
    <w:p w14:paraId="54E4DBAA" w14:textId="77777777" w:rsidR="00877E0E" w:rsidRPr="00D74025" w:rsidRDefault="00877E0E"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16. </w:t>
      </w:r>
      <w:r w:rsidRPr="00D74025">
        <w:rPr>
          <w:rFonts w:ascii="Arial" w:hAnsi="Arial" w:cs="Arial"/>
          <w:color w:val="000000" w:themeColor="text1"/>
        </w:rPr>
        <w:t>As the expansion of air inside plastic flasks causes larger flasks to swell and prevents them from lying flat, the pressure should be released by briefly slackening the cap 30 min after placing the flask in the incubator. Alternatively, this problem may be prevented by compressing the top and bottom of large flasks before sealing them (care must be taken not to exert too much pressure and crack the flasks). Incubation restores the correct shape as the gas phase expands. If working in 5% CO</w:t>
      </w:r>
      <w:r w:rsidRPr="000C6B58">
        <w:rPr>
          <w:rFonts w:ascii="Arial" w:hAnsi="Arial" w:cs="Arial"/>
          <w:color w:val="000000" w:themeColor="text1"/>
          <w:vertAlign w:val="subscript"/>
        </w:rPr>
        <w:t>2</w:t>
      </w:r>
      <w:r w:rsidRPr="00D74025">
        <w:rPr>
          <w:rFonts w:ascii="Arial" w:hAnsi="Arial" w:cs="Arial"/>
          <w:color w:val="000000" w:themeColor="text1"/>
        </w:rPr>
        <w:t>, using permeable caps will avoid this problem.</w:t>
      </w:r>
    </w:p>
    <w:p w14:paraId="5CE3B09F" w14:textId="31EC1AA4" w:rsidR="00877E0E" w:rsidRPr="00D74025" w:rsidRDefault="00877E0E" w:rsidP="00F6020C">
      <w:pPr>
        <w:spacing w:line="276" w:lineRule="auto"/>
        <w:rPr>
          <w:rFonts w:ascii="Arial" w:hAnsi="Arial" w:cs="Arial"/>
          <w:color w:val="000000" w:themeColor="text1"/>
        </w:rPr>
      </w:pPr>
    </w:p>
    <w:p w14:paraId="49C6D766" w14:textId="6C424B61" w:rsidR="00877E0E" w:rsidRPr="00D74025" w:rsidRDefault="00877E0E" w:rsidP="00F6020C">
      <w:pPr>
        <w:spacing w:line="276" w:lineRule="auto"/>
        <w:rPr>
          <w:rFonts w:ascii="Arial" w:hAnsi="Arial" w:cs="Arial"/>
          <w:color w:val="000000" w:themeColor="text1"/>
        </w:rPr>
      </w:pPr>
    </w:p>
    <w:p w14:paraId="4652B496" w14:textId="6DE6AB24" w:rsidR="00877E0E" w:rsidRPr="00D74025" w:rsidRDefault="00877E0E" w:rsidP="00F6020C">
      <w:pPr>
        <w:spacing w:line="276" w:lineRule="auto"/>
        <w:rPr>
          <w:rFonts w:ascii="Arial" w:hAnsi="Arial" w:cs="Arial"/>
          <w:color w:val="000000" w:themeColor="text1"/>
        </w:rPr>
      </w:pPr>
    </w:p>
    <w:p w14:paraId="45407D50" w14:textId="624FE37A" w:rsidR="00877E0E" w:rsidRPr="00507014" w:rsidRDefault="009F7762" w:rsidP="00507014">
      <w:pPr>
        <w:pStyle w:val="Heading2"/>
        <w:spacing w:line="276" w:lineRule="auto"/>
        <w:ind w:firstLine="0"/>
        <w:rPr>
          <w:rFonts w:ascii="Arial" w:hAnsi="Arial" w:cs="Arial"/>
          <w:b/>
          <w:bCs/>
          <w:color w:val="000000" w:themeColor="text1"/>
          <w:sz w:val="24"/>
          <w:szCs w:val="24"/>
          <w:u w:val="single"/>
        </w:rPr>
      </w:pPr>
      <w:bookmarkStart w:id="216" w:name="_Toc121217307"/>
      <w:r w:rsidRPr="00507014">
        <w:rPr>
          <w:rFonts w:ascii="Arial" w:hAnsi="Arial" w:cs="Arial"/>
          <w:b/>
          <w:bCs/>
          <w:color w:val="000000" w:themeColor="text1"/>
          <w:sz w:val="24"/>
          <w:szCs w:val="24"/>
          <w:u w:val="single"/>
        </w:rPr>
        <w:t>C</w:t>
      </w:r>
      <w:r w:rsidR="00D66ABE" w:rsidRPr="00507014">
        <w:rPr>
          <w:rFonts w:ascii="Arial" w:hAnsi="Arial" w:cs="Arial"/>
          <w:b/>
          <w:bCs/>
          <w:color w:val="000000" w:themeColor="text1"/>
          <w:sz w:val="24"/>
          <w:szCs w:val="24"/>
          <w:u w:val="single"/>
        </w:rPr>
        <w:t>4</w:t>
      </w:r>
      <w:r w:rsidRPr="00507014">
        <w:rPr>
          <w:rFonts w:ascii="Arial" w:hAnsi="Arial" w:cs="Arial"/>
          <w:b/>
          <w:bCs/>
          <w:color w:val="000000" w:themeColor="text1"/>
          <w:sz w:val="24"/>
          <w:szCs w:val="24"/>
          <w:u w:val="single"/>
        </w:rPr>
        <w:t>. Endothelial cell culture</w:t>
      </w:r>
      <w:bookmarkEnd w:id="216"/>
    </w:p>
    <w:p w14:paraId="0BE11B80" w14:textId="55E8B013" w:rsidR="009F7762" w:rsidRPr="00D74025" w:rsidRDefault="009F7762" w:rsidP="00F6020C">
      <w:pPr>
        <w:spacing w:line="276" w:lineRule="auto"/>
        <w:rPr>
          <w:rFonts w:ascii="Arial" w:hAnsi="Arial" w:cs="Arial"/>
          <w:color w:val="000000" w:themeColor="text1"/>
        </w:rPr>
      </w:pPr>
    </w:p>
    <w:p w14:paraId="55691C79" w14:textId="77777777" w:rsidR="009F7762" w:rsidRPr="00D74025" w:rsidRDefault="009F7762" w:rsidP="00F6020C">
      <w:pPr>
        <w:spacing w:line="276" w:lineRule="auto"/>
        <w:rPr>
          <w:rFonts w:ascii="Arial" w:hAnsi="Arial" w:cs="Arial"/>
          <w:color w:val="000000" w:themeColor="text1"/>
          <w:u w:val="single"/>
        </w:rPr>
      </w:pPr>
      <w:r w:rsidRPr="00D74025">
        <w:rPr>
          <w:rFonts w:ascii="Arial" w:hAnsi="Arial" w:cs="Arial"/>
          <w:color w:val="000000" w:themeColor="text1"/>
          <w:u w:val="single"/>
        </w:rPr>
        <w:t>Materials:</w:t>
      </w:r>
    </w:p>
    <w:p w14:paraId="3C763E0D" w14:textId="77777777" w:rsidR="009F7762" w:rsidRPr="00D74025" w:rsidRDefault="009F7762">
      <w:pPr>
        <w:pStyle w:val="ListParagraph"/>
        <w:numPr>
          <w:ilvl w:val="0"/>
          <w:numId w:val="32"/>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 xml:space="preserve">Endothelial cells (HAAE-1) were purchased from ATCC (Manassas, VA) (Cat. # CRL-2472) and </w:t>
      </w:r>
      <w:proofErr w:type="spellStart"/>
      <w:r w:rsidRPr="00D74025">
        <w:rPr>
          <w:rFonts w:ascii="Arial" w:hAnsi="Arial" w:cs="Arial"/>
          <w:color w:val="000000" w:themeColor="text1"/>
        </w:rPr>
        <w:t>Coriell</w:t>
      </w:r>
      <w:proofErr w:type="spellEnd"/>
      <w:r w:rsidRPr="00D74025">
        <w:rPr>
          <w:rFonts w:ascii="Arial" w:hAnsi="Arial" w:cs="Arial"/>
          <w:color w:val="000000" w:themeColor="text1"/>
        </w:rPr>
        <w:t xml:space="preserve"> Institute Medical Research (Camden, NJ) (Cat. # AG09799).  </w:t>
      </w:r>
    </w:p>
    <w:p w14:paraId="1F374860" w14:textId="77777777" w:rsidR="009F7762" w:rsidRPr="00D74025" w:rsidRDefault="009F7762">
      <w:pPr>
        <w:pStyle w:val="ListParagraph"/>
        <w:numPr>
          <w:ilvl w:val="0"/>
          <w:numId w:val="32"/>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 xml:space="preserve">Cell media Ham’s F12K (supplemented) </w:t>
      </w:r>
    </w:p>
    <w:p w14:paraId="26E04193" w14:textId="77777777" w:rsidR="009F7762" w:rsidRPr="00D74025" w:rsidRDefault="009F7762">
      <w:pPr>
        <w:pStyle w:val="ListParagraph"/>
        <w:numPr>
          <w:ilvl w:val="1"/>
          <w:numId w:val="32"/>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Antibiotics penicillin and streptomycin</w:t>
      </w:r>
    </w:p>
    <w:p w14:paraId="04406ECF" w14:textId="77777777" w:rsidR="009F7762" w:rsidRPr="00D74025" w:rsidRDefault="009F7762">
      <w:pPr>
        <w:pStyle w:val="ListParagraph"/>
        <w:numPr>
          <w:ilvl w:val="1"/>
          <w:numId w:val="32"/>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Heparin</w:t>
      </w:r>
    </w:p>
    <w:p w14:paraId="36E7BCD6" w14:textId="77777777" w:rsidR="009F7762" w:rsidRPr="00D74025" w:rsidRDefault="009F7762">
      <w:pPr>
        <w:pStyle w:val="ListParagraph"/>
        <w:numPr>
          <w:ilvl w:val="1"/>
          <w:numId w:val="32"/>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Endothelial cell growth supplement</w:t>
      </w:r>
    </w:p>
    <w:p w14:paraId="73443C13" w14:textId="77777777" w:rsidR="009F7762" w:rsidRPr="00D74025" w:rsidRDefault="009F7762">
      <w:pPr>
        <w:pStyle w:val="ListParagraph"/>
        <w:numPr>
          <w:ilvl w:val="1"/>
          <w:numId w:val="32"/>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Fetal bovine serum</w:t>
      </w:r>
    </w:p>
    <w:p w14:paraId="1BC1990B" w14:textId="77777777" w:rsidR="009F7762" w:rsidRPr="00D74025" w:rsidRDefault="009F7762">
      <w:pPr>
        <w:pStyle w:val="ListParagraph"/>
        <w:numPr>
          <w:ilvl w:val="0"/>
          <w:numId w:val="32"/>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T-75 flasks</w:t>
      </w:r>
    </w:p>
    <w:p w14:paraId="6D190373" w14:textId="77777777" w:rsidR="009F7762" w:rsidRPr="00D74025" w:rsidRDefault="009F7762">
      <w:pPr>
        <w:pStyle w:val="ListParagraph"/>
        <w:numPr>
          <w:ilvl w:val="0"/>
          <w:numId w:val="32"/>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 xml:space="preserve">Porcine gelatin </w:t>
      </w:r>
    </w:p>
    <w:p w14:paraId="73A6456A" w14:textId="77777777" w:rsidR="009F7762" w:rsidRPr="00D74025" w:rsidRDefault="009F7762">
      <w:pPr>
        <w:pStyle w:val="ListParagraph"/>
        <w:numPr>
          <w:ilvl w:val="0"/>
          <w:numId w:val="32"/>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Trypsin</w:t>
      </w:r>
    </w:p>
    <w:p w14:paraId="4CC1F06A" w14:textId="77777777" w:rsidR="009F7762" w:rsidRPr="00D74025" w:rsidRDefault="009F7762">
      <w:pPr>
        <w:pStyle w:val="ListParagraph"/>
        <w:numPr>
          <w:ilvl w:val="0"/>
          <w:numId w:val="32"/>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PBS</w:t>
      </w:r>
    </w:p>
    <w:p w14:paraId="4730E48E" w14:textId="77777777" w:rsidR="009F7762" w:rsidRPr="00D74025" w:rsidRDefault="009F7762">
      <w:pPr>
        <w:pStyle w:val="ListParagraph"/>
        <w:numPr>
          <w:ilvl w:val="0"/>
          <w:numId w:val="32"/>
        </w:numPr>
        <w:spacing w:before="0" w:beforeAutospacing="0" w:after="0" w:afterAutospacing="0" w:line="276" w:lineRule="auto"/>
        <w:rPr>
          <w:rFonts w:ascii="Arial" w:hAnsi="Arial" w:cs="Arial"/>
          <w:color w:val="000000" w:themeColor="text1"/>
        </w:rPr>
      </w:pPr>
      <w:proofErr w:type="spellStart"/>
      <w:r w:rsidRPr="00D74025">
        <w:rPr>
          <w:rFonts w:ascii="Arial" w:hAnsi="Arial" w:cs="Arial"/>
          <w:color w:val="000000" w:themeColor="text1"/>
        </w:rPr>
        <w:t>Pippetes</w:t>
      </w:r>
      <w:proofErr w:type="spellEnd"/>
      <w:r w:rsidRPr="00D74025">
        <w:rPr>
          <w:rFonts w:ascii="Arial" w:hAnsi="Arial" w:cs="Arial"/>
          <w:color w:val="000000" w:themeColor="text1"/>
        </w:rPr>
        <w:t>, centrifuge tubes</w:t>
      </w:r>
    </w:p>
    <w:p w14:paraId="39BCF174" w14:textId="77777777" w:rsidR="009F7762" w:rsidRPr="00D74025" w:rsidRDefault="009F7762" w:rsidP="00F6020C">
      <w:pPr>
        <w:spacing w:line="276" w:lineRule="auto"/>
        <w:jc w:val="both"/>
        <w:rPr>
          <w:rFonts w:ascii="Arial" w:hAnsi="Arial" w:cs="Arial"/>
          <w:color w:val="000000" w:themeColor="text1"/>
        </w:rPr>
      </w:pPr>
    </w:p>
    <w:p w14:paraId="2087CF20" w14:textId="77777777" w:rsidR="009F7762" w:rsidRPr="00D74025" w:rsidRDefault="009F7762" w:rsidP="00F6020C">
      <w:pPr>
        <w:spacing w:line="276" w:lineRule="auto"/>
        <w:jc w:val="both"/>
        <w:rPr>
          <w:rFonts w:ascii="Arial" w:hAnsi="Arial" w:cs="Arial"/>
          <w:color w:val="000000" w:themeColor="text1"/>
        </w:rPr>
      </w:pPr>
      <w:r w:rsidRPr="00D74025">
        <w:rPr>
          <w:rFonts w:ascii="Arial" w:hAnsi="Arial" w:cs="Arial"/>
          <w:color w:val="000000" w:themeColor="text1"/>
        </w:rPr>
        <w:lastRenderedPageBreak/>
        <w:t xml:space="preserve">The cell medium used was Ham’s F12K cell medium with 2 mM L-glutamine adjusted to contain 1.5 g/L sodium bicarbonate and supplemented with 0.1 mg/ml heparin and 0.03 mg/ml endothelial cell growth supplement, </w:t>
      </w:r>
      <w:proofErr w:type="gramStart"/>
      <w:r w:rsidRPr="00D74025">
        <w:rPr>
          <w:rFonts w:ascii="Arial" w:hAnsi="Arial" w:cs="Arial"/>
          <w:color w:val="000000" w:themeColor="text1"/>
        </w:rPr>
        <w:t>90 %;</w:t>
      </w:r>
      <w:proofErr w:type="gramEnd"/>
      <w:r w:rsidRPr="00D74025">
        <w:rPr>
          <w:rFonts w:ascii="Arial" w:hAnsi="Arial" w:cs="Arial"/>
          <w:color w:val="000000" w:themeColor="text1"/>
        </w:rPr>
        <w:t xml:space="preserve"> fetal bovine serum, 10 %. The antibiotics penicillin and streptomycin were also included in the medium at 100 U/ml and 100 µg/ml, respectively.</w:t>
      </w:r>
    </w:p>
    <w:p w14:paraId="1521CC41" w14:textId="77777777" w:rsidR="009F7762" w:rsidRPr="00D74025" w:rsidRDefault="009F7762" w:rsidP="00F6020C">
      <w:pPr>
        <w:spacing w:line="276" w:lineRule="auto"/>
        <w:jc w:val="both"/>
        <w:rPr>
          <w:rFonts w:ascii="Arial" w:hAnsi="Arial" w:cs="Arial"/>
          <w:color w:val="000000" w:themeColor="text1"/>
        </w:rPr>
      </w:pPr>
    </w:p>
    <w:p w14:paraId="4CA593FB" w14:textId="77777777" w:rsidR="009F7762" w:rsidRPr="00D74025" w:rsidRDefault="009F7762" w:rsidP="00F6020C">
      <w:pPr>
        <w:spacing w:line="276" w:lineRule="auto"/>
        <w:jc w:val="both"/>
        <w:rPr>
          <w:rFonts w:ascii="Arial" w:hAnsi="Arial" w:cs="Arial"/>
          <w:color w:val="000000" w:themeColor="text1"/>
          <w:u w:val="single"/>
        </w:rPr>
      </w:pPr>
      <w:r w:rsidRPr="00D74025">
        <w:rPr>
          <w:rFonts w:ascii="Arial" w:hAnsi="Arial" w:cs="Arial"/>
          <w:color w:val="000000" w:themeColor="text1"/>
          <w:u w:val="single"/>
        </w:rPr>
        <w:t>Cell Culturing</w:t>
      </w:r>
    </w:p>
    <w:p w14:paraId="072AF122" w14:textId="77777777" w:rsidR="009F7762" w:rsidRPr="00D74025" w:rsidRDefault="009F7762">
      <w:pPr>
        <w:pStyle w:val="ListParagraph"/>
        <w:numPr>
          <w:ilvl w:val="0"/>
          <w:numId w:val="30"/>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 xml:space="preserve">Add a layer of 0.1% porcine gelatin to the bottom of the T-75 flask to create a thin layer. </w:t>
      </w:r>
    </w:p>
    <w:p w14:paraId="15715CE0" w14:textId="63FBC5EF" w:rsidR="009F7762" w:rsidRPr="00D74025" w:rsidRDefault="009F7762">
      <w:pPr>
        <w:pStyle w:val="ListParagraph"/>
        <w:numPr>
          <w:ilvl w:val="0"/>
          <w:numId w:val="30"/>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Leave the gelatin for 10 minutes in the flask</w:t>
      </w:r>
      <w:r w:rsidR="000C6B58">
        <w:rPr>
          <w:rFonts w:ascii="Arial" w:hAnsi="Arial" w:cs="Arial"/>
          <w:color w:val="000000" w:themeColor="text1"/>
        </w:rPr>
        <w:t>.</w:t>
      </w:r>
    </w:p>
    <w:p w14:paraId="3904C7B4" w14:textId="77777777" w:rsidR="009F7762" w:rsidRPr="00D74025" w:rsidRDefault="009F7762">
      <w:pPr>
        <w:pStyle w:val="ListParagraph"/>
        <w:numPr>
          <w:ilvl w:val="0"/>
          <w:numId w:val="30"/>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Aspirate the excess of gelatin by aspirating it using a pipette connected to a vacuum system.</w:t>
      </w:r>
    </w:p>
    <w:p w14:paraId="076E256D" w14:textId="4CE550A5" w:rsidR="009F7762" w:rsidRPr="00D74025" w:rsidRDefault="009F7762">
      <w:pPr>
        <w:pStyle w:val="ListParagraph"/>
        <w:numPr>
          <w:ilvl w:val="0"/>
          <w:numId w:val="30"/>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Add media to the flask</w:t>
      </w:r>
      <w:r w:rsidR="000C6B58">
        <w:rPr>
          <w:rFonts w:ascii="Arial" w:hAnsi="Arial" w:cs="Arial"/>
          <w:color w:val="000000" w:themeColor="text1"/>
        </w:rPr>
        <w:t>.</w:t>
      </w:r>
    </w:p>
    <w:p w14:paraId="279E82B1" w14:textId="77777777" w:rsidR="009F7762" w:rsidRPr="00D74025" w:rsidRDefault="009F7762">
      <w:pPr>
        <w:pStyle w:val="ListParagraph"/>
        <w:numPr>
          <w:ilvl w:val="1"/>
          <w:numId w:val="30"/>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Warm up cell media prior to use to avoid temperature shock</w:t>
      </w:r>
    </w:p>
    <w:p w14:paraId="07088DB5" w14:textId="3D2F34FC" w:rsidR="009F7762" w:rsidRPr="00D74025" w:rsidRDefault="009F7762">
      <w:pPr>
        <w:pStyle w:val="ListParagraph"/>
        <w:numPr>
          <w:ilvl w:val="0"/>
          <w:numId w:val="30"/>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Add the cells to the T-75 flask</w:t>
      </w:r>
      <w:r w:rsidR="000C6B58">
        <w:rPr>
          <w:rFonts w:ascii="Arial" w:hAnsi="Arial" w:cs="Arial"/>
          <w:color w:val="000000" w:themeColor="text1"/>
        </w:rPr>
        <w:t>.</w:t>
      </w:r>
    </w:p>
    <w:p w14:paraId="6E30FE37" w14:textId="77D839D2" w:rsidR="009F7762" w:rsidRPr="00D74025" w:rsidRDefault="009F7762">
      <w:pPr>
        <w:pStyle w:val="ListParagraph"/>
        <w:numPr>
          <w:ilvl w:val="0"/>
          <w:numId w:val="30"/>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K</w:t>
      </w:r>
      <w:r w:rsidR="005748DD">
        <w:rPr>
          <w:rFonts w:ascii="Arial" w:hAnsi="Arial" w:cs="Arial"/>
          <w:color w:val="000000" w:themeColor="text1"/>
        </w:rPr>
        <w:t>eep</w:t>
      </w:r>
      <w:r w:rsidRPr="00D74025">
        <w:rPr>
          <w:rFonts w:ascii="Arial" w:hAnsi="Arial" w:cs="Arial"/>
          <w:color w:val="000000" w:themeColor="text1"/>
        </w:rPr>
        <w:t xml:space="preserve"> the cells in the controlled environment (37 ºC, 5 % CO</w:t>
      </w:r>
      <w:r w:rsidRPr="00D74025">
        <w:rPr>
          <w:rFonts w:ascii="Arial" w:hAnsi="Arial" w:cs="Arial"/>
          <w:color w:val="000000" w:themeColor="text1"/>
          <w:vertAlign w:val="subscript"/>
        </w:rPr>
        <w:t>2</w:t>
      </w:r>
      <w:r w:rsidRPr="00D74025">
        <w:rPr>
          <w:rFonts w:ascii="Arial" w:hAnsi="Arial" w:cs="Arial"/>
          <w:color w:val="000000" w:themeColor="text1"/>
        </w:rPr>
        <w:t>) in an incubator</w:t>
      </w:r>
      <w:r w:rsidR="000C6B58">
        <w:rPr>
          <w:rFonts w:ascii="Arial" w:hAnsi="Arial" w:cs="Arial"/>
          <w:color w:val="000000" w:themeColor="text1"/>
        </w:rPr>
        <w:t>.</w:t>
      </w:r>
    </w:p>
    <w:p w14:paraId="68957D4A" w14:textId="2DD9EEB2" w:rsidR="009F7762" w:rsidRPr="00D74025" w:rsidRDefault="009F7762">
      <w:pPr>
        <w:pStyle w:val="ListParagraph"/>
        <w:numPr>
          <w:ilvl w:val="0"/>
          <w:numId w:val="30"/>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Keep the cells in the T-75 flask to allow the cells to increase their number</w:t>
      </w:r>
      <w:r w:rsidR="000C6B58">
        <w:rPr>
          <w:rFonts w:ascii="Arial" w:hAnsi="Arial" w:cs="Arial"/>
          <w:color w:val="000000" w:themeColor="text1"/>
        </w:rPr>
        <w:t>.</w:t>
      </w:r>
    </w:p>
    <w:p w14:paraId="49F45CB8" w14:textId="1CA6F9CF" w:rsidR="009F7762" w:rsidRPr="00D74025" w:rsidRDefault="009F7762">
      <w:pPr>
        <w:pStyle w:val="ListParagraph"/>
        <w:numPr>
          <w:ilvl w:val="1"/>
          <w:numId w:val="30"/>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Change media when necessary (color of the media is related to pH indicator</w:t>
      </w:r>
      <w:r w:rsidR="000C6B58">
        <w:rPr>
          <w:rFonts w:ascii="Arial" w:hAnsi="Arial" w:cs="Arial"/>
          <w:color w:val="000000" w:themeColor="text1"/>
        </w:rPr>
        <w:t>.</w:t>
      </w:r>
    </w:p>
    <w:p w14:paraId="3E95DAB5" w14:textId="77777777" w:rsidR="009F7762" w:rsidRPr="00D74025" w:rsidRDefault="009F7762">
      <w:pPr>
        <w:pStyle w:val="ListParagraph"/>
        <w:numPr>
          <w:ilvl w:val="0"/>
          <w:numId w:val="30"/>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When the cells reach 75 to 85 % confluency, perform cell passage (subculturing)</w:t>
      </w:r>
    </w:p>
    <w:p w14:paraId="15F41FC2" w14:textId="4CCA3731" w:rsidR="009F7762" w:rsidRPr="00D74025" w:rsidRDefault="009F7762">
      <w:pPr>
        <w:pStyle w:val="ListParagraph"/>
        <w:numPr>
          <w:ilvl w:val="1"/>
          <w:numId w:val="30"/>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The confluency level defines the ratio between the surface area occupied by the cells and the surface area of the flask</w:t>
      </w:r>
      <w:r w:rsidR="000C6B58">
        <w:rPr>
          <w:rFonts w:ascii="Arial" w:hAnsi="Arial" w:cs="Arial"/>
          <w:color w:val="000000" w:themeColor="text1"/>
        </w:rPr>
        <w:t>.</w:t>
      </w:r>
    </w:p>
    <w:p w14:paraId="51730C53" w14:textId="77777777" w:rsidR="009F7762" w:rsidRPr="00D74025" w:rsidRDefault="009F7762">
      <w:pPr>
        <w:pStyle w:val="ListParagraph"/>
        <w:numPr>
          <w:ilvl w:val="1"/>
          <w:numId w:val="30"/>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When that ratio percentage is almost 100 %, the cells enter in a quasi-steady mode, where they basically stop or dramatically reduce their replication rates. Don’t let the cells reach 100% confluency.</w:t>
      </w:r>
    </w:p>
    <w:p w14:paraId="45ACA47E" w14:textId="04B42719" w:rsidR="009F7762" w:rsidRPr="00D74025" w:rsidRDefault="009F7762">
      <w:pPr>
        <w:pStyle w:val="ListParagraph"/>
        <w:numPr>
          <w:ilvl w:val="1"/>
          <w:numId w:val="30"/>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 xml:space="preserve">Subculturing is the transfer of the cells from one set of culture flasks to another. This cell transfer is required </w:t>
      </w:r>
      <w:proofErr w:type="gramStart"/>
      <w:r w:rsidRPr="00D74025">
        <w:rPr>
          <w:rFonts w:ascii="Arial" w:hAnsi="Arial" w:cs="Arial"/>
          <w:color w:val="000000" w:themeColor="text1"/>
        </w:rPr>
        <w:t>in order to</w:t>
      </w:r>
      <w:proofErr w:type="gramEnd"/>
      <w:r w:rsidRPr="00D74025">
        <w:rPr>
          <w:rFonts w:ascii="Arial" w:hAnsi="Arial" w:cs="Arial"/>
          <w:color w:val="000000" w:themeColor="text1"/>
        </w:rPr>
        <w:t xml:space="preserve"> increase the available surface area required by the cells to replicate more</w:t>
      </w:r>
      <w:r w:rsidR="000C6B58">
        <w:rPr>
          <w:rFonts w:ascii="Arial" w:hAnsi="Arial" w:cs="Arial"/>
          <w:color w:val="000000" w:themeColor="text1"/>
        </w:rPr>
        <w:t>.</w:t>
      </w:r>
    </w:p>
    <w:p w14:paraId="0B2F5589" w14:textId="77777777" w:rsidR="009F7762" w:rsidRPr="00D74025" w:rsidRDefault="009F7762" w:rsidP="00F6020C">
      <w:pPr>
        <w:spacing w:line="276" w:lineRule="auto"/>
        <w:jc w:val="both"/>
        <w:rPr>
          <w:rFonts w:ascii="Arial" w:hAnsi="Arial" w:cs="Arial"/>
          <w:color w:val="000000" w:themeColor="text1"/>
        </w:rPr>
      </w:pPr>
    </w:p>
    <w:p w14:paraId="31F1217E" w14:textId="77777777" w:rsidR="009F7762" w:rsidRPr="00D74025" w:rsidRDefault="009F7762" w:rsidP="00F6020C">
      <w:pPr>
        <w:spacing w:line="276" w:lineRule="auto"/>
        <w:jc w:val="both"/>
        <w:rPr>
          <w:rFonts w:ascii="Arial" w:hAnsi="Arial" w:cs="Arial"/>
          <w:color w:val="000000" w:themeColor="text1"/>
        </w:rPr>
      </w:pPr>
    </w:p>
    <w:p w14:paraId="0A9EA582" w14:textId="77777777" w:rsidR="009F7762" w:rsidRPr="00D74025" w:rsidRDefault="009F7762" w:rsidP="00F6020C">
      <w:pPr>
        <w:spacing w:line="276" w:lineRule="auto"/>
        <w:jc w:val="both"/>
        <w:rPr>
          <w:rFonts w:ascii="Arial" w:hAnsi="Arial" w:cs="Arial"/>
          <w:color w:val="000000" w:themeColor="text1"/>
          <w:u w:val="single"/>
        </w:rPr>
      </w:pPr>
      <w:r w:rsidRPr="00D74025">
        <w:rPr>
          <w:rFonts w:ascii="Arial" w:hAnsi="Arial" w:cs="Arial"/>
          <w:color w:val="000000" w:themeColor="text1"/>
          <w:u w:val="single"/>
        </w:rPr>
        <w:t>Subculturing</w:t>
      </w:r>
    </w:p>
    <w:p w14:paraId="034031B0" w14:textId="57107F96" w:rsidR="009F7762" w:rsidRPr="00D74025" w:rsidRDefault="009F7762">
      <w:pPr>
        <w:pStyle w:val="ListParagraph"/>
        <w:numPr>
          <w:ilvl w:val="0"/>
          <w:numId w:val="31"/>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Remove cell media using Pasteur pipets connected to the vacuum system</w:t>
      </w:r>
      <w:r w:rsidR="005748DD">
        <w:rPr>
          <w:rFonts w:ascii="Arial" w:hAnsi="Arial" w:cs="Arial"/>
          <w:color w:val="000000" w:themeColor="text1"/>
        </w:rPr>
        <w:t>.</w:t>
      </w:r>
    </w:p>
    <w:p w14:paraId="50BEEF06" w14:textId="77777777" w:rsidR="009F7762" w:rsidRPr="00D74025" w:rsidRDefault="009F7762">
      <w:pPr>
        <w:pStyle w:val="ListParagraph"/>
        <w:numPr>
          <w:ilvl w:val="1"/>
          <w:numId w:val="31"/>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Generally, human endothelial cells reach confluence after approximately 3 to 4 days.</w:t>
      </w:r>
    </w:p>
    <w:p w14:paraId="47E49AF7" w14:textId="02934D3C" w:rsidR="009F7762" w:rsidRPr="00D74025" w:rsidRDefault="009F7762">
      <w:pPr>
        <w:pStyle w:val="ListParagraph"/>
        <w:numPr>
          <w:ilvl w:val="0"/>
          <w:numId w:val="31"/>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Rinse the flash with 3 ml of phosphate buffer saline (PBS)</w:t>
      </w:r>
      <w:r w:rsidR="005748DD">
        <w:rPr>
          <w:rFonts w:ascii="Arial" w:hAnsi="Arial" w:cs="Arial"/>
          <w:color w:val="000000" w:themeColor="text1"/>
        </w:rPr>
        <w:t>.</w:t>
      </w:r>
    </w:p>
    <w:p w14:paraId="2819C1C9" w14:textId="0F876236" w:rsidR="009F7762" w:rsidRPr="00D74025" w:rsidRDefault="009F7762">
      <w:pPr>
        <w:pStyle w:val="ListParagraph"/>
        <w:numPr>
          <w:ilvl w:val="1"/>
          <w:numId w:val="31"/>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 xml:space="preserve">This step is required and very important, because it allows for the complete removal of the F12K medium which has in its composition </w:t>
      </w:r>
      <w:proofErr w:type="gramStart"/>
      <w:r w:rsidRPr="00D74025">
        <w:rPr>
          <w:rFonts w:ascii="Arial" w:hAnsi="Arial" w:cs="Arial"/>
          <w:color w:val="000000" w:themeColor="text1"/>
        </w:rPr>
        <w:t>an</w:t>
      </w:r>
      <w:proofErr w:type="gramEnd"/>
      <w:r w:rsidRPr="00D74025">
        <w:rPr>
          <w:rFonts w:ascii="Arial" w:hAnsi="Arial" w:cs="Arial"/>
          <w:color w:val="000000" w:themeColor="text1"/>
        </w:rPr>
        <w:t xml:space="preserve"> trypsin inhibitor</w:t>
      </w:r>
      <w:r w:rsidR="005748DD">
        <w:rPr>
          <w:rFonts w:ascii="Arial" w:hAnsi="Arial" w:cs="Arial"/>
          <w:color w:val="000000" w:themeColor="text1"/>
        </w:rPr>
        <w:t>.</w:t>
      </w:r>
    </w:p>
    <w:p w14:paraId="7F2BFD81" w14:textId="40D14ECA" w:rsidR="009F7762" w:rsidRPr="00D74025" w:rsidRDefault="005748DD">
      <w:pPr>
        <w:pStyle w:val="ListParagraph"/>
        <w:numPr>
          <w:ilvl w:val="0"/>
          <w:numId w:val="31"/>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Gentilly</w:t>
      </w:r>
      <w:r w:rsidR="009F7762" w:rsidRPr="00D74025">
        <w:rPr>
          <w:rFonts w:ascii="Arial" w:hAnsi="Arial" w:cs="Arial"/>
          <w:color w:val="000000" w:themeColor="text1"/>
        </w:rPr>
        <w:t xml:space="preserve"> shake the flask and aspirate PBS</w:t>
      </w:r>
      <w:r>
        <w:rPr>
          <w:rFonts w:ascii="Arial" w:hAnsi="Arial" w:cs="Arial"/>
          <w:color w:val="000000" w:themeColor="text1"/>
        </w:rPr>
        <w:t>.</w:t>
      </w:r>
    </w:p>
    <w:p w14:paraId="55A934A0" w14:textId="57CF58CE" w:rsidR="009F7762" w:rsidRPr="00D74025" w:rsidRDefault="009F7762">
      <w:pPr>
        <w:pStyle w:val="ListParagraph"/>
        <w:numPr>
          <w:ilvl w:val="0"/>
          <w:numId w:val="31"/>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Add 3 mL of trypsin to each T-75 flask and incubate it for 10 minutes at 37 ºC</w:t>
      </w:r>
      <w:r w:rsidR="00060798">
        <w:rPr>
          <w:rFonts w:ascii="Arial" w:hAnsi="Arial" w:cs="Arial"/>
          <w:color w:val="000000" w:themeColor="text1"/>
        </w:rPr>
        <w:t>.</w:t>
      </w:r>
    </w:p>
    <w:p w14:paraId="5754B437" w14:textId="2519CEA7" w:rsidR="009F7762" w:rsidRPr="00D74025" w:rsidRDefault="009F7762">
      <w:pPr>
        <w:pStyle w:val="ListParagraph"/>
        <w:numPr>
          <w:ilvl w:val="0"/>
          <w:numId w:val="31"/>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lastRenderedPageBreak/>
        <w:t>Add 3 ml of gelatin to the new T-75 flasks and incubate it for 10 minutes at 37 ºC</w:t>
      </w:r>
      <w:r w:rsidR="00060798">
        <w:rPr>
          <w:rFonts w:ascii="Arial" w:hAnsi="Arial" w:cs="Arial"/>
          <w:color w:val="000000" w:themeColor="text1"/>
        </w:rPr>
        <w:t>.</w:t>
      </w:r>
    </w:p>
    <w:p w14:paraId="679296DE" w14:textId="488EB09A" w:rsidR="009F7762" w:rsidRPr="00D74025" w:rsidRDefault="009F7762">
      <w:pPr>
        <w:pStyle w:val="ListParagraph"/>
        <w:numPr>
          <w:ilvl w:val="1"/>
          <w:numId w:val="31"/>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The gelatin constitutes an adhesion support for the cells that will further attach to it and consequently to the surface of the plate</w:t>
      </w:r>
      <w:r w:rsidR="00060798">
        <w:rPr>
          <w:rFonts w:ascii="Arial" w:hAnsi="Arial" w:cs="Arial"/>
          <w:color w:val="000000" w:themeColor="text1"/>
        </w:rPr>
        <w:t>.</w:t>
      </w:r>
    </w:p>
    <w:p w14:paraId="7DB2AA45" w14:textId="77777777" w:rsidR="009F7762" w:rsidRPr="00D74025" w:rsidRDefault="009F7762">
      <w:pPr>
        <w:pStyle w:val="ListParagraph"/>
        <w:numPr>
          <w:ilvl w:val="0"/>
          <w:numId w:val="31"/>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 xml:space="preserve">Visualize the cells under optical microscope after the 10 minutes incubation. Prior to visualization it is recommend </w:t>
      </w:r>
      <w:proofErr w:type="gramStart"/>
      <w:r w:rsidRPr="00D74025">
        <w:rPr>
          <w:rFonts w:ascii="Arial" w:hAnsi="Arial" w:cs="Arial"/>
          <w:color w:val="000000" w:themeColor="text1"/>
        </w:rPr>
        <w:t>to shake</w:t>
      </w:r>
      <w:proofErr w:type="gramEnd"/>
      <w:r w:rsidRPr="00D74025">
        <w:rPr>
          <w:rFonts w:ascii="Arial" w:hAnsi="Arial" w:cs="Arial"/>
          <w:color w:val="000000" w:themeColor="text1"/>
        </w:rPr>
        <w:t xml:space="preserve"> the flask in order to have the cells slightly moving. </w:t>
      </w:r>
    </w:p>
    <w:p w14:paraId="4A3B2149" w14:textId="77777777" w:rsidR="009F7762" w:rsidRPr="00D74025" w:rsidRDefault="009F7762">
      <w:pPr>
        <w:pStyle w:val="ListParagraph"/>
        <w:numPr>
          <w:ilvl w:val="1"/>
          <w:numId w:val="31"/>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 xml:space="preserve">Under the microscope it is expected to see </w:t>
      </w:r>
      <w:proofErr w:type="gramStart"/>
      <w:r w:rsidRPr="00D74025">
        <w:rPr>
          <w:rFonts w:ascii="Arial" w:hAnsi="Arial" w:cs="Arial"/>
          <w:color w:val="000000" w:themeColor="text1"/>
        </w:rPr>
        <w:t>all of</w:t>
      </w:r>
      <w:proofErr w:type="gramEnd"/>
      <w:r w:rsidRPr="00D74025">
        <w:rPr>
          <w:rFonts w:ascii="Arial" w:hAnsi="Arial" w:cs="Arial"/>
          <w:color w:val="000000" w:themeColor="text1"/>
        </w:rPr>
        <w:t xml:space="preserve"> the cells floating in suspension. The majority must be detached from the surface at this point, and their morphology should look different with a rounded appearance, instead of the traditional elongated shape. If this does not happen, there was something that did not work </w:t>
      </w:r>
      <w:proofErr w:type="gramStart"/>
      <w:r w:rsidRPr="00D74025">
        <w:rPr>
          <w:rFonts w:ascii="Arial" w:hAnsi="Arial" w:cs="Arial"/>
          <w:color w:val="000000" w:themeColor="text1"/>
        </w:rPr>
        <w:t>properly</w:t>
      </w:r>
      <w:proofErr w:type="gramEnd"/>
      <w:r w:rsidRPr="00D74025">
        <w:rPr>
          <w:rFonts w:ascii="Arial" w:hAnsi="Arial" w:cs="Arial"/>
          <w:color w:val="000000" w:themeColor="text1"/>
        </w:rPr>
        <w:t xml:space="preserve"> and the assay must be restarted. If </w:t>
      </w:r>
      <w:proofErr w:type="gramStart"/>
      <w:r w:rsidRPr="00D74025">
        <w:rPr>
          <w:rFonts w:ascii="Arial" w:hAnsi="Arial" w:cs="Arial"/>
          <w:color w:val="000000" w:themeColor="text1"/>
        </w:rPr>
        <w:t>the majority of</w:t>
      </w:r>
      <w:proofErr w:type="gramEnd"/>
      <w:r w:rsidRPr="00D74025">
        <w:rPr>
          <w:rFonts w:ascii="Arial" w:hAnsi="Arial" w:cs="Arial"/>
          <w:color w:val="000000" w:themeColor="text1"/>
        </w:rPr>
        <w:t xml:space="preserve"> the cells are floating, it means that the action of the enzymes was successful.</w:t>
      </w:r>
    </w:p>
    <w:p w14:paraId="5978D00D" w14:textId="5C6A2CE9" w:rsidR="009F7762" w:rsidRPr="00D74025" w:rsidRDefault="009F7762">
      <w:pPr>
        <w:pStyle w:val="ListParagraph"/>
        <w:numPr>
          <w:ilvl w:val="0"/>
          <w:numId w:val="31"/>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Add 7 ml of warm F12K medium and mix the cells 3 or 4 times with the pipettor</w:t>
      </w:r>
      <w:r w:rsidR="007006F0">
        <w:rPr>
          <w:rFonts w:ascii="Arial" w:hAnsi="Arial" w:cs="Arial"/>
          <w:color w:val="000000" w:themeColor="text1"/>
        </w:rPr>
        <w:t>.</w:t>
      </w:r>
    </w:p>
    <w:p w14:paraId="0AD25718" w14:textId="77777777" w:rsidR="009F7762" w:rsidRPr="00D74025" w:rsidRDefault="009F7762">
      <w:pPr>
        <w:pStyle w:val="ListParagraph"/>
        <w:numPr>
          <w:ilvl w:val="1"/>
          <w:numId w:val="31"/>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 xml:space="preserve">The medium was added to the cells </w:t>
      </w:r>
      <w:proofErr w:type="gramStart"/>
      <w:r w:rsidRPr="00D74025">
        <w:rPr>
          <w:rFonts w:ascii="Arial" w:hAnsi="Arial" w:cs="Arial"/>
          <w:color w:val="000000" w:themeColor="text1"/>
        </w:rPr>
        <w:t>in order to</w:t>
      </w:r>
      <w:proofErr w:type="gramEnd"/>
      <w:r w:rsidRPr="00D74025">
        <w:rPr>
          <w:rFonts w:ascii="Arial" w:hAnsi="Arial" w:cs="Arial"/>
          <w:color w:val="000000" w:themeColor="text1"/>
        </w:rPr>
        <w:t xml:space="preserve"> inhibit the action of the </w:t>
      </w:r>
      <w:proofErr w:type="spellStart"/>
      <w:r w:rsidRPr="00D74025">
        <w:rPr>
          <w:rFonts w:ascii="Arial" w:hAnsi="Arial" w:cs="Arial"/>
          <w:color w:val="000000" w:themeColor="text1"/>
        </w:rPr>
        <w:t>accutase</w:t>
      </w:r>
      <w:proofErr w:type="spellEnd"/>
      <w:r w:rsidRPr="00D74025">
        <w:rPr>
          <w:rFonts w:ascii="Arial" w:hAnsi="Arial" w:cs="Arial"/>
          <w:color w:val="000000" w:themeColor="text1"/>
        </w:rPr>
        <w:t>/trypsin.</w:t>
      </w:r>
    </w:p>
    <w:p w14:paraId="4263FB6D" w14:textId="7049D4B6" w:rsidR="009F7762" w:rsidRPr="00D74025" w:rsidRDefault="009F7762">
      <w:pPr>
        <w:pStyle w:val="ListParagraph"/>
        <w:numPr>
          <w:ilvl w:val="0"/>
          <w:numId w:val="31"/>
        </w:numPr>
        <w:spacing w:before="0" w:beforeAutospacing="0" w:after="0" w:afterAutospacing="0" w:line="276" w:lineRule="auto"/>
        <w:rPr>
          <w:rFonts w:ascii="Arial" w:hAnsi="Arial" w:cs="Arial"/>
          <w:b/>
          <w:color w:val="000000" w:themeColor="text1"/>
        </w:rPr>
      </w:pPr>
      <w:r w:rsidRPr="00D74025">
        <w:rPr>
          <w:rFonts w:ascii="Arial" w:hAnsi="Arial" w:cs="Arial"/>
          <w:color w:val="000000" w:themeColor="text1"/>
        </w:rPr>
        <w:t xml:space="preserve">Transfer </w:t>
      </w:r>
      <w:proofErr w:type="gramStart"/>
      <w:r w:rsidRPr="00D74025">
        <w:rPr>
          <w:rFonts w:ascii="Arial" w:hAnsi="Arial" w:cs="Arial"/>
          <w:color w:val="000000" w:themeColor="text1"/>
        </w:rPr>
        <w:t>the that</w:t>
      </w:r>
      <w:proofErr w:type="gramEnd"/>
      <w:r w:rsidRPr="00D74025">
        <w:rPr>
          <w:rFonts w:ascii="Arial" w:hAnsi="Arial" w:cs="Arial"/>
          <w:color w:val="000000" w:themeColor="text1"/>
        </w:rPr>
        <w:t xml:space="preserve"> solution to a 15 ml centrifuge tube. Centrifuge the tube for </w:t>
      </w:r>
      <w:r w:rsidRPr="00D74025">
        <w:rPr>
          <w:rFonts w:ascii="Arial" w:hAnsi="Arial" w:cs="Arial"/>
          <w:b/>
          <w:color w:val="000000" w:themeColor="text1"/>
        </w:rPr>
        <w:t>5 minutes at 1,100 rpm using a Mistral / MSE 3000 E centrifuge (Leicestershire, England)</w:t>
      </w:r>
      <w:r w:rsidR="007006F0">
        <w:rPr>
          <w:rFonts w:ascii="Arial" w:hAnsi="Arial" w:cs="Arial"/>
          <w:b/>
          <w:color w:val="000000" w:themeColor="text1"/>
        </w:rPr>
        <w:t>.</w:t>
      </w:r>
    </w:p>
    <w:p w14:paraId="10B157EC" w14:textId="77777777" w:rsidR="009F7762" w:rsidRPr="00D74025" w:rsidRDefault="009F7762">
      <w:pPr>
        <w:pStyle w:val="ListParagraph"/>
        <w:numPr>
          <w:ilvl w:val="0"/>
          <w:numId w:val="31"/>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Carefully remove 9 ml of the solution and leave 1 ml in the bottom of the tube.</w:t>
      </w:r>
    </w:p>
    <w:p w14:paraId="7E86AB9B" w14:textId="5B7243CD" w:rsidR="009F7762" w:rsidRPr="00D74025" w:rsidRDefault="009F7762">
      <w:pPr>
        <w:pStyle w:val="ListParagraph"/>
        <w:numPr>
          <w:ilvl w:val="0"/>
          <w:numId w:val="31"/>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 xml:space="preserve">Add 8 ml of medium to the </w:t>
      </w:r>
      <w:proofErr w:type="gramStart"/>
      <w:r w:rsidRPr="00D74025">
        <w:rPr>
          <w:rFonts w:ascii="Arial" w:hAnsi="Arial" w:cs="Arial"/>
          <w:color w:val="000000" w:themeColor="text1"/>
        </w:rPr>
        <w:t>tube, and</w:t>
      </w:r>
      <w:proofErr w:type="gramEnd"/>
      <w:r w:rsidRPr="00D74025">
        <w:rPr>
          <w:rFonts w:ascii="Arial" w:hAnsi="Arial" w:cs="Arial"/>
          <w:color w:val="000000" w:themeColor="text1"/>
        </w:rPr>
        <w:t xml:space="preserve"> pipette the solution several times in order to resuspend all of the cells and allow for obtaining a homogeneous cell suspension</w:t>
      </w:r>
      <w:r w:rsidR="007006F0">
        <w:rPr>
          <w:rFonts w:ascii="Arial" w:hAnsi="Arial" w:cs="Arial"/>
          <w:color w:val="000000" w:themeColor="text1"/>
        </w:rPr>
        <w:t>.</w:t>
      </w:r>
    </w:p>
    <w:p w14:paraId="0F726654" w14:textId="499FE8B6" w:rsidR="009F7762" w:rsidRPr="00D74025" w:rsidRDefault="009F7762">
      <w:pPr>
        <w:pStyle w:val="ListParagraph"/>
        <w:numPr>
          <w:ilvl w:val="1"/>
          <w:numId w:val="31"/>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A failure on this step can result in transfer of unequal number of cells per flask</w:t>
      </w:r>
      <w:r w:rsidR="007006F0">
        <w:rPr>
          <w:rFonts w:ascii="Arial" w:hAnsi="Arial" w:cs="Arial"/>
          <w:color w:val="000000" w:themeColor="text1"/>
        </w:rPr>
        <w:t>.</w:t>
      </w:r>
    </w:p>
    <w:p w14:paraId="32CC524C" w14:textId="77777777" w:rsidR="009F7762" w:rsidRPr="00D74025" w:rsidRDefault="009F7762">
      <w:pPr>
        <w:pStyle w:val="ListParagraph"/>
        <w:numPr>
          <w:ilvl w:val="0"/>
          <w:numId w:val="31"/>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Assuming a 1:3 cell passage, each T-75 flask received 3 ml of the cells’ solution.</w:t>
      </w:r>
    </w:p>
    <w:p w14:paraId="637E06C6" w14:textId="16AF74C6" w:rsidR="009F7762" w:rsidRPr="00D74025" w:rsidRDefault="009F7762">
      <w:pPr>
        <w:pStyle w:val="ListParagraph"/>
        <w:numPr>
          <w:ilvl w:val="1"/>
          <w:numId w:val="31"/>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The desired number of cells to add to each T-75 flask after cell passage must be approximately equal to 5 x 10</w:t>
      </w:r>
      <w:r w:rsidRPr="00D74025">
        <w:rPr>
          <w:rFonts w:ascii="Arial" w:hAnsi="Arial" w:cs="Arial"/>
          <w:color w:val="000000" w:themeColor="text1"/>
          <w:vertAlign w:val="superscript"/>
        </w:rPr>
        <w:t>4</w:t>
      </w:r>
      <w:r w:rsidRPr="00D74025">
        <w:rPr>
          <w:rFonts w:ascii="Arial" w:hAnsi="Arial" w:cs="Arial"/>
          <w:color w:val="000000" w:themeColor="text1"/>
        </w:rPr>
        <w:t xml:space="preserve"> cells</w:t>
      </w:r>
      <w:r w:rsidR="007006F0">
        <w:rPr>
          <w:rFonts w:ascii="Arial" w:hAnsi="Arial" w:cs="Arial"/>
          <w:color w:val="000000" w:themeColor="text1"/>
        </w:rPr>
        <w:t>.</w:t>
      </w:r>
    </w:p>
    <w:p w14:paraId="74D6B99C" w14:textId="641F7D8F" w:rsidR="009F7762" w:rsidRPr="00D74025" w:rsidRDefault="009F7762">
      <w:pPr>
        <w:pStyle w:val="ListParagraph"/>
        <w:numPr>
          <w:ilvl w:val="0"/>
          <w:numId w:val="31"/>
        </w:numPr>
        <w:spacing w:before="0" w:beforeAutospacing="0" w:after="0" w:afterAutospacing="0" w:line="276" w:lineRule="auto"/>
        <w:rPr>
          <w:rFonts w:ascii="Arial" w:hAnsi="Arial" w:cs="Arial"/>
          <w:color w:val="000000" w:themeColor="text1"/>
        </w:rPr>
      </w:pPr>
      <w:r w:rsidRPr="00D74025">
        <w:rPr>
          <w:rFonts w:ascii="Arial" w:hAnsi="Arial" w:cs="Arial"/>
          <w:color w:val="000000" w:themeColor="text1"/>
        </w:rPr>
        <w:t>Incubate the cells at 37 ºC, 5 % CO</w:t>
      </w:r>
      <w:r w:rsidRPr="00D74025">
        <w:rPr>
          <w:rFonts w:ascii="Arial" w:hAnsi="Arial" w:cs="Arial"/>
          <w:color w:val="000000" w:themeColor="text1"/>
          <w:vertAlign w:val="subscript"/>
        </w:rPr>
        <w:t>2</w:t>
      </w:r>
      <w:r w:rsidRPr="00D74025">
        <w:rPr>
          <w:rFonts w:ascii="Arial" w:hAnsi="Arial" w:cs="Arial"/>
          <w:color w:val="000000" w:themeColor="text1"/>
        </w:rPr>
        <w:t xml:space="preserve"> in the incubator</w:t>
      </w:r>
      <w:r w:rsidR="007006F0">
        <w:rPr>
          <w:rFonts w:ascii="Arial" w:hAnsi="Arial" w:cs="Arial"/>
          <w:color w:val="000000" w:themeColor="text1"/>
        </w:rPr>
        <w:t>.</w:t>
      </w:r>
    </w:p>
    <w:p w14:paraId="5AB7BA0B" w14:textId="20709C40" w:rsidR="009F7762" w:rsidRPr="00D74025" w:rsidRDefault="009F7762" w:rsidP="00F6020C">
      <w:pPr>
        <w:spacing w:line="276" w:lineRule="auto"/>
        <w:rPr>
          <w:rFonts w:ascii="Arial" w:hAnsi="Arial" w:cs="Arial"/>
          <w:color w:val="000000" w:themeColor="text1"/>
        </w:rPr>
      </w:pPr>
    </w:p>
    <w:p w14:paraId="1B271274" w14:textId="44FB9F64" w:rsidR="009F7762" w:rsidRPr="00D74025" w:rsidRDefault="009F7762" w:rsidP="00F6020C">
      <w:pPr>
        <w:spacing w:line="276" w:lineRule="auto"/>
        <w:rPr>
          <w:rFonts w:ascii="Arial" w:hAnsi="Arial" w:cs="Arial"/>
          <w:color w:val="000000" w:themeColor="text1"/>
        </w:rPr>
      </w:pPr>
    </w:p>
    <w:p w14:paraId="041EA276" w14:textId="264B4842" w:rsidR="009F7762" w:rsidRPr="00D74025" w:rsidRDefault="009F7762" w:rsidP="00F6020C">
      <w:pPr>
        <w:spacing w:line="276" w:lineRule="auto"/>
        <w:rPr>
          <w:rFonts w:ascii="Arial" w:hAnsi="Arial" w:cs="Arial"/>
          <w:color w:val="000000" w:themeColor="text1"/>
        </w:rPr>
      </w:pPr>
    </w:p>
    <w:p w14:paraId="311FD914" w14:textId="2DD7AA96" w:rsidR="009F7762" w:rsidRPr="00D74025" w:rsidRDefault="009F7762" w:rsidP="00F6020C">
      <w:pPr>
        <w:spacing w:line="276" w:lineRule="auto"/>
        <w:rPr>
          <w:rFonts w:ascii="Arial" w:hAnsi="Arial" w:cs="Arial"/>
          <w:color w:val="000000" w:themeColor="text1"/>
        </w:rPr>
      </w:pPr>
    </w:p>
    <w:p w14:paraId="45B7F98F" w14:textId="0EE6F486" w:rsidR="009F7762" w:rsidRPr="0035148E" w:rsidRDefault="00AE2FF7" w:rsidP="0035148E">
      <w:pPr>
        <w:pStyle w:val="Heading2"/>
        <w:spacing w:line="276" w:lineRule="auto"/>
        <w:ind w:firstLine="0"/>
        <w:rPr>
          <w:rFonts w:ascii="Arial" w:hAnsi="Arial" w:cs="Arial"/>
          <w:b/>
          <w:bCs/>
          <w:color w:val="000000" w:themeColor="text1"/>
          <w:sz w:val="24"/>
          <w:szCs w:val="24"/>
          <w:u w:val="single"/>
        </w:rPr>
      </w:pPr>
      <w:bookmarkStart w:id="217" w:name="_Toc121217308"/>
      <w:r w:rsidRPr="0035148E">
        <w:rPr>
          <w:rFonts w:ascii="Arial" w:hAnsi="Arial" w:cs="Arial"/>
          <w:b/>
          <w:bCs/>
          <w:color w:val="000000" w:themeColor="text1"/>
          <w:sz w:val="24"/>
          <w:szCs w:val="24"/>
          <w:u w:val="single"/>
        </w:rPr>
        <w:t>C</w:t>
      </w:r>
      <w:r w:rsidR="00D66ABE" w:rsidRPr="0035148E">
        <w:rPr>
          <w:rFonts w:ascii="Arial" w:hAnsi="Arial" w:cs="Arial"/>
          <w:b/>
          <w:bCs/>
          <w:color w:val="000000" w:themeColor="text1"/>
          <w:sz w:val="24"/>
          <w:szCs w:val="24"/>
          <w:u w:val="single"/>
        </w:rPr>
        <w:t>5</w:t>
      </w:r>
      <w:r w:rsidR="00133F27" w:rsidRPr="0035148E">
        <w:rPr>
          <w:rFonts w:ascii="Arial" w:hAnsi="Arial" w:cs="Arial"/>
          <w:b/>
          <w:bCs/>
          <w:color w:val="000000" w:themeColor="text1"/>
          <w:sz w:val="24"/>
          <w:szCs w:val="24"/>
          <w:u w:val="single"/>
        </w:rPr>
        <w:t xml:space="preserve">. </w:t>
      </w:r>
      <w:r w:rsidRPr="0035148E">
        <w:rPr>
          <w:rFonts w:ascii="Arial" w:hAnsi="Arial" w:cs="Arial"/>
          <w:b/>
          <w:bCs/>
          <w:color w:val="000000" w:themeColor="text1"/>
          <w:sz w:val="24"/>
          <w:szCs w:val="24"/>
          <w:u w:val="single"/>
        </w:rPr>
        <w:t xml:space="preserve">Counting </w:t>
      </w:r>
      <w:r w:rsidR="0035148E" w:rsidRPr="0035148E">
        <w:rPr>
          <w:rFonts w:ascii="Arial" w:hAnsi="Arial" w:cs="Arial"/>
          <w:b/>
          <w:bCs/>
          <w:color w:val="000000" w:themeColor="text1"/>
          <w:sz w:val="24"/>
          <w:szCs w:val="24"/>
          <w:u w:val="single"/>
        </w:rPr>
        <w:t>c</w:t>
      </w:r>
      <w:r w:rsidRPr="0035148E">
        <w:rPr>
          <w:rFonts w:ascii="Arial" w:hAnsi="Arial" w:cs="Arial"/>
          <w:b/>
          <w:bCs/>
          <w:color w:val="000000" w:themeColor="text1"/>
          <w:sz w:val="24"/>
          <w:szCs w:val="24"/>
          <w:u w:val="single"/>
        </w:rPr>
        <w:t xml:space="preserve">ells with </w:t>
      </w:r>
      <w:r w:rsidR="0035148E" w:rsidRPr="0035148E">
        <w:rPr>
          <w:rFonts w:ascii="Arial" w:hAnsi="Arial" w:cs="Arial"/>
          <w:b/>
          <w:bCs/>
          <w:color w:val="000000" w:themeColor="text1"/>
          <w:sz w:val="24"/>
          <w:szCs w:val="24"/>
          <w:u w:val="single"/>
        </w:rPr>
        <w:t>h</w:t>
      </w:r>
      <w:r w:rsidRPr="0035148E">
        <w:rPr>
          <w:rFonts w:ascii="Arial" w:hAnsi="Arial" w:cs="Arial"/>
          <w:b/>
          <w:bCs/>
          <w:color w:val="000000" w:themeColor="text1"/>
          <w:sz w:val="24"/>
          <w:szCs w:val="24"/>
          <w:u w:val="single"/>
        </w:rPr>
        <w:t>emocytom</w:t>
      </w:r>
      <w:r w:rsidR="00B617DD" w:rsidRPr="0035148E">
        <w:rPr>
          <w:rFonts w:ascii="Arial" w:hAnsi="Arial" w:cs="Arial"/>
          <w:b/>
          <w:bCs/>
          <w:color w:val="000000" w:themeColor="text1"/>
          <w:sz w:val="24"/>
          <w:szCs w:val="24"/>
          <w:u w:val="single"/>
        </w:rPr>
        <w:t>eter</w:t>
      </w:r>
      <w:bookmarkEnd w:id="217"/>
    </w:p>
    <w:p w14:paraId="6EA418B1" w14:textId="674F2D34" w:rsidR="00B617DD" w:rsidRPr="00D74025" w:rsidRDefault="00B617DD" w:rsidP="00F6020C">
      <w:pPr>
        <w:spacing w:line="276" w:lineRule="auto"/>
        <w:rPr>
          <w:rFonts w:ascii="Arial" w:hAnsi="Arial" w:cs="Arial"/>
          <w:color w:val="000000" w:themeColor="text1"/>
        </w:rPr>
      </w:pPr>
    </w:p>
    <w:p w14:paraId="48021F50" w14:textId="4D8D42EF" w:rsidR="00B617DD" w:rsidRPr="00D74025" w:rsidRDefault="00B617DD" w:rsidP="00F6020C">
      <w:pPr>
        <w:spacing w:line="276" w:lineRule="auto"/>
        <w:rPr>
          <w:rFonts w:ascii="Arial" w:hAnsi="Arial" w:cs="Arial"/>
          <w:color w:val="000000" w:themeColor="text1"/>
        </w:rPr>
      </w:pPr>
    </w:p>
    <w:p w14:paraId="7B69799C" w14:textId="77777777" w:rsidR="00B617DD" w:rsidRPr="00D74025" w:rsidRDefault="00B617DD" w:rsidP="00F6020C">
      <w:pPr>
        <w:autoSpaceDE w:val="0"/>
        <w:autoSpaceDN w:val="0"/>
        <w:adjustRightInd w:val="0"/>
        <w:spacing w:line="276" w:lineRule="auto"/>
        <w:rPr>
          <w:rFonts w:ascii="Arial" w:hAnsi="Arial" w:cs="Arial"/>
          <w:b/>
          <w:bCs/>
          <w:color w:val="000000" w:themeColor="text1"/>
        </w:rPr>
      </w:pPr>
      <w:r w:rsidRPr="00D74025">
        <w:rPr>
          <w:rFonts w:ascii="Arial" w:hAnsi="Arial" w:cs="Arial"/>
          <w:b/>
          <w:bCs/>
          <w:color w:val="000000" w:themeColor="text1"/>
        </w:rPr>
        <w:t>Materials</w:t>
      </w:r>
    </w:p>
    <w:p w14:paraId="186B4997" w14:textId="77777777"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Sterile:</w:t>
      </w:r>
    </w:p>
    <w:p w14:paraId="66F2D954" w14:textId="2FBA3E0F" w:rsidR="00B617DD" w:rsidRPr="00D74025" w:rsidRDefault="00B617DD">
      <w:pPr>
        <w:pStyle w:val="ListParagraph"/>
        <w:numPr>
          <w:ilvl w:val="0"/>
          <w:numId w:val="36"/>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PBS</w:t>
      </w:r>
    </w:p>
    <w:p w14:paraId="0D88638E" w14:textId="77777777" w:rsidR="00B617DD" w:rsidRPr="00D74025" w:rsidRDefault="00B617DD">
      <w:pPr>
        <w:pStyle w:val="ListParagraph"/>
        <w:numPr>
          <w:ilvl w:val="0"/>
          <w:numId w:val="36"/>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Crude trypsin, 0.25%</w:t>
      </w:r>
    </w:p>
    <w:p w14:paraId="445FF19D" w14:textId="77777777" w:rsidR="00B617DD" w:rsidRPr="00D74025" w:rsidRDefault="00B617DD">
      <w:pPr>
        <w:pStyle w:val="ListParagraph"/>
        <w:numPr>
          <w:ilvl w:val="0"/>
          <w:numId w:val="36"/>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lastRenderedPageBreak/>
        <w:t>Growth medium</w:t>
      </w:r>
    </w:p>
    <w:p w14:paraId="2FC4E243" w14:textId="77777777" w:rsidR="00B617DD" w:rsidRPr="00D74025" w:rsidRDefault="00B617DD">
      <w:pPr>
        <w:pStyle w:val="ListParagraph"/>
        <w:numPr>
          <w:ilvl w:val="0"/>
          <w:numId w:val="36"/>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Yellow pipettor tips</w:t>
      </w:r>
    </w:p>
    <w:p w14:paraId="2F28F018" w14:textId="77777777"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Nonsterile:</w:t>
      </w:r>
    </w:p>
    <w:p w14:paraId="508F94B2" w14:textId="77777777" w:rsidR="00B617DD" w:rsidRPr="00D74025" w:rsidRDefault="00B617DD">
      <w:pPr>
        <w:pStyle w:val="ListParagraph"/>
        <w:numPr>
          <w:ilvl w:val="0"/>
          <w:numId w:val="37"/>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Pipettor, 20 </w:t>
      </w:r>
      <w:proofErr w:type="spellStart"/>
      <w:r w:rsidRPr="00D74025">
        <w:rPr>
          <w:rFonts w:ascii="Arial" w:hAnsi="Arial" w:cs="Arial"/>
          <w:color w:val="000000" w:themeColor="text1"/>
        </w:rPr>
        <w:t>μL</w:t>
      </w:r>
      <w:proofErr w:type="spellEnd"/>
      <w:r w:rsidRPr="00D74025">
        <w:rPr>
          <w:rFonts w:ascii="Arial" w:hAnsi="Arial" w:cs="Arial"/>
          <w:color w:val="000000" w:themeColor="text1"/>
        </w:rPr>
        <w:t xml:space="preserve"> or adjustable 100 </w:t>
      </w:r>
      <w:proofErr w:type="spellStart"/>
      <w:r w:rsidRPr="00D74025">
        <w:rPr>
          <w:rFonts w:ascii="Arial" w:hAnsi="Arial" w:cs="Arial"/>
          <w:color w:val="000000" w:themeColor="text1"/>
        </w:rPr>
        <w:t>μL</w:t>
      </w:r>
      <w:proofErr w:type="spellEnd"/>
    </w:p>
    <w:p w14:paraId="2F48518C" w14:textId="77777777" w:rsidR="00B617DD" w:rsidRPr="00D74025" w:rsidRDefault="00B617DD">
      <w:pPr>
        <w:pStyle w:val="ListParagraph"/>
        <w:numPr>
          <w:ilvl w:val="0"/>
          <w:numId w:val="37"/>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Hemocytometer (Improved Neubauer)</w:t>
      </w:r>
    </w:p>
    <w:p w14:paraId="046D3C62" w14:textId="77777777" w:rsidR="00B617DD" w:rsidRPr="00D74025" w:rsidRDefault="00B617DD">
      <w:pPr>
        <w:pStyle w:val="ListParagraph"/>
        <w:numPr>
          <w:ilvl w:val="0"/>
          <w:numId w:val="37"/>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Tally counter</w:t>
      </w:r>
    </w:p>
    <w:p w14:paraId="6DB22AE1" w14:textId="77777777" w:rsidR="00B617DD" w:rsidRPr="00D74025" w:rsidRDefault="00B617DD">
      <w:pPr>
        <w:pStyle w:val="ListParagraph"/>
        <w:numPr>
          <w:ilvl w:val="0"/>
          <w:numId w:val="37"/>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Microscope, preferably with phase contrast optics</w:t>
      </w:r>
    </w:p>
    <w:p w14:paraId="6723EB2D" w14:textId="77777777" w:rsidR="00B617DD" w:rsidRPr="00D74025" w:rsidRDefault="00B617DD" w:rsidP="00F6020C">
      <w:pPr>
        <w:autoSpaceDE w:val="0"/>
        <w:autoSpaceDN w:val="0"/>
        <w:adjustRightInd w:val="0"/>
        <w:spacing w:line="276" w:lineRule="auto"/>
        <w:rPr>
          <w:rFonts w:ascii="Arial" w:hAnsi="Arial" w:cs="Arial"/>
          <w:b/>
          <w:bCs/>
          <w:color w:val="000000" w:themeColor="text1"/>
        </w:rPr>
      </w:pPr>
      <w:r w:rsidRPr="00D74025">
        <w:rPr>
          <w:rFonts w:ascii="Arial" w:hAnsi="Arial" w:cs="Arial"/>
          <w:b/>
          <w:bCs/>
          <w:color w:val="000000" w:themeColor="text1"/>
        </w:rPr>
        <w:t>Procedure</w:t>
      </w:r>
    </w:p>
    <w:p w14:paraId="68021DD9" w14:textId="77777777"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 </w:t>
      </w:r>
      <w:r w:rsidRPr="00D74025">
        <w:rPr>
          <w:rFonts w:ascii="Arial" w:hAnsi="Arial" w:cs="Arial"/>
          <w:color w:val="000000" w:themeColor="text1"/>
        </w:rPr>
        <w:t>Sample the cells:</w:t>
      </w:r>
    </w:p>
    <w:p w14:paraId="343FFB61" w14:textId="77777777"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(a) </w:t>
      </w:r>
      <w:r w:rsidRPr="00D74025">
        <w:rPr>
          <w:rFonts w:ascii="Arial" w:hAnsi="Arial" w:cs="Arial"/>
          <w:color w:val="000000" w:themeColor="text1"/>
        </w:rPr>
        <w:t>For a monolayer,</w:t>
      </w:r>
    </w:p>
    <w:p w14:paraId="159B8125" w14:textId="77777777"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 xml:space="preserve"> (</w:t>
      </w:r>
      <w:proofErr w:type="spellStart"/>
      <w:r w:rsidRPr="00D74025">
        <w:rPr>
          <w:rFonts w:ascii="Arial" w:hAnsi="Arial" w:cs="Arial"/>
          <w:color w:val="000000" w:themeColor="text1"/>
        </w:rPr>
        <w:t>i</w:t>
      </w:r>
      <w:proofErr w:type="spellEnd"/>
      <w:r w:rsidRPr="00D74025">
        <w:rPr>
          <w:rFonts w:ascii="Arial" w:hAnsi="Arial" w:cs="Arial"/>
          <w:color w:val="000000" w:themeColor="text1"/>
        </w:rPr>
        <w:t xml:space="preserve">) </w:t>
      </w:r>
      <w:proofErr w:type="spellStart"/>
      <w:r w:rsidRPr="00D74025">
        <w:rPr>
          <w:rFonts w:ascii="Arial" w:hAnsi="Arial" w:cs="Arial"/>
          <w:color w:val="000000" w:themeColor="text1"/>
        </w:rPr>
        <w:t>Trypsinize</w:t>
      </w:r>
      <w:proofErr w:type="spellEnd"/>
      <w:r w:rsidRPr="00D74025">
        <w:rPr>
          <w:rFonts w:ascii="Arial" w:hAnsi="Arial" w:cs="Arial"/>
          <w:color w:val="000000" w:themeColor="text1"/>
        </w:rPr>
        <w:t xml:space="preserve"> the monolayer as for routine subculture and resuspend in medium to give an estimated 1 </w:t>
      </w:r>
      <w:r w:rsidRPr="00D74025">
        <w:rPr>
          <w:rFonts w:ascii="Arial" w:eastAsia="MTSY" w:hAnsi="Arial" w:cs="Arial"/>
          <w:color w:val="000000" w:themeColor="text1"/>
        </w:rPr>
        <w:t xml:space="preserve">× </w:t>
      </w:r>
      <w:r w:rsidRPr="00D74025">
        <w:rPr>
          <w:rFonts w:ascii="Arial" w:hAnsi="Arial" w:cs="Arial"/>
          <w:color w:val="000000" w:themeColor="text1"/>
        </w:rPr>
        <w:t>10</w:t>
      </w:r>
      <w:r w:rsidRPr="00D74025">
        <w:rPr>
          <w:rFonts w:ascii="Arial" w:hAnsi="Arial" w:cs="Arial"/>
          <w:color w:val="000000" w:themeColor="text1"/>
          <w:vertAlign w:val="superscript"/>
        </w:rPr>
        <w:t>6</w:t>
      </w:r>
      <w:r w:rsidRPr="00D74025">
        <w:rPr>
          <w:rFonts w:ascii="Arial" w:hAnsi="Arial" w:cs="Arial"/>
          <w:color w:val="000000" w:themeColor="text1"/>
        </w:rPr>
        <w:t>/</w:t>
      </w:r>
      <w:proofErr w:type="spellStart"/>
      <w:r w:rsidRPr="00D74025">
        <w:rPr>
          <w:rFonts w:ascii="Arial" w:hAnsi="Arial" w:cs="Arial"/>
          <w:color w:val="000000" w:themeColor="text1"/>
        </w:rPr>
        <w:t>mL.</w:t>
      </w:r>
      <w:proofErr w:type="spellEnd"/>
      <w:r w:rsidRPr="00D74025">
        <w:rPr>
          <w:rFonts w:ascii="Arial" w:hAnsi="Arial" w:cs="Arial"/>
          <w:color w:val="000000" w:themeColor="text1"/>
        </w:rPr>
        <w:t xml:space="preserve"> Where samples are being counted in a growth experiment, the trypsin need not be removed and the cells can be dispersed in the </w:t>
      </w:r>
      <w:proofErr w:type="spellStart"/>
      <w:r w:rsidRPr="00D74025">
        <w:rPr>
          <w:rFonts w:ascii="Arial" w:hAnsi="Arial" w:cs="Arial"/>
          <w:color w:val="000000" w:themeColor="text1"/>
        </w:rPr>
        <w:t>trypsinate</w:t>
      </w:r>
      <w:proofErr w:type="spellEnd"/>
      <w:r w:rsidRPr="00D74025">
        <w:rPr>
          <w:rFonts w:ascii="Arial" w:hAnsi="Arial" w:cs="Arial"/>
          <w:color w:val="000000" w:themeColor="text1"/>
        </w:rPr>
        <w:t xml:space="preserve"> and counted directly, or after diluting 50:50 with medium containing serum if the cells tend to reaggregate.</w:t>
      </w:r>
    </w:p>
    <w:p w14:paraId="09B6382B" w14:textId="77777777"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(ii) Mix the suspension thoroughly to disperse the cells, and transfer a small sample (</w:t>
      </w:r>
      <w:r w:rsidRPr="00D74025">
        <w:rPr>
          <w:rFonts w:ascii="Cambria Math" w:eastAsia="MTSY" w:hAnsi="Cambria Math" w:cs="Cambria Math"/>
          <w:color w:val="000000" w:themeColor="text1"/>
        </w:rPr>
        <w:t>∼</w:t>
      </w:r>
      <w:proofErr w:type="gramStart"/>
      <w:r w:rsidRPr="00D74025">
        <w:rPr>
          <w:rFonts w:ascii="Arial" w:hAnsi="Arial" w:cs="Arial"/>
          <w:color w:val="000000" w:themeColor="text1"/>
        </w:rPr>
        <w:t>1  mL</w:t>
      </w:r>
      <w:proofErr w:type="gramEnd"/>
      <w:r w:rsidRPr="00D74025">
        <w:rPr>
          <w:rFonts w:ascii="Arial" w:hAnsi="Arial" w:cs="Arial"/>
          <w:color w:val="000000" w:themeColor="text1"/>
        </w:rPr>
        <w:t>) to a vial or universal container.</w:t>
      </w:r>
    </w:p>
    <w:p w14:paraId="2E95874A" w14:textId="77777777"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Aspirate the media</w:t>
      </w:r>
    </w:p>
    <w:p w14:paraId="3973E82B" w14:textId="77777777" w:rsidR="00B617DD" w:rsidRPr="00D74025" w:rsidRDefault="00B617DD" w:rsidP="00F6020C">
      <w:pPr>
        <w:autoSpaceDE w:val="0"/>
        <w:autoSpaceDN w:val="0"/>
        <w:adjustRightInd w:val="0"/>
        <w:spacing w:line="276" w:lineRule="auto"/>
        <w:rPr>
          <w:rFonts w:ascii="Arial" w:hAnsi="Arial" w:cs="Arial"/>
          <w:i/>
          <w:color w:val="000000" w:themeColor="text1"/>
        </w:rPr>
      </w:pPr>
      <w:r w:rsidRPr="00D74025">
        <w:rPr>
          <w:rFonts w:ascii="Arial" w:hAnsi="Arial" w:cs="Arial"/>
          <w:i/>
          <w:color w:val="000000" w:themeColor="text1"/>
        </w:rPr>
        <w:t>Wash it with PBS (2-3 mL)</w:t>
      </w:r>
    </w:p>
    <w:p w14:paraId="2E9E7BA2" w14:textId="62273B2E"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i/>
          <w:color w:val="000000" w:themeColor="text1"/>
        </w:rPr>
        <w:t>Use 2</w:t>
      </w:r>
      <w:r w:rsidR="00053213">
        <w:rPr>
          <w:rFonts w:ascii="Arial" w:hAnsi="Arial" w:cs="Arial"/>
          <w:i/>
          <w:color w:val="000000" w:themeColor="text1"/>
        </w:rPr>
        <w:t xml:space="preserve"> </w:t>
      </w:r>
      <w:r w:rsidRPr="00D74025">
        <w:rPr>
          <w:rFonts w:ascii="Arial" w:hAnsi="Arial" w:cs="Arial"/>
          <w:i/>
          <w:color w:val="000000" w:themeColor="text1"/>
        </w:rPr>
        <w:t>mL of trypsin for the big flask (75</w:t>
      </w:r>
      <w:r w:rsidR="00053213">
        <w:rPr>
          <w:rFonts w:ascii="Arial" w:hAnsi="Arial" w:cs="Arial"/>
          <w:i/>
          <w:color w:val="000000" w:themeColor="text1"/>
        </w:rPr>
        <w:t xml:space="preserve"> </w:t>
      </w:r>
      <w:r w:rsidRPr="00D74025">
        <w:rPr>
          <w:rFonts w:ascii="Arial" w:hAnsi="Arial" w:cs="Arial"/>
          <w:i/>
          <w:color w:val="000000" w:themeColor="text1"/>
        </w:rPr>
        <w:t>cm</w:t>
      </w:r>
      <w:r w:rsidRPr="00D74025">
        <w:rPr>
          <w:rFonts w:ascii="Arial" w:hAnsi="Arial" w:cs="Arial"/>
          <w:i/>
          <w:color w:val="000000" w:themeColor="text1"/>
          <w:vertAlign w:val="superscript"/>
        </w:rPr>
        <w:t>2</w:t>
      </w:r>
      <w:r w:rsidRPr="00D74025">
        <w:rPr>
          <w:rFonts w:ascii="Arial" w:hAnsi="Arial" w:cs="Arial"/>
          <w:i/>
          <w:color w:val="000000" w:themeColor="text1"/>
        </w:rPr>
        <w:t>)</w:t>
      </w:r>
    </w:p>
    <w:p w14:paraId="10F9D0AB" w14:textId="77777777" w:rsidR="00B617DD" w:rsidRPr="00D74025" w:rsidRDefault="00B617DD" w:rsidP="00F6020C">
      <w:pPr>
        <w:autoSpaceDE w:val="0"/>
        <w:autoSpaceDN w:val="0"/>
        <w:adjustRightInd w:val="0"/>
        <w:spacing w:line="276" w:lineRule="auto"/>
        <w:rPr>
          <w:rFonts w:ascii="Arial" w:hAnsi="Arial" w:cs="Arial"/>
          <w:i/>
          <w:color w:val="000000" w:themeColor="text1"/>
        </w:rPr>
      </w:pPr>
      <w:r w:rsidRPr="00D74025">
        <w:rPr>
          <w:rFonts w:ascii="Arial" w:hAnsi="Arial" w:cs="Arial"/>
          <w:i/>
          <w:color w:val="000000" w:themeColor="text1"/>
        </w:rPr>
        <w:t>Check on microscope the if the cells have detached from plate.</w:t>
      </w:r>
    </w:p>
    <w:p w14:paraId="5AC6E94A" w14:textId="77777777" w:rsidR="00B617DD" w:rsidRPr="00D74025" w:rsidRDefault="00B617DD" w:rsidP="00F6020C">
      <w:pPr>
        <w:autoSpaceDE w:val="0"/>
        <w:autoSpaceDN w:val="0"/>
        <w:adjustRightInd w:val="0"/>
        <w:spacing w:line="276" w:lineRule="auto"/>
        <w:rPr>
          <w:rFonts w:ascii="Arial" w:hAnsi="Arial" w:cs="Arial"/>
          <w:i/>
          <w:color w:val="000000" w:themeColor="text1"/>
        </w:rPr>
      </w:pPr>
      <w:r w:rsidRPr="00D74025">
        <w:rPr>
          <w:rFonts w:ascii="Arial" w:hAnsi="Arial" w:cs="Arial"/>
          <w:i/>
          <w:color w:val="000000" w:themeColor="text1"/>
        </w:rPr>
        <w:t>Gentle agitation and pipetting up and down helps the cells to detach.</w:t>
      </w:r>
    </w:p>
    <w:p w14:paraId="1BF0AC6D" w14:textId="77777777" w:rsidR="00B617DD" w:rsidRPr="00D74025" w:rsidRDefault="00B617DD" w:rsidP="00F6020C">
      <w:pPr>
        <w:autoSpaceDE w:val="0"/>
        <w:autoSpaceDN w:val="0"/>
        <w:adjustRightInd w:val="0"/>
        <w:spacing w:line="276" w:lineRule="auto"/>
        <w:rPr>
          <w:rFonts w:ascii="Arial" w:hAnsi="Arial" w:cs="Arial"/>
          <w:i/>
          <w:color w:val="000000" w:themeColor="text1"/>
        </w:rPr>
      </w:pPr>
      <w:r w:rsidRPr="00D74025">
        <w:rPr>
          <w:rFonts w:ascii="Arial" w:hAnsi="Arial" w:cs="Arial"/>
          <w:i/>
          <w:color w:val="000000" w:themeColor="text1"/>
        </w:rPr>
        <w:t xml:space="preserve">Centrifuge for 5 min if the cell concentration is low. </w:t>
      </w:r>
    </w:p>
    <w:p w14:paraId="7B13A4B1" w14:textId="77777777" w:rsidR="00B617DD" w:rsidRPr="00D74025" w:rsidRDefault="00B617DD" w:rsidP="00F6020C">
      <w:pPr>
        <w:autoSpaceDE w:val="0"/>
        <w:autoSpaceDN w:val="0"/>
        <w:adjustRightInd w:val="0"/>
        <w:spacing w:line="276" w:lineRule="auto"/>
        <w:rPr>
          <w:rFonts w:ascii="Arial" w:hAnsi="Arial" w:cs="Arial"/>
          <w:i/>
          <w:color w:val="000000" w:themeColor="text1"/>
        </w:rPr>
      </w:pPr>
      <w:r w:rsidRPr="00D74025">
        <w:rPr>
          <w:rFonts w:ascii="Arial" w:hAnsi="Arial" w:cs="Arial"/>
          <w:i/>
          <w:color w:val="000000" w:themeColor="text1"/>
        </w:rPr>
        <w:t>Aspirate the media.</w:t>
      </w:r>
    </w:p>
    <w:p w14:paraId="3BA20500" w14:textId="77777777" w:rsidR="00B617DD" w:rsidRPr="00D74025" w:rsidRDefault="00B617DD" w:rsidP="00F6020C">
      <w:pPr>
        <w:autoSpaceDE w:val="0"/>
        <w:autoSpaceDN w:val="0"/>
        <w:adjustRightInd w:val="0"/>
        <w:spacing w:line="276" w:lineRule="auto"/>
        <w:rPr>
          <w:rFonts w:ascii="Arial" w:hAnsi="Arial" w:cs="Arial"/>
          <w:i/>
          <w:color w:val="000000" w:themeColor="text1"/>
        </w:rPr>
      </w:pPr>
      <w:r w:rsidRPr="00D74025">
        <w:rPr>
          <w:rFonts w:ascii="Arial" w:hAnsi="Arial" w:cs="Arial"/>
          <w:i/>
          <w:color w:val="000000" w:themeColor="text1"/>
        </w:rPr>
        <w:t>Resuspend the cells in 3 ml of media. Make sure to agitate to make it homogenous.</w:t>
      </w:r>
    </w:p>
    <w:p w14:paraId="51A69DA7" w14:textId="7573CEE2" w:rsidR="00B617DD" w:rsidRPr="00D74025" w:rsidRDefault="00B617DD" w:rsidP="00F6020C">
      <w:pPr>
        <w:autoSpaceDE w:val="0"/>
        <w:autoSpaceDN w:val="0"/>
        <w:adjustRightInd w:val="0"/>
        <w:spacing w:line="276" w:lineRule="auto"/>
        <w:rPr>
          <w:rFonts w:ascii="Arial" w:hAnsi="Arial" w:cs="Arial"/>
          <w:i/>
          <w:color w:val="000000" w:themeColor="text1"/>
        </w:rPr>
      </w:pPr>
      <w:r w:rsidRPr="00D74025">
        <w:rPr>
          <w:rFonts w:ascii="Arial" w:hAnsi="Arial" w:cs="Arial"/>
          <w:i/>
          <w:color w:val="000000" w:themeColor="text1"/>
        </w:rPr>
        <w:t xml:space="preserve">Take 40 </w:t>
      </w:r>
      <w:r w:rsidR="00FF588A">
        <w:rPr>
          <w:rFonts w:ascii="Arial" w:hAnsi="Arial" w:cs="Arial"/>
          <w:color w:val="000000" w:themeColor="text1"/>
          <w:lang w:val="en"/>
        </w:rPr>
        <w:sym w:font="Symbol" w:char="F06D"/>
      </w:r>
      <w:r w:rsidR="00FF588A" w:rsidRPr="00E56710">
        <w:rPr>
          <w:rFonts w:ascii="Arial" w:hAnsi="Arial" w:cs="Arial"/>
          <w:color w:val="000000" w:themeColor="text1"/>
          <w:lang w:val="en"/>
        </w:rPr>
        <w:t>L</w:t>
      </w:r>
      <w:r w:rsidRPr="00D74025">
        <w:rPr>
          <w:rFonts w:ascii="Arial" w:hAnsi="Arial" w:cs="Arial"/>
          <w:i/>
          <w:color w:val="000000" w:themeColor="text1"/>
        </w:rPr>
        <w:t xml:space="preserve"> of the suspension and transfer to a </w:t>
      </w:r>
      <w:proofErr w:type="spellStart"/>
      <w:r w:rsidRPr="00D74025">
        <w:rPr>
          <w:rFonts w:ascii="Arial" w:hAnsi="Arial" w:cs="Arial"/>
          <w:i/>
          <w:color w:val="000000" w:themeColor="text1"/>
        </w:rPr>
        <w:t>microvial</w:t>
      </w:r>
      <w:proofErr w:type="spellEnd"/>
      <w:r w:rsidRPr="00D74025">
        <w:rPr>
          <w:rFonts w:ascii="Arial" w:hAnsi="Arial" w:cs="Arial"/>
          <w:i/>
          <w:color w:val="000000" w:themeColor="text1"/>
        </w:rPr>
        <w:t>.</w:t>
      </w:r>
    </w:p>
    <w:p w14:paraId="7FFAE289" w14:textId="77777777"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(b) </w:t>
      </w:r>
      <w:r w:rsidRPr="00D74025">
        <w:rPr>
          <w:rFonts w:ascii="Arial" w:hAnsi="Arial" w:cs="Arial"/>
          <w:color w:val="000000" w:themeColor="text1"/>
        </w:rPr>
        <w:t>For a suspension culture,</w:t>
      </w:r>
    </w:p>
    <w:p w14:paraId="56D19DED" w14:textId="77777777"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w:t>
      </w:r>
      <w:proofErr w:type="spellStart"/>
      <w:r w:rsidRPr="00D74025">
        <w:rPr>
          <w:rFonts w:ascii="Arial" w:hAnsi="Arial" w:cs="Arial"/>
          <w:color w:val="000000" w:themeColor="text1"/>
        </w:rPr>
        <w:t>i</w:t>
      </w:r>
      <w:proofErr w:type="spellEnd"/>
      <w:r w:rsidRPr="00D74025">
        <w:rPr>
          <w:rFonts w:ascii="Arial" w:hAnsi="Arial" w:cs="Arial"/>
          <w:color w:val="000000" w:themeColor="text1"/>
        </w:rPr>
        <w:t>) Mix the suspension thoroughly to disperse any clumps.</w:t>
      </w:r>
    </w:p>
    <w:p w14:paraId="42A46630" w14:textId="77777777"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 xml:space="preserve">(ii) Transfer 1 mL of the suspension to a vial or universal container. A minimum of approximately 1 </w:t>
      </w:r>
      <w:r w:rsidRPr="00D74025">
        <w:rPr>
          <w:rFonts w:ascii="Arial" w:eastAsia="MTSY" w:hAnsi="Arial" w:cs="Arial"/>
          <w:color w:val="000000" w:themeColor="text1"/>
        </w:rPr>
        <w:t xml:space="preserve">× </w:t>
      </w:r>
      <w:r w:rsidRPr="00D74025">
        <w:rPr>
          <w:rFonts w:ascii="Arial" w:hAnsi="Arial" w:cs="Arial"/>
          <w:color w:val="000000" w:themeColor="text1"/>
        </w:rPr>
        <w:t>10</w:t>
      </w:r>
      <w:r w:rsidRPr="00D74025">
        <w:rPr>
          <w:rFonts w:ascii="Arial" w:hAnsi="Arial" w:cs="Arial"/>
          <w:color w:val="000000" w:themeColor="text1"/>
          <w:vertAlign w:val="superscript"/>
        </w:rPr>
        <w:t>6</w:t>
      </w:r>
      <w:r w:rsidRPr="00D74025">
        <w:rPr>
          <w:rFonts w:ascii="Arial" w:hAnsi="Arial" w:cs="Arial"/>
          <w:color w:val="000000" w:themeColor="text1"/>
        </w:rPr>
        <w:t xml:space="preserve"> cells/mL is required for this method, so the suspension may need to be concentrated by centrifugation (at 100 g for 2 min) and resuspension it in a measured smaller volume.</w:t>
      </w:r>
    </w:p>
    <w:p w14:paraId="37F11827" w14:textId="77777777" w:rsidR="00B617DD" w:rsidRPr="00D74025" w:rsidRDefault="00B617DD" w:rsidP="00F6020C">
      <w:pPr>
        <w:autoSpaceDE w:val="0"/>
        <w:autoSpaceDN w:val="0"/>
        <w:adjustRightInd w:val="0"/>
        <w:spacing w:line="276" w:lineRule="auto"/>
        <w:rPr>
          <w:rFonts w:ascii="Arial" w:hAnsi="Arial" w:cs="Arial"/>
          <w:i/>
          <w:color w:val="000000" w:themeColor="text1"/>
        </w:rPr>
      </w:pPr>
      <w:r w:rsidRPr="00D74025">
        <w:rPr>
          <w:rFonts w:ascii="Arial" w:hAnsi="Arial" w:cs="Arial"/>
          <w:i/>
          <w:color w:val="000000" w:themeColor="text1"/>
        </w:rPr>
        <w:t>Centrifuge for 5 min if the cell concentration is low at 1100 rpm (centrifuge in D211).</w:t>
      </w:r>
    </w:p>
    <w:p w14:paraId="37386C68" w14:textId="77777777" w:rsidR="00B617DD" w:rsidRPr="00D74025" w:rsidRDefault="00B617DD" w:rsidP="00F6020C">
      <w:pPr>
        <w:autoSpaceDE w:val="0"/>
        <w:autoSpaceDN w:val="0"/>
        <w:adjustRightInd w:val="0"/>
        <w:spacing w:line="276" w:lineRule="auto"/>
        <w:rPr>
          <w:rFonts w:ascii="Arial" w:hAnsi="Arial" w:cs="Arial"/>
          <w:i/>
          <w:color w:val="000000" w:themeColor="text1"/>
        </w:rPr>
      </w:pPr>
      <w:r w:rsidRPr="00D74025">
        <w:rPr>
          <w:rFonts w:ascii="Arial" w:hAnsi="Arial" w:cs="Arial"/>
          <w:i/>
          <w:color w:val="000000" w:themeColor="text1"/>
        </w:rPr>
        <w:t>Aspirate the media.</w:t>
      </w:r>
    </w:p>
    <w:p w14:paraId="0AA39C43" w14:textId="77777777"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i/>
          <w:color w:val="000000" w:themeColor="text1"/>
        </w:rPr>
        <w:t>Resuspend the cells in 3 ml of media. Make sure to agitate to make it homogenous.</w:t>
      </w:r>
    </w:p>
    <w:p w14:paraId="41AE7EF2" w14:textId="77777777"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2. </w:t>
      </w:r>
      <w:r w:rsidRPr="00D74025">
        <w:rPr>
          <w:rFonts w:ascii="Arial" w:hAnsi="Arial" w:cs="Arial"/>
          <w:color w:val="000000" w:themeColor="text1"/>
        </w:rPr>
        <w:t>Prepare the slide:</w:t>
      </w:r>
    </w:p>
    <w:p w14:paraId="5E48E420" w14:textId="77777777"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(a) </w:t>
      </w:r>
      <w:r w:rsidRPr="00D74025">
        <w:rPr>
          <w:rFonts w:ascii="Arial" w:hAnsi="Arial" w:cs="Arial"/>
          <w:color w:val="000000" w:themeColor="text1"/>
        </w:rPr>
        <w:t xml:space="preserve">Clean the surface of the slide with 70% alcohol, taking care not to scratch the </w:t>
      </w:r>
      <w:proofErr w:type="spellStart"/>
      <w:r w:rsidRPr="00D74025">
        <w:rPr>
          <w:rFonts w:ascii="Arial" w:hAnsi="Arial" w:cs="Arial"/>
          <w:color w:val="000000" w:themeColor="text1"/>
        </w:rPr>
        <w:t>semisilvered</w:t>
      </w:r>
      <w:proofErr w:type="spellEnd"/>
      <w:r w:rsidRPr="00D74025">
        <w:rPr>
          <w:rFonts w:ascii="Arial" w:hAnsi="Arial" w:cs="Arial"/>
          <w:color w:val="000000" w:themeColor="text1"/>
        </w:rPr>
        <w:t xml:space="preserve"> coating.</w:t>
      </w:r>
    </w:p>
    <w:p w14:paraId="2D649424" w14:textId="4944175A"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(b) </w:t>
      </w:r>
      <w:r w:rsidRPr="00D74025">
        <w:rPr>
          <w:rFonts w:ascii="Arial" w:hAnsi="Arial" w:cs="Arial"/>
          <w:color w:val="000000" w:themeColor="text1"/>
        </w:rPr>
        <w:t>Clean the coverslip, and wetting the edges very slightly, press it down over the grooves and semi</w:t>
      </w:r>
      <w:r w:rsidR="0081201A">
        <w:rPr>
          <w:rFonts w:ascii="Arial" w:hAnsi="Arial" w:cs="Arial"/>
          <w:color w:val="000000" w:themeColor="text1"/>
        </w:rPr>
        <w:t xml:space="preserve"> </w:t>
      </w:r>
      <w:r w:rsidRPr="00D74025">
        <w:rPr>
          <w:rFonts w:ascii="Arial" w:hAnsi="Arial" w:cs="Arial"/>
          <w:color w:val="000000" w:themeColor="text1"/>
        </w:rPr>
        <w:t xml:space="preserve">silvered counting area with the edges of the coverslip extending </w:t>
      </w:r>
      <w:r w:rsidRPr="00D74025">
        <w:rPr>
          <w:rFonts w:ascii="Arial" w:hAnsi="Arial" w:cs="Arial"/>
          <w:color w:val="000000" w:themeColor="text1"/>
        </w:rPr>
        <w:lastRenderedPageBreak/>
        <w:t xml:space="preserve">beyond the outermost grooves. The appearance of interference patterns (‘‘Newton’s rings’’—rainbow colors between the coverslip and the slide, like the rings formed by oil on water) indicates that the coverslip is properly attached, thereby determining the depth of the counting chamber. </w:t>
      </w:r>
    </w:p>
    <w:p w14:paraId="0693EDDE" w14:textId="37EF6AFD" w:rsidR="00B617DD" w:rsidRPr="00D74025" w:rsidRDefault="00B617DD" w:rsidP="00F6020C">
      <w:pPr>
        <w:autoSpaceDE w:val="0"/>
        <w:autoSpaceDN w:val="0"/>
        <w:adjustRightInd w:val="0"/>
        <w:spacing w:line="276" w:lineRule="auto"/>
        <w:rPr>
          <w:rFonts w:ascii="Arial" w:hAnsi="Arial" w:cs="Arial"/>
          <w:i/>
          <w:color w:val="000000" w:themeColor="text1"/>
        </w:rPr>
      </w:pPr>
      <w:r w:rsidRPr="00D74025">
        <w:rPr>
          <w:rFonts w:ascii="Arial" w:hAnsi="Arial" w:cs="Arial"/>
          <w:i/>
          <w:color w:val="000000" w:themeColor="text1"/>
        </w:rPr>
        <w:t>Add Trypan Blue solution 0.4% (</w:t>
      </w:r>
      <w:proofErr w:type="spellStart"/>
      <w:r w:rsidRPr="00D74025">
        <w:rPr>
          <w:rFonts w:ascii="Arial" w:hAnsi="Arial" w:cs="Arial"/>
          <w:i/>
          <w:color w:val="000000" w:themeColor="text1"/>
        </w:rPr>
        <w:t>Sik</w:t>
      </w:r>
      <w:r w:rsidR="0081201A">
        <w:rPr>
          <w:rFonts w:ascii="Arial" w:hAnsi="Arial" w:cs="Arial"/>
          <w:i/>
          <w:color w:val="000000" w:themeColor="text1"/>
        </w:rPr>
        <w:t>avitsas</w:t>
      </w:r>
      <w:proofErr w:type="spellEnd"/>
      <w:r w:rsidR="0081201A">
        <w:rPr>
          <w:rFonts w:ascii="Arial" w:hAnsi="Arial" w:cs="Arial"/>
          <w:i/>
          <w:color w:val="000000" w:themeColor="text1"/>
        </w:rPr>
        <w:t>’</w:t>
      </w:r>
      <w:r w:rsidRPr="00D74025">
        <w:rPr>
          <w:rFonts w:ascii="Arial" w:hAnsi="Arial" w:cs="Arial"/>
          <w:i/>
          <w:color w:val="000000" w:themeColor="text1"/>
        </w:rPr>
        <w:t xml:space="preserve"> Lab over the microscope) in a 1:1 volume to the cell suspension.</w:t>
      </w:r>
    </w:p>
    <w:p w14:paraId="74190761" w14:textId="6BC18D2F" w:rsidR="00B617DD" w:rsidRPr="00D74025" w:rsidRDefault="00053213" w:rsidP="00F6020C">
      <w:pPr>
        <w:autoSpaceDE w:val="0"/>
        <w:autoSpaceDN w:val="0"/>
        <w:adjustRightInd w:val="0"/>
        <w:spacing w:line="276" w:lineRule="auto"/>
        <w:rPr>
          <w:rFonts w:ascii="Arial" w:hAnsi="Arial" w:cs="Arial"/>
          <w:i/>
          <w:color w:val="000000" w:themeColor="text1"/>
        </w:rPr>
      </w:pPr>
      <w:r>
        <w:rPr>
          <w:rFonts w:ascii="Arial" w:hAnsi="Arial" w:cs="Arial"/>
          <w:i/>
          <w:color w:val="000000" w:themeColor="text1"/>
        </w:rPr>
        <w:t>R</w:t>
      </w:r>
      <w:r w:rsidR="00B617DD" w:rsidRPr="00D74025">
        <w:rPr>
          <w:rFonts w:ascii="Arial" w:hAnsi="Arial" w:cs="Arial"/>
          <w:i/>
          <w:color w:val="000000" w:themeColor="text1"/>
        </w:rPr>
        <w:t>ince the hemocytometer gently with DI water and dry it with paper towel</w:t>
      </w:r>
    </w:p>
    <w:p w14:paraId="7F3D1B1B" w14:textId="44EBA6CC"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3. </w:t>
      </w:r>
      <w:r w:rsidRPr="00D74025">
        <w:rPr>
          <w:rFonts w:ascii="Arial" w:hAnsi="Arial" w:cs="Arial"/>
          <w:color w:val="000000" w:themeColor="text1"/>
        </w:rPr>
        <w:t xml:space="preserve">Mix the cell sample thoroughly, pipetting vigorously to disperse any clumps, and collect 20 </w:t>
      </w:r>
      <w:r w:rsidR="0081201A">
        <w:rPr>
          <w:rFonts w:ascii="Arial" w:hAnsi="Arial" w:cs="Arial"/>
          <w:color w:val="000000" w:themeColor="text1"/>
        </w:rPr>
        <w:sym w:font="Symbol" w:char="F06D"/>
      </w:r>
      <w:r w:rsidR="0081201A" w:rsidRPr="00D74025">
        <w:rPr>
          <w:rFonts w:ascii="Arial" w:hAnsi="Arial" w:cs="Arial"/>
          <w:color w:val="000000" w:themeColor="text1"/>
        </w:rPr>
        <w:t>L</w:t>
      </w:r>
      <w:r w:rsidRPr="00D74025">
        <w:rPr>
          <w:rFonts w:ascii="Arial" w:hAnsi="Arial" w:cs="Arial"/>
          <w:color w:val="000000" w:themeColor="text1"/>
        </w:rPr>
        <w:t xml:space="preserve"> into the tip of a pipettor.</w:t>
      </w:r>
    </w:p>
    <w:p w14:paraId="6645D936" w14:textId="77777777"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4. </w:t>
      </w:r>
      <w:r w:rsidRPr="00D74025">
        <w:rPr>
          <w:rFonts w:ascii="Arial" w:hAnsi="Arial" w:cs="Arial"/>
          <w:color w:val="000000" w:themeColor="text1"/>
        </w:rPr>
        <w:t>Transfer the cell suspension immediately to the edge of the hemocytometer chamber, expel the suspension, and let it be drawn under the coverslip by capillarity. Do not overfill or underfill the chamber, or else its dimensions may change, due to alterations in the surface tension; the fluid should run only to the edges of the grooves.</w:t>
      </w:r>
    </w:p>
    <w:p w14:paraId="20AAD6F1" w14:textId="2E2FCAD4" w:rsidR="00B617DD" w:rsidRPr="00D74025" w:rsidRDefault="00B617DD" w:rsidP="00F6020C">
      <w:pPr>
        <w:autoSpaceDE w:val="0"/>
        <w:autoSpaceDN w:val="0"/>
        <w:adjustRightInd w:val="0"/>
        <w:spacing w:line="276" w:lineRule="auto"/>
        <w:rPr>
          <w:rFonts w:ascii="Arial" w:hAnsi="Arial" w:cs="Arial"/>
          <w:i/>
          <w:color w:val="000000" w:themeColor="text1"/>
        </w:rPr>
      </w:pPr>
      <w:r w:rsidRPr="00D74025">
        <w:rPr>
          <w:rFonts w:ascii="Arial" w:hAnsi="Arial" w:cs="Arial"/>
          <w:i/>
          <w:color w:val="000000" w:themeColor="text1"/>
        </w:rPr>
        <w:t xml:space="preserve">Pipette 20 </w:t>
      </w:r>
      <w:r w:rsidR="0082678B">
        <w:rPr>
          <w:rFonts w:ascii="Arial" w:hAnsi="Arial" w:cs="Arial"/>
          <w:color w:val="000000" w:themeColor="text1"/>
        </w:rPr>
        <w:sym w:font="Symbol" w:char="F06D"/>
      </w:r>
      <w:r w:rsidR="0082678B" w:rsidRPr="00D74025">
        <w:rPr>
          <w:rFonts w:ascii="Arial" w:hAnsi="Arial" w:cs="Arial"/>
          <w:color w:val="000000" w:themeColor="text1"/>
        </w:rPr>
        <w:t>L</w:t>
      </w:r>
      <w:r w:rsidRPr="00D74025">
        <w:rPr>
          <w:rFonts w:ascii="Arial" w:hAnsi="Arial" w:cs="Arial"/>
          <w:i/>
          <w:color w:val="000000" w:themeColor="text1"/>
        </w:rPr>
        <w:t xml:space="preserve"> of cell-Trypan </w:t>
      </w:r>
      <w:r w:rsidR="0082678B">
        <w:rPr>
          <w:rFonts w:ascii="Arial" w:hAnsi="Arial" w:cs="Arial"/>
          <w:i/>
          <w:color w:val="000000" w:themeColor="text1"/>
        </w:rPr>
        <w:t>B</w:t>
      </w:r>
      <w:r w:rsidRPr="00D74025">
        <w:rPr>
          <w:rFonts w:ascii="Arial" w:hAnsi="Arial" w:cs="Arial"/>
          <w:i/>
          <w:color w:val="000000" w:themeColor="text1"/>
        </w:rPr>
        <w:t>lue suspension into the hemocytometer</w:t>
      </w:r>
    </w:p>
    <w:p w14:paraId="5504ABB9" w14:textId="77777777"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5. </w:t>
      </w:r>
      <w:r w:rsidRPr="00D74025">
        <w:rPr>
          <w:rFonts w:ascii="Arial" w:hAnsi="Arial" w:cs="Arial"/>
          <w:color w:val="000000" w:themeColor="text1"/>
        </w:rPr>
        <w:t>Mix the cell suspension, reload the pipettor, and fill the second chamber if there is one.</w:t>
      </w:r>
    </w:p>
    <w:p w14:paraId="2F3CBFAF" w14:textId="77777777"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6. </w:t>
      </w:r>
      <w:r w:rsidRPr="00D74025">
        <w:rPr>
          <w:rFonts w:ascii="Arial" w:hAnsi="Arial" w:cs="Arial"/>
          <w:color w:val="000000" w:themeColor="text1"/>
        </w:rPr>
        <w:t>Blot off any surplus fluid (without drawing from under the coverslip</w:t>
      </w:r>
      <w:proofErr w:type="gramStart"/>
      <w:r w:rsidRPr="00D74025">
        <w:rPr>
          <w:rFonts w:ascii="Arial" w:hAnsi="Arial" w:cs="Arial"/>
          <w:color w:val="000000" w:themeColor="text1"/>
        </w:rPr>
        <w:t>), and</w:t>
      </w:r>
      <w:proofErr w:type="gramEnd"/>
      <w:r w:rsidRPr="00D74025">
        <w:rPr>
          <w:rFonts w:ascii="Arial" w:hAnsi="Arial" w:cs="Arial"/>
          <w:color w:val="000000" w:themeColor="text1"/>
        </w:rPr>
        <w:t xml:space="preserve"> transfer the slide to the microscope stage.</w:t>
      </w:r>
    </w:p>
    <w:p w14:paraId="4892707E" w14:textId="77777777"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7. </w:t>
      </w:r>
      <w:r w:rsidRPr="00D74025">
        <w:rPr>
          <w:rFonts w:ascii="Arial" w:hAnsi="Arial" w:cs="Arial"/>
          <w:color w:val="000000" w:themeColor="text1"/>
        </w:rPr>
        <w:t>Select a 10</w:t>
      </w:r>
      <w:r w:rsidRPr="00D74025">
        <w:rPr>
          <w:rFonts w:ascii="Arial" w:eastAsia="MTSY" w:hAnsi="Arial" w:cs="Arial"/>
          <w:color w:val="000000" w:themeColor="text1"/>
        </w:rPr>
        <w:t xml:space="preserve">× </w:t>
      </w:r>
      <w:proofErr w:type="gramStart"/>
      <w:r w:rsidRPr="00D74025">
        <w:rPr>
          <w:rFonts w:ascii="Arial" w:hAnsi="Arial" w:cs="Arial"/>
          <w:color w:val="000000" w:themeColor="text1"/>
        </w:rPr>
        <w:t>objective, and</w:t>
      </w:r>
      <w:proofErr w:type="gramEnd"/>
      <w:r w:rsidRPr="00D74025">
        <w:rPr>
          <w:rFonts w:ascii="Arial" w:hAnsi="Arial" w:cs="Arial"/>
          <w:color w:val="000000" w:themeColor="text1"/>
        </w:rPr>
        <w:t xml:space="preserve"> focus on the grid lines in the chamber. If phase contrast is not available and focusing is difficult because of poor contrast, </w:t>
      </w:r>
      <w:proofErr w:type="gramStart"/>
      <w:r w:rsidRPr="00D74025">
        <w:rPr>
          <w:rFonts w:ascii="Arial" w:hAnsi="Arial" w:cs="Arial"/>
          <w:color w:val="000000" w:themeColor="text1"/>
        </w:rPr>
        <w:t>close down</w:t>
      </w:r>
      <w:proofErr w:type="gramEnd"/>
      <w:r w:rsidRPr="00D74025">
        <w:rPr>
          <w:rFonts w:ascii="Arial" w:hAnsi="Arial" w:cs="Arial"/>
          <w:color w:val="000000" w:themeColor="text1"/>
        </w:rPr>
        <w:t xml:space="preserve"> the field iris, or make the lighting slightly oblique by offsetting the condenser.</w:t>
      </w:r>
    </w:p>
    <w:p w14:paraId="34F27C66" w14:textId="77777777"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8. </w:t>
      </w:r>
      <w:r w:rsidRPr="00D74025">
        <w:rPr>
          <w:rFonts w:ascii="Arial" w:hAnsi="Arial" w:cs="Arial"/>
          <w:color w:val="000000" w:themeColor="text1"/>
        </w:rPr>
        <w:t>Move the slide so that the field you see is the central area of the grid and is the largest area that you can see bounded by three parallel lines. This area is 1 mm</w:t>
      </w:r>
      <w:r w:rsidRPr="0082678B">
        <w:rPr>
          <w:rFonts w:ascii="Arial" w:hAnsi="Arial" w:cs="Arial"/>
          <w:color w:val="000000" w:themeColor="text1"/>
          <w:vertAlign w:val="superscript"/>
        </w:rPr>
        <w:t>2</w:t>
      </w:r>
      <w:r w:rsidRPr="00D74025">
        <w:rPr>
          <w:rFonts w:ascii="Arial" w:hAnsi="Arial" w:cs="Arial"/>
          <w:color w:val="000000" w:themeColor="text1"/>
        </w:rPr>
        <w:t>. With a standard 10</w:t>
      </w:r>
      <w:r w:rsidRPr="00D74025">
        <w:rPr>
          <w:rFonts w:ascii="Arial" w:eastAsia="MTSY" w:hAnsi="Arial" w:cs="Arial"/>
          <w:color w:val="000000" w:themeColor="text1"/>
        </w:rPr>
        <w:t xml:space="preserve">× </w:t>
      </w:r>
      <w:r w:rsidRPr="00D74025">
        <w:rPr>
          <w:rFonts w:ascii="Arial" w:hAnsi="Arial" w:cs="Arial"/>
          <w:color w:val="000000" w:themeColor="text1"/>
        </w:rPr>
        <w:t>objective this area will almost fill the field, or the corners will be slightly outside the field, depending on the field of view.</w:t>
      </w:r>
    </w:p>
    <w:p w14:paraId="559B1ABD" w14:textId="77777777"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9. </w:t>
      </w:r>
      <w:r w:rsidRPr="00D74025">
        <w:rPr>
          <w:rFonts w:ascii="Arial" w:hAnsi="Arial" w:cs="Arial"/>
          <w:color w:val="000000" w:themeColor="text1"/>
        </w:rPr>
        <w:t>Count the cells lying within this 1-mm</w:t>
      </w:r>
      <w:r w:rsidRPr="00D74025">
        <w:rPr>
          <w:rFonts w:ascii="Arial" w:hAnsi="Arial" w:cs="Arial"/>
          <w:color w:val="000000" w:themeColor="text1"/>
          <w:vertAlign w:val="superscript"/>
        </w:rPr>
        <w:t>2</w:t>
      </w:r>
      <w:r w:rsidRPr="00D74025">
        <w:rPr>
          <w:rFonts w:ascii="Arial" w:hAnsi="Arial" w:cs="Arial"/>
          <w:color w:val="000000" w:themeColor="text1"/>
        </w:rPr>
        <w:t xml:space="preserve"> area, using the subdivisions (also bounded by three parallel lines) and single grid lines as an aid for counting. Count cells that lie on the top and left-hand lines of each square, but not those on the bottom or right-hand lines, to avoid counting the same cell twice. For routine subculture, attempt to count between 100 and 300 cells; the more cells that are counted, the more accurate the count becomes. For more precise quantitative experiments, 500 to 1000 cells should be counted.</w:t>
      </w:r>
    </w:p>
    <w:p w14:paraId="3A5D9BA7" w14:textId="77777777"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(a) </w:t>
      </w:r>
      <w:r w:rsidRPr="00D74025">
        <w:rPr>
          <w:rFonts w:ascii="Arial" w:hAnsi="Arial" w:cs="Arial"/>
          <w:color w:val="000000" w:themeColor="text1"/>
        </w:rPr>
        <w:t>If there are very few cells (</w:t>
      </w:r>
      <w:r w:rsidRPr="00D74025">
        <w:rPr>
          <w:rFonts w:ascii="Arial" w:hAnsi="Arial" w:cs="Arial"/>
          <w:i/>
          <w:iCs/>
          <w:color w:val="000000" w:themeColor="text1"/>
        </w:rPr>
        <w:t>&lt;</w:t>
      </w:r>
      <w:r w:rsidRPr="00D74025">
        <w:rPr>
          <w:rFonts w:ascii="Arial" w:hAnsi="Arial" w:cs="Arial"/>
          <w:color w:val="000000" w:themeColor="text1"/>
        </w:rPr>
        <w:t>100/mm</w:t>
      </w:r>
      <w:r w:rsidRPr="00D74025">
        <w:rPr>
          <w:rFonts w:ascii="Arial" w:hAnsi="Arial" w:cs="Arial"/>
          <w:color w:val="000000" w:themeColor="text1"/>
          <w:vertAlign w:val="superscript"/>
        </w:rPr>
        <w:t>2</w:t>
      </w:r>
      <w:r w:rsidRPr="00D74025">
        <w:rPr>
          <w:rFonts w:ascii="Arial" w:hAnsi="Arial" w:cs="Arial"/>
          <w:color w:val="000000" w:themeColor="text1"/>
        </w:rPr>
        <w:t>), count one or more additional squares (each 1 mm</w:t>
      </w:r>
      <w:r w:rsidRPr="00D74025">
        <w:rPr>
          <w:rFonts w:ascii="Arial" w:hAnsi="Arial" w:cs="Arial"/>
          <w:color w:val="000000" w:themeColor="text1"/>
          <w:vertAlign w:val="superscript"/>
        </w:rPr>
        <w:t>2</w:t>
      </w:r>
      <w:r w:rsidRPr="00D74025">
        <w:rPr>
          <w:rFonts w:ascii="Arial" w:hAnsi="Arial" w:cs="Arial"/>
          <w:color w:val="000000" w:themeColor="text1"/>
        </w:rPr>
        <w:t>) surrounding the central square mm.</w:t>
      </w:r>
    </w:p>
    <w:p w14:paraId="34292B16" w14:textId="77777777"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(b) </w:t>
      </w:r>
      <w:r w:rsidRPr="00D74025">
        <w:rPr>
          <w:rFonts w:ascii="Arial" w:hAnsi="Arial" w:cs="Arial"/>
          <w:color w:val="000000" w:themeColor="text1"/>
        </w:rPr>
        <w:t>If there are too many cells (</w:t>
      </w:r>
      <w:r w:rsidRPr="00D74025">
        <w:rPr>
          <w:rFonts w:ascii="Arial" w:hAnsi="Arial" w:cs="Arial"/>
          <w:i/>
          <w:iCs/>
          <w:color w:val="000000" w:themeColor="text1"/>
        </w:rPr>
        <w:t>&gt;</w:t>
      </w:r>
      <w:r w:rsidRPr="00D74025">
        <w:rPr>
          <w:rFonts w:ascii="Arial" w:hAnsi="Arial" w:cs="Arial"/>
          <w:color w:val="000000" w:themeColor="text1"/>
        </w:rPr>
        <w:t>1000/mm</w:t>
      </w:r>
      <w:r w:rsidRPr="00D74025">
        <w:rPr>
          <w:rFonts w:ascii="Arial" w:hAnsi="Arial" w:cs="Arial"/>
          <w:color w:val="000000" w:themeColor="text1"/>
          <w:vertAlign w:val="superscript"/>
        </w:rPr>
        <w:t>2</w:t>
      </w:r>
      <w:r w:rsidRPr="00D74025">
        <w:rPr>
          <w:rFonts w:ascii="Arial" w:hAnsi="Arial" w:cs="Arial"/>
          <w:color w:val="000000" w:themeColor="text1"/>
        </w:rPr>
        <w:t>), count only five small squares (each 0.04 mm</w:t>
      </w:r>
      <w:r w:rsidRPr="00D74025">
        <w:rPr>
          <w:rFonts w:ascii="Arial" w:hAnsi="Arial" w:cs="Arial"/>
          <w:color w:val="000000" w:themeColor="text1"/>
          <w:vertAlign w:val="superscript"/>
        </w:rPr>
        <w:t>2</w:t>
      </w:r>
      <w:r w:rsidRPr="00D74025">
        <w:rPr>
          <w:rFonts w:ascii="Arial" w:hAnsi="Arial" w:cs="Arial"/>
          <w:color w:val="000000" w:themeColor="text1"/>
        </w:rPr>
        <w:t xml:space="preserve"> and bounded by three parallel lines) across the diagonal of the larger (1 mm</w:t>
      </w:r>
      <w:r w:rsidRPr="00D74025">
        <w:rPr>
          <w:rFonts w:ascii="Arial" w:hAnsi="Arial" w:cs="Arial"/>
          <w:color w:val="000000" w:themeColor="text1"/>
          <w:vertAlign w:val="superscript"/>
        </w:rPr>
        <w:t>2</w:t>
      </w:r>
      <w:r w:rsidRPr="00D74025">
        <w:rPr>
          <w:rFonts w:ascii="Arial" w:hAnsi="Arial" w:cs="Arial"/>
          <w:color w:val="000000" w:themeColor="text1"/>
        </w:rPr>
        <w:t>) square, giving a total of 0.2 mm</w:t>
      </w:r>
      <w:r w:rsidRPr="00D74025">
        <w:rPr>
          <w:rFonts w:ascii="Arial" w:hAnsi="Arial" w:cs="Arial"/>
          <w:color w:val="000000" w:themeColor="text1"/>
          <w:vertAlign w:val="superscript"/>
        </w:rPr>
        <w:t>2</w:t>
      </w:r>
      <w:r w:rsidRPr="00D74025">
        <w:rPr>
          <w:rFonts w:ascii="Arial" w:hAnsi="Arial" w:cs="Arial"/>
          <w:color w:val="000000" w:themeColor="text1"/>
        </w:rPr>
        <w:t>.</w:t>
      </w:r>
    </w:p>
    <w:p w14:paraId="2A66C788" w14:textId="77777777" w:rsidR="00B617DD" w:rsidRPr="00D74025" w:rsidRDefault="00B617DD"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10. </w:t>
      </w:r>
      <w:r w:rsidRPr="00D74025">
        <w:rPr>
          <w:rFonts w:ascii="Arial" w:hAnsi="Arial" w:cs="Arial"/>
          <w:color w:val="000000" w:themeColor="text1"/>
        </w:rPr>
        <w:t xml:space="preserve">If the slide has two chambers, move to the second </w:t>
      </w:r>
      <w:proofErr w:type="gramStart"/>
      <w:r w:rsidRPr="00D74025">
        <w:rPr>
          <w:rFonts w:ascii="Arial" w:hAnsi="Arial" w:cs="Arial"/>
          <w:color w:val="000000" w:themeColor="text1"/>
        </w:rPr>
        <w:t>chamber</w:t>
      </w:r>
      <w:proofErr w:type="gramEnd"/>
      <w:r w:rsidRPr="00D74025">
        <w:rPr>
          <w:rFonts w:ascii="Arial" w:hAnsi="Arial" w:cs="Arial"/>
          <w:color w:val="000000" w:themeColor="text1"/>
        </w:rPr>
        <w:t xml:space="preserve"> and do a second count. If not, rinse the slide and repeat the count with a fresh sample.</w:t>
      </w:r>
    </w:p>
    <w:p w14:paraId="44016C65" w14:textId="6EE75EB8" w:rsidR="00B617DD" w:rsidRPr="00D74025" w:rsidRDefault="00B617DD" w:rsidP="00F6020C">
      <w:pPr>
        <w:autoSpaceDE w:val="0"/>
        <w:autoSpaceDN w:val="0"/>
        <w:adjustRightInd w:val="0"/>
        <w:spacing w:line="276" w:lineRule="auto"/>
        <w:rPr>
          <w:rFonts w:ascii="Arial" w:hAnsi="Arial" w:cs="Arial"/>
          <w:i/>
          <w:color w:val="000000" w:themeColor="text1"/>
        </w:rPr>
      </w:pPr>
      <w:r w:rsidRPr="00D74025">
        <w:rPr>
          <w:rFonts w:ascii="Arial" w:hAnsi="Arial" w:cs="Arial"/>
          <w:i/>
          <w:color w:val="000000" w:themeColor="text1"/>
        </w:rPr>
        <w:lastRenderedPageBreak/>
        <w:t xml:space="preserve">With the hemocytometer we have in the lab, the cell concentration is the average of counting in each of the 4 squares × Dilution rate </w:t>
      </w:r>
      <w:r w:rsidR="0082678B">
        <w:rPr>
          <w:rFonts w:ascii="Arial" w:hAnsi="Arial" w:cs="Arial"/>
          <w:i/>
          <w:color w:val="000000" w:themeColor="text1"/>
        </w:rPr>
        <w:t>T</w:t>
      </w:r>
      <w:r w:rsidRPr="00D74025">
        <w:rPr>
          <w:rFonts w:ascii="Arial" w:hAnsi="Arial" w:cs="Arial"/>
          <w:i/>
          <w:color w:val="000000" w:themeColor="text1"/>
        </w:rPr>
        <w:t xml:space="preserve">rypan </w:t>
      </w:r>
      <w:r w:rsidR="0082678B">
        <w:rPr>
          <w:rFonts w:ascii="Arial" w:hAnsi="Arial" w:cs="Arial"/>
          <w:i/>
          <w:color w:val="000000" w:themeColor="text1"/>
        </w:rPr>
        <w:t>B</w:t>
      </w:r>
      <w:r w:rsidRPr="00D74025">
        <w:rPr>
          <w:rFonts w:ascii="Arial" w:hAnsi="Arial" w:cs="Arial"/>
          <w:i/>
          <w:color w:val="000000" w:themeColor="text1"/>
        </w:rPr>
        <w:t>lue) ×10000 cells/mL</w:t>
      </w:r>
    </w:p>
    <w:p w14:paraId="3F961326" w14:textId="0EE7048C" w:rsidR="00B617DD" w:rsidRPr="00D74025" w:rsidRDefault="00B617DD" w:rsidP="00F6020C">
      <w:pPr>
        <w:spacing w:line="276" w:lineRule="auto"/>
        <w:rPr>
          <w:rFonts w:ascii="Arial" w:hAnsi="Arial" w:cs="Arial"/>
          <w:color w:val="000000" w:themeColor="text1"/>
        </w:rPr>
      </w:pPr>
    </w:p>
    <w:p w14:paraId="4FA618D2" w14:textId="68CA3EFC" w:rsidR="00B617DD" w:rsidRPr="0035148E" w:rsidRDefault="008F5A1B" w:rsidP="0035148E">
      <w:pPr>
        <w:pStyle w:val="Heading2"/>
        <w:spacing w:line="276" w:lineRule="auto"/>
        <w:ind w:firstLine="0"/>
        <w:rPr>
          <w:rFonts w:ascii="Arial" w:hAnsi="Arial" w:cs="Arial"/>
          <w:b/>
          <w:bCs/>
          <w:color w:val="000000" w:themeColor="text1"/>
          <w:sz w:val="24"/>
          <w:szCs w:val="24"/>
          <w:u w:val="single"/>
        </w:rPr>
      </w:pPr>
      <w:bookmarkStart w:id="218" w:name="_Toc121217309"/>
      <w:r w:rsidRPr="0035148E">
        <w:rPr>
          <w:rFonts w:ascii="Arial" w:hAnsi="Arial" w:cs="Arial"/>
          <w:b/>
          <w:bCs/>
          <w:color w:val="000000" w:themeColor="text1"/>
          <w:sz w:val="24"/>
          <w:szCs w:val="24"/>
          <w:u w:val="single"/>
        </w:rPr>
        <w:t>C</w:t>
      </w:r>
      <w:r w:rsidR="00D66ABE" w:rsidRPr="0035148E">
        <w:rPr>
          <w:rFonts w:ascii="Arial" w:hAnsi="Arial" w:cs="Arial"/>
          <w:b/>
          <w:bCs/>
          <w:color w:val="000000" w:themeColor="text1"/>
          <w:sz w:val="24"/>
          <w:szCs w:val="24"/>
          <w:u w:val="single"/>
        </w:rPr>
        <w:t>6</w:t>
      </w:r>
      <w:r w:rsidRPr="0035148E">
        <w:rPr>
          <w:rFonts w:ascii="Arial" w:hAnsi="Arial" w:cs="Arial"/>
          <w:b/>
          <w:bCs/>
          <w:color w:val="000000" w:themeColor="text1"/>
          <w:sz w:val="24"/>
          <w:szCs w:val="24"/>
          <w:u w:val="single"/>
        </w:rPr>
        <w:t>. Freezing cells</w:t>
      </w:r>
      <w:bookmarkEnd w:id="218"/>
    </w:p>
    <w:p w14:paraId="30D6431D" w14:textId="26D974FF" w:rsidR="008F5A1B" w:rsidRPr="00D74025" w:rsidRDefault="008F5A1B" w:rsidP="00F6020C">
      <w:pPr>
        <w:spacing w:line="276" w:lineRule="auto"/>
        <w:rPr>
          <w:rFonts w:ascii="Arial" w:hAnsi="Arial" w:cs="Arial"/>
          <w:color w:val="000000" w:themeColor="text1"/>
        </w:rPr>
      </w:pPr>
    </w:p>
    <w:p w14:paraId="24DCC6FE" w14:textId="627BEBB7"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Grow the culture to late log phase, prepare a high concentration cell suspension in medium with a cryoprotectant, aliquot into ampoules, and freeze slowly</w:t>
      </w:r>
      <w:r w:rsidR="00412FF9">
        <w:rPr>
          <w:rFonts w:ascii="Arial" w:hAnsi="Arial" w:cs="Arial"/>
          <w:color w:val="000000" w:themeColor="text1"/>
        </w:rPr>
        <w:t>.</w:t>
      </w:r>
    </w:p>
    <w:p w14:paraId="44CAB366" w14:textId="77777777" w:rsidR="008F5A1B" w:rsidRPr="00D74025" w:rsidRDefault="008F5A1B" w:rsidP="00F6020C">
      <w:pPr>
        <w:autoSpaceDE w:val="0"/>
        <w:autoSpaceDN w:val="0"/>
        <w:adjustRightInd w:val="0"/>
        <w:spacing w:line="276" w:lineRule="auto"/>
        <w:rPr>
          <w:rFonts w:ascii="Arial" w:hAnsi="Arial" w:cs="Arial"/>
          <w:b/>
          <w:bCs/>
          <w:color w:val="000000" w:themeColor="text1"/>
        </w:rPr>
      </w:pPr>
      <w:r w:rsidRPr="00D74025">
        <w:rPr>
          <w:rFonts w:ascii="Arial" w:hAnsi="Arial" w:cs="Arial"/>
          <w:b/>
          <w:bCs/>
          <w:color w:val="000000" w:themeColor="text1"/>
        </w:rPr>
        <w:t>Materials</w:t>
      </w:r>
    </w:p>
    <w:p w14:paraId="2F512194" w14:textId="77777777"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Sterile or aseptically prepared:</w:t>
      </w:r>
    </w:p>
    <w:p w14:paraId="5681F638" w14:textId="77777777"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_ Culture to be frozen</w:t>
      </w:r>
    </w:p>
    <w:p w14:paraId="52CF98CF" w14:textId="4067674C"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 xml:space="preserve">_ If monolayer: 0.25% crude trypsin </w:t>
      </w:r>
    </w:p>
    <w:p w14:paraId="01262E92" w14:textId="77777777"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_ Growth medium (serum improves survival of the cells after freezing; up to 50%, or even pure, serum has been used. If serum is being used with serum free cultures, it should be washed off after thawing)</w:t>
      </w:r>
    </w:p>
    <w:p w14:paraId="30D543B3" w14:textId="77777777"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_ Cryoprotectant, free of impurities (see above):</w:t>
      </w:r>
    </w:p>
    <w:p w14:paraId="0092E766" w14:textId="77777777"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DMSO in a glass or polypropylene vial, or glycerol, fresh, and in a universal container</w:t>
      </w:r>
    </w:p>
    <w:p w14:paraId="1EC3E9F8" w14:textId="77777777"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_ Syringe, 1 to 5 mL, for dispensing glycerol if used (because it is viscous)</w:t>
      </w:r>
    </w:p>
    <w:p w14:paraId="5CF389E0" w14:textId="77777777"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_ Plastic ampoules, 1.2 mL, prelabeled with the cell line designation and the date of freezing</w:t>
      </w:r>
    </w:p>
    <w:p w14:paraId="05FD3B9B" w14:textId="77777777" w:rsidR="008F5A1B" w:rsidRPr="00D74025" w:rsidRDefault="008F5A1B" w:rsidP="00F6020C">
      <w:pPr>
        <w:autoSpaceDE w:val="0"/>
        <w:autoSpaceDN w:val="0"/>
        <w:adjustRightInd w:val="0"/>
        <w:spacing w:line="276" w:lineRule="auto"/>
        <w:rPr>
          <w:rFonts w:ascii="Arial" w:hAnsi="Arial" w:cs="Arial"/>
          <w:b/>
          <w:bCs/>
          <w:color w:val="000000" w:themeColor="text1"/>
        </w:rPr>
      </w:pPr>
      <w:r w:rsidRPr="00D74025">
        <w:rPr>
          <w:rFonts w:ascii="Arial" w:hAnsi="Arial" w:cs="Arial"/>
          <w:b/>
          <w:bCs/>
          <w:color w:val="000000" w:themeColor="text1"/>
        </w:rPr>
        <w:t>Procedure</w:t>
      </w:r>
    </w:p>
    <w:p w14:paraId="5EE46BFE" w14:textId="78369756"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 </w:t>
      </w:r>
      <w:r w:rsidRPr="00D74025">
        <w:rPr>
          <w:rFonts w:ascii="Arial" w:hAnsi="Arial" w:cs="Arial"/>
          <w:color w:val="000000" w:themeColor="text1"/>
        </w:rPr>
        <w:t>Make sure the culture satisfies the criteria for freezing</w:t>
      </w:r>
      <w:r w:rsidR="00412FF9">
        <w:rPr>
          <w:rFonts w:ascii="Arial" w:hAnsi="Arial" w:cs="Arial"/>
          <w:color w:val="000000" w:themeColor="text1"/>
        </w:rPr>
        <w:t xml:space="preserve">, </w:t>
      </w:r>
      <w:r w:rsidRPr="00D74025">
        <w:rPr>
          <w:rFonts w:ascii="Arial" w:hAnsi="Arial" w:cs="Arial"/>
          <w:color w:val="000000" w:themeColor="text1"/>
        </w:rPr>
        <w:t>and check by eye and on microscope for:</w:t>
      </w:r>
    </w:p>
    <w:p w14:paraId="7C0FE26F" w14:textId="5BC6ED74"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(a) </w:t>
      </w:r>
      <w:r w:rsidRPr="00D74025">
        <w:rPr>
          <w:rFonts w:ascii="Arial" w:hAnsi="Arial" w:cs="Arial"/>
          <w:color w:val="000000" w:themeColor="text1"/>
        </w:rPr>
        <w:t xml:space="preserve">Healthy </w:t>
      </w:r>
      <w:r w:rsidR="007A3594">
        <w:rPr>
          <w:rFonts w:ascii="Arial" w:hAnsi="Arial" w:cs="Arial"/>
          <w:color w:val="000000" w:themeColor="text1"/>
        </w:rPr>
        <w:t>appearance.</w:t>
      </w:r>
    </w:p>
    <w:p w14:paraId="086EC380" w14:textId="30F0B4AB"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(b) </w:t>
      </w:r>
      <w:r w:rsidRPr="00D74025">
        <w:rPr>
          <w:rFonts w:ascii="Arial" w:hAnsi="Arial" w:cs="Arial"/>
          <w:color w:val="000000" w:themeColor="text1"/>
        </w:rPr>
        <w:t>Morphological characteristics</w:t>
      </w:r>
      <w:r w:rsidR="007A3594">
        <w:rPr>
          <w:rFonts w:ascii="Arial" w:hAnsi="Arial" w:cs="Arial"/>
          <w:color w:val="000000" w:themeColor="text1"/>
        </w:rPr>
        <w:t>.</w:t>
      </w:r>
    </w:p>
    <w:p w14:paraId="1C4EACB1" w14:textId="396EE573"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(c) </w:t>
      </w:r>
      <w:r w:rsidRPr="00D74025">
        <w:rPr>
          <w:rFonts w:ascii="Arial" w:hAnsi="Arial" w:cs="Arial"/>
          <w:color w:val="000000" w:themeColor="text1"/>
        </w:rPr>
        <w:t>Phase of growth cycle (should be late log phase before entering plateau</w:t>
      </w:r>
      <w:r w:rsidR="007A3594">
        <w:rPr>
          <w:rFonts w:ascii="Arial" w:hAnsi="Arial" w:cs="Arial"/>
          <w:color w:val="000000" w:themeColor="text1"/>
        </w:rPr>
        <w:t>.</w:t>
      </w:r>
    </w:p>
    <w:p w14:paraId="1143B5B4" w14:textId="72A52625"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(d) </w:t>
      </w:r>
      <w:r w:rsidRPr="00D74025">
        <w:rPr>
          <w:rFonts w:ascii="Arial" w:hAnsi="Arial" w:cs="Arial"/>
          <w:color w:val="000000" w:themeColor="text1"/>
        </w:rPr>
        <w:t>Freedom from contamination</w:t>
      </w:r>
      <w:r w:rsidR="007A3594">
        <w:rPr>
          <w:rFonts w:ascii="Arial" w:hAnsi="Arial" w:cs="Arial"/>
          <w:color w:val="000000" w:themeColor="text1"/>
        </w:rPr>
        <w:t>.</w:t>
      </w:r>
    </w:p>
    <w:p w14:paraId="6D9E8517" w14:textId="7A57169E"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2. </w:t>
      </w:r>
      <w:r w:rsidRPr="00D74025">
        <w:rPr>
          <w:rFonts w:ascii="Arial" w:hAnsi="Arial" w:cs="Arial"/>
          <w:color w:val="000000" w:themeColor="text1"/>
        </w:rPr>
        <w:t xml:space="preserve">Grow the culture up to the late log phase, and if you are using a monolayer, </w:t>
      </w:r>
      <w:proofErr w:type="spellStart"/>
      <w:r w:rsidRPr="00D74025">
        <w:rPr>
          <w:rFonts w:ascii="Arial" w:hAnsi="Arial" w:cs="Arial"/>
          <w:color w:val="000000" w:themeColor="text1"/>
        </w:rPr>
        <w:t>trypsinize</w:t>
      </w:r>
      <w:proofErr w:type="spellEnd"/>
      <w:r w:rsidRPr="00D74025">
        <w:rPr>
          <w:rFonts w:ascii="Arial" w:hAnsi="Arial" w:cs="Arial"/>
          <w:color w:val="000000" w:themeColor="text1"/>
        </w:rPr>
        <w:t xml:space="preserve"> and </w:t>
      </w:r>
      <w:proofErr w:type="gramStart"/>
      <w:r w:rsidRPr="00D74025">
        <w:rPr>
          <w:rFonts w:ascii="Arial" w:hAnsi="Arial" w:cs="Arial"/>
          <w:color w:val="000000" w:themeColor="text1"/>
        </w:rPr>
        <w:t>count  the</w:t>
      </w:r>
      <w:proofErr w:type="gramEnd"/>
      <w:r w:rsidRPr="00D74025">
        <w:rPr>
          <w:rFonts w:ascii="Arial" w:hAnsi="Arial" w:cs="Arial"/>
          <w:color w:val="000000" w:themeColor="text1"/>
        </w:rPr>
        <w:t xml:space="preserve"> cells. If you are using a suspension, count and centrifuge the cells (.</w:t>
      </w:r>
    </w:p>
    <w:p w14:paraId="7564C73A" w14:textId="77777777"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3. </w:t>
      </w:r>
      <w:r w:rsidRPr="00D74025">
        <w:rPr>
          <w:rFonts w:ascii="Arial" w:hAnsi="Arial" w:cs="Arial"/>
          <w:color w:val="000000" w:themeColor="text1"/>
        </w:rPr>
        <w:t xml:space="preserve">Resuspend at 2 </w:t>
      </w:r>
      <w:r w:rsidRPr="00D74025">
        <w:rPr>
          <w:rFonts w:ascii="Arial" w:eastAsia="MTSY" w:hAnsi="Arial" w:cs="Arial"/>
          <w:color w:val="000000" w:themeColor="text1"/>
        </w:rPr>
        <w:t xml:space="preserve">× </w:t>
      </w:r>
      <w:r w:rsidRPr="00D74025">
        <w:rPr>
          <w:rFonts w:ascii="Arial" w:hAnsi="Arial" w:cs="Arial"/>
          <w:color w:val="000000" w:themeColor="text1"/>
        </w:rPr>
        <w:t>10</w:t>
      </w:r>
      <w:r w:rsidRPr="00D74025">
        <w:rPr>
          <w:rFonts w:ascii="Arial" w:hAnsi="Arial" w:cs="Arial"/>
          <w:color w:val="000000" w:themeColor="text1"/>
          <w:vertAlign w:val="superscript"/>
        </w:rPr>
        <w:t>6</w:t>
      </w:r>
      <w:r w:rsidRPr="00D74025">
        <w:rPr>
          <w:rFonts w:ascii="Arial" w:hAnsi="Arial" w:cs="Arial"/>
          <w:color w:val="000000" w:themeColor="text1"/>
        </w:rPr>
        <w:t xml:space="preserve"> to 2 </w:t>
      </w:r>
      <w:r w:rsidRPr="00D74025">
        <w:rPr>
          <w:rFonts w:ascii="Arial" w:eastAsia="MTSY" w:hAnsi="Arial" w:cs="Arial"/>
          <w:color w:val="000000" w:themeColor="text1"/>
        </w:rPr>
        <w:t xml:space="preserve">× </w:t>
      </w:r>
      <w:r w:rsidRPr="00D74025">
        <w:rPr>
          <w:rFonts w:ascii="Arial" w:hAnsi="Arial" w:cs="Arial"/>
          <w:color w:val="000000" w:themeColor="text1"/>
        </w:rPr>
        <w:t>10</w:t>
      </w:r>
      <w:r w:rsidRPr="00D74025">
        <w:rPr>
          <w:rFonts w:ascii="Arial" w:hAnsi="Arial" w:cs="Arial"/>
          <w:color w:val="000000" w:themeColor="text1"/>
          <w:vertAlign w:val="superscript"/>
        </w:rPr>
        <w:t>7</w:t>
      </w:r>
      <w:r w:rsidRPr="00D74025">
        <w:rPr>
          <w:rFonts w:ascii="Arial" w:hAnsi="Arial" w:cs="Arial"/>
          <w:color w:val="000000" w:themeColor="text1"/>
        </w:rPr>
        <w:t xml:space="preserve"> cells/</w:t>
      </w:r>
      <w:proofErr w:type="spellStart"/>
      <w:r w:rsidRPr="00D74025">
        <w:rPr>
          <w:rFonts w:ascii="Arial" w:hAnsi="Arial" w:cs="Arial"/>
          <w:color w:val="000000" w:themeColor="text1"/>
        </w:rPr>
        <w:t>mL.</w:t>
      </w:r>
      <w:proofErr w:type="spellEnd"/>
      <w:r w:rsidRPr="00D74025">
        <w:rPr>
          <w:rFonts w:ascii="Arial" w:hAnsi="Arial" w:cs="Arial"/>
          <w:color w:val="000000" w:themeColor="text1"/>
        </w:rPr>
        <w:t xml:space="preserve"> </w:t>
      </w:r>
    </w:p>
    <w:p w14:paraId="363BF049" w14:textId="77777777"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4. </w:t>
      </w:r>
      <w:r w:rsidRPr="00D74025">
        <w:rPr>
          <w:rFonts w:ascii="Arial" w:hAnsi="Arial" w:cs="Arial"/>
          <w:color w:val="000000" w:themeColor="text1"/>
        </w:rPr>
        <w:t>Dilute one of the cryoprotectants in growth medium to make freezing medium:</w:t>
      </w:r>
    </w:p>
    <w:p w14:paraId="347DEFDF" w14:textId="77777777"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(a) </w:t>
      </w:r>
      <w:r w:rsidRPr="00D74025">
        <w:rPr>
          <w:rFonts w:ascii="Arial" w:hAnsi="Arial" w:cs="Arial"/>
          <w:color w:val="000000" w:themeColor="text1"/>
        </w:rPr>
        <w:t xml:space="preserve">Add dimethyl sulfoxide (DMSO) to </w:t>
      </w:r>
      <w:proofErr w:type="gramStart"/>
      <w:r w:rsidRPr="00D74025">
        <w:rPr>
          <w:rFonts w:ascii="Arial" w:hAnsi="Arial" w:cs="Arial"/>
          <w:color w:val="000000" w:themeColor="text1"/>
        </w:rPr>
        <w:t>between  10</w:t>
      </w:r>
      <w:proofErr w:type="gramEnd"/>
      <w:r w:rsidRPr="00D74025">
        <w:rPr>
          <w:rFonts w:ascii="Arial" w:hAnsi="Arial" w:cs="Arial"/>
          <w:color w:val="000000" w:themeColor="text1"/>
        </w:rPr>
        <w:t>% and 20%</w:t>
      </w:r>
    </w:p>
    <w:p w14:paraId="5E67FF33" w14:textId="77777777"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w:t>
      </w:r>
      <w:r w:rsidRPr="00D74025">
        <w:rPr>
          <w:rFonts w:ascii="Arial" w:hAnsi="Arial" w:cs="Arial"/>
          <w:color w:val="000000" w:themeColor="text1"/>
        </w:rPr>
        <w:t></w:t>
      </w:r>
      <w:r w:rsidRPr="00D74025">
        <w:rPr>
          <w:rFonts w:ascii="Arial" w:hAnsi="Arial" w:cs="Arial"/>
          <w:b/>
          <w:bCs/>
          <w:i/>
          <w:iCs/>
          <w:color w:val="000000" w:themeColor="text1"/>
        </w:rPr>
        <w:t xml:space="preserve">Safety Note. </w:t>
      </w:r>
      <w:r w:rsidRPr="00D74025">
        <w:rPr>
          <w:rFonts w:ascii="Arial" w:hAnsi="Arial" w:cs="Arial"/>
          <w:color w:val="000000" w:themeColor="text1"/>
        </w:rPr>
        <w:t xml:space="preserve">DMSO can penetrate many synthetic and natural membranes, including </w:t>
      </w:r>
      <w:r w:rsidRPr="00D74025">
        <w:rPr>
          <w:rFonts w:ascii="Arial" w:hAnsi="Arial" w:cs="Arial"/>
          <w:i/>
          <w:iCs/>
          <w:color w:val="000000" w:themeColor="text1"/>
        </w:rPr>
        <w:t xml:space="preserve">skin </w:t>
      </w:r>
      <w:r w:rsidRPr="00D74025">
        <w:rPr>
          <w:rFonts w:ascii="Arial" w:hAnsi="Arial" w:cs="Arial"/>
          <w:color w:val="000000" w:themeColor="text1"/>
        </w:rPr>
        <w:t>and rubber gloves [</w:t>
      </w:r>
      <w:proofErr w:type="spellStart"/>
      <w:r w:rsidRPr="00D74025">
        <w:rPr>
          <w:rFonts w:ascii="Arial" w:hAnsi="Arial" w:cs="Arial"/>
          <w:color w:val="000000" w:themeColor="text1"/>
        </w:rPr>
        <w:t>Horita</w:t>
      </w:r>
      <w:proofErr w:type="spellEnd"/>
      <w:r w:rsidRPr="00D74025">
        <w:rPr>
          <w:rFonts w:ascii="Arial" w:hAnsi="Arial" w:cs="Arial"/>
          <w:color w:val="000000" w:themeColor="text1"/>
        </w:rPr>
        <w:t xml:space="preserve"> &amp; Weber, 1964]. Consequently any potentially harmful substances in regular use (e.g., carcinogens) may well be carried into the </w:t>
      </w:r>
      <w:proofErr w:type="gramStart"/>
      <w:r w:rsidRPr="00D74025">
        <w:rPr>
          <w:rFonts w:ascii="Arial" w:hAnsi="Arial" w:cs="Arial"/>
          <w:color w:val="000000" w:themeColor="text1"/>
        </w:rPr>
        <w:t>circulation  through</w:t>
      </w:r>
      <w:proofErr w:type="gramEnd"/>
      <w:r w:rsidRPr="00D74025">
        <w:rPr>
          <w:rFonts w:ascii="Arial" w:hAnsi="Arial" w:cs="Arial"/>
          <w:color w:val="000000" w:themeColor="text1"/>
        </w:rPr>
        <w:t xml:space="preserve"> the skin and even through rubber gloves. DMSO should always be handled with caution, particularly in the presence of any toxic substances.</w:t>
      </w:r>
    </w:p>
    <w:p w14:paraId="56B6226A" w14:textId="77777777"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5. </w:t>
      </w:r>
      <w:r w:rsidRPr="00D74025">
        <w:rPr>
          <w:rFonts w:ascii="Arial" w:hAnsi="Arial" w:cs="Arial"/>
          <w:color w:val="000000" w:themeColor="text1"/>
        </w:rPr>
        <w:t xml:space="preserve">Dilute the cell suspension 1:1 with freezing medium to give approximately 1 </w:t>
      </w:r>
      <w:r w:rsidRPr="00D74025">
        <w:rPr>
          <w:rFonts w:ascii="Arial" w:eastAsia="MTSY" w:hAnsi="Arial" w:cs="Arial"/>
          <w:color w:val="000000" w:themeColor="text1"/>
        </w:rPr>
        <w:t xml:space="preserve">× </w:t>
      </w:r>
      <w:r w:rsidRPr="00D74025">
        <w:rPr>
          <w:rFonts w:ascii="Arial" w:hAnsi="Arial" w:cs="Arial"/>
          <w:color w:val="000000" w:themeColor="text1"/>
        </w:rPr>
        <w:t>10</w:t>
      </w:r>
      <w:r w:rsidRPr="00D10665">
        <w:rPr>
          <w:rFonts w:ascii="Arial" w:hAnsi="Arial" w:cs="Arial"/>
          <w:color w:val="000000" w:themeColor="text1"/>
          <w:vertAlign w:val="superscript"/>
        </w:rPr>
        <w:t>6</w:t>
      </w:r>
      <w:r w:rsidRPr="00D74025">
        <w:rPr>
          <w:rFonts w:ascii="Arial" w:hAnsi="Arial" w:cs="Arial"/>
          <w:color w:val="000000" w:themeColor="text1"/>
        </w:rPr>
        <w:t xml:space="preserve"> to 1 </w:t>
      </w:r>
      <w:r w:rsidRPr="00D74025">
        <w:rPr>
          <w:rFonts w:ascii="Arial" w:eastAsia="MTSY" w:hAnsi="Arial" w:cs="Arial"/>
          <w:color w:val="000000" w:themeColor="text1"/>
        </w:rPr>
        <w:t xml:space="preserve">× </w:t>
      </w:r>
      <w:r w:rsidRPr="00D74025">
        <w:rPr>
          <w:rFonts w:ascii="Arial" w:hAnsi="Arial" w:cs="Arial"/>
          <w:color w:val="000000" w:themeColor="text1"/>
        </w:rPr>
        <w:t>10</w:t>
      </w:r>
      <w:r w:rsidRPr="00D10665">
        <w:rPr>
          <w:rFonts w:ascii="Arial" w:hAnsi="Arial" w:cs="Arial"/>
          <w:color w:val="000000" w:themeColor="text1"/>
          <w:vertAlign w:val="superscript"/>
        </w:rPr>
        <w:t>7</w:t>
      </w:r>
      <w:r w:rsidRPr="00D74025">
        <w:rPr>
          <w:rFonts w:ascii="Arial" w:hAnsi="Arial" w:cs="Arial"/>
          <w:color w:val="000000" w:themeColor="text1"/>
        </w:rPr>
        <w:t xml:space="preserve"> cells/mL and 5% to 10% DMSO (or 10–15% glycerol). It is not necessary to place </w:t>
      </w:r>
      <w:r w:rsidRPr="00D74025">
        <w:rPr>
          <w:rFonts w:ascii="Arial" w:hAnsi="Arial" w:cs="Arial"/>
          <w:color w:val="000000" w:themeColor="text1"/>
        </w:rPr>
        <w:lastRenderedPageBreak/>
        <w:t xml:space="preserve">ampoules on ice </w:t>
      </w:r>
      <w:proofErr w:type="gramStart"/>
      <w:r w:rsidRPr="00D74025">
        <w:rPr>
          <w:rFonts w:ascii="Arial" w:hAnsi="Arial" w:cs="Arial"/>
          <w:color w:val="000000" w:themeColor="text1"/>
        </w:rPr>
        <w:t>in an attempt to</w:t>
      </w:r>
      <w:proofErr w:type="gramEnd"/>
      <w:r w:rsidRPr="00D74025">
        <w:rPr>
          <w:rFonts w:ascii="Arial" w:hAnsi="Arial" w:cs="Arial"/>
          <w:color w:val="000000" w:themeColor="text1"/>
        </w:rPr>
        <w:t xml:space="preserve"> minimize deterioration of the cells. A delay of up to 30 min at room temperature is not harmful when using DMSO </w:t>
      </w:r>
    </w:p>
    <w:p w14:paraId="24532303" w14:textId="77777777"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6. </w:t>
      </w:r>
      <w:r w:rsidRPr="00D74025">
        <w:rPr>
          <w:rFonts w:ascii="Arial" w:hAnsi="Arial" w:cs="Arial"/>
          <w:color w:val="000000" w:themeColor="text1"/>
        </w:rPr>
        <w:t xml:space="preserve">Dispense the cell suspensions into prelabeled </w:t>
      </w:r>
      <w:proofErr w:type="gramStart"/>
      <w:r w:rsidRPr="00D74025">
        <w:rPr>
          <w:rFonts w:ascii="Arial" w:hAnsi="Arial" w:cs="Arial"/>
          <w:color w:val="000000" w:themeColor="text1"/>
        </w:rPr>
        <w:t>ampoules, and</w:t>
      </w:r>
      <w:proofErr w:type="gramEnd"/>
      <w:r w:rsidRPr="00D74025">
        <w:rPr>
          <w:rFonts w:ascii="Arial" w:hAnsi="Arial" w:cs="Arial"/>
          <w:color w:val="000000" w:themeColor="text1"/>
        </w:rPr>
        <w:t xml:space="preserve"> cap the ampoules with sufficient torsion to seal the ampoule without distorting the gasket.</w:t>
      </w:r>
    </w:p>
    <w:p w14:paraId="2472F026" w14:textId="77777777"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7. </w:t>
      </w:r>
      <w:r w:rsidRPr="00D74025">
        <w:rPr>
          <w:rFonts w:ascii="Arial" w:hAnsi="Arial" w:cs="Arial"/>
          <w:color w:val="000000" w:themeColor="text1"/>
        </w:rPr>
        <w:t xml:space="preserve">Place the ampoules on canes for canister storage </w:t>
      </w:r>
    </w:p>
    <w:p w14:paraId="6873B546" w14:textId="77777777"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8. </w:t>
      </w:r>
      <w:r w:rsidRPr="00D74025">
        <w:rPr>
          <w:rFonts w:ascii="Arial" w:hAnsi="Arial" w:cs="Arial"/>
          <w:color w:val="000000" w:themeColor="text1"/>
        </w:rPr>
        <w:t>Freeze the ampoules at 1</w:t>
      </w:r>
      <w:r w:rsidRPr="00D74025">
        <w:rPr>
          <w:rFonts w:ascii="Arial" w:eastAsia="MS Gothic" w:hAnsi="Arial" w:cs="Arial"/>
          <w:color w:val="000000" w:themeColor="text1"/>
        </w:rPr>
        <w:t>◦</w:t>
      </w:r>
      <w:r w:rsidRPr="00D74025">
        <w:rPr>
          <w:rFonts w:ascii="Arial" w:hAnsi="Arial" w:cs="Arial"/>
          <w:color w:val="000000" w:themeColor="text1"/>
        </w:rPr>
        <w:t>C/min.</w:t>
      </w:r>
    </w:p>
    <w:p w14:paraId="39FE259B" w14:textId="050DCF69"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 xml:space="preserve">With the insulated container methods, this will take a minimum of 4 to 6 h after placing them at </w:t>
      </w:r>
      <w:r w:rsidRPr="00D74025">
        <w:rPr>
          <w:rFonts w:ascii="Arial" w:eastAsia="MS Gothic" w:hAnsi="Arial" w:cs="Arial"/>
          <w:color w:val="000000" w:themeColor="text1"/>
        </w:rPr>
        <w:t>−</w:t>
      </w:r>
      <w:r w:rsidRPr="00D74025">
        <w:rPr>
          <w:rFonts w:ascii="Arial" w:hAnsi="Arial" w:cs="Arial"/>
          <w:color w:val="000000" w:themeColor="text1"/>
        </w:rPr>
        <w:t>70</w:t>
      </w:r>
      <w:r w:rsidRPr="00D74025">
        <w:rPr>
          <w:rFonts w:ascii="Arial" w:eastAsia="MS Gothic" w:hAnsi="Arial" w:cs="Arial"/>
          <w:color w:val="000000" w:themeColor="text1"/>
        </w:rPr>
        <w:t>◦</w:t>
      </w:r>
      <w:r w:rsidRPr="00D74025">
        <w:rPr>
          <w:rFonts w:ascii="Arial" w:hAnsi="Arial" w:cs="Arial"/>
          <w:color w:val="000000" w:themeColor="text1"/>
        </w:rPr>
        <w:t>C if starting from a 20</w:t>
      </w:r>
      <w:r w:rsidRPr="00D74025">
        <w:rPr>
          <w:rFonts w:ascii="Arial" w:eastAsia="MS Gothic" w:hAnsi="Arial" w:cs="Arial"/>
          <w:color w:val="000000" w:themeColor="text1"/>
        </w:rPr>
        <w:t>◦</w:t>
      </w:r>
      <w:r w:rsidRPr="00D74025">
        <w:rPr>
          <w:rFonts w:ascii="Arial" w:hAnsi="Arial" w:cs="Arial"/>
          <w:color w:val="000000" w:themeColor="text1"/>
        </w:rPr>
        <w:t xml:space="preserve">C ambient temperature, but preferably leave the ampoules in the container at </w:t>
      </w:r>
      <w:r w:rsidRPr="00D74025">
        <w:rPr>
          <w:rFonts w:ascii="Arial" w:eastAsia="MS Gothic" w:hAnsi="Arial" w:cs="Arial"/>
          <w:color w:val="000000" w:themeColor="text1"/>
        </w:rPr>
        <w:t>−</w:t>
      </w:r>
      <w:r w:rsidRPr="00D74025">
        <w:rPr>
          <w:rFonts w:ascii="Arial" w:hAnsi="Arial" w:cs="Arial"/>
          <w:color w:val="000000" w:themeColor="text1"/>
        </w:rPr>
        <w:t>70</w:t>
      </w:r>
      <w:r w:rsidRPr="00D74025">
        <w:rPr>
          <w:rFonts w:ascii="Arial" w:eastAsia="MS Gothic" w:hAnsi="Arial" w:cs="Arial"/>
          <w:color w:val="000000" w:themeColor="text1"/>
        </w:rPr>
        <w:t>◦</w:t>
      </w:r>
      <w:r w:rsidRPr="00D74025">
        <w:rPr>
          <w:rFonts w:ascii="Arial" w:hAnsi="Arial" w:cs="Arial"/>
          <w:color w:val="000000" w:themeColor="text1"/>
        </w:rPr>
        <w:t>C overnight.</w:t>
      </w:r>
    </w:p>
    <w:p w14:paraId="65F589B7" w14:textId="77777777"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9. </w:t>
      </w:r>
      <w:r w:rsidRPr="00D74025">
        <w:rPr>
          <w:rFonts w:ascii="Arial" w:hAnsi="Arial" w:cs="Arial"/>
          <w:color w:val="000000" w:themeColor="text1"/>
        </w:rPr>
        <w:t xml:space="preserve">When the ampoules have reached </w:t>
      </w:r>
      <w:r w:rsidRPr="00D74025">
        <w:rPr>
          <w:rFonts w:ascii="Arial" w:eastAsia="MS Gothic" w:hAnsi="Arial" w:cs="Arial"/>
          <w:color w:val="000000" w:themeColor="text1"/>
        </w:rPr>
        <w:t>−</w:t>
      </w:r>
      <w:r w:rsidRPr="00D74025">
        <w:rPr>
          <w:rFonts w:ascii="Arial" w:hAnsi="Arial" w:cs="Arial"/>
          <w:color w:val="000000" w:themeColor="text1"/>
        </w:rPr>
        <w:t>70</w:t>
      </w:r>
      <w:r w:rsidRPr="00D74025">
        <w:rPr>
          <w:rFonts w:ascii="Arial" w:eastAsia="MS Gothic" w:hAnsi="Arial" w:cs="Arial"/>
          <w:color w:val="000000" w:themeColor="text1"/>
        </w:rPr>
        <w:t>◦</w:t>
      </w:r>
      <w:r w:rsidRPr="00D74025">
        <w:rPr>
          <w:rFonts w:ascii="Arial" w:hAnsi="Arial" w:cs="Arial"/>
          <w:color w:val="000000" w:themeColor="text1"/>
        </w:rPr>
        <w:t xml:space="preserve">C or lower, check the freezer record before removing the ampoules from the </w:t>
      </w:r>
      <w:r w:rsidRPr="00D74025">
        <w:rPr>
          <w:rFonts w:ascii="Arial" w:eastAsia="MS Gothic" w:hAnsi="Arial" w:cs="Arial"/>
          <w:color w:val="000000" w:themeColor="text1"/>
        </w:rPr>
        <w:t>−</w:t>
      </w:r>
      <w:r w:rsidRPr="00D74025">
        <w:rPr>
          <w:rFonts w:ascii="Arial" w:hAnsi="Arial" w:cs="Arial"/>
          <w:color w:val="000000" w:themeColor="text1"/>
        </w:rPr>
        <w:t>70</w:t>
      </w:r>
      <w:r w:rsidRPr="00D74025">
        <w:rPr>
          <w:rFonts w:ascii="Arial" w:eastAsia="MS Gothic" w:hAnsi="Arial" w:cs="Arial"/>
          <w:color w:val="000000" w:themeColor="text1"/>
        </w:rPr>
        <w:t>◦</w:t>
      </w:r>
      <w:r w:rsidRPr="00D74025">
        <w:rPr>
          <w:rFonts w:ascii="Arial" w:hAnsi="Arial" w:cs="Arial"/>
          <w:color w:val="000000" w:themeColor="text1"/>
        </w:rPr>
        <w:t>C freezer or controlled rate freezer, and identify a suitable location for the ampoules.</w:t>
      </w:r>
    </w:p>
    <w:p w14:paraId="17B12C97" w14:textId="73DC70B8"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10. </w:t>
      </w:r>
      <w:r w:rsidRPr="00D74025">
        <w:rPr>
          <w:rFonts w:ascii="Arial" w:hAnsi="Arial" w:cs="Arial"/>
          <w:color w:val="000000" w:themeColor="text1"/>
        </w:rPr>
        <w:t xml:space="preserve">Transfer the ampoules to the liquid </w:t>
      </w:r>
      <w:r w:rsidR="00760DA8">
        <w:rPr>
          <w:rFonts w:ascii="Arial" w:hAnsi="Arial" w:cs="Arial"/>
          <w:color w:val="000000" w:themeColor="text1"/>
        </w:rPr>
        <w:t>nitrogen</w:t>
      </w:r>
      <w:r w:rsidRPr="00D74025">
        <w:rPr>
          <w:rFonts w:ascii="Arial" w:hAnsi="Arial" w:cs="Arial"/>
          <w:color w:val="000000" w:themeColor="text1"/>
        </w:rPr>
        <w:t xml:space="preserve"> freezer, preferably not submerged in the liquid, placing the cane and tube into the predetermined canister or individual ampoules into the correct spaces in the predetermined drawer. This transfer must be done quickly (</w:t>
      </w:r>
      <w:r w:rsidRPr="00D74025">
        <w:rPr>
          <w:rFonts w:ascii="Arial" w:hAnsi="Arial" w:cs="Arial"/>
          <w:i/>
          <w:iCs/>
          <w:color w:val="000000" w:themeColor="text1"/>
        </w:rPr>
        <w:t>&lt;</w:t>
      </w:r>
      <w:r w:rsidRPr="00D74025">
        <w:rPr>
          <w:rFonts w:ascii="Arial" w:hAnsi="Arial" w:cs="Arial"/>
          <w:color w:val="000000" w:themeColor="text1"/>
        </w:rPr>
        <w:t>2 min), as the ampoules will reheat at about 10</w:t>
      </w:r>
      <w:r w:rsidRPr="00D74025">
        <w:rPr>
          <w:rFonts w:ascii="Arial" w:eastAsia="MS Gothic" w:hAnsi="Arial" w:cs="Arial"/>
          <w:color w:val="000000" w:themeColor="text1"/>
        </w:rPr>
        <w:t>◦</w:t>
      </w:r>
      <w:r w:rsidRPr="00D74025">
        <w:rPr>
          <w:rFonts w:ascii="Arial" w:hAnsi="Arial" w:cs="Arial"/>
          <w:color w:val="000000" w:themeColor="text1"/>
        </w:rPr>
        <w:t xml:space="preserve">C/min, and the cells will deteriorate rapidly if the temperature rises above </w:t>
      </w:r>
      <w:r w:rsidRPr="00D74025">
        <w:rPr>
          <w:rFonts w:ascii="Arial" w:eastAsia="MS Gothic" w:hAnsi="Arial" w:cs="Arial"/>
          <w:color w:val="000000" w:themeColor="text1"/>
        </w:rPr>
        <w:t>−</w:t>
      </w:r>
      <w:r w:rsidRPr="00D74025">
        <w:rPr>
          <w:rFonts w:ascii="Arial" w:hAnsi="Arial" w:cs="Arial"/>
          <w:color w:val="000000" w:themeColor="text1"/>
        </w:rPr>
        <w:t>50</w:t>
      </w:r>
      <w:r w:rsidRPr="00D74025">
        <w:rPr>
          <w:rFonts w:ascii="Arial" w:eastAsia="MS Gothic" w:hAnsi="Arial" w:cs="Arial"/>
          <w:color w:val="000000" w:themeColor="text1"/>
        </w:rPr>
        <w:t>◦</w:t>
      </w:r>
      <w:r w:rsidRPr="00D74025">
        <w:rPr>
          <w:rFonts w:ascii="Arial" w:hAnsi="Arial" w:cs="Arial"/>
          <w:color w:val="000000" w:themeColor="text1"/>
        </w:rPr>
        <w:t>C.</w:t>
      </w:r>
    </w:p>
    <w:p w14:paraId="0308610B" w14:textId="77777777"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w:t>
      </w:r>
      <w:r w:rsidRPr="00D74025">
        <w:rPr>
          <w:rFonts w:ascii="Arial" w:hAnsi="Arial" w:cs="Arial"/>
          <w:color w:val="000000" w:themeColor="text1"/>
        </w:rPr>
        <w:t></w:t>
      </w:r>
      <w:r w:rsidRPr="00D74025">
        <w:rPr>
          <w:rFonts w:ascii="Arial" w:hAnsi="Arial" w:cs="Arial"/>
          <w:b/>
          <w:bCs/>
          <w:i/>
          <w:iCs/>
          <w:color w:val="000000" w:themeColor="text1"/>
        </w:rPr>
        <w:t xml:space="preserve">Safety Note. </w:t>
      </w:r>
      <w:r w:rsidRPr="00D74025">
        <w:rPr>
          <w:rFonts w:ascii="Arial" w:hAnsi="Arial" w:cs="Arial"/>
          <w:color w:val="000000" w:themeColor="text1"/>
        </w:rPr>
        <w:t>Protective gloves and a face mask should be used when placing ampoules in or near liquid nitrogen.</w:t>
      </w:r>
    </w:p>
    <w:p w14:paraId="737FA1B5" w14:textId="77777777" w:rsidR="008F5A1B" w:rsidRPr="00D74025" w:rsidRDefault="008F5A1B" w:rsidP="00F6020C">
      <w:pPr>
        <w:autoSpaceDE w:val="0"/>
        <w:autoSpaceDN w:val="0"/>
        <w:adjustRightInd w:val="0"/>
        <w:spacing w:line="276" w:lineRule="auto"/>
        <w:rPr>
          <w:rFonts w:ascii="Arial" w:hAnsi="Arial" w:cs="Arial"/>
          <w:color w:val="000000" w:themeColor="text1"/>
        </w:rPr>
      </w:pPr>
      <w:r w:rsidRPr="00D74025">
        <w:rPr>
          <w:rFonts w:ascii="Arial" w:hAnsi="Arial" w:cs="Arial"/>
          <w:b/>
          <w:bCs/>
          <w:color w:val="000000" w:themeColor="text1"/>
        </w:rPr>
        <w:t xml:space="preserve">11. </w:t>
      </w:r>
      <w:r w:rsidRPr="00D74025">
        <w:rPr>
          <w:rFonts w:ascii="Arial" w:hAnsi="Arial" w:cs="Arial"/>
          <w:color w:val="000000" w:themeColor="text1"/>
        </w:rPr>
        <w:t>When the ampoules are safely located in the freezer, complete the appropriate entries in the freezer index.</w:t>
      </w:r>
    </w:p>
    <w:p w14:paraId="7F6A1CB8" w14:textId="77777777" w:rsidR="008F5A1B" w:rsidRPr="00D74025" w:rsidRDefault="008F5A1B" w:rsidP="00F6020C">
      <w:pPr>
        <w:spacing w:line="276" w:lineRule="auto"/>
        <w:rPr>
          <w:rFonts w:ascii="Arial" w:hAnsi="Arial" w:cs="Arial"/>
          <w:color w:val="000000" w:themeColor="text1"/>
        </w:rPr>
      </w:pPr>
    </w:p>
    <w:p w14:paraId="1DDA7849" w14:textId="61454D87" w:rsidR="00B617DD" w:rsidRPr="00D74025" w:rsidRDefault="00B617DD" w:rsidP="00F6020C">
      <w:pPr>
        <w:spacing w:line="276" w:lineRule="auto"/>
        <w:rPr>
          <w:rFonts w:ascii="Arial" w:hAnsi="Arial" w:cs="Arial"/>
          <w:color w:val="000000" w:themeColor="text1"/>
        </w:rPr>
      </w:pPr>
    </w:p>
    <w:p w14:paraId="3ABC190C" w14:textId="06A4140D" w:rsidR="00B617DD" w:rsidRDefault="00C12F2B" w:rsidP="0035148E">
      <w:pPr>
        <w:pStyle w:val="Heading2"/>
        <w:spacing w:line="276" w:lineRule="auto"/>
        <w:ind w:firstLine="0"/>
        <w:rPr>
          <w:rFonts w:ascii="Arial" w:hAnsi="Arial" w:cs="Arial"/>
          <w:b/>
          <w:bCs/>
          <w:color w:val="000000" w:themeColor="text1"/>
          <w:sz w:val="24"/>
          <w:szCs w:val="24"/>
          <w:u w:val="single"/>
        </w:rPr>
      </w:pPr>
      <w:bookmarkStart w:id="219" w:name="_Toc121217310"/>
      <w:r w:rsidRPr="0035148E">
        <w:rPr>
          <w:rFonts w:ascii="Arial" w:hAnsi="Arial" w:cs="Arial"/>
          <w:b/>
          <w:bCs/>
          <w:color w:val="000000" w:themeColor="text1"/>
          <w:sz w:val="24"/>
          <w:szCs w:val="24"/>
          <w:u w:val="single"/>
        </w:rPr>
        <w:t>C</w:t>
      </w:r>
      <w:r w:rsidR="00D66ABE" w:rsidRPr="0035148E">
        <w:rPr>
          <w:rFonts w:ascii="Arial" w:hAnsi="Arial" w:cs="Arial"/>
          <w:b/>
          <w:bCs/>
          <w:color w:val="000000" w:themeColor="text1"/>
          <w:sz w:val="24"/>
          <w:szCs w:val="24"/>
          <w:u w:val="single"/>
        </w:rPr>
        <w:t>7</w:t>
      </w:r>
      <w:r w:rsidRPr="0035148E">
        <w:rPr>
          <w:rFonts w:ascii="Arial" w:hAnsi="Arial" w:cs="Arial"/>
          <w:b/>
          <w:bCs/>
          <w:color w:val="000000" w:themeColor="text1"/>
          <w:sz w:val="24"/>
          <w:szCs w:val="24"/>
          <w:u w:val="single"/>
        </w:rPr>
        <w:t xml:space="preserve">. </w:t>
      </w:r>
      <w:proofErr w:type="spellStart"/>
      <w:r w:rsidRPr="0035148E">
        <w:rPr>
          <w:rFonts w:ascii="Arial" w:hAnsi="Arial" w:cs="Arial"/>
          <w:b/>
          <w:bCs/>
          <w:color w:val="000000" w:themeColor="text1"/>
          <w:sz w:val="24"/>
          <w:szCs w:val="24"/>
          <w:u w:val="single"/>
        </w:rPr>
        <w:t>Alamar</w:t>
      </w:r>
      <w:proofErr w:type="spellEnd"/>
      <w:r w:rsidRPr="0035148E">
        <w:rPr>
          <w:rFonts w:ascii="Arial" w:hAnsi="Arial" w:cs="Arial"/>
          <w:b/>
          <w:bCs/>
          <w:color w:val="000000" w:themeColor="text1"/>
          <w:sz w:val="24"/>
          <w:szCs w:val="24"/>
          <w:u w:val="single"/>
        </w:rPr>
        <w:t xml:space="preserve"> Blue </w:t>
      </w:r>
      <w:r w:rsidR="00B86DA1">
        <w:rPr>
          <w:rFonts w:ascii="Arial" w:hAnsi="Arial" w:cs="Arial"/>
          <w:b/>
          <w:bCs/>
          <w:color w:val="000000" w:themeColor="text1"/>
          <w:sz w:val="24"/>
          <w:szCs w:val="24"/>
          <w:u w:val="single"/>
        </w:rPr>
        <w:t>a</w:t>
      </w:r>
      <w:r w:rsidRPr="0035148E">
        <w:rPr>
          <w:rFonts w:ascii="Arial" w:hAnsi="Arial" w:cs="Arial"/>
          <w:b/>
          <w:bCs/>
          <w:color w:val="000000" w:themeColor="text1"/>
          <w:sz w:val="24"/>
          <w:szCs w:val="24"/>
          <w:u w:val="single"/>
        </w:rPr>
        <w:t>ssay</w:t>
      </w:r>
      <w:bookmarkEnd w:id="219"/>
    </w:p>
    <w:p w14:paraId="171EF572" w14:textId="77777777" w:rsidR="0035148E" w:rsidRPr="0035148E" w:rsidRDefault="0035148E" w:rsidP="0035148E"/>
    <w:p w14:paraId="5F044771" w14:textId="77777777" w:rsidR="00C63D8C" w:rsidRPr="00D74025" w:rsidRDefault="00C63D8C" w:rsidP="00F6020C">
      <w:pPr>
        <w:autoSpaceDE w:val="0"/>
        <w:autoSpaceDN w:val="0"/>
        <w:adjustRightInd w:val="0"/>
        <w:spacing w:line="276" w:lineRule="auto"/>
        <w:jc w:val="both"/>
        <w:rPr>
          <w:rFonts w:ascii="Arial" w:hAnsi="Arial" w:cs="Arial"/>
          <w:color w:val="000000" w:themeColor="text1"/>
        </w:rPr>
      </w:pPr>
      <w:r w:rsidRPr="00D74025">
        <w:rPr>
          <w:rFonts w:ascii="Arial" w:hAnsi="Arial" w:cs="Arial"/>
          <w:color w:val="000000" w:themeColor="text1"/>
        </w:rPr>
        <w:t>1. Remove cultures from incubator into laminar flow hood or other sterile work area.</w:t>
      </w:r>
    </w:p>
    <w:p w14:paraId="4235A400" w14:textId="77777777" w:rsidR="00C63D8C" w:rsidRPr="00D74025" w:rsidRDefault="00C63D8C" w:rsidP="00F6020C">
      <w:pPr>
        <w:autoSpaceDE w:val="0"/>
        <w:autoSpaceDN w:val="0"/>
        <w:adjustRightInd w:val="0"/>
        <w:spacing w:line="276" w:lineRule="auto"/>
        <w:jc w:val="both"/>
        <w:rPr>
          <w:rFonts w:ascii="Arial" w:hAnsi="Arial" w:cs="Arial"/>
          <w:color w:val="000000" w:themeColor="text1"/>
        </w:rPr>
      </w:pPr>
      <w:r w:rsidRPr="00D74025">
        <w:rPr>
          <w:rFonts w:ascii="Arial" w:hAnsi="Arial" w:cs="Arial"/>
          <w:color w:val="000000" w:themeColor="text1"/>
        </w:rPr>
        <w:t>2. Add resazurin dye solution in an amount equal to 10 % of the culture medium volume.</w:t>
      </w:r>
    </w:p>
    <w:p w14:paraId="1EE167B2" w14:textId="77777777" w:rsidR="00C63D8C" w:rsidRPr="00D74025" w:rsidRDefault="00C63D8C" w:rsidP="00F6020C">
      <w:pPr>
        <w:autoSpaceDE w:val="0"/>
        <w:autoSpaceDN w:val="0"/>
        <w:adjustRightInd w:val="0"/>
        <w:spacing w:line="276" w:lineRule="auto"/>
        <w:jc w:val="both"/>
        <w:rPr>
          <w:rFonts w:ascii="Arial" w:hAnsi="Arial" w:cs="Arial"/>
          <w:color w:val="000000" w:themeColor="text1"/>
        </w:rPr>
      </w:pPr>
      <w:r w:rsidRPr="00D74025">
        <w:rPr>
          <w:rFonts w:ascii="Arial" w:hAnsi="Arial" w:cs="Arial"/>
          <w:color w:val="000000" w:themeColor="text1"/>
        </w:rPr>
        <w:t>3. Return cultures to incubator for 2-4 hours depending on cell type and maximum cell density. (An incubation period of 2 hours is generally adequate but may be lengthened for low cell densities or cells with lower metabolic activity.) Incubation times should be consistent when making comparisons.</w:t>
      </w:r>
    </w:p>
    <w:p w14:paraId="4853ED62" w14:textId="77777777" w:rsidR="00C63D8C" w:rsidRPr="00D74025" w:rsidRDefault="00C63D8C" w:rsidP="00F6020C">
      <w:pPr>
        <w:autoSpaceDE w:val="0"/>
        <w:autoSpaceDN w:val="0"/>
        <w:adjustRightInd w:val="0"/>
        <w:spacing w:line="276" w:lineRule="auto"/>
        <w:jc w:val="both"/>
        <w:rPr>
          <w:rFonts w:ascii="Arial" w:hAnsi="Arial" w:cs="Arial"/>
          <w:color w:val="000000" w:themeColor="text1"/>
        </w:rPr>
      </w:pPr>
      <w:r w:rsidRPr="00D74025">
        <w:rPr>
          <w:rFonts w:ascii="Arial" w:hAnsi="Arial" w:cs="Arial"/>
          <w:color w:val="000000" w:themeColor="text1"/>
        </w:rPr>
        <w:t>4. Gentle mixing in a gyratory shaker will enhance distribution of the dye.</w:t>
      </w:r>
    </w:p>
    <w:p w14:paraId="56C69AA6" w14:textId="5A6628D2" w:rsidR="00C63D8C" w:rsidRPr="00D74025" w:rsidRDefault="00C63D8C" w:rsidP="00F6020C">
      <w:pPr>
        <w:autoSpaceDE w:val="0"/>
        <w:autoSpaceDN w:val="0"/>
        <w:adjustRightInd w:val="0"/>
        <w:spacing w:line="276" w:lineRule="auto"/>
        <w:jc w:val="both"/>
        <w:rPr>
          <w:rFonts w:ascii="Arial" w:hAnsi="Arial" w:cs="Arial"/>
          <w:color w:val="000000" w:themeColor="text1"/>
        </w:rPr>
      </w:pPr>
      <w:r w:rsidRPr="00D74025">
        <w:rPr>
          <w:rFonts w:ascii="Arial" w:hAnsi="Arial" w:cs="Arial"/>
          <w:color w:val="000000" w:themeColor="text1"/>
        </w:rPr>
        <w:t xml:space="preserve">5. Samples can be measured spectrophotometrically by monitoring the decrease in absorbance at a wavelength of 600 nm. Measure the absorbance of multiwall plates at a reference wavelength of 690 nm and subtract from the 600 nm measurement. Alternatively, samples can be measured fluorometrically by monitoring the increase in fluorescence at a wavelength of 590 nm using </w:t>
      </w:r>
      <w:proofErr w:type="gramStart"/>
      <w:r w:rsidRPr="00D74025">
        <w:rPr>
          <w:rFonts w:ascii="Arial" w:hAnsi="Arial" w:cs="Arial"/>
          <w:color w:val="000000" w:themeColor="text1"/>
        </w:rPr>
        <w:t>a</w:t>
      </w:r>
      <w:proofErr w:type="gramEnd"/>
      <w:r w:rsidRPr="00D74025">
        <w:rPr>
          <w:rFonts w:ascii="Arial" w:hAnsi="Arial" w:cs="Arial"/>
          <w:color w:val="000000" w:themeColor="text1"/>
        </w:rPr>
        <w:t xml:space="preserve"> excitation wavelength of 560 nm. </w:t>
      </w:r>
      <w:r w:rsidRPr="00D74025">
        <w:rPr>
          <w:rFonts w:ascii="Arial" w:hAnsi="Arial" w:cs="Arial"/>
          <w:b/>
          <w:bCs/>
          <w:color w:val="000000" w:themeColor="text1"/>
        </w:rPr>
        <w:t xml:space="preserve">NOTE: </w:t>
      </w:r>
      <w:r w:rsidRPr="00D74025">
        <w:rPr>
          <w:rFonts w:ascii="Arial" w:hAnsi="Arial" w:cs="Arial"/>
          <w:color w:val="000000" w:themeColor="text1"/>
        </w:rPr>
        <w:t>Fluorometric detection is much more sensitive than spectrophotometric detection</w:t>
      </w:r>
      <w:r w:rsidR="006F5BF0">
        <w:rPr>
          <w:rFonts w:ascii="Arial" w:hAnsi="Arial" w:cs="Arial"/>
          <w:color w:val="000000" w:themeColor="text1"/>
        </w:rPr>
        <w:t>,</w:t>
      </w:r>
      <w:r w:rsidRPr="00D74025">
        <w:rPr>
          <w:rFonts w:ascii="Arial" w:hAnsi="Arial" w:cs="Arial"/>
          <w:color w:val="000000" w:themeColor="text1"/>
        </w:rPr>
        <w:t xml:space="preserve"> and the number of cells used in the assay should be reduced proportionally.</w:t>
      </w:r>
    </w:p>
    <w:p w14:paraId="1C27A82D" w14:textId="77777777" w:rsidR="00C63D8C" w:rsidRPr="00D74025" w:rsidRDefault="00C63D8C" w:rsidP="00F6020C">
      <w:pPr>
        <w:autoSpaceDE w:val="0"/>
        <w:autoSpaceDN w:val="0"/>
        <w:adjustRightInd w:val="0"/>
        <w:spacing w:line="276" w:lineRule="auto"/>
        <w:jc w:val="both"/>
        <w:rPr>
          <w:rFonts w:ascii="Arial" w:hAnsi="Arial" w:cs="Arial"/>
          <w:color w:val="000000" w:themeColor="text1"/>
        </w:rPr>
      </w:pPr>
      <w:r w:rsidRPr="00D74025">
        <w:rPr>
          <w:rFonts w:ascii="Arial" w:hAnsi="Arial" w:cs="Arial"/>
          <w:color w:val="000000" w:themeColor="text1"/>
        </w:rPr>
        <w:lastRenderedPageBreak/>
        <w:t xml:space="preserve">6. Tests performed in </w:t>
      </w:r>
      <w:proofErr w:type="spellStart"/>
      <w:r w:rsidRPr="00D74025">
        <w:rPr>
          <w:rFonts w:ascii="Arial" w:hAnsi="Arial" w:cs="Arial"/>
          <w:color w:val="000000" w:themeColor="text1"/>
        </w:rPr>
        <w:t>multiwell</w:t>
      </w:r>
      <w:proofErr w:type="spellEnd"/>
      <w:r w:rsidRPr="00D74025">
        <w:rPr>
          <w:rFonts w:ascii="Arial" w:hAnsi="Arial" w:cs="Arial"/>
          <w:color w:val="000000" w:themeColor="text1"/>
        </w:rPr>
        <w:t xml:space="preserve"> plates can be read using an appropriate type of plate reader or the contents of individual wells may be transferred to appropriate size cuvettes for fluorometric or spectrophotometric measurement.</w:t>
      </w:r>
    </w:p>
    <w:p w14:paraId="386B7FF8" w14:textId="77777777" w:rsidR="00C63D8C" w:rsidRPr="00D74025" w:rsidRDefault="00C63D8C" w:rsidP="00F6020C">
      <w:pPr>
        <w:spacing w:line="276" w:lineRule="auto"/>
        <w:rPr>
          <w:rFonts w:ascii="Arial" w:hAnsi="Arial" w:cs="Arial"/>
          <w:color w:val="000000" w:themeColor="text1"/>
        </w:rPr>
      </w:pPr>
    </w:p>
    <w:p w14:paraId="43652DD6" w14:textId="1B9C4542" w:rsidR="00C12F2B" w:rsidRPr="00D74025" w:rsidRDefault="00C12F2B" w:rsidP="00F6020C">
      <w:pPr>
        <w:spacing w:line="276" w:lineRule="auto"/>
        <w:rPr>
          <w:rFonts w:ascii="Arial" w:hAnsi="Arial" w:cs="Arial"/>
          <w:color w:val="000000" w:themeColor="text1"/>
        </w:rPr>
      </w:pPr>
    </w:p>
    <w:p w14:paraId="5519B8A3" w14:textId="56CD1FE1" w:rsidR="00C12F2B" w:rsidRPr="00D74025" w:rsidRDefault="00C12F2B" w:rsidP="00F6020C">
      <w:pPr>
        <w:spacing w:line="276" w:lineRule="auto"/>
        <w:rPr>
          <w:rFonts w:ascii="Arial" w:hAnsi="Arial" w:cs="Arial"/>
          <w:color w:val="000000" w:themeColor="text1"/>
        </w:rPr>
      </w:pPr>
    </w:p>
    <w:p w14:paraId="47B34026" w14:textId="1C50D200" w:rsidR="00AD0040" w:rsidRPr="0035148E" w:rsidRDefault="00C12F2B" w:rsidP="0035148E">
      <w:pPr>
        <w:pStyle w:val="Heading2"/>
        <w:spacing w:line="276" w:lineRule="auto"/>
        <w:ind w:firstLine="0"/>
        <w:rPr>
          <w:rFonts w:ascii="Arial" w:hAnsi="Arial" w:cs="Arial"/>
          <w:b/>
          <w:bCs/>
          <w:color w:val="000000" w:themeColor="text1"/>
          <w:sz w:val="24"/>
          <w:szCs w:val="24"/>
          <w:u w:val="single"/>
        </w:rPr>
      </w:pPr>
      <w:bookmarkStart w:id="220" w:name="_Toc121217311"/>
      <w:r w:rsidRPr="0035148E">
        <w:rPr>
          <w:rFonts w:ascii="Arial" w:hAnsi="Arial" w:cs="Arial"/>
          <w:b/>
          <w:bCs/>
          <w:color w:val="000000" w:themeColor="text1"/>
          <w:sz w:val="24"/>
          <w:szCs w:val="24"/>
          <w:u w:val="single"/>
        </w:rPr>
        <w:t>C</w:t>
      </w:r>
      <w:r w:rsidR="00D66ABE" w:rsidRPr="0035148E">
        <w:rPr>
          <w:rFonts w:ascii="Arial" w:hAnsi="Arial" w:cs="Arial"/>
          <w:b/>
          <w:bCs/>
          <w:color w:val="000000" w:themeColor="text1"/>
          <w:sz w:val="24"/>
          <w:szCs w:val="24"/>
          <w:u w:val="single"/>
        </w:rPr>
        <w:t>8</w:t>
      </w:r>
      <w:r w:rsidRPr="0035148E">
        <w:rPr>
          <w:rFonts w:ascii="Arial" w:hAnsi="Arial" w:cs="Arial"/>
          <w:b/>
          <w:bCs/>
          <w:color w:val="000000" w:themeColor="text1"/>
          <w:sz w:val="24"/>
          <w:szCs w:val="24"/>
          <w:u w:val="single"/>
        </w:rPr>
        <w:t xml:space="preserve">. </w:t>
      </w:r>
      <w:bookmarkStart w:id="221" w:name="_Toc343099707"/>
      <w:r w:rsidR="00AD0040" w:rsidRPr="0035148E">
        <w:rPr>
          <w:rFonts w:ascii="Arial" w:hAnsi="Arial" w:cs="Arial"/>
          <w:b/>
          <w:bCs/>
          <w:color w:val="000000" w:themeColor="text1"/>
          <w:sz w:val="24"/>
          <w:szCs w:val="24"/>
          <w:u w:val="single"/>
        </w:rPr>
        <w:t>SW</w:t>
      </w:r>
      <w:r w:rsidR="00EE4068" w:rsidRPr="0035148E">
        <w:rPr>
          <w:rFonts w:ascii="Arial" w:hAnsi="Arial" w:cs="Arial"/>
          <w:b/>
          <w:bCs/>
          <w:color w:val="000000" w:themeColor="text1"/>
          <w:sz w:val="24"/>
          <w:szCs w:val="24"/>
          <w:u w:val="single"/>
        </w:rPr>
        <w:t>C</w:t>
      </w:r>
      <w:r w:rsidR="00AD0040" w:rsidRPr="0035148E">
        <w:rPr>
          <w:rFonts w:ascii="Arial" w:hAnsi="Arial" w:cs="Arial"/>
          <w:b/>
          <w:bCs/>
          <w:color w:val="000000" w:themeColor="text1"/>
          <w:sz w:val="24"/>
          <w:szCs w:val="24"/>
          <w:u w:val="single"/>
        </w:rPr>
        <w:t>NT-</w:t>
      </w:r>
      <w:r w:rsidR="00B86DA1">
        <w:rPr>
          <w:rFonts w:ascii="Arial" w:hAnsi="Arial" w:cs="Arial"/>
          <w:b/>
          <w:bCs/>
          <w:color w:val="000000" w:themeColor="text1"/>
          <w:sz w:val="24"/>
          <w:szCs w:val="24"/>
          <w:u w:val="single"/>
        </w:rPr>
        <w:t>a</w:t>
      </w:r>
      <w:r w:rsidR="00AD0040" w:rsidRPr="0035148E">
        <w:rPr>
          <w:rFonts w:ascii="Arial" w:hAnsi="Arial" w:cs="Arial"/>
          <w:b/>
          <w:bCs/>
          <w:color w:val="000000" w:themeColor="text1"/>
          <w:sz w:val="24"/>
          <w:szCs w:val="24"/>
          <w:u w:val="single"/>
        </w:rPr>
        <w:t xml:space="preserve">nnexin </w:t>
      </w:r>
      <w:r w:rsidR="00B86DA1">
        <w:rPr>
          <w:rFonts w:ascii="Arial" w:hAnsi="Arial" w:cs="Arial"/>
          <w:b/>
          <w:bCs/>
          <w:color w:val="000000" w:themeColor="text1"/>
          <w:sz w:val="24"/>
          <w:szCs w:val="24"/>
          <w:u w:val="single"/>
        </w:rPr>
        <w:t xml:space="preserve">A5 </w:t>
      </w:r>
      <w:r w:rsidR="00AD0040" w:rsidRPr="0035148E">
        <w:rPr>
          <w:rFonts w:ascii="Arial" w:hAnsi="Arial" w:cs="Arial"/>
          <w:b/>
          <w:bCs/>
          <w:color w:val="000000" w:themeColor="text1"/>
          <w:sz w:val="24"/>
          <w:szCs w:val="24"/>
          <w:u w:val="single"/>
        </w:rPr>
        <w:t>laser treatment with temperature measurement</w:t>
      </w:r>
      <w:bookmarkEnd w:id="220"/>
    </w:p>
    <w:p w14:paraId="7CCC009F" w14:textId="77777777" w:rsidR="00AD0040" w:rsidRPr="00D74025" w:rsidRDefault="00AD0040" w:rsidP="00F6020C">
      <w:pPr>
        <w:pStyle w:val="Tpico5"/>
        <w:spacing w:line="276" w:lineRule="auto"/>
        <w:rPr>
          <w:rFonts w:ascii="Arial" w:hAnsi="Arial" w:cs="Arial"/>
          <w:color w:val="000000" w:themeColor="text1"/>
          <w:u w:val="none"/>
        </w:rPr>
      </w:pPr>
    </w:p>
    <w:p w14:paraId="6340B24F" w14:textId="3BD078B3" w:rsidR="00C12F2B" w:rsidRPr="00D74025" w:rsidRDefault="00C12F2B" w:rsidP="00F6020C">
      <w:pPr>
        <w:pStyle w:val="Tpico5"/>
        <w:spacing w:line="276" w:lineRule="auto"/>
        <w:rPr>
          <w:rFonts w:ascii="Arial" w:hAnsi="Arial" w:cs="Arial"/>
          <w:color w:val="000000" w:themeColor="text1"/>
        </w:rPr>
      </w:pPr>
      <w:r w:rsidRPr="00D74025">
        <w:rPr>
          <w:rFonts w:ascii="Arial" w:hAnsi="Arial" w:cs="Arial"/>
          <w:color w:val="000000" w:themeColor="text1"/>
        </w:rPr>
        <w:t>Assembly of the laser treatment system</w:t>
      </w:r>
    </w:p>
    <w:p w14:paraId="440579B5" w14:textId="77777777" w:rsidR="00C12F2B" w:rsidRPr="00D74025" w:rsidRDefault="00C12F2B">
      <w:pPr>
        <w:pStyle w:val="Tpico5"/>
        <w:numPr>
          <w:ilvl w:val="0"/>
          <w:numId w:val="39"/>
        </w:numPr>
        <w:spacing w:line="276" w:lineRule="auto"/>
        <w:rPr>
          <w:rFonts w:ascii="Arial" w:hAnsi="Arial" w:cs="Arial"/>
          <w:color w:val="000000" w:themeColor="text1"/>
          <w:u w:val="none"/>
        </w:rPr>
      </w:pPr>
      <w:r w:rsidRPr="00D74025">
        <w:rPr>
          <w:rFonts w:ascii="Arial" w:hAnsi="Arial" w:cs="Arial"/>
          <w:color w:val="000000" w:themeColor="text1"/>
          <w:u w:val="none"/>
        </w:rPr>
        <w:t>Place the laser tip over a distance from the bottom of the working area.</w:t>
      </w:r>
    </w:p>
    <w:p w14:paraId="211AFC02" w14:textId="77777777" w:rsidR="00C12F2B" w:rsidRPr="00D74025" w:rsidRDefault="00C12F2B">
      <w:pPr>
        <w:pStyle w:val="Tpico5"/>
        <w:numPr>
          <w:ilvl w:val="0"/>
          <w:numId w:val="39"/>
        </w:numPr>
        <w:spacing w:line="276" w:lineRule="auto"/>
        <w:rPr>
          <w:rFonts w:ascii="Arial" w:hAnsi="Arial" w:cs="Arial"/>
          <w:color w:val="000000" w:themeColor="text1"/>
          <w:u w:val="none"/>
        </w:rPr>
      </w:pPr>
      <w:r w:rsidRPr="00D74025">
        <w:rPr>
          <w:rFonts w:ascii="Arial" w:hAnsi="Arial" w:cs="Arial"/>
          <w:color w:val="000000" w:themeColor="text1"/>
          <w:u w:val="none"/>
        </w:rPr>
        <w:t>Place the Zap-it</w:t>
      </w:r>
      <w:r w:rsidRPr="00D74025">
        <w:rPr>
          <w:rFonts w:ascii="Arial" w:hAnsi="Arial" w:cs="Arial"/>
          <w:color w:val="000000" w:themeColor="text1"/>
          <w:u w:val="none"/>
          <w:vertAlign w:val="superscript"/>
        </w:rPr>
        <w:t>®</w:t>
      </w:r>
      <w:r w:rsidRPr="00D74025">
        <w:rPr>
          <w:rFonts w:ascii="Arial" w:hAnsi="Arial" w:cs="Arial"/>
          <w:color w:val="000000" w:themeColor="text1"/>
          <w:u w:val="none"/>
        </w:rPr>
        <w:t xml:space="preserve"> paper over the working area.</w:t>
      </w:r>
    </w:p>
    <w:p w14:paraId="234297BE" w14:textId="77777777" w:rsidR="00C12F2B" w:rsidRPr="00D74025" w:rsidRDefault="00C12F2B">
      <w:pPr>
        <w:pStyle w:val="Tpico5"/>
        <w:numPr>
          <w:ilvl w:val="0"/>
          <w:numId w:val="39"/>
        </w:numPr>
        <w:spacing w:line="276" w:lineRule="auto"/>
        <w:rPr>
          <w:rFonts w:ascii="Arial" w:hAnsi="Arial" w:cs="Arial"/>
          <w:color w:val="000000" w:themeColor="text1"/>
          <w:u w:val="none"/>
        </w:rPr>
      </w:pPr>
      <w:r w:rsidRPr="00D74025">
        <w:rPr>
          <w:rFonts w:ascii="Arial" w:hAnsi="Arial" w:cs="Arial"/>
          <w:color w:val="000000" w:themeColor="text1"/>
          <w:u w:val="none"/>
        </w:rPr>
        <w:t>Position the 24-well plate over the Zap-it</w:t>
      </w:r>
      <w:r w:rsidRPr="00D74025">
        <w:rPr>
          <w:rFonts w:ascii="Arial" w:hAnsi="Arial" w:cs="Arial"/>
          <w:color w:val="000000" w:themeColor="text1"/>
          <w:u w:val="none"/>
          <w:vertAlign w:val="superscript"/>
        </w:rPr>
        <w:t>®</w:t>
      </w:r>
      <w:r w:rsidRPr="00D74025">
        <w:rPr>
          <w:rFonts w:ascii="Arial" w:hAnsi="Arial" w:cs="Arial"/>
          <w:color w:val="000000" w:themeColor="text1"/>
          <w:u w:val="none"/>
        </w:rPr>
        <w:t xml:space="preserve"> paper.</w:t>
      </w:r>
    </w:p>
    <w:p w14:paraId="4CC424A5" w14:textId="77777777" w:rsidR="00C12F2B" w:rsidRPr="00D74025" w:rsidRDefault="00C12F2B">
      <w:pPr>
        <w:pStyle w:val="Tpico5"/>
        <w:numPr>
          <w:ilvl w:val="0"/>
          <w:numId w:val="39"/>
        </w:numPr>
        <w:spacing w:line="276" w:lineRule="auto"/>
        <w:rPr>
          <w:rFonts w:ascii="Arial" w:hAnsi="Arial" w:cs="Arial"/>
          <w:color w:val="000000" w:themeColor="text1"/>
          <w:u w:val="none"/>
        </w:rPr>
      </w:pPr>
      <w:r w:rsidRPr="00D74025">
        <w:rPr>
          <w:rFonts w:ascii="Arial" w:hAnsi="Arial" w:cs="Arial"/>
          <w:color w:val="000000" w:themeColor="text1"/>
          <w:u w:val="none"/>
        </w:rPr>
        <w:t>Turn on the laser and wait for the paper to burn and show the area affected by the laser.</w:t>
      </w:r>
    </w:p>
    <w:p w14:paraId="1BBEB8DE" w14:textId="77777777" w:rsidR="00C12F2B" w:rsidRPr="00D74025" w:rsidRDefault="00C12F2B">
      <w:pPr>
        <w:pStyle w:val="Tpico5"/>
        <w:numPr>
          <w:ilvl w:val="0"/>
          <w:numId w:val="39"/>
        </w:numPr>
        <w:spacing w:line="276" w:lineRule="auto"/>
        <w:rPr>
          <w:rFonts w:ascii="Arial" w:hAnsi="Arial" w:cs="Arial"/>
          <w:color w:val="000000" w:themeColor="text1"/>
          <w:u w:val="none"/>
        </w:rPr>
      </w:pPr>
      <w:r w:rsidRPr="00D74025">
        <w:rPr>
          <w:rFonts w:ascii="Arial" w:hAnsi="Arial" w:cs="Arial"/>
          <w:color w:val="000000" w:themeColor="text1"/>
          <w:u w:val="none"/>
        </w:rPr>
        <w:t>Adjust the laser distance from the bottom.</w:t>
      </w:r>
    </w:p>
    <w:p w14:paraId="7EC6D7D7" w14:textId="77777777" w:rsidR="00C12F2B" w:rsidRPr="00D74025" w:rsidRDefault="00C12F2B">
      <w:pPr>
        <w:pStyle w:val="Tpico5"/>
        <w:numPr>
          <w:ilvl w:val="0"/>
          <w:numId w:val="39"/>
        </w:numPr>
        <w:spacing w:line="276" w:lineRule="auto"/>
        <w:rPr>
          <w:rFonts w:ascii="Arial" w:hAnsi="Arial" w:cs="Arial"/>
          <w:color w:val="000000" w:themeColor="text1"/>
          <w:u w:val="none"/>
        </w:rPr>
      </w:pPr>
      <w:r w:rsidRPr="00D74025">
        <w:rPr>
          <w:rFonts w:ascii="Arial" w:hAnsi="Arial" w:cs="Arial"/>
          <w:color w:val="000000" w:themeColor="text1"/>
          <w:u w:val="none"/>
        </w:rPr>
        <w:t>Repeat steps 4 and 5 until the laser area matches the bottom area of the 24-well plate</w:t>
      </w:r>
    </w:p>
    <w:p w14:paraId="2D533FFA" w14:textId="77777777" w:rsidR="00C12F2B" w:rsidRPr="00D74025" w:rsidRDefault="00C12F2B">
      <w:pPr>
        <w:pStyle w:val="Tpico5"/>
        <w:numPr>
          <w:ilvl w:val="0"/>
          <w:numId w:val="39"/>
        </w:numPr>
        <w:spacing w:line="276" w:lineRule="auto"/>
        <w:rPr>
          <w:rFonts w:ascii="Arial" w:hAnsi="Arial" w:cs="Arial"/>
          <w:color w:val="000000" w:themeColor="text1"/>
          <w:u w:val="none"/>
        </w:rPr>
      </w:pPr>
      <w:r w:rsidRPr="00D74025">
        <w:rPr>
          <w:rFonts w:ascii="Arial" w:hAnsi="Arial" w:cs="Arial"/>
          <w:color w:val="000000" w:themeColor="text1"/>
          <w:u w:val="none"/>
        </w:rPr>
        <w:t>Measure the diameter of the affected are with a caliper and calculate the respective area.</w:t>
      </w:r>
    </w:p>
    <w:p w14:paraId="6DCA30CF" w14:textId="77777777" w:rsidR="00C12F2B" w:rsidRPr="00D74025" w:rsidRDefault="00C12F2B" w:rsidP="00F6020C">
      <w:pPr>
        <w:pStyle w:val="Tpico5"/>
        <w:spacing w:line="276" w:lineRule="auto"/>
        <w:rPr>
          <w:rFonts w:ascii="Arial" w:hAnsi="Arial" w:cs="Arial"/>
          <w:color w:val="000000" w:themeColor="text1"/>
        </w:rPr>
      </w:pPr>
      <w:r w:rsidRPr="00D74025">
        <w:rPr>
          <w:rFonts w:ascii="Arial" w:hAnsi="Arial" w:cs="Arial"/>
          <w:color w:val="000000" w:themeColor="text1"/>
        </w:rPr>
        <w:t>Measuring power attenuation</w:t>
      </w:r>
    </w:p>
    <w:p w14:paraId="00BF70FC" w14:textId="1C38F927" w:rsidR="00C12F2B" w:rsidRPr="00D74025" w:rsidRDefault="00C12F2B">
      <w:pPr>
        <w:pStyle w:val="Tpico5"/>
        <w:numPr>
          <w:ilvl w:val="0"/>
          <w:numId w:val="40"/>
        </w:numPr>
        <w:spacing w:line="276" w:lineRule="auto"/>
        <w:rPr>
          <w:rFonts w:ascii="Arial" w:hAnsi="Arial" w:cs="Arial"/>
          <w:color w:val="000000" w:themeColor="text1"/>
          <w:u w:val="none"/>
        </w:rPr>
      </w:pPr>
      <w:r w:rsidRPr="00D74025">
        <w:rPr>
          <w:rFonts w:ascii="Arial" w:hAnsi="Arial" w:cs="Arial"/>
          <w:color w:val="000000" w:themeColor="text1"/>
          <w:u w:val="none"/>
        </w:rPr>
        <w:t>Don’t change the system assembly</w:t>
      </w:r>
      <w:r w:rsidR="006F5BF0">
        <w:rPr>
          <w:rFonts w:ascii="Arial" w:hAnsi="Arial" w:cs="Arial"/>
          <w:color w:val="000000" w:themeColor="text1"/>
          <w:u w:val="none"/>
        </w:rPr>
        <w:t>.</w:t>
      </w:r>
    </w:p>
    <w:p w14:paraId="4B5E29B8" w14:textId="50BB001E" w:rsidR="00C12F2B" w:rsidRPr="00D74025" w:rsidRDefault="00C12F2B">
      <w:pPr>
        <w:pStyle w:val="Tpico5"/>
        <w:numPr>
          <w:ilvl w:val="0"/>
          <w:numId w:val="40"/>
        </w:numPr>
        <w:spacing w:line="276" w:lineRule="auto"/>
        <w:rPr>
          <w:rFonts w:ascii="Arial" w:hAnsi="Arial" w:cs="Arial"/>
          <w:color w:val="000000" w:themeColor="text1"/>
          <w:u w:val="none"/>
        </w:rPr>
      </w:pPr>
      <w:r w:rsidRPr="00D74025">
        <w:rPr>
          <w:rFonts w:ascii="Arial" w:hAnsi="Arial" w:cs="Arial"/>
          <w:color w:val="000000" w:themeColor="text1"/>
          <w:u w:val="none"/>
        </w:rPr>
        <w:t>Position the power meter over the working area</w:t>
      </w:r>
      <w:r w:rsidR="006F5BF0">
        <w:rPr>
          <w:rFonts w:ascii="Arial" w:hAnsi="Arial" w:cs="Arial"/>
          <w:color w:val="000000" w:themeColor="text1"/>
          <w:u w:val="none"/>
        </w:rPr>
        <w:t>.</w:t>
      </w:r>
    </w:p>
    <w:p w14:paraId="76735E32" w14:textId="77777777" w:rsidR="00C12F2B" w:rsidRPr="00D74025" w:rsidRDefault="00C12F2B">
      <w:pPr>
        <w:pStyle w:val="Tpico5"/>
        <w:numPr>
          <w:ilvl w:val="0"/>
          <w:numId w:val="40"/>
        </w:numPr>
        <w:spacing w:line="276" w:lineRule="auto"/>
        <w:rPr>
          <w:rFonts w:ascii="Arial" w:hAnsi="Arial" w:cs="Arial"/>
          <w:color w:val="000000" w:themeColor="text1"/>
          <w:u w:val="none"/>
        </w:rPr>
      </w:pPr>
      <w:r w:rsidRPr="00D74025">
        <w:rPr>
          <w:rFonts w:ascii="Arial" w:hAnsi="Arial" w:cs="Arial"/>
          <w:color w:val="000000" w:themeColor="text1"/>
          <w:u w:val="none"/>
        </w:rPr>
        <w:t>Position a 24-well plate with a correspondent volume of media and the cover on top of the power meter.</w:t>
      </w:r>
    </w:p>
    <w:p w14:paraId="42F18E1D" w14:textId="31006C85" w:rsidR="00C12F2B" w:rsidRPr="00D74025" w:rsidRDefault="00C12F2B">
      <w:pPr>
        <w:pStyle w:val="Tpico5"/>
        <w:numPr>
          <w:ilvl w:val="1"/>
          <w:numId w:val="40"/>
        </w:numPr>
        <w:spacing w:line="276" w:lineRule="auto"/>
        <w:rPr>
          <w:rFonts w:ascii="Arial" w:hAnsi="Arial" w:cs="Arial"/>
          <w:color w:val="000000" w:themeColor="text1"/>
          <w:u w:val="none"/>
        </w:rPr>
      </w:pPr>
      <w:r w:rsidRPr="00D74025">
        <w:rPr>
          <w:rFonts w:ascii="Arial" w:hAnsi="Arial" w:cs="Arial"/>
          <w:color w:val="000000" w:themeColor="text1"/>
          <w:u w:val="none"/>
        </w:rPr>
        <w:t>The 24-well plate with a layer of media and the cover of the well plate is used to measure the power attenuation in the whole system</w:t>
      </w:r>
      <w:r w:rsidR="006F5BF0">
        <w:rPr>
          <w:rFonts w:ascii="Arial" w:hAnsi="Arial" w:cs="Arial"/>
          <w:color w:val="000000" w:themeColor="text1"/>
          <w:u w:val="none"/>
        </w:rPr>
        <w:t>.</w:t>
      </w:r>
    </w:p>
    <w:p w14:paraId="47E5C261" w14:textId="77777777" w:rsidR="00C12F2B" w:rsidRPr="00D74025" w:rsidRDefault="00C12F2B">
      <w:pPr>
        <w:pStyle w:val="Tpico5"/>
        <w:numPr>
          <w:ilvl w:val="0"/>
          <w:numId w:val="40"/>
        </w:numPr>
        <w:spacing w:line="276" w:lineRule="auto"/>
        <w:rPr>
          <w:rFonts w:ascii="Arial" w:hAnsi="Arial" w:cs="Arial"/>
          <w:color w:val="000000" w:themeColor="text1"/>
          <w:u w:val="none"/>
        </w:rPr>
      </w:pPr>
      <w:r w:rsidRPr="00D74025">
        <w:rPr>
          <w:rFonts w:ascii="Arial" w:hAnsi="Arial" w:cs="Arial"/>
          <w:color w:val="000000" w:themeColor="text1"/>
          <w:u w:val="none"/>
        </w:rPr>
        <w:t>Turn on the laser and measure the power with the power meter.</w:t>
      </w:r>
    </w:p>
    <w:p w14:paraId="545EE6E4" w14:textId="784FFA30" w:rsidR="00C12F2B" w:rsidRPr="00D74025" w:rsidRDefault="00C12F2B">
      <w:pPr>
        <w:pStyle w:val="Tpico5"/>
        <w:numPr>
          <w:ilvl w:val="0"/>
          <w:numId w:val="40"/>
        </w:numPr>
        <w:spacing w:line="276" w:lineRule="auto"/>
        <w:rPr>
          <w:rFonts w:ascii="Arial" w:hAnsi="Arial" w:cs="Arial"/>
          <w:color w:val="000000" w:themeColor="text1"/>
          <w:u w:val="none"/>
        </w:rPr>
      </w:pPr>
      <w:r w:rsidRPr="00D74025">
        <w:rPr>
          <w:rFonts w:ascii="Arial" w:hAnsi="Arial" w:cs="Arial"/>
          <w:color w:val="000000" w:themeColor="text1"/>
          <w:u w:val="none"/>
        </w:rPr>
        <w:t>Adjust the power generated by the laser to get a 1</w:t>
      </w:r>
      <w:r w:rsidR="006F5BF0">
        <w:rPr>
          <w:rFonts w:ascii="Arial" w:hAnsi="Arial" w:cs="Arial"/>
          <w:color w:val="000000" w:themeColor="text1"/>
          <w:u w:val="none"/>
        </w:rPr>
        <w:t xml:space="preserve"> </w:t>
      </w:r>
      <w:r w:rsidRPr="00D74025">
        <w:rPr>
          <w:rFonts w:ascii="Arial" w:hAnsi="Arial" w:cs="Arial"/>
          <w:color w:val="000000" w:themeColor="text1"/>
          <w:u w:val="none"/>
        </w:rPr>
        <w:t>W/cm</w:t>
      </w:r>
      <w:r w:rsidRPr="006F5BF0">
        <w:rPr>
          <w:rFonts w:ascii="Arial" w:hAnsi="Arial" w:cs="Arial"/>
          <w:color w:val="000000" w:themeColor="text1"/>
          <w:u w:val="none"/>
          <w:vertAlign w:val="superscript"/>
        </w:rPr>
        <w:t>2</w:t>
      </w:r>
      <w:r w:rsidRPr="00D74025">
        <w:rPr>
          <w:rFonts w:ascii="Arial" w:hAnsi="Arial" w:cs="Arial"/>
          <w:color w:val="000000" w:themeColor="text1"/>
          <w:u w:val="none"/>
        </w:rPr>
        <w:t xml:space="preserve">. </w:t>
      </w:r>
    </w:p>
    <w:p w14:paraId="57CCA8FF" w14:textId="77777777" w:rsidR="00C12F2B" w:rsidRPr="00D74025" w:rsidRDefault="00C12F2B" w:rsidP="00F6020C">
      <w:pPr>
        <w:pStyle w:val="Tpico5"/>
        <w:spacing w:line="276" w:lineRule="auto"/>
        <w:rPr>
          <w:rFonts w:ascii="Arial" w:hAnsi="Arial" w:cs="Arial"/>
          <w:color w:val="000000" w:themeColor="text1"/>
          <w:u w:val="none"/>
        </w:rPr>
      </w:pPr>
      <w:r w:rsidRPr="00D74025">
        <w:rPr>
          <w:rFonts w:ascii="Arial" w:hAnsi="Arial" w:cs="Arial"/>
          <w:color w:val="000000" w:themeColor="text1"/>
          <w:u w:val="none"/>
        </w:rPr>
        <w:t>(I am assuming that once the power generator is set in certain level, the generated power will not change)</w:t>
      </w:r>
    </w:p>
    <w:p w14:paraId="617C1541" w14:textId="77777777" w:rsidR="00C12F2B" w:rsidRPr="00D74025" w:rsidRDefault="00C12F2B" w:rsidP="00F6020C">
      <w:pPr>
        <w:pStyle w:val="Tpico5"/>
        <w:spacing w:line="276" w:lineRule="auto"/>
        <w:rPr>
          <w:rFonts w:ascii="Arial" w:hAnsi="Arial" w:cs="Arial"/>
          <w:color w:val="000000" w:themeColor="text1"/>
        </w:rPr>
      </w:pPr>
    </w:p>
    <w:p w14:paraId="7048378D" w14:textId="77777777" w:rsidR="00C12F2B" w:rsidRPr="00D74025" w:rsidRDefault="00C12F2B" w:rsidP="00F6020C">
      <w:pPr>
        <w:pStyle w:val="Tpico5"/>
        <w:spacing w:line="276" w:lineRule="auto"/>
        <w:rPr>
          <w:rFonts w:ascii="Arial" w:hAnsi="Arial" w:cs="Arial"/>
          <w:color w:val="000000" w:themeColor="text1"/>
          <w:u w:val="none"/>
        </w:rPr>
      </w:pPr>
    </w:p>
    <w:p w14:paraId="1D880D5E" w14:textId="77777777" w:rsidR="00C12F2B" w:rsidRPr="00D74025" w:rsidRDefault="00C12F2B" w:rsidP="00F6020C">
      <w:pPr>
        <w:pStyle w:val="Tpico5"/>
        <w:spacing w:line="276" w:lineRule="auto"/>
        <w:rPr>
          <w:rFonts w:ascii="Arial" w:hAnsi="Arial" w:cs="Arial"/>
          <w:color w:val="000000" w:themeColor="text1"/>
          <w:u w:val="none"/>
        </w:rPr>
      </w:pPr>
    </w:p>
    <w:p w14:paraId="07758D6B" w14:textId="77777777" w:rsidR="00C12F2B" w:rsidRPr="00D74025" w:rsidRDefault="00C12F2B" w:rsidP="00F6020C">
      <w:pPr>
        <w:pStyle w:val="Tpico5"/>
        <w:spacing w:line="276" w:lineRule="auto"/>
        <w:rPr>
          <w:rFonts w:ascii="Arial" w:hAnsi="Arial" w:cs="Arial"/>
          <w:color w:val="000000" w:themeColor="text1"/>
          <w:u w:val="none"/>
        </w:rPr>
      </w:pPr>
    </w:p>
    <w:p w14:paraId="43BEF32D" w14:textId="7AC1C599" w:rsidR="00C12F2B" w:rsidRPr="00D74025" w:rsidRDefault="00C12F2B" w:rsidP="00F6020C">
      <w:pPr>
        <w:pStyle w:val="Tpico5"/>
        <w:spacing w:line="276" w:lineRule="auto"/>
        <w:rPr>
          <w:rFonts w:ascii="Arial" w:hAnsi="Arial" w:cs="Arial"/>
          <w:color w:val="000000" w:themeColor="text1"/>
        </w:rPr>
      </w:pPr>
      <w:r w:rsidRPr="00D74025">
        <w:rPr>
          <w:rFonts w:ascii="Arial" w:hAnsi="Arial" w:cs="Arial"/>
          <w:color w:val="000000" w:themeColor="text1"/>
        </w:rPr>
        <w:t>Laser Treatment of Endothelial Cells with SW</w:t>
      </w:r>
      <w:r w:rsidR="0025428A">
        <w:rPr>
          <w:rFonts w:ascii="Arial" w:hAnsi="Arial" w:cs="Arial"/>
          <w:color w:val="000000" w:themeColor="text1"/>
        </w:rPr>
        <w:t>C</w:t>
      </w:r>
      <w:r w:rsidRPr="00D74025">
        <w:rPr>
          <w:rFonts w:ascii="Arial" w:hAnsi="Arial" w:cs="Arial"/>
          <w:color w:val="000000" w:themeColor="text1"/>
        </w:rPr>
        <w:t>NT-annexin V on the Cell Surface</w:t>
      </w:r>
      <w:bookmarkEnd w:id="221"/>
    </w:p>
    <w:p w14:paraId="0F83CCC2" w14:textId="77777777" w:rsidR="00C12F2B" w:rsidRPr="00D74025" w:rsidRDefault="00C12F2B" w:rsidP="00F6020C">
      <w:pPr>
        <w:pStyle w:val="Tpico5"/>
        <w:spacing w:line="276" w:lineRule="auto"/>
        <w:rPr>
          <w:rFonts w:ascii="Arial" w:hAnsi="Arial" w:cs="Arial"/>
          <w:color w:val="000000" w:themeColor="text1"/>
        </w:rPr>
      </w:pPr>
    </w:p>
    <w:p w14:paraId="4E52E5EC" w14:textId="77777777" w:rsidR="00C12F2B" w:rsidRPr="00D74025" w:rsidRDefault="00C12F2B" w:rsidP="00F6020C">
      <w:pPr>
        <w:pStyle w:val="Tpico5"/>
        <w:spacing w:line="276" w:lineRule="auto"/>
        <w:rPr>
          <w:rFonts w:ascii="Arial" w:hAnsi="Arial" w:cs="Arial"/>
          <w:color w:val="000000" w:themeColor="text1"/>
          <w:u w:val="none"/>
        </w:rPr>
      </w:pPr>
      <w:r w:rsidRPr="00D74025">
        <w:rPr>
          <w:rFonts w:ascii="Arial" w:hAnsi="Arial" w:cs="Arial"/>
          <w:color w:val="000000" w:themeColor="text1"/>
          <w:u w:val="none"/>
        </w:rPr>
        <w:t>Groups:</w:t>
      </w:r>
    </w:p>
    <w:p w14:paraId="5D4B7875" w14:textId="77777777" w:rsidR="00C12F2B" w:rsidRPr="00D74025" w:rsidRDefault="00C12F2B">
      <w:pPr>
        <w:pStyle w:val="Tpico5"/>
        <w:numPr>
          <w:ilvl w:val="0"/>
          <w:numId w:val="43"/>
        </w:numPr>
        <w:spacing w:line="276" w:lineRule="auto"/>
        <w:rPr>
          <w:rFonts w:ascii="Arial" w:hAnsi="Arial" w:cs="Arial"/>
          <w:color w:val="000000" w:themeColor="text1"/>
          <w:u w:val="none"/>
        </w:rPr>
      </w:pPr>
      <w:r w:rsidRPr="00D74025">
        <w:rPr>
          <w:rFonts w:ascii="Arial" w:hAnsi="Arial" w:cs="Arial"/>
          <w:color w:val="000000" w:themeColor="text1"/>
          <w:u w:val="none"/>
        </w:rPr>
        <w:t>Controls (100% viability)</w:t>
      </w:r>
    </w:p>
    <w:p w14:paraId="335905A8" w14:textId="77777777" w:rsidR="00C12F2B" w:rsidRPr="00D74025" w:rsidRDefault="00C12F2B">
      <w:pPr>
        <w:pStyle w:val="Tpico5"/>
        <w:numPr>
          <w:ilvl w:val="1"/>
          <w:numId w:val="43"/>
        </w:numPr>
        <w:spacing w:line="276" w:lineRule="auto"/>
        <w:rPr>
          <w:rFonts w:ascii="Arial" w:hAnsi="Arial" w:cs="Arial"/>
          <w:color w:val="000000" w:themeColor="text1"/>
          <w:u w:val="none"/>
        </w:rPr>
      </w:pPr>
      <w:r w:rsidRPr="00D74025">
        <w:rPr>
          <w:rFonts w:ascii="Arial" w:hAnsi="Arial" w:cs="Arial"/>
          <w:color w:val="000000" w:themeColor="text1"/>
          <w:u w:val="none"/>
        </w:rPr>
        <w:t>Untreated non-confluent HAAE-1 (n=3)</w:t>
      </w:r>
    </w:p>
    <w:p w14:paraId="793AE01C" w14:textId="77777777" w:rsidR="00C12F2B" w:rsidRPr="00D74025" w:rsidRDefault="00C12F2B">
      <w:pPr>
        <w:pStyle w:val="Tpico5"/>
        <w:numPr>
          <w:ilvl w:val="1"/>
          <w:numId w:val="43"/>
        </w:numPr>
        <w:spacing w:line="276" w:lineRule="auto"/>
        <w:rPr>
          <w:rFonts w:ascii="Arial" w:hAnsi="Arial" w:cs="Arial"/>
          <w:color w:val="000000" w:themeColor="text1"/>
          <w:u w:val="none"/>
        </w:rPr>
      </w:pPr>
      <w:r w:rsidRPr="00D74025">
        <w:rPr>
          <w:rFonts w:ascii="Arial" w:hAnsi="Arial" w:cs="Arial"/>
          <w:color w:val="000000" w:themeColor="text1"/>
          <w:u w:val="none"/>
        </w:rPr>
        <w:lastRenderedPageBreak/>
        <w:t>Untreated 4T1(n=3)</w:t>
      </w:r>
    </w:p>
    <w:p w14:paraId="62B48975" w14:textId="77777777" w:rsidR="00C12F2B" w:rsidRPr="00D74025" w:rsidRDefault="00C12F2B">
      <w:pPr>
        <w:pStyle w:val="Tpico5"/>
        <w:numPr>
          <w:ilvl w:val="1"/>
          <w:numId w:val="43"/>
        </w:numPr>
        <w:spacing w:line="276" w:lineRule="auto"/>
        <w:rPr>
          <w:rFonts w:ascii="Arial" w:hAnsi="Arial" w:cs="Arial"/>
          <w:color w:val="000000" w:themeColor="text1"/>
          <w:u w:val="none"/>
        </w:rPr>
      </w:pPr>
      <w:r w:rsidRPr="00D74025">
        <w:rPr>
          <w:rFonts w:ascii="Arial" w:hAnsi="Arial" w:cs="Arial"/>
          <w:color w:val="000000" w:themeColor="text1"/>
          <w:u w:val="none"/>
        </w:rPr>
        <w:t>Untreated EMT6 (n=3)</w:t>
      </w:r>
    </w:p>
    <w:p w14:paraId="430A2DF0" w14:textId="38D9220A" w:rsidR="00C12F2B" w:rsidRPr="00D74025" w:rsidRDefault="00C12F2B">
      <w:pPr>
        <w:pStyle w:val="Tpico5"/>
        <w:numPr>
          <w:ilvl w:val="0"/>
          <w:numId w:val="43"/>
        </w:numPr>
        <w:spacing w:line="276" w:lineRule="auto"/>
        <w:rPr>
          <w:rFonts w:ascii="Arial" w:hAnsi="Arial" w:cs="Arial"/>
          <w:color w:val="000000" w:themeColor="text1"/>
          <w:u w:val="none"/>
        </w:rPr>
      </w:pPr>
      <w:r w:rsidRPr="00D74025">
        <w:rPr>
          <w:rFonts w:ascii="Arial" w:hAnsi="Arial" w:cs="Arial"/>
          <w:color w:val="000000" w:themeColor="text1"/>
          <w:u w:val="none"/>
        </w:rPr>
        <w:t xml:space="preserve">Laser: </w:t>
      </w:r>
      <w:r w:rsidR="00E60C1A">
        <w:rPr>
          <w:rFonts w:ascii="Arial" w:hAnsi="Arial" w:cs="Arial"/>
          <w:color w:val="000000" w:themeColor="text1"/>
          <w:u w:val="none"/>
        </w:rPr>
        <w:t>T</w:t>
      </w:r>
      <w:r w:rsidRPr="00D74025">
        <w:rPr>
          <w:rFonts w:ascii="Arial" w:hAnsi="Arial" w:cs="Arial"/>
          <w:color w:val="000000" w:themeColor="text1"/>
          <w:u w:val="none"/>
        </w:rPr>
        <w:t>emperature measurement (non-sterile)</w:t>
      </w:r>
    </w:p>
    <w:p w14:paraId="78912142" w14:textId="77777777" w:rsidR="00C12F2B" w:rsidRPr="00D74025" w:rsidRDefault="00C12F2B">
      <w:pPr>
        <w:pStyle w:val="Tpico5"/>
        <w:numPr>
          <w:ilvl w:val="1"/>
          <w:numId w:val="43"/>
        </w:numPr>
        <w:spacing w:line="276" w:lineRule="auto"/>
        <w:rPr>
          <w:rFonts w:ascii="Arial" w:hAnsi="Arial" w:cs="Arial"/>
          <w:color w:val="000000" w:themeColor="text1"/>
          <w:u w:val="none"/>
        </w:rPr>
      </w:pPr>
      <w:r w:rsidRPr="00D74025">
        <w:rPr>
          <w:rFonts w:ascii="Arial" w:hAnsi="Arial" w:cs="Arial"/>
          <w:color w:val="000000" w:themeColor="text1"/>
          <w:u w:val="none"/>
        </w:rPr>
        <w:t>Non-confluent HAAE-1 (n=3)</w:t>
      </w:r>
    </w:p>
    <w:p w14:paraId="72B5CF58" w14:textId="77777777" w:rsidR="00C12F2B" w:rsidRPr="00D74025" w:rsidRDefault="00C12F2B">
      <w:pPr>
        <w:pStyle w:val="Tpico5"/>
        <w:numPr>
          <w:ilvl w:val="1"/>
          <w:numId w:val="43"/>
        </w:numPr>
        <w:spacing w:line="276" w:lineRule="auto"/>
        <w:rPr>
          <w:rFonts w:ascii="Arial" w:hAnsi="Arial" w:cs="Arial"/>
          <w:color w:val="000000" w:themeColor="text1"/>
          <w:u w:val="none"/>
        </w:rPr>
      </w:pPr>
      <w:r w:rsidRPr="00D74025">
        <w:rPr>
          <w:rFonts w:ascii="Arial" w:hAnsi="Arial" w:cs="Arial"/>
          <w:color w:val="000000" w:themeColor="text1"/>
          <w:u w:val="none"/>
        </w:rPr>
        <w:t>4T1(n=3)</w:t>
      </w:r>
    </w:p>
    <w:p w14:paraId="43E0523D" w14:textId="77777777" w:rsidR="00C12F2B" w:rsidRPr="00D74025" w:rsidRDefault="00C12F2B">
      <w:pPr>
        <w:pStyle w:val="Tpico5"/>
        <w:numPr>
          <w:ilvl w:val="1"/>
          <w:numId w:val="43"/>
        </w:numPr>
        <w:spacing w:line="276" w:lineRule="auto"/>
        <w:rPr>
          <w:rFonts w:ascii="Arial" w:hAnsi="Arial" w:cs="Arial"/>
          <w:color w:val="000000" w:themeColor="text1"/>
          <w:u w:val="none"/>
        </w:rPr>
      </w:pPr>
      <w:r w:rsidRPr="00D74025">
        <w:rPr>
          <w:rFonts w:ascii="Arial" w:hAnsi="Arial" w:cs="Arial"/>
          <w:color w:val="000000" w:themeColor="text1"/>
          <w:u w:val="none"/>
        </w:rPr>
        <w:t>EMT6 (n=3)</w:t>
      </w:r>
    </w:p>
    <w:p w14:paraId="0FBFBDF6" w14:textId="77777777" w:rsidR="00C12F2B" w:rsidRPr="00D74025" w:rsidRDefault="00C12F2B">
      <w:pPr>
        <w:pStyle w:val="Tpico5"/>
        <w:numPr>
          <w:ilvl w:val="0"/>
          <w:numId w:val="43"/>
        </w:numPr>
        <w:spacing w:line="276" w:lineRule="auto"/>
        <w:rPr>
          <w:rFonts w:ascii="Arial" w:hAnsi="Arial" w:cs="Arial"/>
          <w:color w:val="000000" w:themeColor="text1"/>
          <w:u w:val="none"/>
        </w:rPr>
      </w:pPr>
      <w:r w:rsidRPr="00D74025">
        <w:rPr>
          <w:rFonts w:ascii="Arial" w:hAnsi="Arial" w:cs="Arial"/>
          <w:color w:val="000000" w:themeColor="text1"/>
          <w:u w:val="none"/>
        </w:rPr>
        <w:t>Laser: Viability Assay (sterile)</w:t>
      </w:r>
    </w:p>
    <w:p w14:paraId="49E74B00" w14:textId="77777777" w:rsidR="00C12F2B" w:rsidRPr="00D74025" w:rsidRDefault="00C12F2B">
      <w:pPr>
        <w:pStyle w:val="Tpico5"/>
        <w:numPr>
          <w:ilvl w:val="1"/>
          <w:numId w:val="43"/>
        </w:numPr>
        <w:spacing w:line="276" w:lineRule="auto"/>
        <w:rPr>
          <w:rFonts w:ascii="Arial" w:hAnsi="Arial" w:cs="Arial"/>
          <w:color w:val="000000" w:themeColor="text1"/>
          <w:u w:val="none"/>
        </w:rPr>
      </w:pPr>
      <w:r w:rsidRPr="00D74025">
        <w:rPr>
          <w:rFonts w:ascii="Arial" w:hAnsi="Arial" w:cs="Arial"/>
          <w:color w:val="000000" w:themeColor="text1"/>
          <w:u w:val="none"/>
        </w:rPr>
        <w:t>Non-confluent HAAE-1 (n=3)</w:t>
      </w:r>
    </w:p>
    <w:p w14:paraId="49352786" w14:textId="77777777" w:rsidR="00C12F2B" w:rsidRPr="00D74025" w:rsidRDefault="00C12F2B">
      <w:pPr>
        <w:pStyle w:val="Tpico5"/>
        <w:numPr>
          <w:ilvl w:val="1"/>
          <w:numId w:val="43"/>
        </w:numPr>
        <w:spacing w:line="276" w:lineRule="auto"/>
        <w:rPr>
          <w:rFonts w:ascii="Arial" w:hAnsi="Arial" w:cs="Arial"/>
          <w:color w:val="000000" w:themeColor="text1"/>
          <w:u w:val="none"/>
        </w:rPr>
      </w:pPr>
      <w:r w:rsidRPr="00D74025">
        <w:rPr>
          <w:rFonts w:ascii="Arial" w:hAnsi="Arial" w:cs="Arial"/>
          <w:color w:val="000000" w:themeColor="text1"/>
          <w:u w:val="none"/>
        </w:rPr>
        <w:t>4T1(n=3)</w:t>
      </w:r>
    </w:p>
    <w:p w14:paraId="173A286F" w14:textId="77777777" w:rsidR="00C12F2B" w:rsidRPr="00D74025" w:rsidRDefault="00C12F2B">
      <w:pPr>
        <w:pStyle w:val="Tpico5"/>
        <w:numPr>
          <w:ilvl w:val="1"/>
          <w:numId w:val="43"/>
        </w:numPr>
        <w:spacing w:line="276" w:lineRule="auto"/>
        <w:rPr>
          <w:rFonts w:ascii="Arial" w:hAnsi="Arial" w:cs="Arial"/>
          <w:color w:val="000000" w:themeColor="text1"/>
          <w:u w:val="none"/>
        </w:rPr>
      </w:pPr>
      <w:r w:rsidRPr="00D74025">
        <w:rPr>
          <w:rFonts w:ascii="Arial" w:hAnsi="Arial" w:cs="Arial"/>
          <w:color w:val="000000" w:themeColor="text1"/>
          <w:u w:val="none"/>
        </w:rPr>
        <w:t>EMT6 (n=3)</w:t>
      </w:r>
    </w:p>
    <w:p w14:paraId="2D2DDB41" w14:textId="77777777" w:rsidR="00C12F2B" w:rsidRPr="00D74025" w:rsidRDefault="00C12F2B" w:rsidP="00F6020C">
      <w:pPr>
        <w:pStyle w:val="Tpico5"/>
        <w:spacing w:line="276" w:lineRule="auto"/>
        <w:rPr>
          <w:rFonts w:ascii="Arial" w:hAnsi="Arial" w:cs="Arial"/>
          <w:color w:val="000000" w:themeColor="text1"/>
        </w:rPr>
      </w:pPr>
    </w:p>
    <w:p w14:paraId="5341178A" w14:textId="24A40D29" w:rsidR="00C12F2B" w:rsidRPr="00D74025" w:rsidRDefault="00C12F2B">
      <w:pPr>
        <w:pStyle w:val="Tpico5"/>
        <w:numPr>
          <w:ilvl w:val="0"/>
          <w:numId w:val="38"/>
        </w:numPr>
        <w:spacing w:line="276" w:lineRule="auto"/>
        <w:rPr>
          <w:rFonts w:ascii="Arial" w:hAnsi="Arial" w:cs="Arial"/>
          <w:color w:val="000000" w:themeColor="text1"/>
        </w:rPr>
      </w:pPr>
      <w:r w:rsidRPr="00D74025">
        <w:rPr>
          <w:rFonts w:ascii="Arial" w:hAnsi="Arial" w:cs="Arial"/>
          <w:color w:val="000000" w:themeColor="text1"/>
          <w:u w:val="none"/>
        </w:rPr>
        <w:t>Grow non-confluent endothelial cells (HAAE-1), 4T1 and EMT6 cell lines in T-75 flasks</w:t>
      </w:r>
      <w:r w:rsidR="00E60C1A">
        <w:rPr>
          <w:rFonts w:ascii="Arial" w:hAnsi="Arial" w:cs="Arial"/>
          <w:color w:val="000000" w:themeColor="text1"/>
          <w:u w:val="none"/>
        </w:rPr>
        <w:t>.</w:t>
      </w:r>
    </w:p>
    <w:p w14:paraId="0330FB8D" w14:textId="77777777" w:rsidR="00C12F2B" w:rsidRPr="00D74025" w:rsidRDefault="00C12F2B">
      <w:pPr>
        <w:pStyle w:val="Tpico5"/>
        <w:numPr>
          <w:ilvl w:val="1"/>
          <w:numId w:val="38"/>
        </w:numPr>
        <w:spacing w:line="276" w:lineRule="auto"/>
        <w:rPr>
          <w:rFonts w:ascii="Arial" w:hAnsi="Arial" w:cs="Arial"/>
          <w:color w:val="000000" w:themeColor="text1"/>
        </w:rPr>
      </w:pPr>
      <w:r w:rsidRPr="00D74025">
        <w:rPr>
          <w:rFonts w:ascii="Arial" w:hAnsi="Arial" w:cs="Arial"/>
          <w:color w:val="000000" w:themeColor="text1"/>
          <w:u w:val="none"/>
        </w:rPr>
        <w:t>Each cell line has their own cell media and protocol for cell culturing.</w:t>
      </w:r>
    </w:p>
    <w:p w14:paraId="092F11B7" w14:textId="60A7E90A" w:rsidR="00C12F2B" w:rsidRPr="00D74025" w:rsidRDefault="00C12F2B">
      <w:pPr>
        <w:pStyle w:val="Tpico5"/>
        <w:numPr>
          <w:ilvl w:val="0"/>
          <w:numId w:val="38"/>
        </w:numPr>
        <w:spacing w:line="276" w:lineRule="auto"/>
        <w:rPr>
          <w:rFonts w:ascii="Arial" w:hAnsi="Arial" w:cs="Arial"/>
          <w:color w:val="000000" w:themeColor="text1"/>
        </w:rPr>
      </w:pPr>
      <w:r w:rsidRPr="00D74025">
        <w:rPr>
          <w:rFonts w:ascii="Arial" w:hAnsi="Arial" w:cs="Arial"/>
          <w:color w:val="000000" w:themeColor="text1"/>
          <w:u w:val="none"/>
        </w:rPr>
        <w:t>Seed cells into 24-well microtiter plates for 48h</w:t>
      </w:r>
      <w:r w:rsidR="00E60C1A">
        <w:rPr>
          <w:rFonts w:ascii="Arial" w:hAnsi="Arial" w:cs="Arial"/>
          <w:color w:val="000000" w:themeColor="text1"/>
          <w:u w:val="none"/>
        </w:rPr>
        <w:t>.</w:t>
      </w:r>
    </w:p>
    <w:p w14:paraId="6DC74384" w14:textId="77777777" w:rsidR="00C12F2B" w:rsidRPr="00D74025" w:rsidRDefault="00C12F2B">
      <w:pPr>
        <w:pStyle w:val="Tpico5"/>
        <w:numPr>
          <w:ilvl w:val="1"/>
          <w:numId w:val="38"/>
        </w:numPr>
        <w:spacing w:line="276" w:lineRule="auto"/>
        <w:rPr>
          <w:rFonts w:ascii="Arial" w:hAnsi="Arial" w:cs="Arial"/>
          <w:color w:val="000000" w:themeColor="text1"/>
          <w:u w:val="none"/>
        </w:rPr>
      </w:pPr>
      <w:r w:rsidRPr="00D74025">
        <w:rPr>
          <w:rFonts w:ascii="Arial" w:hAnsi="Arial" w:cs="Arial"/>
          <w:color w:val="000000" w:themeColor="text1"/>
          <w:u w:val="none"/>
        </w:rPr>
        <w:t xml:space="preserve">20-50k cells per plate. Make this number consistent through </w:t>
      </w:r>
      <w:proofErr w:type="gramStart"/>
      <w:r w:rsidRPr="00D74025">
        <w:rPr>
          <w:rFonts w:ascii="Arial" w:hAnsi="Arial" w:cs="Arial"/>
          <w:color w:val="000000" w:themeColor="text1"/>
          <w:u w:val="none"/>
        </w:rPr>
        <w:t>cells</w:t>
      </w:r>
      <w:proofErr w:type="gramEnd"/>
      <w:r w:rsidRPr="00D74025">
        <w:rPr>
          <w:rFonts w:ascii="Arial" w:hAnsi="Arial" w:cs="Arial"/>
          <w:color w:val="000000" w:themeColor="text1"/>
          <w:u w:val="none"/>
        </w:rPr>
        <w:t xml:space="preserve"> types and wells.</w:t>
      </w:r>
    </w:p>
    <w:p w14:paraId="10760BF8" w14:textId="5598A0B0" w:rsidR="00C12F2B" w:rsidRPr="00D74025" w:rsidRDefault="00C12F2B">
      <w:pPr>
        <w:pStyle w:val="Tpico5"/>
        <w:numPr>
          <w:ilvl w:val="0"/>
          <w:numId w:val="38"/>
        </w:numPr>
        <w:spacing w:line="276" w:lineRule="auto"/>
        <w:rPr>
          <w:rFonts w:ascii="Arial" w:hAnsi="Arial" w:cs="Arial"/>
          <w:color w:val="000000" w:themeColor="text1"/>
          <w:u w:val="none"/>
        </w:rPr>
      </w:pPr>
      <w:r w:rsidRPr="00D74025">
        <w:rPr>
          <w:rFonts w:ascii="Arial" w:hAnsi="Arial" w:cs="Arial"/>
          <w:color w:val="000000" w:themeColor="text1"/>
          <w:u w:val="none"/>
        </w:rPr>
        <w:t>Incubate the cells with cell medium containing 2 mM CaCl</w:t>
      </w:r>
      <w:r w:rsidRPr="00E60C1A">
        <w:rPr>
          <w:rFonts w:ascii="Arial" w:hAnsi="Arial" w:cs="Arial"/>
          <w:color w:val="000000" w:themeColor="text1"/>
          <w:u w:val="none"/>
          <w:vertAlign w:val="subscript"/>
        </w:rPr>
        <w:t>2</w:t>
      </w:r>
      <w:r w:rsidRPr="00D74025">
        <w:rPr>
          <w:rFonts w:ascii="Arial" w:hAnsi="Arial" w:cs="Arial"/>
          <w:color w:val="000000" w:themeColor="text1"/>
          <w:u w:val="none"/>
        </w:rPr>
        <w:t xml:space="preserve"> and </w:t>
      </w:r>
      <w:r w:rsidRPr="00D74025">
        <w:rPr>
          <w:rFonts w:ascii="Arial" w:hAnsi="Arial" w:cs="Arial"/>
          <w:b/>
          <w:color w:val="000000" w:themeColor="text1"/>
          <w:u w:val="none"/>
        </w:rPr>
        <w:t>sterile</w:t>
      </w:r>
      <w:r w:rsidRPr="00D74025">
        <w:rPr>
          <w:rFonts w:ascii="Arial" w:hAnsi="Arial" w:cs="Arial"/>
          <w:color w:val="000000" w:themeColor="text1"/>
          <w:u w:val="none"/>
        </w:rPr>
        <w:t xml:space="preserve"> SW</w:t>
      </w:r>
      <w:r w:rsidR="00187AE6">
        <w:rPr>
          <w:rFonts w:ascii="Arial" w:hAnsi="Arial" w:cs="Arial"/>
          <w:color w:val="000000" w:themeColor="text1"/>
          <w:u w:val="none"/>
        </w:rPr>
        <w:t>C</w:t>
      </w:r>
      <w:r w:rsidRPr="00D74025">
        <w:rPr>
          <w:rFonts w:ascii="Arial" w:hAnsi="Arial" w:cs="Arial"/>
          <w:color w:val="000000" w:themeColor="text1"/>
          <w:u w:val="none"/>
        </w:rPr>
        <w:t>NT-</w:t>
      </w:r>
      <w:r w:rsidR="00E60C1A">
        <w:rPr>
          <w:rFonts w:ascii="Arial" w:hAnsi="Arial" w:cs="Arial"/>
          <w:color w:val="000000" w:themeColor="text1"/>
          <w:u w:val="none"/>
        </w:rPr>
        <w:t>a</w:t>
      </w:r>
      <w:r w:rsidRPr="00D74025">
        <w:rPr>
          <w:rFonts w:ascii="Arial" w:hAnsi="Arial" w:cs="Arial"/>
          <w:color w:val="000000" w:themeColor="text1"/>
          <w:u w:val="none"/>
        </w:rPr>
        <w:t xml:space="preserve">nnexin </w:t>
      </w:r>
      <w:r w:rsidR="00E60C1A">
        <w:rPr>
          <w:rFonts w:ascii="Arial" w:hAnsi="Arial" w:cs="Arial"/>
          <w:color w:val="000000" w:themeColor="text1"/>
          <w:u w:val="none"/>
        </w:rPr>
        <w:t>A5</w:t>
      </w:r>
      <w:r w:rsidRPr="00D74025">
        <w:rPr>
          <w:rFonts w:ascii="Arial" w:hAnsi="Arial" w:cs="Arial"/>
          <w:color w:val="000000" w:themeColor="text1"/>
          <w:u w:val="none"/>
        </w:rPr>
        <w:t xml:space="preserve"> suspension at a concentration of 6 mg/L</w:t>
      </w:r>
    </w:p>
    <w:p w14:paraId="1BB5D860" w14:textId="23A604FF" w:rsidR="00C12F2B" w:rsidRPr="00D74025" w:rsidRDefault="00C12F2B">
      <w:pPr>
        <w:pStyle w:val="Tpico5"/>
        <w:numPr>
          <w:ilvl w:val="1"/>
          <w:numId w:val="38"/>
        </w:numPr>
        <w:spacing w:line="276" w:lineRule="auto"/>
        <w:rPr>
          <w:rFonts w:ascii="Arial" w:hAnsi="Arial" w:cs="Arial"/>
          <w:color w:val="000000" w:themeColor="text1"/>
          <w:u w:val="none"/>
        </w:rPr>
      </w:pPr>
      <w:r w:rsidRPr="00D74025">
        <w:rPr>
          <w:rFonts w:ascii="Arial" w:hAnsi="Arial" w:cs="Arial"/>
          <w:color w:val="000000" w:themeColor="text1"/>
          <w:u w:val="none"/>
        </w:rPr>
        <w:t>Perform sterilization of SW</w:t>
      </w:r>
      <w:r w:rsidR="00187AE6">
        <w:rPr>
          <w:rFonts w:ascii="Arial" w:hAnsi="Arial" w:cs="Arial"/>
          <w:color w:val="000000" w:themeColor="text1"/>
          <w:u w:val="none"/>
        </w:rPr>
        <w:t>C</w:t>
      </w:r>
      <w:r w:rsidRPr="00D74025">
        <w:rPr>
          <w:rFonts w:ascii="Arial" w:hAnsi="Arial" w:cs="Arial"/>
          <w:color w:val="000000" w:themeColor="text1"/>
          <w:u w:val="none"/>
        </w:rPr>
        <w:t>NT-Annexin V suspension before incubation</w:t>
      </w:r>
    </w:p>
    <w:p w14:paraId="2A3AA5F4" w14:textId="77777777" w:rsidR="00C12F2B" w:rsidRPr="00D74025" w:rsidRDefault="00C12F2B">
      <w:pPr>
        <w:pStyle w:val="Tpico5"/>
        <w:numPr>
          <w:ilvl w:val="1"/>
          <w:numId w:val="38"/>
        </w:numPr>
        <w:spacing w:line="276" w:lineRule="auto"/>
        <w:rPr>
          <w:rFonts w:ascii="Arial" w:hAnsi="Arial" w:cs="Arial"/>
          <w:color w:val="000000" w:themeColor="text1"/>
          <w:u w:val="none"/>
        </w:rPr>
      </w:pPr>
      <w:r w:rsidRPr="00D74025">
        <w:rPr>
          <w:rFonts w:ascii="Arial" w:hAnsi="Arial" w:cs="Arial"/>
          <w:color w:val="000000" w:themeColor="text1"/>
          <w:u w:val="none"/>
        </w:rPr>
        <w:t xml:space="preserve">Place the suspension in a small petri dish, which allows the entire suspension to form a thin layer uniformly distributed. </w:t>
      </w:r>
    </w:p>
    <w:p w14:paraId="26FD5BA2" w14:textId="77777777" w:rsidR="00C12F2B" w:rsidRPr="00D74025" w:rsidRDefault="00C12F2B">
      <w:pPr>
        <w:pStyle w:val="Tpico5"/>
        <w:numPr>
          <w:ilvl w:val="1"/>
          <w:numId w:val="38"/>
        </w:numPr>
        <w:spacing w:line="276" w:lineRule="auto"/>
        <w:rPr>
          <w:rFonts w:ascii="Arial" w:hAnsi="Arial" w:cs="Arial"/>
          <w:color w:val="000000" w:themeColor="text1"/>
          <w:u w:val="none"/>
        </w:rPr>
      </w:pPr>
      <w:r w:rsidRPr="00D74025">
        <w:rPr>
          <w:rFonts w:ascii="Arial" w:hAnsi="Arial" w:cs="Arial"/>
          <w:color w:val="000000" w:themeColor="text1"/>
          <w:u w:val="none"/>
        </w:rPr>
        <w:t>Subject the suspension was then subjected to a direct UV (UV-C, shortwave UV at 254 nm) irradiation for 30 min in a sterile environment. The samples were sterilized in a regular laminar flow hood equipped with a Philips UV-C lamp (30 Watts).</w:t>
      </w:r>
    </w:p>
    <w:p w14:paraId="60B10F18" w14:textId="25989E40" w:rsidR="00C12F2B" w:rsidRPr="00D74025" w:rsidRDefault="00C12F2B">
      <w:pPr>
        <w:pStyle w:val="Tpico5"/>
        <w:numPr>
          <w:ilvl w:val="0"/>
          <w:numId w:val="38"/>
        </w:numPr>
        <w:spacing w:line="276" w:lineRule="auto"/>
        <w:rPr>
          <w:rFonts w:ascii="Arial" w:hAnsi="Arial" w:cs="Arial"/>
          <w:color w:val="000000" w:themeColor="text1"/>
          <w:u w:val="none"/>
        </w:rPr>
      </w:pPr>
      <w:r w:rsidRPr="00D74025">
        <w:rPr>
          <w:rFonts w:ascii="Arial" w:hAnsi="Arial" w:cs="Arial"/>
          <w:color w:val="000000" w:themeColor="text1"/>
          <w:u w:val="none"/>
        </w:rPr>
        <w:t>Wash the plates 4x with 300µl in PBS</w:t>
      </w:r>
      <w:r w:rsidR="005379B3">
        <w:rPr>
          <w:rFonts w:ascii="Arial" w:hAnsi="Arial" w:cs="Arial"/>
          <w:color w:val="000000" w:themeColor="text1"/>
          <w:u w:val="none"/>
        </w:rPr>
        <w:t>.</w:t>
      </w:r>
    </w:p>
    <w:p w14:paraId="039D033C" w14:textId="28E9D8D4" w:rsidR="00C12F2B" w:rsidRPr="00D74025" w:rsidRDefault="00C12F2B">
      <w:pPr>
        <w:pStyle w:val="Tpico5"/>
        <w:numPr>
          <w:ilvl w:val="0"/>
          <w:numId w:val="38"/>
        </w:numPr>
        <w:spacing w:line="276" w:lineRule="auto"/>
        <w:rPr>
          <w:rFonts w:ascii="Arial" w:hAnsi="Arial" w:cs="Arial"/>
          <w:color w:val="000000" w:themeColor="text1"/>
          <w:u w:val="none"/>
        </w:rPr>
      </w:pPr>
      <w:r w:rsidRPr="00D74025">
        <w:rPr>
          <w:rFonts w:ascii="Arial" w:hAnsi="Arial" w:cs="Arial"/>
          <w:color w:val="000000" w:themeColor="text1"/>
          <w:u w:val="none"/>
        </w:rPr>
        <w:t>Incubate the cells using cell medium supplemented with 2 mM CaCl</w:t>
      </w:r>
      <w:r w:rsidRPr="00D74025">
        <w:rPr>
          <w:rFonts w:ascii="Arial" w:hAnsi="Arial" w:cs="Arial"/>
          <w:color w:val="000000" w:themeColor="text1"/>
          <w:u w:val="none"/>
          <w:vertAlign w:val="subscript"/>
        </w:rPr>
        <w:t>2</w:t>
      </w:r>
      <w:r w:rsidR="005379B3">
        <w:rPr>
          <w:rFonts w:ascii="Arial" w:hAnsi="Arial" w:cs="Arial"/>
          <w:color w:val="000000" w:themeColor="text1"/>
          <w:u w:val="none"/>
        </w:rPr>
        <w:t>.</w:t>
      </w:r>
    </w:p>
    <w:p w14:paraId="3991BD69" w14:textId="77777777" w:rsidR="00C12F2B" w:rsidRPr="00D74025" w:rsidRDefault="00C12F2B">
      <w:pPr>
        <w:pStyle w:val="Tpico5"/>
        <w:numPr>
          <w:ilvl w:val="0"/>
          <w:numId w:val="38"/>
        </w:numPr>
        <w:spacing w:line="276" w:lineRule="auto"/>
        <w:rPr>
          <w:rFonts w:ascii="Arial" w:hAnsi="Arial" w:cs="Arial"/>
          <w:color w:val="000000" w:themeColor="text1"/>
          <w:u w:val="none"/>
        </w:rPr>
      </w:pPr>
      <w:r w:rsidRPr="00D74025">
        <w:rPr>
          <w:rFonts w:ascii="Arial" w:hAnsi="Arial" w:cs="Arial"/>
          <w:color w:val="000000" w:themeColor="text1"/>
          <w:u w:val="none"/>
        </w:rPr>
        <w:t>Submit each plate to the different laser treatments (200s at 1W/cm2 = energy density of 200J/cm</w:t>
      </w:r>
      <w:r w:rsidRPr="005379B3">
        <w:rPr>
          <w:rFonts w:ascii="Arial" w:hAnsi="Arial" w:cs="Arial"/>
          <w:color w:val="000000" w:themeColor="text1"/>
          <w:u w:val="none"/>
          <w:vertAlign w:val="superscript"/>
        </w:rPr>
        <w:t>2</w:t>
      </w:r>
      <w:r w:rsidRPr="00D74025">
        <w:rPr>
          <w:rFonts w:ascii="Arial" w:hAnsi="Arial" w:cs="Arial"/>
          <w:color w:val="000000" w:themeColor="text1"/>
          <w:u w:val="none"/>
        </w:rPr>
        <w:t>) using the Diodevet-50 NIR laser at 980 nm.</w:t>
      </w:r>
    </w:p>
    <w:p w14:paraId="271C29DB" w14:textId="77777777" w:rsidR="00C12F2B" w:rsidRPr="00D74025" w:rsidRDefault="00C12F2B" w:rsidP="00F6020C">
      <w:pPr>
        <w:pStyle w:val="Tpico5"/>
        <w:spacing w:line="276" w:lineRule="auto"/>
        <w:rPr>
          <w:rFonts w:ascii="Arial" w:hAnsi="Arial" w:cs="Arial"/>
          <w:color w:val="000000" w:themeColor="text1"/>
        </w:rPr>
      </w:pPr>
      <w:r w:rsidRPr="00D74025">
        <w:rPr>
          <w:rFonts w:ascii="Arial" w:hAnsi="Arial" w:cs="Arial"/>
          <w:color w:val="000000" w:themeColor="text1"/>
        </w:rPr>
        <w:t>Temperature measurements</w:t>
      </w:r>
    </w:p>
    <w:p w14:paraId="7E7E7FAF" w14:textId="77777777" w:rsidR="00C12F2B" w:rsidRPr="00D74025" w:rsidRDefault="00C12F2B">
      <w:pPr>
        <w:pStyle w:val="Tpico5"/>
        <w:numPr>
          <w:ilvl w:val="0"/>
          <w:numId w:val="41"/>
        </w:numPr>
        <w:spacing w:line="276" w:lineRule="auto"/>
        <w:rPr>
          <w:rFonts w:ascii="Arial" w:hAnsi="Arial" w:cs="Arial"/>
          <w:color w:val="000000" w:themeColor="text1"/>
          <w:u w:val="none"/>
        </w:rPr>
      </w:pPr>
      <w:r w:rsidRPr="00D74025">
        <w:rPr>
          <w:rFonts w:ascii="Arial" w:hAnsi="Arial" w:cs="Arial"/>
          <w:color w:val="000000" w:themeColor="text1"/>
          <w:u w:val="none"/>
        </w:rPr>
        <w:t>Insert the thermometer probe inside of the vial immediately after the laser treatment.</w:t>
      </w:r>
    </w:p>
    <w:p w14:paraId="55F56791" w14:textId="7BA01689" w:rsidR="00C12F2B" w:rsidRPr="00D74025" w:rsidRDefault="00C12F2B">
      <w:pPr>
        <w:pStyle w:val="Tpico5"/>
        <w:numPr>
          <w:ilvl w:val="0"/>
          <w:numId w:val="41"/>
        </w:numPr>
        <w:spacing w:line="276" w:lineRule="auto"/>
        <w:rPr>
          <w:rFonts w:ascii="Arial" w:hAnsi="Arial" w:cs="Arial"/>
          <w:color w:val="000000" w:themeColor="text1"/>
          <w:u w:val="none"/>
        </w:rPr>
      </w:pPr>
      <w:r w:rsidRPr="00D74025">
        <w:rPr>
          <w:rFonts w:ascii="Arial" w:hAnsi="Arial" w:cs="Arial"/>
          <w:color w:val="000000" w:themeColor="text1"/>
          <w:u w:val="none"/>
        </w:rPr>
        <w:t>Repeat the procedure to more 2 vials at the same energy density (triplicate)</w:t>
      </w:r>
      <w:r w:rsidR="00A80B45">
        <w:rPr>
          <w:rFonts w:ascii="Arial" w:hAnsi="Arial" w:cs="Arial"/>
          <w:color w:val="000000" w:themeColor="text1"/>
          <w:u w:val="none"/>
        </w:rPr>
        <w:t>.</w:t>
      </w:r>
    </w:p>
    <w:p w14:paraId="4292FD6B" w14:textId="77777777" w:rsidR="00C12F2B" w:rsidRPr="00D74025" w:rsidRDefault="00C12F2B">
      <w:pPr>
        <w:pStyle w:val="Tpico5"/>
        <w:numPr>
          <w:ilvl w:val="0"/>
          <w:numId w:val="41"/>
        </w:numPr>
        <w:spacing w:line="276" w:lineRule="auto"/>
        <w:rPr>
          <w:rFonts w:ascii="Arial" w:hAnsi="Arial" w:cs="Arial"/>
          <w:color w:val="000000" w:themeColor="text1"/>
          <w:u w:val="none"/>
        </w:rPr>
      </w:pPr>
      <w:r w:rsidRPr="00D74025">
        <w:rPr>
          <w:rFonts w:ascii="Arial" w:hAnsi="Arial" w:cs="Arial"/>
          <w:color w:val="000000" w:themeColor="text1"/>
          <w:u w:val="none"/>
        </w:rPr>
        <w:t>Measure the temperature for all the energy densities.</w:t>
      </w:r>
    </w:p>
    <w:p w14:paraId="1C10C040" w14:textId="4F61F27A" w:rsidR="00C12F2B" w:rsidRPr="00D74025" w:rsidRDefault="00C12F2B">
      <w:pPr>
        <w:pStyle w:val="Tpico5"/>
        <w:numPr>
          <w:ilvl w:val="1"/>
          <w:numId w:val="41"/>
        </w:numPr>
        <w:spacing w:line="276" w:lineRule="auto"/>
        <w:rPr>
          <w:rFonts w:ascii="Arial" w:hAnsi="Arial" w:cs="Arial"/>
          <w:color w:val="000000" w:themeColor="text1"/>
          <w:u w:val="none"/>
        </w:rPr>
      </w:pPr>
      <w:r w:rsidRPr="00D74025">
        <w:rPr>
          <w:rFonts w:ascii="Arial" w:hAnsi="Arial" w:cs="Arial"/>
          <w:color w:val="000000" w:themeColor="text1"/>
          <w:u w:val="none"/>
        </w:rPr>
        <w:t xml:space="preserve">Before changing the energy density, apply the laser treatment to vials that will be subject to the </w:t>
      </w:r>
      <w:proofErr w:type="spellStart"/>
      <w:r w:rsidRPr="00D74025">
        <w:rPr>
          <w:rFonts w:ascii="Arial" w:hAnsi="Arial" w:cs="Arial"/>
          <w:color w:val="000000" w:themeColor="text1"/>
          <w:u w:val="none"/>
        </w:rPr>
        <w:t>Alamar</w:t>
      </w:r>
      <w:proofErr w:type="spellEnd"/>
      <w:r w:rsidRPr="00D74025">
        <w:rPr>
          <w:rFonts w:ascii="Arial" w:hAnsi="Arial" w:cs="Arial"/>
          <w:color w:val="000000" w:themeColor="text1"/>
          <w:u w:val="none"/>
        </w:rPr>
        <w:t xml:space="preserve"> blue assay (n</w:t>
      </w:r>
      <w:r w:rsidR="005379B3">
        <w:rPr>
          <w:rFonts w:ascii="Arial" w:hAnsi="Arial" w:cs="Arial"/>
          <w:color w:val="000000" w:themeColor="text1"/>
          <w:u w:val="none"/>
        </w:rPr>
        <w:t xml:space="preserve"> </w:t>
      </w:r>
      <w:r w:rsidRPr="00D74025">
        <w:rPr>
          <w:rFonts w:ascii="Arial" w:hAnsi="Arial" w:cs="Arial"/>
          <w:color w:val="000000" w:themeColor="text1"/>
          <w:u w:val="none"/>
        </w:rPr>
        <w:t>=</w:t>
      </w:r>
      <w:r w:rsidR="005379B3">
        <w:rPr>
          <w:rFonts w:ascii="Arial" w:hAnsi="Arial" w:cs="Arial"/>
          <w:color w:val="000000" w:themeColor="text1"/>
          <w:u w:val="none"/>
        </w:rPr>
        <w:t xml:space="preserve"> </w:t>
      </w:r>
      <w:r w:rsidRPr="00D74025">
        <w:rPr>
          <w:rFonts w:ascii="Arial" w:hAnsi="Arial" w:cs="Arial"/>
          <w:color w:val="000000" w:themeColor="text1"/>
          <w:u w:val="none"/>
        </w:rPr>
        <w:t>3)</w:t>
      </w:r>
      <w:r w:rsidR="00A80B45">
        <w:rPr>
          <w:rFonts w:ascii="Arial" w:hAnsi="Arial" w:cs="Arial"/>
          <w:color w:val="000000" w:themeColor="text1"/>
          <w:u w:val="none"/>
        </w:rPr>
        <w:t>.</w:t>
      </w:r>
    </w:p>
    <w:p w14:paraId="49AC0A93" w14:textId="77777777" w:rsidR="00C12F2B" w:rsidRPr="00D74025" w:rsidRDefault="00C12F2B">
      <w:pPr>
        <w:pStyle w:val="Tpico5"/>
        <w:numPr>
          <w:ilvl w:val="2"/>
          <w:numId w:val="41"/>
        </w:numPr>
        <w:spacing w:line="276" w:lineRule="auto"/>
        <w:rPr>
          <w:rFonts w:ascii="Arial" w:hAnsi="Arial" w:cs="Arial"/>
          <w:color w:val="000000" w:themeColor="text1"/>
          <w:u w:val="none"/>
        </w:rPr>
      </w:pPr>
      <w:r w:rsidRPr="00D74025">
        <w:rPr>
          <w:rFonts w:ascii="Arial" w:hAnsi="Arial" w:cs="Arial"/>
          <w:color w:val="000000" w:themeColor="text1"/>
          <w:u w:val="none"/>
        </w:rPr>
        <w:t>The viability assay cannot be performed on the same plates that the temperature was measure because maintaining sterility in the cell culture is crucial for the viability assay.</w:t>
      </w:r>
    </w:p>
    <w:p w14:paraId="681E9380" w14:textId="18263824" w:rsidR="00C12F2B" w:rsidRDefault="00C12F2B">
      <w:pPr>
        <w:pStyle w:val="Tpico5"/>
        <w:numPr>
          <w:ilvl w:val="1"/>
          <w:numId w:val="41"/>
        </w:numPr>
        <w:spacing w:line="276" w:lineRule="auto"/>
        <w:rPr>
          <w:rFonts w:ascii="Arial" w:hAnsi="Arial" w:cs="Arial"/>
          <w:color w:val="000000" w:themeColor="text1"/>
          <w:u w:val="none"/>
        </w:rPr>
      </w:pPr>
      <w:r w:rsidRPr="00D74025">
        <w:rPr>
          <w:rFonts w:ascii="Arial" w:hAnsi="Arial" w:cs="Arial"/>
          <w:color w:val="000000" w:themeColor="text1"/>
          <w:u w:val="none"/>
        </w:rPr>
        <w:lastRenderedPageBreak/>
        <w:t>For each new energy density, repeat the steps for measuring power attenuation</w:t>
      </w:r>
      <w:r w:rsidR="00A80B45">
        <w:rPr>
          <w:rFonts w:ascii="Arial" w:hAnsi="Arial" w:cs="Arial"/>
          <w:color w:val="000000" w:themeColor="text1"/>
          <w:u w:val="none"/>
        </w:rPr>
        <w:t>.</w:t>
      </w:r>
    </w:p>
    <w:p w14:paraId="0D446F49" w14:textId="77777777" w:rsidR="00A80B45" w:rsidRPr="00D74025" w:rsidRDefault="00A80B45" w:rsidP="00A80B45">
      <w:pPr>
        <w:pStyle w:val="Tpico5"/>
        <w:spacing w:line="276" w:lineRule="auto"/>
        <w:ind w:left="1440"/>
        <w:rPr>
          <w:rFonts w:ascii="Arial" w:hAnsi="Arial" w:cs="Arial"/>
          <w:color w:val="000000" w:themeColor="text1"/>
          <w:u w:val="none"/>
        </w:rPr>
      </w:pPr>
    </w:p>
    <w:p w14:paraId="780D7721" w14:textId="77777777" w:rsidR="00C12F2B" w:rsidRPr="00D74025" w:rsidRDefault="00C12F2B" w:rsidP="00F6020C">
      <w:pPr>
        <w:pStyle w:val="Tpico5"/>
        <w:spacing w:line="276" w:lineRule="auto"/>
        <w:rPr>
          <w:rFonts w:ascii="Arial" w:hAnsi="Arial" w:cs="Arial"/>
          <w:color w:val="000000" w:themeColor="text1"/>
        </w:rPr>
      </w:pPr>
      <w:r w:rsidRPr="00D74025">
        <w:rPr>
          <w:rFonts w:ascii="Arial" w:hAnsi="Arial" w:cs="Arial"/>
          <w:color w:val="000000" w:themeColor="text1"/>
        </w:rPr>
        <w:t>Cell viability measurements</w:t>
      </w:r>
    </w:p>
    <w:p w14:paraId="37A020D4" w14:textId="2DF5698E" w:rsidR="00C12F2B" w:rsidRPr="00D74025" w:rsidRDefault="00C12F2B">
      <w:pPr>
        <w:pStyle w:val="Tpico5"/>
        <w:numPr>
          <w:ilvl w:val="0"/>
          <w:numId w:val="42"/>
        </w:numPr>
        <w:spacing w:line="276" w:lineRule="auto"/>
        <w:rPr>
          <w:rFonts w:ascii="Arial" w:hAnsi="Arial" w:cs="Arial"/>
          <w:color w:val="000000" w:themeColor="text1"/>
          <w:u w:val="none"/>
        </w:rPr>
      </w:pPr>
      <w:r w:rsidRPr="00D74025">
        <w:rPr>
          <w:rFonts w:ascii="Arial" w:hAnsi="Arial" w:cs="Arial"/>
          <w:color w:val="000000" w:themeColor="text1"/>
          <w:u w:val="none"/>
        </w:rPr>
        <w:t>For the same energy densities studied at the temperature measurement assay, submit the 24-well plates to laser treatment in triplicate</w:t>
      </w:r>
      <w:r w:rsidR="000218F4">
        <w:rPr>
          <w:rFonts w:ascii="Arial" w:hAnsi="Arial" w:cs="Arial"/>
          <w:color w:val="000000" w:themeColor="text1"/>
          <w:u w:val="none"/>
        </w:rPr>
        <w:t>.</w:t>
      </w:r>
    </w:p>
    <w:p w14:paraId="151837F7" w14:textId="77777777" w:rsidR="00C12F2B" w:rsidRPr="00D74025" w:rsidRDefault="00C12F2B">
      <w:pPr>
        <w:pStyle w:val="Tpico5"/>
        <w:numPr>
          <w:ilvl w:val="1"/>
          <w:numId w:val="42"/>
        </w:numPr>
        <w:spacing w:line="276" w:lineRule="auto"/>
        <w:rPr>
          <w:rFonts w:ascii="Arial" w:hAnsi="Arial" w:cs="Arial"/>
          <w:color w:val="000000" w:themeColor="text1"/>
          <w:u w:val="none"/>
        </w:rPr>
      </w:pPr>
      <w:r w:rsidRPr="00D74025">
        <w:rPr>
          <w:rFonts w:ascii="Arial" w:hAnsi="Arial" w:cs="Arial"/>
          <w:color w:val="000000" w:themeColor="text1"/>
          <w:u w:val="none"/>
        </w:rPr>
        <w:t>To avoid greater variability, apply the laser treatment to the sterile vials right after measuring the temperature in non-sterile vials.</w:t>
      </w:r>
    </w:p>
    <w:p w14:paraId="5D27B521" w14:textId="34EEBA3A" w:rsidR="00C12F2B" w:rsidRPr="00D74025" w:rsidRDefault="00C12F2B">
      <w:pPr>
        <w:pStyle w:val="Tpico5"/>
        <w:numPr>
          <w:ilvl w:val="0"/>
          <w:numId w:val="42"/>
        </w:numPr>
        <w:spacing w:line="276" w:lineRule="auto"/>
        <w:rPr>
          <w:rFonts w:ascii="Arial" w:hAnsi="Arial" w:cs="Arial"/>
          <w:color w:val="000000" w:themeColor="text1"/>
          <w:u w:val="none"/>
        </w:rPr>
      </w:pPr>
      <w:r w:rsidRPr="00D74025">
        <w:rPr>
          <w:rFonts w:ascii="Arial" w:hAnsi="Arial" w:cs="Arial"/>
          <w:color w:val="000000" w:themeColor="text1"/>
          <w:u w:val="none"/>
        </w:rPr>
        <w:t xml:space="preserve">Add 10% of </w:t>
      </w:r>
      <w:proofErr w:type="spellStart"/>
      <w:r w:rsidRPr="00D74025">
        <w:rPr>
          <w:rFonts w:ascii="Arial" w:hAnsi="Arial" w:cs="Arial"/>
          <w:color w:val="000000" w:themeColor="text1"/>
          <w:u w:val="none"/>
        </w:rPr>
        <w:t>Alamar</w:t>
      </w:r>
      <w:proofErr w:type="spellEnd"/>
      <w:r w:rsidRPr="00D74025">
        <w:rPr>
          <w:rFonts w:ascii="Arial" w:hAnsi="Arial" w:cs="Arial"/>
          <w:color w:val="000000" w:themeColor="text1"/>
          <w:u w:val="none"/>
        </w:rPr>
        <w:t xml:space="preserve"> </w:t>
      </w:r>
      <w:r w:rsidR="00A80B45">
        <w:rPr>
          <w:rFonts w:ascii="Arial" w:hAnsi="Arial" w:cs="Arial"/>
          <w:color w:val="000000" w:themeColor="text1"/>
          <w:u w:val="none"/>
        </w:rPr>
        <w:t>b</w:t>
      </w:r>
      <w:r w:rsidRPr="00D74025">
        <w:rPr>
          <w:rFonts w:ascii="Arial" w:hAnsi="Arial" w:cs="Arial"/>
          <w:color w:val="000000" w:themeColor="text1"/>
          <w:u w:val="none"/>
        </w:rPr>
        <w:t>lue reagent to the well and incubate for 4 h at 37°C</w:t>
      </w:r>
    </w:p>
    <w:p w14:paraId="575C87E2" w14:textId="3F4DFD26" w:rsidR="00C12F2B" w:rsidRPr="00D74025" w:rsidRDefault="00C12F2B">
      <w:pPr>
        <w:pStyle w:val="Tpico5"/>
        <w:numPr>
          <w:ilvl w:val="0"/>
          <w:numId w:val="42"/>
        </w:numPr>
        <w:spacing w:line="276" w:lineRule="auto"/>
        <w:rPr>
          <w:rFonts w:ascii="Arial" w:hAnsi="Arial" w:cs="Arial"/>
          <w:color w:val="000000" w:themeColor="text1"/>
          <w:u w:val="none"/>
        </w:rPr>
      </w:pPr>
      <w:r w:rsidRPr="00D74025">
        <w:rPr>
          <w:rFonts w:ascii="Arial" w:hAnsi="Arial" w:cs="Arial"/>
          <w:color w:val="000000" w:themeColor="text1"/>
          <w:u w:val="none"/>
        </w:rPr>
        <w:t xml:space="preserve">After incubation, transfer 250 µL of cell media + 10% </w:t>
      </w:r>
      <w:proofErr w:type="spellStart"/>
      <w:r w:rsidRPr="00D74025">
        <w:rPr>
          <w:rFonts w:ascii="Arial" w:hAnsi="Arial" w:cs="Arial"/>
          <w:color w:val="000000" w:themeColor="text1"/>
          <w:u w:val="none"/>
        </w:rPr>
        <w:t>Alamar</w:t>
      </w:r>
      <w:proofErr w:type="spellEnd"/>
      <w:r w:rsidRPr="00D74025">
        <w:rPr>
          <w:rFonts w:ascii="Arial" w:hAnsi="Arial" w:cs="Arial"/>
          <w:color w:val="000000" w:themeColor="text1"/>
          <w:u w:val="none"/>
        </w:rPr>
        <w:t xml:space="preserve"> </w:t>
      </w:r>
      <w:r w:rsidR="000218F4">
        <w:rPr>
          <w:rFonts w:ascii="Arial" w:hAnsi="Arial" w:cs="Arial"/>
          <w:color w:val="000000" w:themeColor="text1"/>
          <w:u w:val="none"/>
        </w:rPr>
        <w:t>b</w:t>
      </w:r>
      <w:r w:rsidRPr="00D74025">
        <w:rPr>
          <w:rFonts w:ascii="Arial" w:hAnsi="Arial" w:cs="Arial"/>
          <w:color w:val="000000" w:themeColor="text1"/>
          <w:u w:val="none"/>
        </w:rPr>
        <w:t>lue reagent to wells in an opaque 96-well plate.</w:t>
      </w:r>
    </w:p>
    <w:p w14:paraId="5E950D6C" w14:textId="3ADF42C1" w:rsidR="00C12F2B" w:rsidRPr="00D74025" w:rsidRDefault="00C12F2B">
      <w:pPr>
        <w:pStyle w:val="Tpico5"/>
        <w:numPr>
          <w:ilvl w:val="0"/>
          <w:numId w:val="42"/>
        </w:numPr>
        <w:spacing w:line="276" w:lineRule="auto"/>
        <w:rPr>
          <w:rFonts w:ascii="Arial" w:hAnsi="Arial" w:cs="Arial"/>
          <w:color w:val="000000" w:themeColor="text1"/>
          <w:u w:val="none"/>
        </w:rPr>
      </w:pPr>
      <w:r w:rsidRPr="00D74025">
        <w:rPr>
          <w:rFonts w:ascii="Arial" w:hAnsi="Arial" w:cs="Arial"/>
          <w:color w:val="000000" w:themeColor="text1"/>
          <w:u w:val="none"/>
        </w:rPr>
        <w:t>Measure fluorescence with an excitation wavelength of 530 nm and emission wavelength of 590 nm using a microtiter plate reader</w:t>
      </w:r>
      <w:r w:rsidR="000218F4">
        <w:rPr>
          <w:rFonts w:ascii="Arial" w:hAnsi="Arial" w:cs="Arial"/>
          <w:color w:val="000000" w:themeColor="text1"/>
          <w:u w:val="none"/>
        </w:rPr>
        <w:t>.</w:t>
      </w:r>
    </w:p>
    <w:p w14:paraId="7894B6B0" w14:textId="7C3167CF" w:rsidR="00236E70" w:rsidRPr="00D74025" w:rsidRDefault="00236E70" w:rsidP="00F6020C">
      <w:pPr>
        <w:pStyle w:val="Tpico5"/>
        <w:spacing w:line="276" w:lineRule="auto"/>
        <w:rPr>
          <w:rFonts w:ascii="Arial" w:hAnsi="Arial" w:cs="Arial"/>
          <w:color w:val="000000" w:themeColor="text1"/>
          <w:u w:val="none"/>
        </w:rPr>
      </w:pPr>
    </w:p>
    <w:p w14:paraId="0E68635E" w14:textId="5B62BDDF" w:rsidR="00705AE1" w:rsidRDefault="00705AE1" w:rsidP="00F6020C">
      <w:pPr>
        <w:pStyle w:val="Tpico5"/>
        <w:spacing w:line="276" w:lineRule="auto"/>
        <w:rPr>
          <w:rFonts w:ascii="Arial" w:hAnsi="Arial" w:cs="Arial"/>
          <w:color w:val="000000" w:themeColor="text1"/>
          <w:u w:val="none"/>
        </w:rPr>
      </w:pPr>
      <w:r>
        <w:rPr>
          <w:rFonts w:ascii="Arial" w:hAnsi="Arial" w:cs="Arial"/>
          <w:color w:val="000000" w:themeColor="text1"/>
          <w:u w:val="none"/>
        </w:rPr>
        <w:br w:type="page"/>
      </w:r>
    </w:p>
    <w:p w14:paraId="2CD0BFA4" w14:textId="581C70F7" w:rsidR="00236E70" w:rsidRPr="0035148E" w:rsidRDefault="000B2501" w:rsidP="0035148E">
      <w:pPr>
        <w:pStyle w:val="Tpico5"/>
        <w:spacing w:line="276" w:lineRule="auto"/>
        <w:jc w:val="center"/>
        <w:outlineLvl w:val="0"/>
        <w:rPr>
          <w:rFonts w:ascii="Arial" w:hAnsi="Arial" w:cs="Arial"/>
          <w:b/>
          <w:bCs/>
          <w:color w:val="000000" w:themeColor="text1"/>
          <w:sz w:val="28"/>
          <w:szCs w:val="28"/>
          <w:u w:val="none"/>
        </w:rPr>
      </w:pPr>
      <w:bookmarkStart w:id="222" w:name="_Toc121217312"/>
      <w:r w:rsidRPr="0035148E">
        <w:rPr>
          <w:rFonts w:ascii="Arial" w:hAnsi="Arial" w:cs="Arial"/>
          <w:b/>
          <w:bCs/>
          <w:color w:val="000000" w:themeColor="text1"/>
          <w:sz w:val="28"/>
          <w:szCs w:val="28"/>
          <w:u w:val="none"/>
        </w:rPr>
        <w:lastRenderedPageBreak/>
        <w:t>APPENDIX</w:t>
      </w:r>
      <w:r w:rsidR="00236E70" w:rsidRPr="0035148E">
        <w:rPr>
          <w:rFonts w:ascii="Arial" w:hAnsi="Arial" w:cs="Arial"/>
          <w:b/>
          <w:bCs/>
          <w:color w:val="000000" w:themeColor="text1"/>
          <w:sz w:val="28"/>
          <w:szCs w:val="28"/>
          <w:u w:val="none"/>
        </w:rPr>
        <w:t xml:space="preserve"> D – Protocol</w:t>
      </w:r>
      <w:r w:rsidR="0035148E">
        <w:rPr>
          <w:rFonts w:ascii="Arial" w:hAnsi="Arial" w:cs="Arial"/>
          <w:b/>
          <w:bCs/>
          <w:color w:val="000000" w:themeColor="text1"/>
          <w:sz w:val="28"/>
          <w:szCs w:val="28"/>
          <w:u w:val="none"/>
        </w:rPr>
        <w:t>s</w:t>
      </w:r>
      <w:r w:rsidR="00236E70" w:rsidRPr="0035148E">
        <w:rPr>
          <w:rFonts w:ascii="Arial" w:hAnsi="Arial" w:cs="Arial"/>
          <w:b/>
          <w:bCs/>
          <w:color w:val="000000" w:themeColor="text1"/>
          <w:sz w:val="28"/>
          <w:szCs w:val="28"/>
          <w:u w:val="none"/>
        </w:rPr>
        <w:t xml:space="preserve"> for </w:t>
      </w:r>
      <w:r w:rsidR="0035148E" w:rsidRPr="00B86DA1">
        <w:rPr>
          <w:rFonts w:ascii="Arial" w:hAnsi="Arial" w:cs="Arial"/>
          <w:b/>
          <w:bCs/>
          <w:i/>
          <w:iCs/>
          <w:color w:val="000000" w:themeColor="text1"/>
          <w:sz w:val="28"/>
          <w:szCs w:val="28"/>
          <w:u w:val="none"/>
        </w:rPr>
        <w:t>i</w:t>
      </w:r>
      <w:r w:rsidR="00236E70" w:rsidRPr="00B86DA1">
        <w:rPr>
          <w:rFonts w:ascii="Arial" w:hAnsi="Arial" w:cs="Arial"/>
          <w:b/>
          <w:bCs/>
          <w:i/>
          <w:iCs/>
          <w:color w:val="000000" w:themeColor="text1"/>
          <w:sz w:val="28"/>
          <w:szCs w:val="28"/>
          <w:u w:val="none"/>
        </w:rPr>
        <w:t>n vivo</w:t>
      </w:r>
      <w:r w:rsidR="00236E70" w:rsidRPr="0035148E">
        <w:rPr>
          <w:rFonts w:ascii="Arial" w:hAnsi="Arial" w:cs="Arial"/>
          <w:b/>
          <w:bCs/>
          <w:color w:val="000000" w:themeColor="text1"/>
          <w:sz w:val="28"/>
          <w:szCs w:val="28"/>
          <w:u w:val="none"/>
        </w:rPr>
        <w:t xml:space="preserve"> studies</w:t>
      </w:r>
      <w:bookmarkEnd w:id="222"/>
    </w:p>
    <w:p w14:paraId="246779CB" w14:textId="30B8284E" w:rsidR="0035148E" w:rsidRDefault="0035148E" w:rsidP="0035148E">
      <w:pPr>
        <w:rPr>
          <w:rFonts w:ascii="Arial" w:hAnsi="Arial" w:cs="Arial"/>
          <w:color w:val="000000" w:themeColor="text1"/>
        </w:rPr>
      </w:pPr>
    </w:p>
    <w:p w14:paraId="23EEFDB9" w14:textId="77777777" w:rsidR="0035148E" w:rsidRDefault="0035148E" w:rsidP="0035148E">
      <w:pPr>
        <w:rPr>
          <w:rFonts w:ascii="Arial" w:hAnsi="Arial" w:cs="Arial"/>
          <w:color w:val="000000" w:themeColor="text1"/>
        </w:rPr>
      </w:pPr>
    </w:p>
    <w:p w14:paraId="323CEB66" w14:textId="5626AA7E" w:rsidR="00A6178B" w:rsidRPr="0035148E" w:rsidRDefault="00236E70" w:rsidP="0035148E">
      <w:pPr>
        <w:pStyle w:val="Heading2"/>
        <w:spacing w:line="276" w:lineRule="auto"/>
        <w:ind w:firstLine="0"/>
        <w:rPr>
          <w:rFonts w:ascii="Arial" w:hAnsi="Arial" w:cs="Arial"/>
          <w:b/>
          <w:bCs/>
          <w:color w:val="000000" w:themeColor="text1"/>
          <w:sz w:val="24"/>
          <w:szCs w:val="24"/>
          <w:u w:val="single"/>
        </w:rPr>
      </w:pPr>
      <w:bookmarkStart w:id="223" w:name="_Toc121217313"/>
      <w:r w:rsidRPr="0035148E">
        <w:rPr>
          <w:rFonts w:ascii="Arial" w:hAnsi="Arial" w:cs="Arial"/>
          <w:b/>
          <w:bCs/>
          <w:color w:val="000000" w:themeColor="text1"/>
          <w:sz w:val="24"/>
          <w:szCs w:val="24"/>
          <w:u w:val="single"/>
        </w:rPr>
        <w:t>D1</w:t>
      </w:r>
      <w:r w:rsidR="00A6178B" w:rsidRPr="0035148E">
        <w:rPr>
          <w:rFonts w:ascii="Arial" w:hAnsi="Arial" w:cs="Arial"/>
          <w:b/>
          <w:bCs/>
          <w:color w:val="000000" w:themeColor="text1"/>
          <w:sz w:val="24"/>
          <w:szCs w:val="24"/>
          <w:u w:val="single"/>
        </w:rPr>
        <w:t>. EMT6 tumor induction in mice</w:t>
      </w:r>
      <w:bookmarkEnd w:id="223"/>
    </w:p>
    <w:p w14:paraId="41F7D333" w14:textId="5F7F5D00" w:rsidR="00A6178B" w:rsidRPr="00D74025" w:rsidRDefault="00A6178B" w:rsidP="00F6020C">
      <w:pPr>
        <w:spacing w:line="276" w:lineRule="auto"/>
        <w:rPr>
          <w:rFonts w:ascii="Arial" w:hAnsi="Arial" w:cs="Arial"/>
          <w:color w:val="000000" w:themeColor="text1"/>
        </w:rPr>
      </w:pPr>
      <w:r w:rsidRPr="00D74025">
        <w:rPr>
          <w:rFonts w:ascii="Arial" w:hAnsi="Arial" w:cs="Arial"/>
          <w:color w:val="000000" w:themeColor="text1"/>
        </w:rPr>
        <w:br/>
        <w:t>Materials</w:t>
      </w:r>
    </w:p>
    <w:p w14:paraId="2CB8EC05" w14:textId="45917B35" w:rsidR="00A6178B" w:rsidRPr="00D74025" w:rsidRDefault="0035148E">
      <w:pPr>
        <w:pStyle w:val="ListParagraph"/>
        <w:numPr>
          <w:ilvl w:val="0"/>
          <w:numId w:val="53"/>
        </w:numPr>
        <w:spacing w:before="0" w:beforeAutospacing="0" w:after="160" w:afterAutospacing="0" w:line="276" w:lineRule="auto"/>
        <w:jc w:val="left"/>
        <w:rPr>
          <w:rFonts w:ascii="Arial" w:hAnsi="Arial" w:cs="Arial"/>
          <w:color w:val="000000" w:themeColor="text1"/>
        </w:rPr>
      </w:pPr>
      <w:r>
        <w:rPr>
          <w:rFonts w:ascii="Arial" w:hAnsi="Arial" w:cs="Arial"/>
          <w:color w:val="000000" w:themeColor="text1"/>
        </w:rPr>
        <w:t>E</w:t>
      </w:r>
      <w:r w:rsidR="00A6178B" w:rsidRPr="00D74025">
        <w:rPr>
          <w:rFonts w:ascii="Arial" w:hAnsi="Arial" w:cs="Arial"/>
          <w:color w:val="000000" w:themeColor="text1"/>
        </w:rPr>
        <w:t>MT6 Cells</w:t>
      </w:r>
    </w:p>
    <w:p w14:paraId="4D433CDB" w14:textId="77777777" w:rsidR="00A6178B" w:rsidRPr="00D74025" w:rsidRDefault="00A6178B">
      <w:pPr>
        <w:pStyle w:val="ListParagraph"/>
        <w:numPr>
          <w:ilvl w:val="0"/>
          <w:numId w:val="53"/>
        </w:numPr>
        <w:spacing w:before="0" w:beforeAutospacing="0" w:after="160" w:afterAutospacing="0" w:line="276" w:lineRule="auto"/>
        <w:jc w:val="left"/>
        <w:rPr>
          <w:rFonts w:ascii="Arial" w:hAnsi="Arial" w:cs="Arial"/>
          <w:color w:val="000000" w:themeColor="text1"/>
        </w:rPr>
      </w:pPr>
      <w:proofErr w:type="spellStart"/>
      <w:r w:rsidRPr="00D74025">
        <w:rPr>
          <w:rFonts w:ascii="Arial" w:hAnsi="Arial" w:cs="Arial"/>
          <w:color w:val="000000" w:themeColor="text1"/>
        </w:rPr>
        <w:t>Waymouth’s</w:t>
      </w:r>
      <w:proofErr w:type="spellEnd"/>
      <w:r w:rsidRPr="00D74025">
        <w:rPr>
          <w:rFonts w:ascii="Arial" w:hAnsi="Arial" w:cs="Arial"/>
          <w:color w:val="000000" w:themeColor="text1"/>
        </w:rPr>
        <w:t xml:space="preserve"> media</w:t>
      </w:r>
    </w:p>
    <w:p w14:paraId="369B6E8F" w14:textId="77777777" w:rsidR="00035CA1" w:rsidRDefault="00A6178B" w:rsidP="00035CA1">
      <w:pPr>
        <w:pStyle w:val="ListParagraph"/>
        <w:numPr>
          <w:ilvl w:val="0"/>
          <w:numId w:val="53"/>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FBS (15% enrichment)</w:t>
      </w:r>
    </w:p>
    <w:p w14:paraId="513CEBF8" w14:textId="04382939" w:rsidR="00A6178B" w:rsidRPr="00035CA1" w:rsidRDefault="00035CA1" w:rsidP="00035CA1">
      <w:pPr>
        <w:pStyle w:val="ListParagraph"/>
        <w:numPr>
          <w:ilvl w:val="0"/>
          <w:numId w:val="53"/>
        </w:numPr>
        <w:spacing w:before="0" w:beforeAutospacing="0" w:after="160" w:afterAutospacing="0" w:line="276" w:lineRule="auto"/>
        <w:jc w:val="left"/>
        <w:rPr>
          <w:rFonts w:ascii="Arial" w:hAnsi="Arial" w:cs="Arial"/>
          <w:color w:val="000000" w:themeColor="text1"/>
        </w:rPr>
      </w:pPr>
      <w:r>
        <w:rPr>
          <w:rFonts w:ascii="Arial" w:hAnsi="Arial" w:cs="Arial"/>
          <w:color w:val="000000" w:themeColor="text1"/>
        </w:rPr>
        <w:t>A</w:t>
      </w:r>
      <w:r w:rsidRPr="00035CA1">
        <w:rPr>
          <w:rFonts w:ascii="Arial" w:hAnsi="Arial" w:cs="Arial"/>
          <w:color w:val="000000" w:themeColor="text1"/>
        </w:rPr>
        <w:t xml:space="preserve">ntibiotic-antimitotic </w:t>
      </w:r>
      <w:r w:rsidR="00A6178B" w:rsidRPr="00035CA1">
        <w:rPr>
          <w:rFonts w:ascii="Arial" w:hAnsi="Arial" w:cs="Arial"/>
          <w:color w:val="000000" w:themeColor="text1"/>
        </w:rPr>
        <w:t>(1% enrichment)</w:t>
      </w:r>
    </w:p>
    <w:p w14:paraId="293574C4" w14:textId="77777777" w:rsidR="00A6178B" w:rsidRPr="00D74025" w:rsidRDefault="00A6178B">
      <w:pPr>
        <w:pStyle w:val="ListParagraph"/>
        <w:numPr>
          <w:ilvl w:val="0"/>
          <w:numId w:val="53"/>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PBS</w:t>
      </w:r>
    </w:p>
    <w:p w14:paraId="02CD5DB8" w14:textId="77777777" w:rsidR="00A6178B" w:rsidRPr="00D74025" w:rsidRDefault="00A6178B">
      <w:pPr>
        <w:pStyle w:val="ListParagraph"/>
        <w:numPr>
          <w:ilvl w:val="0"/>
          <w:numId w:val="53"/>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Trypsin (0.25%) EDTA (1X)</w:t>
      </w:r>
    </w:p>
    <w:p w14:paraId="1B911F82" w14:textId="747109DC" w:rsidR="00A6178B" w:rsidRPr="00D74025" w:rsidRDefault="00A6178B">
      <w:pPr>
        <w:pStyle w:val="ListParagraph"/>
        <w:numPr>
          <w:ilvl w:val="0"/>
          <w:numId w:val="53"/>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Sterile pipette tips and Pasteur </w:t>
      </w:r>
      <w:r w:rsidR="00035CA1">
        <w:rPr>
          <w:rFonts w:ascii="Arial" w:hAnsi="Arial" w:cs="Arial"/>
          <w:color w:val="000000" w:themeColor="text1"/>
        </w:rPr>
        <w:t>p</w:t>
      </w:r>
      <w:r w:rsidRPr="00D74025">
        <w:rPr>
          <w:rFonts w:ascii="Arial" w:hAnsi="Arial" w:cs="Arial"/>
          <w:color w:val="000000" w:themeColor="text1"/>
        </w:rPr>
        <w:t>ipettes</w:t>
      </w:r>
    </w:p>
    <w:p w14:paraId="29727288" w14:textId="77777777" w:rsidR="00A6178B" w:rsidRPr="00D74025" w:rsidRDefault="00A6178B">
      <w:pPr>
        <w:pStyle w:val="ListParagraph"/>
        <w:numPr>
          <w:ilvl w:val="0"/>
          <w:numId w:val="53"/>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T-25 and T-75 flask treated </w:t>
      </w:r>
    </w:p>
    <w:p w14:paraId="26A08DA5" w14:textId="77777777" w:rsidR="00A6178B" w:rsidRPr="00D74025" w:rsidRDefault="00A6178B">
      <w:pPr>
        <w:pStyle w:val="ListParagraph"/>
        <w:numPr>
          <w:ilvl w:val="0"/>
          <w:numId w:val="53"/>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Matrigel</w:t>
      </w:r>
    </w:p>
    <w:p w14:paraId="7866BC4B" w14:textId="77777777" w:rsidR="00A6178B" w:rsidRPr="00D74025" w:rsidRDefault="00A6178B">
      <w:pPr>
        <w:pStyle w:val="ListParagraph"/>
        <w:numPr>
          <w:ilvl w:val="0"/>
          <w:numId w:val="53"/>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Trypan Blue</w:t>
      </w:r>
    </w:p>
    <w:p w14:paraId="185282C8" w14:textId="77777777" w:rsidR="00A6178B" w:rsidRPr="00D74025" w:rsidRDefault="00A6178B">
      <w:pPr>
        <w:pStyle w:val="ListParagraph"/>
        <w:numPr>
          <w:ilvl w:val="0"/>
          <w:numId w:val="53"/>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4-week BALB/c female mice</w:t>
      </w:r>
    </w:p>
    <w:p w14:paraId="306FFE1C" w14:textId="77777777" w:rsidR="00A6178B" w:rsidRPr="00D74025" w:rsidRDefault="00A6178B">
      <w:pPr>
        <w:pStyle w:val="ListParagraph"/>
        <w:numPr>
          <w:ilvl w:val="0"/>
          <w:numId w:val="53"/>
        </w:numPr>
        <w:spacing w:before="0" w:beforeAutospacing="0" w:after="160" w:afterAutospacing="0" w:line="276" w:lineRule="auto"/>
        <w:jc w:val="left"/>
        <w:rPr>
          <w:rFonts w:ascii="Arial" w:hAnsi="Arial" w:cs="Arial"/>
          <w:color w:val="000000" w:themeColor="text1"/>
        </w:rPr>
      </w:pPr>
      <w:proofErr w:type="spellStart"/>
      <w:r w:rsidRPr="00D74025">
        <w:rPr>
          <w:rFonts w:ascii="Arial" w:hAnsi="Arial" w:cs="Arial"/>
          <w:color w:val="000000" w:themeColor="text1"/>
        </w:rPr>
        <w:t>Isofluorane</w:t>
      </w:r>
      <w:proofErr w:type="spellEnd"/>
    </w:p>
    <w:p w14:paraId="53744EA3" w14:textId="614AF0CA" w:rsidR="00A6178B" w:rsidRPr="00D74025" w:rsidRDefault="00A6178B">
      <w:pPr>
        <w:pStyle w:val="ListParagraph"/>
        <w:numPr>
          <w:ilvl w:val="0"/>
          <w:numId w:val="53"/>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Cotton </w:t>
      </w:r>
      <w:r w:rsidR="00035CA1">
        <w:rPr>
          <w:rFonts w:ascii="Arial" w:hAnsi="Arial" w:cs="Arial"/>
          <w:color w:val="000000" w:themeColor="text1"/>
        </w:rPr>
        <w:t>b</w:t>
      </w:r>
      <w:r w:rsidRPr="00D74025">
        <w:rPr>
          <w:rFonts w:ascii="Arial" w:hAnsi="Arial" w:cs="Arial"/>
          <w:color w:val="000000" w:themeColor="text1"/>
        </w:rPr>
        <w:t>alls</w:t>
      </w:r>
    </w:p>
    <w:p w14:paraId="2FF9B495" w14:textId="77777777" w:rsidR="00A6178B" w:rsidRPr="00D74025" w:rsidRDefault="00A6178B">
      <w:pPr>
        <w:pStyle w:val="ListParagraph"/>
        <w:numPr>
          <w:ilvl w:val="0"/>
          <w:numId w:val="53"/>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25-gauge needle</w:t>
      </w:r>
    </w:p>
    <w:p w14:paraId="7F941488" w14:textId="02F06D76" w:rsidR="002E1140" w:rsidRPr="00D74025" w:rsidRDefault="00A6178B">
      <w:pPr>
        <w:pStyle w:val="ListParagraph"/>
        <w:numPr>
          <w:ilvl w:val="0"/>
          <w:numId w:val="53"/>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Scalpel for shaving the mic</w:t>
      </w:r>
      <w:r w:rsidR="002E1140" w:rsidRPr="00D74025">
        <w:rPr>
          <w:rFonts w:ascii="Arial" w:hAnsi="Arial" w:cs="Arial"/>
          <w:color w:val="000000" w:themeColor="text1"/>
        </w:rPr>
        <w:t>e</w:t>
      </w:r>
    </w:p>
    <w:p w14:paraId="5CA40023" w14:textId="61762378" w:rsidR="002E1140" w:rsidRPr="00D74025" w:rsidRDefault="002E1140" w:rsidP="00F6020C">
      <w:pPr>
        <w:spacing w:after="160" w:line="276" w:lineRule="auto"/>
        <w:rPr>
          <w:rFonts w:ascii="Arial" w:hAnsi="Arial" w:cs="Arial"/>
          <w:color w:val="000000" w:themeColor="text1"/>
        </w:rPr>
      </w:pPr>
      <w:r w:rsidRPr="00D74025">
        <w:rPr>
          <w:rFonts w:ascii="Arial" w:hAnsi="Arial" w:cs="Arial"/>
          <w:color w:val="000000" w:themeColor="text1"/>
        </w:rPr>
        <w:t>Preparation</w:t>
      </w:r>
    </w:p>
    <w:p w14:paraId="53565324" w14:textId="361B85CE" w:rsidR="00A6178B" w:rsidRPr="00D74025" w:rsidRDefault="002E1140">
      <w:pPr>
        <w:pStyle w:val="ListParagraph"/>
        <w:numPr>
          <w:ilvl w:val="0"/>
          <w:numId w:val="52"/>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C</w:t>
      </w:r>
      <w:r w:rsidR="00A6178B" w:rsidRPr="00D74025">
        <w:rPr>
          <w:rFonts w:ascii="Arial" w:hAnsi="Arial" w:cs="Arial"/>
          <w:color w:val="000000" w:themeColor="text1"/>
        </w:rPr>
        <w:t>ell culturing in T-25 and T-75 flasks following sterile technique in sterile hood.</w:t>
      </w:r>
    </w:p>
    <w:p w14:paraId="31C07368" w14:textId="77777777" w:rsidR="00A6178B" w:rsidRPr="00D74025" w:rsidRDefault="00A6178B">
      <w:pPr>
        <w:pStyle w:val="ListParagraph"/>
        <w:numPr>
          <w:ilvl w:val="0"/>
          <w:numId w:val="52"/>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Order mice and wait the adaptation time to the new environment.</w:t>
      </w:r>
    </w:p>
    <w:p w14:paraId="3F1822C4" w14:textId="77777777" w:rsidR="00A6178B" w:rsidRPr="00D74025" w:rsidRDefault="00A6178B">
      <w:pPr>
        <w:pStyle w:val="ListParagraph"/>
        <w:numPr>
          <w:ilvl w:val="0"/>
          <w:numId w:val="52"/>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On the day before, shave the lower left side of the abdomen of the mice that will be inoculated with cancer cells.</w:t>
      </w:r>
    </w:p>
    <w:p w14:paraId="1BFA85B5" w14:textId="77777777" w:rsidR="00A6178B" w:rsidRPr="00D74025" w:rsidRDefault="00A6178B" w:rsidP="00F6020C">
      <w:pPr>
        <w:spacing w:line="276" w:lineRule="auto"/>
        <w:rPr>
          <w:rFonts w:ascii="Arial" w:hAnsi="Arial" w:cs="Arial"/>
          <w:color w:val="000000" w:themeColor="text1"/>
        </w:rPr>
      </w:pPr>
      <w:r w:rsidRPr="00D74025">
        <w:rPr>
          <w:rFonts w:ascii="Arial" w:hAnsi="Arial" w:cs="Arial"/>
          <w:color w:val="000000" w:themeColor="text1"/>
        </w:rPr>
        <w:t>Cells Culture and Injection Preparation</w:t>
      </w:r>
    </w:p>
    <w:p w14:paraId="74E835AF" w14:textId="7964FCF3" w:rsidR="00A6178B" w:rsidRPr="00D74025" w:rsidRDefault="00A6178B">
      <w:pPr>
        <w:pStyle w:val="ListParagraph"/>
        <w:numPr>
          <w:ilvl w:val="0"/>
          <w:numId w:val="5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Culture EMT6 cells in </w:t>
      </w:r>
      <w:proofErr w:type="spellStart"/>
      <w:r w:rsidRPr="00D74025">
        <w:rPr>
          <w:rFonts w:ascii="Arial" w:hAnsi="Arial" w:cs="Arial"/>
          <w:color w:val="000000" w:themeColor="text1"/>
        </w:rPr>
        <w:t>Waymouth’s</w:t>
      </w:r>
      <w:proofErr w:type="spellEnd"/>
      <w:r w:rsidRPr="00D74025">
        <w:rPr>
          <w:rFonts w:ascii="Arial" w:hAnsi="Arial" w:cs="Arial"/>
          <w:color w:val="000000" w:themeColor="text1"/>
        </w:rPr>
        <w:t xml:space="preserve"> Media (15% FBS and 1% anti-anti) in incubator that provides 5% CO</w:t>
      </w:r>
      <w:r w:rsidRPr="00D74025">
        <w:rPr>
          <w:rFonts w:ascii="Arial" w:hAnsi="Arial" w:cs="Arial"/>
          <w:color w:val="000000" w:themeColor="text1"/>
          <w:vertAlign w:val="subscript"/>
        </w:rPr>
        <w:t>2</w:t>
      </w:r>
      <w:r w:rsidRPr="00D74025">
        <w:rPr>
          <w:rFonts w:ascii="Arial" w:hAnsi="Arial" w:cs="Arial"/>
          <w:color w:val="000000" w:themeColor="text1"/>
        </w:rPr>
        <w:t xml:space="preserve"> and 37°C</w:t>
      </w:r>
      <w:r w:rsidR="00413D21">
        <w:rPr>
          <w:rFonts w:ascii="Arial" w:hAnsi="Arial" w:cs="Arial"/>
          <w:color w:val="000000" w:themeColor="text1"/>
        </w:rPr>
        <w:t>.</w:t>
      </w:r>
    </w:p>
    <w:p w14:paraId="0B607EFA" w14:textId="33587E6F" w:rsidR="00A6178B" w:rsidRPr="00D74025" w:rsidRDefault="00A6178B">
      <w:pPr>
        <w:pStyle w:val="ListParagraph"/>
        <w:numPr>
          <w:ilvl w:val="0"/>
          <w:numId w:val="5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At 75% confluency passage cells and discard culture medium</w:t>
      </w:r>
      <w:r w:rsidR="00413D21">
        <w:rPr>
          <w:rFonts w:ascii="Arial" w:hAnsi="Arial" w:cs="Arial"/>
          <w:color w:val="000000" w:themeColor="text1"/>
        </w:rPr>
        <w:t>.</w:t>
      </w:r>
    </w:p>
    <w:p w14:paraId="0FF3EECD" w14:textId="729AAFD5" w:rsidR="00A6178B" w:rsidRPr="00D74025" w:rsidRDefault="00A6178B">
      <w:pPr>
        <w:pStyle w:val="ListParagraph"/>
        <w:numPr>
          <w:ilvl w:val="0"/>
          <w:numId w:val="5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Wash cells with 5 ml of fresh PBS</w:t>
      </w:r>
      <w:r w:rsidR="00413D21">
        <w:rPr>
          <w:rFonts w:ascii="Arial" w:hAnsi="Arial" w:cs="Arial"/>
          <w:color w:val="000000" w:themeColor="text1"/>
        </w:rPr>
        <w:t>.</w:t>
      </w:r>
    </w:p>
    <w:p w14:paraId="1C1CE7DF" w14:textId="77777777" w:rsidR="00A6178B" w:rsidRPr="00D74025" w:rsidRDefault="00A6178B">
      <w:pPr>
        <w:pStyle w:val="ListParagraph"/>
        <w:numPr>
          <w:ilvl w:val="0"/>
          <w:numId w:val="5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Add 2 ml of 0.25% trypsin/mM EDT solution. Let sit for 5 min or until all cells have been lifted from the plate.</w:t>
      </w:r>
    </w:p>
    <w:p w14:paraId="1BF80EBC" w14:textId="77777777" w:rsidR="00A6178B" w:rsidRPr="00D74025" w:rsidRDefault="00A6178B">
      <w:pPr>
        <w:pStyle w:val="ListParagraph"/>
        <w:numPr>
          <w:ilvl w:val="0"/>
          <w:numId w:val="5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Add 6 ml of fresh </w:t>
      </w:r>
      <w:proofErr w:type="spellStart"/>
      <w:r w:rsidRPr="00D74025">
        <w:rPr>
          <w:rFonts w:ascii="Arial" w:hAnsi="Arial" w:cs="Arial"/>
          <w:color w:val="000000" w:themeColor="text1"/>
        </w:rPr>
        <w:t>Waymouth’s</w:t>
      </w:r>
      <w:proofErr w:type="spellEnd"/>
      <w:r w:rsidRPr="00D74025">
        <w:rPr>
          <w:rFonts w:ascii="Arial" w:hAnsi="Arial" w:cs="Arial"/>
          <w:color w:val="000000" w:themeColor="text1"/>
        </w:rPr>
        <w:t xml:space="preserve"> media and transfer to 15 ml- conical tube</w:t>
      </w:r>
    </w:p>
    <w:p w14:paraId="165A0908" w14:textId="77777777" w:rsidR="00A6178B" w:rsidRPr="00D74025" w:rsidRDefault="00A6178B">
      <w:pPr>
        <w:pStyle w:val="ListParagraph"/>
        <w:numPr>
          <w:ilvl w:val="0"/>
          <w:numId w:val="5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Centrifuge cells at 1100 X G for 5 minutes and resuspend it in fresh media</w:t>
      </w:r>
    </w:p>
    <w:p w14:paraId="17193D5E" w14:textId="60B33CA1" w:rsidR="00A6178B" w:rsidRPr="00D74025" w:rsidRDefault="00A6178B">
      <w:pPr>
        <w:pStyle w:val="ListParagraph"/>
        <w:numPr>
          <w:ilvl w:val="0"/>
          <w:numId w:val="5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Count cells with </w:t>
      </w:r>
      <w:r w:rsidR="002B33C2">
        <w:rPr>
          <w:rFonts w:ascii="Arial" w:hAnsi="Arial" w:cs="Arial"/>
          <w:color w:val="000000" w:themeColor="text1"/>
        </w:rPr>
        <w:t>h</w:t>
      </w:r>
      <w:r w:rsidRPr="00D74025">
        <w:rPr>
          <w:rFonts w:ascii="Arial" w:hAnsi="Arial" w:cs="Arial"/>
          <w:color w:val="000000" w:themeColor="text1"/>
        </w:rPr>
        <w:t>emocytometer</w:t>
      </w:r>
    </w:p>
    <w:p w14:paraId="3E54013C" w14:textId="5729E3EC" w:rsidR="00A6178B" w:rsidRPr="00D74025" w:rsidRDefault="00A6178B">
      <w:pPr>
        <w:pStyle w:val="ListParagraph"/>
        <w:numPr>
          <w:ilvl w:val="0"/>
          <w:numId w:val="5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lastRenderedPageBreak/>
        <w:t>Discard supernatant and resuspend cells so that in 50 µL of 50% PBS and 50% Matrigel there are 50,000 cells</w:t>
      </w:r>
      <w:r w:rsidR="002B33C2">
        <w:rPr>
          <w:rFonts w:ascii="Arial" w:hAnsi="Arial" w:cs="Arial"/>
          <w:color w:val="000000" w:themeColor="text1"/>
        </w:rPr>
        <w:t>.</w:t>
      </w:r>
    </w:p>
    <w:p w14:paraId="37C03C94" w14:textId="7D19C31A" w:rsidR="00A6178B" w:rsidRPr="00D74025" w:rsidRDefault="00A6178B">
      <w:pPr>
        <w:pStyle w:val="ListParagraph"/>
        <w:numPr>
          <w:ilvl w:val="1"/>
          <w:numId w:val="5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Keep cells on ice</w:t>
      </w:r>
      <w:r w:rsidR="002B33C2">
        <w:rPr>
          <w:rFonts w:ascii="Arial" w:hAnsi="Arial" w:cs="Arial"/>
          <w:color w:val="000000" w:themeColor="text1"/>
        </w:rPr>
        <w:t>.</w:t>
      </w:r>
    </w:p>
    <w:p w14:paraId="64E0D52D" w14:textId="2AEB7B56" w:rsidR="00A6178B" w:rsidRPr="00D74025" w:rsidRDefault="00A6178B">
      <w:pPr>
        <w:pStyle w:val="ListParagraph"/>
        <w:numPr>
          <w:ilvl w:val="0"/>
          <w:numId w:val="5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Load 50 µL of cells into 1 ml-syringe without needle to prevent shearing</w:t>
      </w:r>
      <w:r w:rsidR="002B33C2">
        <w:rPr>
          <w:rFonts w:ascii="Arial" w:hAnsi="Arial" w:cs="Arial"/>
          <w:color w:val="000000" w:themeColor="text1"/>
        </w:rPr>
        <w:t>.</w:t>
      </w:r>
    </w:p>
    <w:p w14:paraId="205F1044" w14:textId="26E75408" w:rsidR="00A6178B" w:rsidRPr="00D74025" w:rsidRDefault="00A6178B">
      <w:pPr>
        <w:pStyle w:val="ListParagraph"/>
        <w:numPr>
          <w:ilvl w:val="1"/>
          <w:numId w:val="5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Remove air bubbles</w:t>
      </w:r>
      <w:r w:rsidR="002B33C2">
        <w:rPr>
          <w:rFonts w:ascii="Arial" w:hAnsi="Arial" w:cs="Arial"/>
          <w:color w:val="000000" w:themeColor="text1"/>
        </w:rPr>
        <w:t>.</w:t>
      </w:r>
    </w:p>
    <w:p w14:paraId="79FFD046" w14:textId="11942D04" w:rsidR="00A6178B" w:rsidRPr="00D74025" w:rsidRDefault="002B33C2">
      <w:pPr>
        <w:pStyle w:val="ListParagraph"/>
        <w:numPr>
          <w:ilvl w:val="0"/>
          <w:numId w:val="51"/>
        </w:numPr>
        <w:spacing w:before="0" w:beforeAutospacing="0" w:after="160" w:afterAutospacing="0" w:line="276" w:lineRule="auto"/>
        <w:jc w:val="left"/>
        <w:rPr>
          <w:rFonts w:ascii="Arial" w:hAnsi="Arial" w:cs="Arial"/>
          <w:color w:val="000000" w:themeColor="text1"/>
        </w:rPr>
      </w:pPr>
      <w:r>
        <w:rPr>
          <w:rFonts w:ascii="Arial" w:hAnsi="Arial" w:cs="Arial"/>
          <w:color w:val="000000" w:themeColor="text1"/>
        </w:rPr>
        <w:t xml:space="preserve"> </w:t>
      </w:r>
      <w:r w:rsidR="00A6178B" w:rsidRPr="00D74025">
        <w:rPr>
          <w:rFonts w:ascii="Arial" w:hAnsi="Arial" w:cs="Arial"/>
          <w:color w:val="000000" w:themeColor="text1"/>
        </w:rPr>
        <w:t>Add 25-gauge needle and allow the cells to pass through syringe</w:t>
      </w:r>
      <w:r>
        <w:rPr>
          <w:rFonts w:ascii="Arial" w:hAnsi="Arial" w:cs="Arial"/>
          <w:color w:val="000000" w:themeColor="text1"/>
        </w:rPr>
        <w:t>.</w:t>
      </w:r>
    </w:p>
    <w:p w14:paraId="65E609E2" w14:textId="3531F166" w:rsidR="00A6178B" w:rsidRDefault="00A6178B" w:rsidP="00F6020C">
      <w:pPr>
        <w:spacing w:line="276" w:lineRule="auto"/>
        <w:rPr>
          <w:rFonts w:ascii="Arial" w:hAnsi="Arial" w:cs="Arial"/>
          <w:color w:val="000000" w:themeColor="text1"/>
        </w:rPr>
      </w:pPr>
      <w:r w:rsidRPr="00D74025">
        <w:rPr>
          <w:rFonts w:ascii="Arial" w:hAnsi="Arial" w:cs="Arial"/>
          <w:color w:val="000000" w:themeColor="text1"/>
        </w:rPr>
        <w:t>Mice short term anesthesia</w:t>
      </w:r>
    </w:p>
    <w:p w14:paraId="5806A27B" w14:textId="77777777" w:rsidR="002B33C2" w:rsidRPr="00D74025" w:rsidRDefault="002B33C2" w:rsidP="00F6020C">
      <w:pPr>
        <w:spacing w:line="276" w:lineRule="auto"/>
        <w:rPr>
          <w:rFonts w:ascii="Arial" w:hAnsi="Arial" w:cs="Arial"/>
          <w:color w:val="000000" w:themeColor="text1"/>
        </w:rPr>
      </w:pPr>
    </w:p>
    <w:p w14:paraId="45161811" w14:textId="7C8FAE3E" w:rsidR="00A6178B" w:rsidRPr="00D74025" w:rsidRDefault="00A6178B">
      <w:pPr>
        <w:pStyle w:val="ListParagraph"/>
        <w:numPr>
          <w:ilvl w:val="0"/>
          <w:numId w:val="5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Embed a cotton ball with </w:t>
      </w:r>
      <w:proofErr w:type="spellStart"/>
      <w:r w:rsidRPr="00D74025">
        <w:rPr>
          <w:rFonts w:ascii="Arial" w:hAnsi="Arial" w:cs="Arial"/>
          <w:color w:val="000000" w:themeColor="text1"/>
        </w:rPr>
        <w:t>isofluorane</w:t>
      </w:r>
      <w:proofErr w:type="spellEnd"/>
      <w:r w:rsidR="002B33C2">
        <w:rPr>
          <w:rFonts w:ascii="Arial" w:hAnsi="Arial" w:cs="Arial"/>
          <w:color w:val="000000" w:themeColor="text1"/>
        </w:rPr>
        <w:t>.</w:t>
      </w:r>
    </w:p>
    <w:p w14:paraId="7BA60C67" w14:textId="77777777" w:rsidR="00A6178B" w:rsidRPr="00D74025" w:rsidRDefault="00A6178B">
      <w:pPr>
        <w:pStyle w:val="ListParagraph"/>
        <w:numPr>
          <w:ilvl w:val="0"/>
          <w:numId w:val="5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Place the cotton ball inside of a bel jar below the ceramic platform.</w:t>
      </w:r>
    </w:p>
    <w:p w14:paraId="2C36CF85" w14:textId="2F1C7EC7" w:rsidR="00A6178B" w:rsidRPr="00D74025" w:rsidRDefault="00A6178B">
      <w:pPr>
        <w:pStyle w:val="ListParagraph"/>
        <w:numPr>
          <w:ilvl w:val="0"/>
          <w:numId w:val="5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Place the mice over the platform and close the lid of the bel jar</w:t>
      </w:r>
      <w:r w:rsidR="002B33C2">
        <w:rPr>
          <w:rFonts w:ascii="Arial" w:hAnsi="Arial" w:cs="Arial"/>
          <w:color w:val="000000" w:themeColor="text1"/>
        </w:rPr>
        <w:t>.</w:t>
      </w:r>
    </w:p>
    <w:p w14:paraId="4DC3DDC8" w14:textId="77777777" w:rsidR="00A6178B" w:rsidRPr="00D74025" w:rsidRDefault="00A6178B">
      <w:pPr>
        <w:pStyle w:val="ListParagraph"/>
        <w:numPr>
          <w:ilvl w:val="0"/>
          <w:numId w:val="5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Wait for the clear anesthetic effect and proceed to tumor cell injection.</w:t>
      </w:r>
    </w:p>
    <w:p w14:paraId="6E2031E5" w14:textId="77777777" w:rsidR="00A6178B" w:rsidRPr="00D74025" w:rsidRDefault="00A6178B" w:rsidP="00F6020C">
      <w:pPr>
        <w:spacing w:line="276" w:lineRule="auto"/>
        <w:rPr>
          <w:rFonts w:ascii="Arial" w:hAnsi="Arial" w:cs="Arial"/>
          <w:color w:val="000000" w:themeColor="text1"/>
        </w:rPr>
      </w:pPr>
    </w:p>
    <w:p w14:paraId="64272223" w14:textId="77777777" w:rsidR="00A6178B" w:rsidRPr="00D74025" w:rsidRDefault="00A6178B" w:rsidP="00F6020C">
      <w:pPr>
        <w:spacing w:line="276" w:lineRule="auto"/>
        <w:rPr>
          <w:rFonts w:ascii="Arial" w:hAnsi="Arial" w:cs="Arial"/>
          <w:color w:val="000000" w:themeColor="text1"/>
        </w:rPr>
      </w:pPr>
    </w:p>
    <w:p w14:paraId="4C5593F9" w14:textId="77777777" w:rsidR="00A6178B" w:rsidRPr="00D74025" w:rsidRDefault="00A6178B" w:rsidP="00F6020C">
      <w:pPr>
        <w:spacing w:line="276" w:lineRule="auto"/>
        <w:rPr>
          <w:rFonts w:ascii="Arial" w:hAnsi="Arial" w:cs="Arial"/>
          <w:color w:val="000000" w:themeColor="text1"/>
        </w:rPr>
      </w:pPr>
      <w:r w:rsidRPr="00D74025">
        <w:rPr>
          <w:rFonts w:ascii="Arial" w:hAnsi="Arial" w:cs="Arial"/>
          <w:color w:val="000000" w:themeColor="text1"/>
        </w:rPr>
        <w:t>Cell injection</w:t>
      </w:r>
    </w:p>
    <w:p w14:paraId="0A1A8995" w14:textId="77777777" w:rsidR="00A6178B" w:rsidRPr="00D74025" w:rsidRDefault="00A6178B">
      <w:pPr>
        <w:pStyle w:val="ListParagraph"/>
        <w:numPr>
          <w:ilvl w:val="0"/>
          <w:numId w:val="5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Secure a 6-week-old female BALB/c mouse with one hand by grasping behind the ears using the index finger and thumb. Stretch the mouse body across the hand to expose the abdomen. Secure the tail against the hand using the last two digits of the same hand that secures the neck.</w:t>
      </w:r>
    </w:p>
    <w:p w14:paraId="371CCF9A" w14:textId="77777777" w:rsidR="00A6178B" w:rsidRPr="00D74025" w:rsidRDefault="00A6178B">
      <w:pPr>
        <w:pStyle w:val="ListParagraph"/>
        <w:numPr>
          <w:ilvl w:val="0"/>
          <w:numId w:val="5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Inoculate the mouse with EMT6 tumor cells subcutaneously in the 4</w:t>
      </w:r>
      <w:r w:rsidRPr="00D74025">
        <w:rPr>
          <w:rFonts w:ascii="Arial" w:hAnsi="Arial" w:cs="Arial"/>
          <w:color w:val="000000" w:themeColor="text1"/>
          <w:vertAlign w:val="superscript"/>
        </w:rPr>
        <w:t>th</w:t>
      </w:r>
      <w:r w:rsidRPr="00D74025">
        <w:rPr>
          <w:rFonts w:ascii="Arial" w:hAnsi="Arial" w:cs="Arial"/>
          <w:color w:val="000000" w:themeColor="text1"/>
        </w:rPr>
        <w:t xml:space="preserve"> mammary fat pad by gently penetrating the skin, with the bevel of the needle facing up and depressing the syringe to the appropriate volume</w:t>
      </w:r>
    </w:p>
    <w:p w14:paraId="19161A5E" w14:textId="452240CE" w:rsidR="00F150D2" w:rsidRPr="00D74025" w:rsidRDefault="00F150D2" w:rsidP="00F6020C">
      <w:pPr>
        <w:pStyle w:val="Tpico5"/>
        <w:spacing w:line="276" w:lineRule="auto"/>
        <w:rPr>
          <w:rFonts w:ascii="Arial" w:hAnsi="Arial" w:cs="Arial"/>
          <w:color w:val="000000" w:themeColor="text1"/>
          <w:u w:val="none"/>
        </w:rPr>
      </w:pPr>
    </w:p>
    <w:p w14:paraId="56D15AA8" w14:textId="448F310B" w:rsidR="002E1140" w:rsidRPr="002721CC" w:rsidRDefault="009B1899" w:rsidP="00F6020C">
      <w:pPr>
        <w:pStyle w:val="Tpico5"/>
        <w:spacing w:line="276" w:lineRule="auto"/>
        <w:outlineLvl w:val="1"/>
        <w:rPr>
          <w:rFonts w:ascii="Arial" w:hAnsi="Arial" w:cs="Arial"/>
          <w:b/>
          <w:bCs/>
          <w:color w:val="000000" w:themeColor="text1"/>
        </w:rPr>
      </w:pPr>
      <w:bookmarkStart w:id="224" w:name="_Toc121217314"/>
      <w:r w:rsidRPr="002721CC">
        <w:rPr>
          <w:rFonts w:ascii="Arial" w:hAnsi="Arial" w:cs="Arial"/>
          <w:b/>
          <w:bCs/>
          <w:color w:val="000000" w:themeColor="text1"/>
        </w:rPr>
        <w:t>D2. NIR-irradiation of mice</w:t>
      </w:r>
      <w:bookmarkEnd w:id="224"/>
    </w:p>
    <w:p w14:paraId="4459409F" w14:textId="7D6B7EEC" w:rsidR="00D054DF" w:rsidRDefault="00D054DF" w:rsidP="00D054DF">
      <w:pPr>
        <w:pStyle w:val="Tpico5"/>
        <w:spacing w:line="276" w:lineRule="auto"/>
        <w:rPr>
          <w:rFonts w:ascii="Arial" w:hAnsi="Arial" w:cs="Arial"/>
          <w:color w:val="000000" w:themeColor="text1"/>
          <w:u w:val="none"/>
        </w:rPr>
      </w:pPr>
    </w:p>
    <w:p w14:paraId="6B655107" w14:textId="51A9CAB9" w:rsidR="001947FB" w:rsidRDefault="001947FB">
      <w:pPr>
        <w:pStyle w:val="Tpico5"/>
        <w:numPr>
          <w:ilvl w:val="0"/>
          <w:numId w:val="86"/>
        </w:numPr>
        <w:spacing w:line="276" w:lineRule="auto"/>
        <w:rPr>
          <w:rFonts w:ascii="Arial" w:hAnsi="Arial" w:cs="Arial"/>
          <w:color w:val="000000" w:themeColor="text1"/>
          <w:u w:val="none"/>
        </w:rPr>
      </w:pPr>
      <w:r>
        <w:rPr>
          <w:rFonts w:ascii="Arial" w:hAnsi="Arial" w:cs="Arial"/>
          <w:color w:val="000000" w:themeColor="text1"/>
          <w:u w:val="none"/>
        </w:rPr>
        <w:t xml:space="preserve">Cover all the surfaces that might reflect the laser, including metallic </w:t>
      </w:r>
      <w:r w:rsidR="00270323">
        <w:rPr>
          <w:rFonts w:ascii="Arial" w:hAnsi="Arial" w:cs="Arial"/>
          <w:color w:val="000000" w:themeColor="text1"/>
          <w:u w:val="none"/>
        </w:rPr>
        <w:t xml:space="preserve">benchtops and glass surfaces to prevent reflection of laser into the eyes of the </w:t>
      </w:r>
      <w:r w:rsidR="003F1B51">
        <w:rPr>
          <w:rFonts w:ascii="Arial" w:hAnsi="Arial" w:cs="Arial"/>
          <w:color w:val="000000" w:themeColor="text1"/>
          <w:u w:val="none"/>
        </w:rPr>
        <w:t>operators.</w:t>
      </w:r>
    </w:p>
    <w:p w14:paraId="79D2EB01" w14:textId="5E67E006" w:rsidR="003F1B51" w:rsidRDefault="003F1B51">
      <w:pPr>
        <w:pStyle w:val="Tpico5"/>
        <w:numPr>
          <w:ilvl w:val="0"/>
          <w:numId w:val="86"/>
        </w:numPr>
        <w:spacing w:line="276" w:lineRule="auto"/>
        <w:rPr>
          <w:rFonts w:ascii="Arial" w:hAnsi="Arial" w:cs="Arial"/>
          <w:color w:val="000000" w:themeColor="text1"/>
          <w:u w:val="none"/>
        </w:rPr>
      </w:pPr>
      <w:r>
        <w:rPr>
          <w:rFonts w:ascii="Arial" w:hAnsi="Arial" w:cs="Arial"/>
          <w:color w:val="000000" w:themeColor="text1"/>
          <w:u w:val="none"/>
        </w:rPr>
        <w:t xml:space="preserve">Assemble the laser </w:t>
      </w:r>
      <w:r w:rsidR="00D53812">
        <w:rPr>
          <w:rFonts w:ascii="Arial" w:hAnsi="Arial" w:cs="Arial"/>
          <w:color w:val="000000" w:themeColor="text1"/>
          <w:u w:val="none"/>
        </w:rPr>
        <w:t xml:space="preserve">tip </w:t>
      </w:r>
      <w:r>
        <w:rPr>
          <w:rFonts w:ascii="Arial" w:hAnsi="Arial" w:cs="Arial"/>
          <w:color w:val="000000" w:themeColor="text1"/>
          <w:u w:val="none"/>
        </w:rPr>
        <w:t>inside of a</w:t>
      </w:r>
      <w:r w:rsidR="00D53812">
        <w:rPr>
          <w:rFonts w:ascii="Arial" w:hAnsi="Arial" w:cs="Arial"/>
          <w:color w:val="000000" w:themeColor="text1"/>
          <w:u w:val="none"/>
        </w:rPr>
        <w:t>n</w:t>
      </w:r>
      <w:r>
        <w:rPr>
          <w:rFonts w:ascii="Arial" w:hAnsi="Arial" w:cs="Arial"/>
          <w:color w:val="000000" w:themeColor="text1"/>
          <w:u w:val="none"/>
        </w:rPr>
        <w:t xml:space="preserve"> opaque tube to control the area of irradiation</w:t>
      </w:r>
      <w:r w:rsidR="003828DA">
        <w:rPr>
          <w:rFonts w:ascii="Arial" w:hAnsi="Arial" w:cs="Arial"/>
          <w:color w:val="000000" w:themeColor="text1"/>
          <w:u w:val="none"/>
        </w:rPr>
        <w:t xml:space="preserve"> pointing down to the benchtop where irradiation will occur.</w:t>
      </w:r>
    </w:p>
    <w:p w14:paraId="561DD239" w14:textId="77777777" w:rsidR="00C05E7B" w:rsidRDefault="003F1B51">
      <w:pPr>
        <w:pStyle w:val="Tpico5"/>
        <w:numPr>
          <w:ilvl w:val="0"/>
          <w:numId w:val="86"/>
        </w:numPr>
        <w:spacing w:line="276" w:lineRule="auto"/>
        <w:rPr>
          <w:rFonts w:ascii="Arial" w:hAnsi="Arial" w:cs="Arial"/>
          <w:color w:val="000000" w:themeColor="text1"/>
          <w:u w:val="none"/>
        </w:rPr>
      </w:pPr>
      <w:r>
        <w:rPr>
          <w:rFonts w:ascii="Arial" w:hAnsi="Arial" w:cs="Arial"/>
          <w:color w:val="000000" w:themeColor="text1"/>
          <w:u w:val="none"/>
        </w:rPr>
        <w:t xml:space="preserve">Use the </w:t>
      </w:r>
      <w:r w:rsidR="00D53812">
        <w:rPr>
          <w:rFonts w:ascii="Arial" w:hAnsi="Arial" w:cs="Arial"/>
          <w:color w:val="000000" w:themeColor="text1"/>
          <w:u w:val="none"/>
        </w:rPr>
        <w:t>power meter to adjust the power density to 1 W/cm</w:t>
      </w:r>
      <w:r w:rsidR="00D53812">
        <w:rPr>
          <w:rFonts w:ascii="Arial" w:hAnsi="Arial" w:cs="Arial"/>
          <w:color w:val="000000" w:themeColor="text1"/>
          <w:u w:val="none"/>
          <w:vertAlign w:val="superscript"/>
        </w:rPr>
        <w:t>2</w:t>
      </w:r>
      <w:r w:rsidR="00905CAA">
        <w:rPr>
          <w:rFonts w:ascii="Arial" w:hAnsi="Arial" w:cs="Arial"/>
          <w:color w:val="000000" w:themeColor="text1"/>
          <w:u w:val="none"/>
        </w:rPr>
        <w:t xml:space="preserve"> knowing the area of the opaque tube. </w:t>
      </w:r>
    </w:p>
    <w:p w14:paraId="474D1A53" w14:textId="115B425D" w:rsidR="003F1B51" w:rsidRDefault="003828DA">
      <w:pPr>
        <w:pStyle w:val="Tpico5"/>
        <w:numPr>
          <w:ilvl w:val="1"/>
          <w:numId w:val="86"/>
        </w:numPr>
        <w:spacing w:line="276" w:lineRule="auto"/>
        <w:rPr>
          <w:rFonts w:ascii="Arial" w:hAnsi="Arial" w:cs="Arial"/>
          <w:color w:val="000000" w:themeColor="text1"/>
          <w:u w:val="none"/>
        </w:rPr>
      </w:pPr>
      <w:r>
        <w:rPr>
          <w:rFonts w:ascii="Arial" w:hAnsi="Arial" w:cs="Arial"/>
          <w:color w:val="000000" w:themeColor="text1"/>
          <w:u w:val="none"/>
        </w:rPr>
        <w:t xml:space="preserve">Adjust </w:t>
      </w:r>
      <w:r w:rsidR="00C05E7B">
        <w:rPr>
          <w:rFonts w:ascii="Arial" w:hAnsi="Arial" w:cs="Arial"/>
          <w:color w:val="000000" w:themeColor="text1"/>
          <w:u w:val="none"/>
        </w:rPr>
        <w:t>h</w:t>
      </w:r>
      <w:r w:rsidR="007B386A">
        <w:rPr>
          <w:rFonts w:ascii="Arial" w:hAnsi="Arial" w:cs="Arial"/>
          <w:color w:val="000000" w:themeColor="text1"/>
          <w:u w:val="none"/>
        </w:rPr>
        <w:t>eight</w:t>
      </w:r>
      <w:r w:rsidR="00C05E7B">
        <w:rPr>
          <w:rFonts w:ascii="Arial" w:hAnsi="Arial" w:cs="Arial"/>
          <w:color w:val="000000" w:themeColor="text1"/>
          <w:u w:val="none"/>
        </w:rPr>
        <w:t xml:space="preserve"> of the laser tip and the power output in the laser generator to obtain desired power density.</w:t>
      </w:r>
    </w:p>
    <w:p w14:paraId="68670539" w14:textId="0C7A6D13" w:rsidR="005E5C84" w:rsidRDefault="005E5C84">
      <w:pPr>
        <w:pStyle w:val="Tpico5"/>
        <w:numPr>
          <w:ilvl w:val="1"/>
          <w:numId w:val="86"/>
        </w:numPr>
        <w:spacing w:line="276" w:lineRule="auto"/>
        <w:rPr>
          <w:rFonts w:ascii="Arial" w:hAnsi="Arial" w:cs="Arial"/>
          <w:color w:val="000000" w:themeColor="text1"/>
          <w:u w:val="none"/>
        </w:rPr>
      </w:pPr>
      <w:r>
        <w:rPr>
          <w:rFonts w:ascii="Arial" w:hAnsi="Arial" w:cs="Arial"/>
          <w:color w:val="000000" w:themeColor="text1"/>
          <w:u w:val="none"/>
        </w:rPr>
        <w:t xml:space="preserve">Turn off the light in the procedure room so the </w:t>
      </w:r>
      <w:r w:rsidR="00B4596E">
        <w:rPr>
          <w:rFonts w:ascii="Arial" w:hAnsi="Arial" w:cs="Arial"/>
          <w:color w:val="000000" w:themeColor="text1"/>
          <w:u w:val="none"/>
        </w:rPr>
        <w:t xml:space="preserve">red light from the laser can be visualized (red light is </w:t>
      </w:r>
      <w:r w:rsidR="004E1FFA">
        <w:rPr>
          <w:rFonts w:ascii="Arial" w:hAnsi="Arial" w:cs="Arial"/>
          <w:color w:val="000000" w:themeColor="text1"/>
          <w:u w:val="none"/>
        </w:rPr>
        <w:t>emitted</w:t>
      </w:r>
      <w:r w:rsidR="00B4596E">
        <w:rPr>
          <w:rFonts w:ascii="Arial" w:hAnsi="Arial" w:cs="Arial"/>
          <w:color w:val="000000" w:themeColor="text1"/>
          <w:u w:val="none"/>
        </w:rPr>
        <w:t xml:space="preserve"> when the laser generator is put in </w:t>
      </w:r>
      <w:r w:rsidR="00360337">
        <w:rPr>
          <w:rFonts w:ascii="Arial" w:hAnsi="Arial" w:cs="Arial"/>
          <w:color w:val="000000" w:themeColor="text1"/>
          <w:u w:val="none"/>
        </w:rPr>
        <w:t>standby,</w:t>
      </w:r>
      <w:r w:rsidR="00B4596E">
        <w:rPr>
          <w:rFonts w:ascii="Arial" w:hAnsi="Arial" w:cs="Arial"/>
          <w:color w:val="000000" w:themeColor="text1"/>
          <w:u w:val="none"/>
        </w:rPr>
        <w:t xml:space="preserve"> but </w:t>
      </w:r>
      <w:r w:rsidR="004E1FFA">
        <w:rPr>
          <w:rFonts w:ascii="Arial" w:hAnsi="Arial" w:cs="Arial"/>
          <w:color w:val="000000" w:themeColor="text1"/>
          <w:u w:val="none"/>
        </w:rPr>
        <w:t>this is not NIR irradiation, so you can look at it)</w:t>
      </w:r>
    </w:p>
    <w:p w14:paraId="1FC0AA34" w14:textId="750DAB45" w:rsidR="00C05E7B" w:rsidRDefault="00503DD5">
      <w:pPr>
        <w:pStyle w:val="Tpico5"/>
        <w:numPr>
          <w:ilvl w:val="0"/>
          <w:numId w:val="86"/>
        </w:numPr>
        <w:spacing w:line="276" w:lineRule="auto"/>
        <w:rPr>
          <w:rFonts w:ascii="Arial" w:hAnsi="Arial" w:cs="Arial"/>
          <w:color w:val="000000" w:themeColor="text1"/>
          <w:u w:val="none"/>
        </w:rPr>
      </w:pPr>
      <w:r>
        <w:rPr>
          <w:rFonts w:ascii="Arial" w:hAnsi="Arial" w:cs="Arial"/>
          <w:color w:val="000000" w:themeColor="text1"/>
          <w:u w:val="none"/>
        </w:rPr>
        <w:t xml:space="preserve">Induce anesthesia </w:t>
      </w:r>
      <w:r w:rsidR="00155E96">
        <w:rPr>
          <w:rFonts w:ascii="Arial" w:hAnsi="Arial" w:cs="Arial"/>
          <w:color w:val="000000" w:themeColor="text1"/>
          <w:u w:val="none"/>
        </w:rPr>
        <w:t xml:space="preserve">placing </w:t>
      </w:r>
      <w:r>
        <w:rPr>
          <w:rFonts w:ascii="Arial" w:hAnsi="Arial" w:cs="Arial"/>
          <w:color w:val="000000" w:themeColor="text1"/>
          <w:u w:val="none"/>
        </w:rPr>
        <w:t xml:space="preserve">mice </w:t>
      </w:r>
      <w:r w:rsidR="00155E96">
        <w:rPr>
          <w:rFonts w:ascii="Arial" w:hAnsi="Arial" w:cs="Arial"/>
          <w:color w:val="000000" w:themeColor="text1"/>
          <w:u w:val="none"/>
        </w:rPr>
        <w:t xml:space="preserve">in nose cone at the end of </w:t>
      </w:r>
      <w:proofErr w:type="gramStart"/>
      <w:r>
        <w:rPr>
          <w:rFonts w:ascii="Arial" w:hAnsi="Arial" w:cs="Arial"/>
          <w:color w:val="000000" w:themeColor="text1"/>
          <w:u w:val="none"/>
        </w:rPr>
        <w:t xml:space="preserve">isoflurane </w:t>
      </w:r>
      <w:r w:rsidR="007B386A">
        <w:rPr>
          <w:rFonts w:ascii="Arial" w:hAnsi="Arial" w:cs="Arial"/>
          <w:color w:val="000000" w:themeColor="text1"/>
          <w:u w:val="none"/>
        </w:rPr>
        <w:t>.</w:t>
      </w:r>
      <w:r>
        <w:rPr>
          <w:rFonts w:ascii="Arial" w:hAnsi="Arial" w:cs="Arial"/>
          <w:color w:val="000000" w:themeColor="text1"/>
          <w:u w:val="none"/>
        </w:rPr>
        <w:t>vaporizer</w:t>
      </w:r>
      <w:proofErr w:type="gramEnd"/>
      <w:r>
        <w:rPr>
          <w:rFonts w:ascii="Arial" w:hAnsi="Arial" w:cs="Arial"/>
          <w:color w:val="000000" w:themeColor="text1"/>
          <w:u w:val="none"/>
        </w:rPr>
        <w:t xml:space="preserve"> connected to the O</w:t>
      </w:r>
      <w:r>
        <w:rPr>
          <w:rFonts w:ascii="Arial" w:hAnsi="Arial" w:cs="Arial"/>
          <w:color w:val="000000" w:themeColor="text1"/>
          <w:u w:val="none"/>
          <w:vertAlign w:val="subscript"/>
        </w:rPr>
        <w:t>2</w:t>
      </w:r>
      <w:r>
        <w:rPr>
          <w:rFonts w:ascii="Arial" w:hAnsi="Arial" w:cs="Arial"/>
          <w:color w:val="000000" w:themeColor="text1"/>
          <w:u w:val="none"/>
        </w:rPr>
        <w:t xml:space="preserve"> gas line. </w:t>
      </w:r>
    </w:p>
    <w:p w14:paraId="3A013435" w14:textId="15452152" w:rsidR="00EF167E" w:rsidRDefault="00EF167E">
      <w:pPr>
        <w:pStyle w:val="Tpico5"/>
        <w:numPr>
          <w:ilvl w:val="1"/>
          <w:numId w:val="86"/>
        </w:numPr>
        <w:spacing w:line="276" w:lineRule="auto"/>
        <w:rPr>
          <w:rFonts w:ascii="Arial" w:hAnsi="Arial" w:cs="Arial"/>
          <w:color w:val="000000" w:themeColor="text1"/>
          <w:u w:val="none"/>
        </w:rPr>
      </w:pPr>
      <w:r>
        <w:rPr>
          <w:rFonts w:ascii="Arial" w:hAnsi="Arial" w:cs="Arial"/>
          <w:color w:val="000000" w:themeColor="text1"/>
          <w:u w:val="none"/>
        </w:rPr>
        <w:t xml:space="preserve">Level of isoflurane </w:t>
      </w:r>
      <w:r w:rsidR="004C0F47">
        <w:rPr>
          <w:rFonts w:ascii="Arial" w:hAnsi="Arial" w:cs="Arial"/>
          <w:color w:val="000000" w:themeColor="text1"/>
          <w:u w:val="none"/>
        </w:rPr>
        <w:t>should be 3% for PTT.</w:t>
      </w:r>
    </w:p>
    <w:p w14:paraId="181C0CED" w14:textId="04F8B1AA" w:rsidR="004C0F47" w:rsidRDefault="005E5C84">
      <w:pPr>
        <w:pStyle w:val="Tpico5"/>
        <w:numPr>
          <w:ilvl w:val="1"/>
          <w:numId w:val="86"/>
        </w:numPr>
        <w:spacing w:line="276" w:lineRule="auto"/>
        <w:rPr>
          <w:rFonts w:ascii="Arial" w:hAnsi="Arial" w:cs="Arial"/>
          <w:color w:val="000000" w:themeColor="text1"/>
          <w:u w:val="none"/>
        </w:rPr>
      </w:pPr>
      <w:r>
        <w:rPr>
          <w:rFonts w:ascii="Arial" w:hAnsi="Arial" w:cs="Arial"/>
          <w:color w:val="000000" w:themeColor="text1"/>
          <w:u w:val="none"/>
        </w:rPr>
        <w:lastRenderedPageBreak/>
        <w:t>Pressure output should be around 2 atm.</w:t>
      </w:r>
    </w:p>
    <w:p w14:paraId="53C470CB" w14:textId="346E8DFE" w:rsidR="005E5C84" w:rsidRDefault="004E1FFA">
      <w:pPr>
        <w:pStyle w:val="Tpico5"/>
        <w:numPr>
          <w:ilvl w:val="0"/>
          <w:numId w:val="86"/>
        </w:numPr>
        <w:spacing w:line="276" w:lineRule="auto"/>
        <w:rPr>
          <w:rFonts w:ascii="Arial" w:hAnsi="Arial" w:cs="Arial"/>
          <w:color w:val="000000" w:themeColor="text1"/>
          <w:u w:val="none"/>
        </w:rPr>
      </w:pPr>
      <w:r>
        <w:rPr>
          <w:rFonts w:ascii="Arial" w:hAnsi="Arial" w:cs="Arial"/>
          <w:color w:val="000000" w:themeColor="text1"/>
          <w:u w:val="none"/>
        </w:rPr>
        <w:t xml:space="preserve">Irradiate each mouse after confirming </w:t>
      </w:r>
      <w:r w:rsidR="00360337">
        <w:rPr>
          <w:rFonts w:ascii="Arial" w:hAnsi="Arial" w:cs="Arial"/>
          <w:color w:val="000000" w:themeColor="text1"/>
          <w:u w:val="none"/>
        </w:rPr>
        <w:t>anesthesia</w:t>
      </w:r>
      <w:r w:rsidR="005060F0">
        <w:rPr>
          <w:rFonts w:ascii="Arial" w:hAnsi="Arial" w:cs="Arial"/>
          <w:color w:val="000000" w:themeColor="text1"/>
          <w:u w:val="none"/>
        </w:rPr>
        <w:t>.</w:t>
      </w:r>
    </w:p>
    <w:p w14:paraId="45C227DF" w14:textId="76E33CC5" w:rsidR="00360337" w:rsidRDefault="00360337">
      <w:pPr>
        <w:pStyle w:val="Tpico5"/>
        <w:numPr>
          <w:ilvl w:val="1"/>
          <w:numId w:val="86"/>
        </w:numPr>
        <w:spacing w:line="276" w:lineRule="auto"/>
        <w:rPr>
          <w:rFonts w:ascii="Arial" w:hAnsi="Arial" w:cs="Arial"/>
          <w:color w:val="000000" w:themeColor="text1"/>
          <w:u w:val="none"/>
        </w:rPr>
      </w:pPr>
      <w:r>
        <w:rPr>
          <w:rFonts w:ascii="Arial" w:hAnsi="Arial" w:cs="Arial"/>
          <w:color w:val="000000" w:themeColor="text1"/>
          <w:u w:val="none"/>
        </w:rPr>
        <w:t xml:space="preserve">Safety glasses should be </w:t>
      </w:r>
      <w:r w:rsidR="00155E96">
        <w:rPr>
          <w:rFonts w:ascii="Arial" w:hAnsi="Arial" w:cs="Arial"/>
          <w:color w:val="000000" w:themeColor="text1"/>
          <w:u w:val="none"/>
        </w:rPr>
        <w:t>always worn</w:t>
      </w:r>
      <w:r w:rsidR="005060F0">
        <w:rPr>
          <w:rFonts w:ascii="Arial" w:hAnsi="Arial" w:cs="Arial"/>
          <w:color w:val="000000" w:themeColor="text1"/>
          <w:u w:val="none"/>
        </w:rPr>
        <w:t xml:space="preserve"> during irradiation session.</w:t>
      </w:r>
      <w:r w:rsidR="00641911">
        <w:rPr>
          <w:rFonts w:ascii="Arial" w:hAnsi="Arial" w:cs="Arial"/>
          <w:color w:val="000000" w:themeColor="text1"/>
          <w:u w:val="none"/>
        </w:rPr>
        <w:t xml:space="preserve"> </w:t>
      </w:r>
      <w:r w:rsidR="002721CC">
        <w:rPr>
          <w:rFonts w:ascii="Arial" w:hAnsi="Arial" w:cs="Arial"/>
          <w:b/>
          <w:bCs/>
          <w:color w:val="000000" w:themeColor="text1"/>
          <w:u w:val="none"/>
        </w:rPr>
        <w:t>NIR-light can cause severe damage to sight!</w:t>
      </w:r>
    </w:p>
    <w:p w14:paraId="75CFE3A9" w14:textId="392A45CF" w:rsidR="00641911" w:rsidRPr="002721CC" w:rsidRDefault="005060F0">
      <w:pPr>
        <w:pStyle w:val="Tpico5"/>
        <w:numPr>
          <w:ilvl w:val="1"/>
          <w:numId w:val="86"/>
        </w:numPr>
        <w:spacing w:line="276" w:lineRule="auto"/>
        <w:rPr>
          <w:rFonts w:ascii="Arial" w:hAnsi="Arial" w:cs="Arial"/>
          <w:color w:val="000000" w:themeColor="text1"/>
          <w:u w:val="none"/>
        </w:rPr>
      </w:pPr>
      <w:r>
        <w:rPr>
          <w:rFonts w:ascii="Arial" w:hAnsi="Arial" w:cs="Arial"/>
          <w:color w:val="000000" w:themeColor="text1"/>
          <w:u w:val="none"/>
        </w:rPr>
        <w:t>Thermal camera can be used to monitor temperature of the tumor</w:t>
      </w:r>
    </w:p>
    <w:p w14:paraId="0E541160" w14:textId="64E52950" w:rsidR="00155E96" w:rsidRDefault="00155E96">
      <w:pPr>
        <w:pStyle w:val="Tpico5"/>
        <w:numPr>
          <w:ilvl w:val="0"/>
          <w:numId w:val="86"/>
        </w:numPr>
        <w:spacing w:line="276" w:lineRule="auto"/>
        <w:rPr>
          <w:rFonts w:ascii="Arial" w:hAnsi="Arial" w:cs="Arial"/>
          <w:color w:val="000000" w:themeColor="text1"/>
          <w:u w:val="none"/>
        </w:rPr>
      </w:pPr>
      <w:r>
        <w:rPr>
          <w:rFonts w:ascii="Arial" w:hAnsi="Arial" w:cs="Arial"/>
          <w:color w:val="000000" w:themeColor="text1"/>
          <w:u w:val="none"/>
        </w:rPr>
        <w:t>Remove mice from anesthesia and monitor behavior</w:t>
      </w:r>
      <w:r w:rsidR="00641911">
        <w:rPr>
          <w:rFonts w:ascii="Arial" w:hAnsi="Arial" w:cs="Arial"/>
          <w:color w:val="000000" w:themeColor="text1"/>
          <w:u w:val="none"/>
        </w:rPr>
        <w:t xml:space="preserve"> for signs of discomfort.</w:t>
      </w:r>
    </w:p>
    <w:p w14:paraId="466ED23B" w14:textId="77777777" w:rsidR="00641911" w:rsidRDefault="00641911" w:rsidP="00641911">
      <w:pPr>
        <w:pStyle w:val="Tpico5"/>
        <w:spacing w:line="276" w:lineRule="auto"/>
        <w:rPr>
          <w:rFonts w:ascii="Arial" w:hAnsi="Arial" w:cs="Arial"/>
          <w:color w:val="000000" w:themeColor="text1"/>
          <w:u w:val="none"/>
        </w:rPr>
      </w:pPr>
    </w:p>
    <w:p w14:paraId="42CAC37D" w14:textId="77777777" w:rsidR="003828DA" w:rsidRPr="003828DA" w:rsidRDefault="003828DA" w:rsidP="001947FB">
      <w:pPr>
        <w:pStyle w:val="Tpico5"/>
        <w:spacing w:line="276" w:lineRule="auto"/>
        <w:rPr>
          <w:rFonts w:ascii="Arial" w:hAnsi="Arial" w:cs="Arial"/>
          <w:color w:val="000000" w:themeColor="text1"/>
          <w:u w:val="none"/>
        </w:rPr>
      </w:pPr>
    </w:p>
    <w:p w14:paraId="5BEF6093" w14:textId="77777777" w:rsidR="00D054DF" w:rsidRPr="00D74025" w:rsidRDefault="00D054DF" w:rsidP="00D054DF">
      <w:pPr>
        <w:pStyle w:val="Tpico5"/>
        <w:spacing w:line="276" w:lineRule="auto"/>
        <w:rPr>
          <w:rFonts w:ascii="Arial" w:hAnsi="Arial" w:cs="Arial"/>
          <w:color w:val="000000" w:themeColor="text1"/>
          <w:u w:val="none"/>
        </w:rPr>
      </w:pPr>
    </w:p>
    <w:p w14:paraId="108D7CFB" w14:textId="2F10F47F" w:rsidR="009B1899" w:rsidRPr="00CF2948" w:rsidRDefault="009B1899" w:rsidP="00F6020C">
      <w:pPr>
        <w:pStyle w:val="Tpico5"/>
        <w:spacing w:line="276" w:lineRule="auto"/>
        <w:outlineLvl w:val="1"/>
        <w:rPr>
          <w:rFonts w:ascii="Arial" w:hAnsi="Arial" w:cs="Arial"/>
          <w:b/>
          <w:bCs/>
          <w:color w:val="000000" w:themeColor="text1"/>
        </w:rPr>
      </w:pPr>
      <w:bookmarkStart w:id="225" w:name="_Toc121217315"/>
      <w:r w:rsidRPr="00CF2948">
        <w:rPr>
          <w:rFonts w:ascii="Arial" w:hAnsi="Arial" w:cs="Arial"/>
          <w:b/>
          <w:bCs/>
          <w:color w:val="000000" w:themeColor="text1"/>
        </w:rPr>
        <w:t>D3. RF irradiation of mice</w:t>
      </w:r>
      <w:bookmarkEnd w:id="225"/>
    </w:p>
    <w:p w14:paraId="388072B8" w14:textId="25C4E001" w:rsidR="00D054DF" w:rsidRDefault="00D054DF" w:rsidP="00D054DF">
      <w:pPr>
        <w:pStyle w:val="Tpico5"/>
        <w:spacing w:line="276" w:lineRule="auto"/>
        <w:rPr>
          <w:rFonts w:ascii="Arial" w:hAnsi="Arial" w:cs="Arial"/>
          <w:color w:val="000000" w:themeColor="text1"/>
          <w:u w:val="none"/>
        </w:rPr>
      </w:pPr>
    </w:p>
    <w:p w14:paraId="23623A4F" w14:textId="28706CD4" w:rsidR="00555ECF" w:rsidRDefault="00CF2948">
      <w:pPr>
        <w:pStyle w:val="Tpico5"/>
        <w:numPr>
          <w:ilvl w:val="0"/>
          <w:numId w:val="87"/>
        </w:numPr>
        <w:spacing w:line="276" w:lineRule="auto"/>
        <w:rPr>
          <w:rFonts w:ascii="Arial" w:hAnsi="Arial" w:cs="Arial"/>
          <w:color w:val="000000" w:themeColor="text1"/>
          <w:u w:val="none"/>
        </w:rPr>
      </w:pPr>
      <w:r>
        <w:rPr>
          <w:rFonts w:ascii="Arial" w:hAnsi="Arial" w:cs="Arial"/>
          <w:color w:val="000000" w:themeColor="text1"/>
          <w:u w:val="none"/>
        </w:rPr>
        <w:t>Set up radiofrequency machine</w:t>
      </w:r>
      <w:r w:rsidR="007B386A">
        <w:rPr>
          <w:rFonts w:ascii="Arial" w:hAnsi="Arial" w:cs="Arial"/>
          <w:color w:val="000000" w:themeColor="text1"/>
          <w:u w:val="none"/>
        </w:rPr>
        <w:t>.</w:t>
      </w:r>
    </w:p>
    <w:p w14:paraId="6509921C" w14:textId="36DC8F37" w:rsidR="008A1D23" w:rsidRDefault="00555ECF">
      <w:pPr>
        <w:pStyle w:val="Tpico5"/>
        <w:numPr>
          <w:ilvl w:val="1"/>
          <w:numId w:val="87"/>
        </w:numPr>
        <w:spacing w:line="276" w:lineRule="auto"/>
        <w:rPr>
          <w:rFonts w:ascii="Arial" w:hAnsi="Arial" w:cs="Arial"/>
          <w:color w:val="000000" w:themeColor="text1"/>
          <w:u w:val="none"/>
        </w:rPr>
      </w:pPr>
      <w:r>
        <w:rPr>
          <w:rFonts w:ascii="Arial" w:hAnsi="Arial" w:cs="Arial"/>
          <w:color w:val="000000" w:themeColor="text1"/>
          <w:u w:val="none"/>
        </w:rPr>
        <w:t>Connect RF ma</w:t>
      </w:r>
      <w:r w:rsidR="008A1D23">
        <w:rPr>
          <w:rFonts w:ascii="Arial" w:hAnsi="Arial" w:cs="Arial"/>
          <w:color w:val="000000" w:themeColor="text1"/>
          <w:u w:val="none"/>
        </w:rPr>
        <w:t>tching network to RF generator</w:t>
      </w:r>
      <w:r w:rsidR="007239B9">
        <w:rPr>
          <w:rFonts w:ascii="Arial" w:hAnsi="Arial" w:cs="Arial"/>
          <w:color w:val="000000" w:themeColor="text1"/>
          <w:u w:val="none"/>
        </w:rPr>
        <w:t>.</w:t>
      </w:r>
    </w:p>
    <w:p w14:paraId="7D91C98A" w14:textId="466EF0BF" w:rsidR="00555ECF" w:rsidRDefault="008A1D23">
      <w:pPr>
        <w:pStyle w:val="Tpico5"/>
        <w:numPr>
          <w:ilvl w:val="1"/>
          <w:numId w:val="87"/>
        </w:numPr>
        <w:spacing w:line="276" w:lineRule="auto"/>
        <w:rPr>
          <w:rFonts w:ascii="Arial" w:hAnsi="Arial" w:cs="Arial"/>
          <w:color w:val="000000" w:themeColor="text1"/>
          <w:u w:val="none"/>
        </w:rPr>
      </w:pPr>
      <w:r>
        <w:rPr>
          <w:rFonts w:ascii="Arial" w:hAnsi="Arial" w:cs="Arial"/>
          <w:color w:val="000000" w:themeColor="text1"/>
          <w:u w:val="none"/>
        </w:rPr>
        <w:t xml:space="preserve">Connect </w:t>
      </w:r>
      <w:r w:rsidR="009F366E">
        <w:rPr>
          <w:rFonts w:ascii="Arial" w:hAnsi="Arial" w:cs="Arial"/>
          <w:color w:val="000000" w:themeColor="text1"/>
          <w:u w:val="none"/>
        </w:rPr>
        <w:t xml:space="preserve">input </w:t>
      </w:r>
      <w:r>
        <w:rPr>
          <w:rFonts w:ascii="Arial" w:hAnsi="Arial" w:cs="Arial"/>
          <w:color w:val="000000" w:themeColor="text1"/>
          <w:u w:val="none"/>
        </w:rPr>
        <w:t xml:space="preserve">water </w:t>
      </w:r>
      <w:r w:rsidR="009F366E">
        <w:rPr>
          <w:rFonts w:ascii="Arial" w:hAnsi="Arial" w:cs="Arial"/>
          <w:color w:val="000000" w:themeColor="text1"/>
          <w:u w:val="none"/>
        </w:rPr>
        <w:t>in matching network to faucet and let the output water to drip into the sink</w:t>
      </w:r>
      <w:r w:rsidR="007239B9">
        <w:rPr>
          <w:rFonts w:ascii="Arial" w:hAnsi="Arial" w:cs="Arial"/>
          <w:color w:val="000000" w:themeColor="text1"/>
          <w:u w:val="none"/>
        </w:rPr>
        <w:t>.</w:t>
      </w:r>
    </w:p>
    <w:p w14:paraId="30A759AE" w14:textId="77777777" w:rsidR="003C6163" w:rsidRDefault="003C6163">
      <w:pPr>
        <w:pStyle w:val="Tpico5"/>
        <w:numPr>
          <w:ilvl w:val="0"/>
          <w:numId w:val="87"/>
        </w:numPr>
        <w:spacing w:line="276" w:lineRule="auto"/>
        <w:rPr>
          <w:rFonts w:ascii="Arial" w:hAnsi="Arial" w:cs="Arial"/>
          <w:color w:val="000000" w:themeColor="text1"/>
          <w:u w:val="none"/>
        </w:rPr>
      </w:pPr>
      <w:r>
        <w:rPr>
          <w:rFonts w:ascii="Arial" w:hAnsi="Arial" w:cs="Arial"/>
          <w:color w:val="000000" w:themeColor="text1"/>
          <w:u w:val="none"/>
        </w:rPr>
        <w:t>Induce anesthesia placing mice in nose cone at the end of isoflurane vaporizer connected to the O</w:t>
      </w:r>
      <w:r>
        <w:rPr>
          <w:rFonts w:ascii="Arial" w:hAnsi="Arial" w:cs="Arial"/>
          <w:color w:val="000000" w:themeColor="text1"/>
          <w:u w:val="none"/>
          <w:vertAlign w:val="subscript"/>
        </w:rPr>
        <w:t>2</w:t>
      </w:r>
      <w:r>
        <w:rPr>
          <w:rFonts w:ascii="Arial" w:hAnsi="Arial" w:cs="Arial"/>
          <w:color w:val="000000" w:themeColor="text1"/>
          <w:u w:val="none"/>
        </w:rPr>
        <w:t xml:space="preserve"> gas line. </w:t>
      </w:r>
    </w:p>
    <w:p w14:paraId="1F28274E" w14:textId="77777777" w:rsidR="003C6163" w:rsidRDefault="003C6163">
      <w:pPr>
        <w:pStyle w:val="Tpico5"/>
        <w:numPr>
          <w:ilvl w:val="1"/>
          <w:numId w:val="87"/>
        </w:numPr>
        <w:spacing w:line="276" w:lineRule="auto"/>
        <w:rPr>
          <w:rFonts w:ascii="Arial" w:hAnsi="Arial" w:cs="Arial"/>
          <w:color w:val="000000" w:themeColor="text1"/>
          <w:u w:val="none"/>
        </w:rPr>
      </w:pPr>
      <w:r>
        <w:rPr>
          <w:rFonts w:ascii="Arial" w:hAnsi="Arial" w:cs="Arial"/>
          <w:color w:val="000000" w:themeColor="text1"/>
          <w:u w:val="none"/>
        </w:rPr>
        <w:t>Level of isoflurane should be 3% for PTT.</w:t>
      </w:r>
    </w:p>
    <w:p w14:paraId="62788C90" w14:textId="77777777" w:rsidR="003C6163" w:rsidRDefault="003C6163">
      <w:pPr>
        <w:pStyle w:val="Tpico5"/>
        <w:numPr>
          <w:ilvl w:val="1"/>
          <w:numId w:val="87"/>
        </w:numPr>
        <w:spacing w:line="276" w:lineRule="auto"/>
        <w:rPr>
          <w:rFonts w:ascii="Arial" w:hAnsi="Arial" w:cs="Arial"/>
          <w:color w:val="000000" w:themeColor="text1"/>
          <w:u w:val="none"/>
        </w:rPr>
      </w:pPr>
      <w:r>
        <w:rPr>
          <w:rFonts w:ascii="Arial" w:hAnsi="Arial" w:cs="Arial"/>
          <w:color w:val="000000" w:themeColor="text1"/>
          <w:u w:val="none"/>
        </w:rPr>
        <w:t>Pressure output should be around 2 atm.</w:t>
      </w:r>
    </w:p>
    <w:p w14:paraId="0CD25CFC" w14:textId="233598C6" w:rsidR="002721CC" w:rsidRDefault="003C6163">
      <w:pPr>
        <w:pStyle w:val="Tpico5"/>
        <w:numPr>
          <w:ilvl w:val="0"/>
          <w:numId w:val="87"/>
        </w:numPr>
        <w:spacing w:line="276" w:lineRule="auto"/>
        <w:rPr>
          <w:rFonts w:ascii="Arial" w:hAnsi="Arial" w:cs="Arial"/>
          <w:color w:val="000000" w:themeColor="text1"/>
          <w:u w:val="none"/>
        </w:rPr>
      </w:pPr>
      <w:r>
        <w:rPr>
          <w:rFonts w:ascii="Arial" w:hAnsi="Arial" w:cs="Arial"/>
          <w:color w:val="000000" w:themeColor="text1"/>
          <w:u w:val="none"/>
        </w:rPr>
        <w:t>Adjust power level for the experiment.</w:t>
      </w:r>
    </w:p>
    <w:p w14:paraId="5A32B15E" w14:textId="76D04EF3" w:rsidR="003C6163" w:rsidRDefault="003C6163">
      <w:pPr>
        <w:pStyle w:val="Tpico5"/>
        <w:numPr>
          <w:ilvl w:val="0"/>
          <w:numId w:val="87"/>
        </w:numPr>
        <w:spacing w:line="276" w:lineRule="auto"/>
        <w:rPr>
          <w:rFonts w:ascii="Arial" w:hAnsi="Arial" w:cs="Arial"/>
          <w:color w:val="000000" w:themeColor="text1"/>
          <w:u w:val="none"/>
        </w:rPr>
      </w:pPr>
      <w:r>
        <w:rPr>
          <w:rFonts w:ascii="Arial" w:hAnsi="Arial" w:cs="Arial"/>
          <w:color w:val="000000" w:themeColor="text1"/>
          <w:u w:val="none"/>
        </w:rPr>
        <w:t>Monitor the body temperature, including extremities, with thermal camera.</w:t>
      </w:r>
    </w:p>
    <w:p w14:paraId="13AAA632" w14:textId="77777777" w:rsidR="003C6163" w:rsidRDefault="003C6163">
      <w:pPr>
        <w:pStyle w:val="Tpico5"/>
        <w:numPr>
          <w:ilvl w:val="0"/>
          <w:numId w:val="87"/>
        </w:numPr>
        <w:spacing w:line="276" w:lineRule="auto"/>
        <w:rPr>
          <w:rFonts w:ascii="Arial" w:hAnsi="Arial" w:cs="Arial"/>
          <w:color w:val="000000" w:themeColor="text1"/>
          <w:u w:val="none"/>
        </w:rPr>
      </w:pPr>
      <w:r>
        <w:rPr>
          <w:rFonts w:ascii="Arial" w:hAnsi="Arial" w:cs="Arial"/>
          <w:color w:val="000000" w:themeColor="text1"/>
          <w:u w:val="none"/>
        </w:rPr>
        <w:t>Remove mice from anesthesia and monitor behavior for signs of discomfort.</w:t>
      </w:r>
    </w:p>
    <w:p w14:paraId="3071AA9A" w14:textId="77777777" w:rsidR="003C6163" w:rsidRDefault="003C6163" w:rsidP="003C6163">
      <w:pPr>
        <w:pStyle w:val="Tpico5"/>
        <w:spacing w:line="276" w:lineRule="auto"/>
        <w:rPr>
          <w:rFonts w:ascii="Arial" w:hAnsi="Arial" w:cs="Arial"/>
          <w:color w:val="000000" w:themeColor="text1"/>
          <w:u w:val="none"/>
        </w:rPr>
      </w:pPr>
    </w:p>
    <w:p w14:paraId="1A286C75" w14:textId="77777777" w:rsidR="00CF2948" w:rsidRPr="00D74025" w:rsidRDefault="00CF2948" w:rsidP="00D054DF">
      <w:pPr>
        <w:pStyle w:val="Tpico5"/>
        <w:spacing w:line="276" w:lineRule="auto"/>
        <w:rPr>
          <w:rFonts w:ascii="Arial" w:hAnsi="Arial" w:cs="Arial"/>
          <w:color w:val="000000" w:themeColor="text1"/>
          <w:u w:val="none"/>
        </w:rPr>
      </w:pPr>
    </w:p>
    <w:p w14:paraId="1EECFA5B" w14:textId="69FE6A7E" w:rsidR="009B1899" w:rsidRPr="00E764B7" w:rsidRDefault="00A45772" w:rsidP="00F6020C">
      <w:pPr>
        <w:pStyle w:val="Tpico5"/>
        <w:spacing w:line="276" w:lineRule="auto"/>
        <w:outlineLvl w:val="1"/>
        <w:rPr>
          <w:rFonts w:ascii="Arial" w:hAnsi="Arial" w:cs="Arial"/>
          <w:b/>
          <w:bCs/>
          <w:color w:val="000000" w:themeColor="text1"/>
        </w:rPr>
      </w:pPr>
      <w:bookmarkStart w:id="226" w:name="_Toc121217316"/>
      <w:r w:rsidRPr="00E764B7">
        <w:rPr>
          <w:rFonts w:ascii="Arial" w:hAnsi="Arial" w:cs="Arial"/>
          <w:b/>
          <w:bCs/>
          <w:color w:val="000000" w:themeColor="text1"/>
        </w:rPr>
        <w:t>D4. Euthanasia for blood collection</w:t>
      </w:r>
      <w:bookmarkEnd w:id="226"/>
      <w:r w:rsidRPr="00E764B7">
        <w:rPr>
          <w:rFonts w:ascii="Arial" w:hAnsi="Arial" w:cs="Arial"/>
          <w:b/>
          <w:bCs/>
          <w:color w:val="000000" w:themeColor="text1"/>
        </w:rPr>
        <w:t xml:space="preserve"> </w:t>
      </w:r>
    </w:p>
    <w:p w14:paraId="6048560A" w14:textId="291698F8" w:rsidR="00D054DF" w:rsidRDefault="00D054DF" w:rsidP="00D054DF">
      <w:pPr>
        <w:pStyle w:val="Tpico5"/>
        <w:spacing w:line="276" w:lineRule="auto"/>
        <w:rPr>
          <w:rFonts w:ascii="Arial" w:hAnsi="Arial" w:cs="Arial"/>
          <w:color w:val="000000" w:themeColor="text1"/>
          <w:u w:val="none"/>
        </w:rPr>
      </w:pPr>
    </w:p>
    <w:p w14:paraId="5854E5ED" w14:textId="77777777" w:rsidR="00465C70" w:rsidRPr="00465C70" w:rsidRDefault="00465C70" w:rsidP="00465C70">
      <w:pPr>
        <w:pStyle w:val="Tpico5"/>
        <w:spacing w:line="276" w:lineRule="auto"/>
        <w:rPr>
          <w:rFonts w:ascii="Arial" w:hAnsi="Arial" w:cs="Arial"/>
          <w:color w:val="000000" w:themeColor="text1"/>
          <w:u w:val="none"/>
        </w:rPr>
      </w:pPr>
      <w:r w:rsidRPr="00465C70">
        <w:rPr>
          <w:rFonts w:ascii="Arial" w:hAnsi="Arial" w:cs="Arial"/>
          <w:color w:val="000000" w:themeColor="text1"/>
          <w:u w:val="none"/>
        </w:rPr>
        <w:t>Materials</w:t>
      </w:r>
    </w:p>
    <w:p w14:paraId="4C059767" w14:textId="486D4BC2" w:rsidR="00465C70" w:rsidRPr="00465C70" w:rsidRDefault="00465C70">
      <w:pPr>
        <w:pStyle w:val="Tpico5"/>
        <w:numPr>
          <w:ilvl w:val="0"/>
          <w:numId w:val="90"/>
        </w:numPr>
        <w:spacing w:line="276" w:lineRule="auto"/>
        <w:rPr>
          <w:rFonts w:ascii="Arial" w:hAnsi="Arial" w:cs="Arial"/>
          <w:color w:val="000000" w:themeColor="text1"/>
          <w:u w:val="none"/>
        </w:rPr>
      </w:pPr>
      <w:r w:rsidRPr="00465C70">
        <w:rPr>
          <w:rFonts w:ascii="Arial" w:hAnsi="Arial" w:cs="Arial"/>
          <w:color w:val="000000" w:themeColor="text1"/>
          <w:u w:val="none"/>
        </w:rPr>
        <w:t>Autoclaved microcentrifuge tubes</w:t>
      </w:r>
    </w:p>
    <w:p w14:paraId="0D8E3040" w14:textId="6264F2F9" w:rsidR="00465C70" w:rsidRPr="00465C70" w:rsidRDefault="00465C70">
      <w:pPr>
        <w:pStyle w:val="Tpico5"/>
        <w:numPr>
          <w:ilvl w:val="0"/>
          <w:numId w:val="90"/>
        </w:numPr>
        <w:spacing w:line="276" w:lineRule="auto"/>
        <w:rPr>
          <w:rFonts w:ascii="Arial" w:hAnsi="Arial" w:cs="Arial"/>
          <w:color w:val="000000" w:themeColor="text1"/>
          <w:u w:val="none"/>
        </w:rPr>
      </w:pPr>
      <w:r w:rsidRPr="00465C70">
        <w:rPr>
          <w:rFonts w:ascii="Arial" w:hAnsi="Arial" w:cs="Arial"/>
          <w:color w:val="000000" w:themeColor="text1"/>
          <w:u w:val="none"/>
        </w:rPr>
        <w:t>3 ml syringes</w:t>
      </w:r>
    </w:p>
    <w:p w14:paraId="22DDB4F5" w14:textId="2584242C" w:rsidR="00465C70" w:rsidRPr="00465C70" w:rsidRDefault="00657334">
      <w:pPr>
        <w:pStyle w:val="Tpico5"/>
        <w:numPr>
          <w:ilvl w:val="0"/>
          <w:numId w:val="90"/>
        </w:numPr>
        <w:spacing w:line="276" w:lineRule="auto"/>
        <w:rPr>
          <w:rFonts w:ascii="Arial" w:hAnsi="Arial" w:cs="Arial"/>
          <w:color w:val="000000" w:themeColor="text1"/>
          <w:u w:val="none"/>
        </w:rPr>
      </w:pPr>
      <w:r>
        <w:rPr>
          <w:rFonts w:ascii="Arial" w:hAnsi="Arial" w:cs="Arial"/>
          <w:color w:val="000000" w:themeColor="text1"/>
          <w:u w:val="none"/>
        </w:rPr>
        <w:t xml:space="preserve">Short </w:t>
      </w:r>
      <w:r w:rsidR="00465C70" w:rsidRPr="00465C70">
        <w:rPr>
          <w:rFonts w:ascii="Arial" w:hAnsi="Arial" w:cs="Arial"/>
          <w:color w:val="000000" w:themeColor="text1"/>
          <w:u w:val="none"/>
        </w:rPr>
        <w:t>needles</w:t>
      </w:r>
    </w:p>
    <w:p w14:paraId="2E73ED34" w14:textId="358B920E" w:rsidR="00465C70" w:rsidRPr="00465C70" w:rsidRDefault="00465C70">
      <w:pPr>
        <w:pStyle w:val="Tpico5"/>
        <w:numPr>
          <w:ilvl w:val="0"/>
          <w:numId w:val="90"/>
        </w:numPr>
        <w:spacing w:line="276" w:lineRule="auto"/>
        <w:rPr>
          <w:rFonts w:ascii="Arial" w:hAnsi="Arial" w:cs="Arial"/>
          <w:color w:val="000000" w:themeColor="text1"/>
          <w:u w:val="none"/>
        </w:rPr>
      </w:pPr>
      <w:r w:rsidRPr="00465C70">
        <w:rPr>
          <w:rFonts w:ascii="Arial" w:hAnsi="Arial" w:cs="Arial"/>
          <w:color w:val="000000" w:themeColor="text1"/>
          <w:u w:val="none"/>
        </w:rPr>
        <w:t>Surgical scissors</w:t>
      </w:r>
    </w:p>
    <w:p w14:paraId="305FA155" w14:textId="00663B73" w:rsidR="00465C70" w:rsidRPr="00465C70" w:rsidRDefault="00465C70">
      <w:pPr>
        <w:pStyle w:val="Tpico5"/>
        <w:numPr>
          <w:ilvl w:val="0"/>
          <w:numId w:val="90"/>
        </w:numPr>
        <w:spacing w:line="276" w:lineRule="auto"/>
        <w:rPr>
          <w:rFonts w:ascii="Arial" w:hAnsi="Arial" w:cs="Arial"/>
          <w:color w:val="000000" w:themeColor="text1"/>
          <w:u w:val="none"/>
        </w:rPr>
      </w:pPr>
      <w:r w:rsidRPr="00465C70">
        <w:rPr>
          <w:rFonts w:ascii="Arial" w:hAnsi="Arial" w:cs="Arial"/>
          <w:color w:val="000000" w:themeColor="text1"/>
          <w:u w:val="none"/>
        </w:rPr>
        <w:t>Biohazard plastic bag</w:t>
      </w:r>
    </w:p>
    <w:p w14:paraId="5FBD119E" w14:textId="4A9D9224" w:rsidR="00465C70" w:rsidRPr="00465C70" w:rsidRDefault="00465C70">
      <w:pPr>
        <w:pStyle w:val="Tpico5"/>
        <w:numPr>
          <w:ilvl w:val="0"/>
          <w:numId w:val="90"/>
        </w:numPr>
        <w:spacing w:line="276" w:lineRule="auto"/>
        <w:rPr>
          <w:rFonts w:ascii="Arial" w:hAnsi="Arial" w:cs="Arial"/>
          <w:color w:val="000000" w:themeColor="text1"/>
          <w:u w:val="none"/>
        </w:rPr>
      </w:pPr>
      <w:r w:rsidRPr="00465C70">
        <w:rPr>
          <w:rFonts w:ascii="Arial" w:hAnsi="Arial" w:cs="Arial"/>
          <w:color w:val="000000" w:themeColor="text1"/>
          <w:u w:val="none"/>
        </w:rPr>
        <w:t>Oxygen</w:t>
      </w:r>
    </w:p>
    <w:p w14:paraId="7359CF22" w14:textId="4A2386AB" w:rsidR="00465C70" w:rsidRDefault="00465C70">
      <w:pPr>
        <w:pStyle w:val="Tpico5"/>
        <w:numPr>
          <w:ilvl w:val="0"/>
          <w:numId w:val="90"/>
        </w:numPr>
        <w:spacing w:line="276" w:lineRule="auto"/>
        <w:rPr>
          <w:rFonts w:ascii="Arial" w:hAnsi="Arial" w:cs="Arial"/>
          <w:color w:val="000000" w:themeColor="text1"/>
          <w:u w:val="none"/>
        </w:rPr>
      </w:pPr>
      <w:r w:rsidRPr="00465C70">
        <w:rPr>
          <w:rFonts w:ascii="Arial" w:hAnsi="Arial" w:cs="Arial"/>
          <w:color w:val="000000" w:themeColor="text1"/>
          <w:u w:val="none"/>
        </w:rPr>
        <w:t>Isoflurane</w:t>
      </w:r>
    </w:p>
    <w:p w14:paraId="4FF22603" w14:textId="394F2E5F" w:rsidR="00657334" w:rsidRDefault="00657334">
      <w:pPr>
        <w:pStyle w:val="Tpico5"/>
        <w:numPr>
          <w:ilvl w:val="0"/>
          <w:numId w:val="90"/>
        </w:numPr>
        <w:spacing w:line="276" w:lineRule="auto"/>
        <w:rPr>
          <w:rFonts w:ascii="Arial" w:hAnsi="Arial" w:cs="Arial"/>
          <w:color w:val="000000" w:themeColor="text1"/>
          <w:u w:val="none"/>
        </w:rPr>
      </w:pPr>
      <w:r>
        <w:rPr>
          <w:rFonts w:ascii="Arial" w:hAnsi="Arial" w:cs="Arial"/>
          <w:color w:val="000000" w:themeColor="text1"/>
          <w:u w:val="none"/>
        </w:rPr>
        <w:t>Ultracentrifuge</w:t>
      </w:r>
    </w:p>
    <w:p w14:paraId="3473D090" w14:textId="77777777" w:rsidR="00657334" w:rsidRPr="00465C70" w:rsidRDefault="00657334" w:rsidP="00465C70">
      <w:pPr>
        <w:pStyle w:val="Tpico5"/>
        <w:spacing w:line="276" w:lineRule="auto"/>
        <w:rPr>
          <w:rFonts w:ascii="Arial" w:hAnsi="Arial" w:cs="Arial"/>
          <w:color w:val="000000" w:themeColor="text1"/>
          <w:u w:val="none"/>
        </w:rPr>
      </w:pPr>
    </w:p>
    <w:p w14:paraId="576C4B67" w14:textId="403FE912" w:rsidR="00465C70" w:rsidRPr="00465C70" w:rsidRDefault="00465C70">
      <w:pPr>
        <w:pStyle w:val="Tpico5"/>
        <w:numPr>
          <w:ilvl w:val="0"/>
          <w:numId w:val="88"/>
        </w:numPr>
        <w:spacing w:line="276" w:lineRule="auto"/>
        <w:rPr>
          <w:rFonts w:ascii="Arial" w:hAnsi="Arial" w:cs="Arial"/>
          <w:color w:val="000000" w:themeColor="text1"/>
          <w:u w:val="none"/>
        </w:rPr>
      </w:pPr>
      <w:r w:rsidRPr="00465C70">
        <w:rPr>
          <w:rFonts w:ascii="Arial" w:hAnsi="Arial" w:cs="Arial"/>
          <w:color w:val="000000" w:themeColor="text1"/>
          <w:u w:val="none"/>
        </w:rPr>
        <w:t>Anesthetize mouse with nose cone apparatus</w:t>
      </w:r>
    </w:p>
    <w:p w14:paraId="70959897" w14:textId="70128782" w:rsidR="00465C70" w:rsidRPr="00465C70" w:rsidRDefault="00465C70">
      <w:pPr>
        <w:pStyle w:val="Tpico5"/>
        <w:numPr>
          <w:ilvl w:val="1"/>
          <w:numId w:val="88"/>
        </w:numPr>
        <w:spacing w:line="276" w:lineRule="auto"/>
        <w:rPr>
          <w:rFonts w:ascii="Arial" w:hAnsi="Arial" w:cs="Arial"/>
          <w:color w:val="000000" w:themeColor="text1"/>
          <w:u w:val="none"/>
        </w:rPr>
      </w:pPr>
      <w:r w:rsidRPr="00465C70">
        <w:rPr>
          <w:rFonts w:ascii="Arial" w:hAnsi="Arial" w:cs="Arial"/>
          <w:color w:val="000000" w:themeColor="text1"/>
          <w:u w:val="none"/>
        </w:rPr>
        <w:t xml:space="preserve">Set up Isoflurane at </w:t>
      </w:r>
      <w:r>
        <w:rPr>
          <w:rFonts w:ascii="Arial" w:hAnsi="Arial" w:cs="Arial"/>
          <w:color w:val="000000" w:themeColor="text1"/>
          <w:u w:val="none"/>
        </w:rPr>
        <w:t xml:space="preserve">3% </w:t>
      </w:r>
      <w:r w:rsidRPr="00465C70">
        <w:rPr>
          <w:rFonts w:ascii="Arial" w:hAnsi="Arial" w:cs="Arial"/>
          <w:color w:val="000000" w:themeColor="text1"/>
          <w:u w:val="none"/>
        </w:rPr>
        <w:t>from oxygen gas source</w:t>
      </w:r>
      <w:r w:rsidR="003D1F25">
        <w:rPr>
          <w:rFonts w:ascii="Arial" w:hAnsi="Arial" w:cs="Arial"/>
          <w:color w:val="000000" w:themeColor="text1"/>
          <w:u w:val="none"/>
        </w:rPr>
        <w:t>.</w:t>
      </w:r>
    </w:p>
    <w:p w14:paraId="360BC175" w14:textId="71269441" w:rsidR="00465C70" w:rsidRPr="00465C70" w:rsidRDefault="00465C70">
      <w:pPr>
        <w:pStyle w:val="Tpico5"/>
        <w:numPr>
          <w:ilvl w:val="1"/>
          <w:numId w:val="88"/>
        </w:numPr>
        <w:spacing w:line="276" w:lineRule="auto"/>
        <w:rPr>
          <w:rFonts w:ascii="Arial" w:hAnsi="Arial" w:cs="Arial"/>
          <w:color w:val="000000" w:themeColor="text1"/>
          <w:u w:val="none"/>
        </w:rPr>
      </w:pPr>
      <w:r w:rsidRPr="00465C70">
        <w:rPr>
          <w:rFonts w:ascii="Arial" w:hAnsi="Arial" w:cs="Arial"/>
          <w:color w:val="000000" w:themeColor="text1"/>
          <w:u w:val="none"/>
        </w:rPr>
        <w:t>Make sure that mouse is completely asleep before proceeding</w:t>
      </w:r>
      <w:r w:rsidR="003D1F25">
        <w:rPr>
          <w:rFonts w:ascii="Arial" w:hAnsi="Arial" w:cs="Arial"/>
          <w:color w:val="000000" w:themeColor="text1"/>
          <w:u w:val="none"/>
        </w:rPr>
        <w:t>.</w:t>
      </w:r>
    </w:p>
    <w:p w14:paraId="123E355B" w14:textId="6BBDF32A" w:rsidR="00465C70" w:rsidRDefault="00465C70">
      <w:pPr>
        <w:pStyle w:val="Tpico5"/>
        <w:numPr>
          <w:ilvl w:val="1"/>
          <w:numId w:val="88"/>
        </w:numPr>
        <w:spacing w:line="276" w:lineRule="auto"/>
        <w:rPr>
          <w:rFonts w:ascii="Arial" w:hAnsi="Arial" w:cs="Arial"/>
          <w:color w:val="000000" w:themeColor="text1"/>
          <w:u w:val="none"/>
        </w:rPr>
      </w:pPr>
      <w:r w:rsidRPr="00465C70">
        <w:rPr>
          <w:rFonts w:ascii="Arial" w:hAnsi="Arial" w:cs="Arial"/>
          <w:color w:val="000000" w:themeColor="text1"/>
          <w:u w:val="none"/>
        </w:rPr>
        <w:t>Turn on the IR lamp to keep the mouse warm under anesthesia</w:t>
      </w:r>
      <w:r w:rsidR="003D1F25">
        <w:rPr>
          <w:rFonts w:ascii="Arial" w:hAnsi="Arial" w:cs="Arial"/>
          <w:color w:val="000000" w:themeColor="text1"/>
          <w:u w:val="none"/>
        </w:rPr>
        <w:t>.</w:t>
      </w:r>
    </w:p>
    <w:p w14:paraId="08C34A66" w14:textId="5FF8ED8C" w:rsidR="00465C70" w:rsidRDefault="00CE0873">
      <w:pPr>
        <w:pStyle w:val="Tpico5"/>
        <w:numPr>
          <w:ilvl w:val="1"/>
          <w:numId w:val="88"/>
        </w:numPr>
        <w:spacing w:line="276" w:lineRule="auto"/>
        <w:rPr>
          <w:rFonts w:ascii="Arial" w:hAnsi="Arial" w:cs="Arial"/>
          <w:color w:val="000000" w:themeColor="text1"/>
          <w:u w:val="none"/>
        </w:rPr>
      </w:pPr>
      <w:r>
        <w:rPr>
          <w:rFonts w:ascii="Arial" w:hAnsi="Arial" w:cs="Arial"/>
          <w:color w:val="000000" w:themeColor="text1"/>
          <w:u w:val="none"/>
        </w:rPr>
        <w:lastRenderedPageBreak/>
        <w:t xml:space="preserve">Confirm anesthesia by </w:t>
      </w:r>
      <w:r w:rsidR="003D1F25">
        <w:rPr>
          <w:rFonts w:ascii="Arial" w:hAnsi="Arial" w:cs="Arial"/>
          <w:color w:val="000000" w:themeColor="text1"/>
          <w:u w:val="none"/>
        </w:rPr>
        <w:t xml:space="preserve">firmly pinching a toe. </w:t>
      </w:r>
    </w:p>
    <w:p w14:paraId="0AEC8B2A" w14:textId="539FFC99" w:rsidR="00465C70" w:rsidRDefault="00465C70">
      <w:pPr>
        <w:pStyle w:val="Tpico5"/>
        <w:numPr>
          <w:ilvl w:val="0"/>
          <w:numId w:val="88"/>
        </w:numPr>
        <w:spacing w:line="276" w:lineRule="auto"/>
        <w:rPr>
          <w:rFonts w:ascii="Arial" w:hAnsi="Arial" w:cs="Arial"/>
          <w:color w:val="000000" w:themeColor="text1"/>
          <w:u w:val="none"/>
        </w:rPr>
      </w:pPr>
      <w:r w:rsidRPr="00465C70">
        <w:rPr>
          <w:rFonts w:ascii="Arial" w:hAnsi="Arial" w:cs="Arial"/>
          <w:color w:val="000000" w:themeColor="text1"/>
          <w:u w:val="none"/>
        </w:rPr>
        <w:t>Perform a bilateral thoracotomy until you have a good visualization of the chest cavity</w:t>
      </w:r>
      <w:r w:rsidR="003678FA">
        <w:rPr>
          <w:rFonts w:ascii="Arial" w:hAnsi="Arial" w:cs="Arial"/>
          <w:color w:val="000000" w:themeColor="text1"/>
          <w:u w:val="none"/>
        </w:rPr>
        <w:t>.</w:t>
      </w:r>
    </w:p>
    <w:p w14:paraId="3A10147D" w14:textId="77777777" w:rsidR="00465C70" w:rsidRDefault="00465C70">
      <w:pPr>
        <w:pStyle w:val="Tpico5"/>
        <w:numPr>
          <w:ilvl w:val="0"/>
          <w:numId w:val="88"/>
        </w:numPr>
        <w:spacing w:line="276" w:lineRule="auto"/>
        <w:rPr>
          <w:rFonts w:ascii="Arial" w:hAnsi="Arial" w:cs="Arial"/>
          <w:color w:val="000000" w:themeColor="text1"/>
          <w:u w:val="none"/>
        </w:rPr>
      </w:pPr>
      <w:r w:rsidRPr="00465C70">
        <w:rPr>
          <w:rFonts w:ascii="Arial" w:hAnsi="Arial" w:cs="Arial"/>
          <w:color w:val="000000" w:themeColor="text1"/>
          <w:u w:val="none"/>
        </w:rPr>
        <w:t>Proceed to open the chest cavity and expose the heart.</w:t>
      </w:r>
    </w:p>
    <w:p w14:paraId="27E7B60D" w14:textId="3BAA58D1" w:rsidR="003D1F25" w:rsidRDefault="00465C70">
      <w:pPr>
        <w:pStyle w:val="Tpico5"/>
        <w:numPr>
          <w:ilvl w:val="1"/>
          <w:numId w:val="88"/>
        </w:numPr>
        <w:spacing w:line="276" w:lineRule="auto"/>
        <w:rPr>
          <w:rFonts w:ascii="Arial" w:hAnsi="Arial" w:cs="Arial"/>
          <w:color w:val="000000" w:themeColor="text1"/>
          <w:u w:val="none"/>
        </w:rPr>
      </w:pPr>
      <w:r w:rsidRPr="00465C70">
        <w:rPr>
          <w:rFonts w:ascii="Arial" w:hAnsi="Arial" w:cs="Arial"/>
          <w:color w:val="000000" w:themeColor="text1"/>
          <w:u w:val="none"/>
        </w:rPr>
        <w:t>Act quickly after opening the chest cavity</w:t>
      </w:r>
      <w:r w:rsidR="003678FA">
        <w:rPr>
          <w:rFonts w:ascii="Arial" w:hAnsi="Arial" w:cs="Arial"/>
          <w:color w:val="000000" w:themeColor="text1"/>
          <w:u w:val="none"/>
        </w:rPr>
        <w:t>.</w:t>
      </w:r>
    </w:p>
    <w:p w14:paraId="7F3F843B" w14:textId="4B8890CC" w:rsidR="003D1F25" w:rsidRDefault="00465C70">
      <w:pPr>
        <w:pStyle w:val="Tpico5"/>
        <w:numPr>
          <w:ilvl w:val="0"/>
          <w:numId w:val="88"/>
        </w:numPr>
        <w:spacing w:line="276" w:lineRule="auto"/>
        <w:rPr>
          <w:rFonts w:ascii="Arial" w:hAnsi="Arial" w:cs="Arial"/>
          <w:color w:val="000000" w:themeColor="text1"/>
          <w:u w:val="none"/>
        </w:rPr>
      </w:pPr>
      <w:r w:rsidRPr="003D1F25">
        <w:rPr>
          <w:rFonts w:ascii="Arial" w:hAnsi="Arial" w:cs="Arial"/>
          <w:color w:val="000000" w:themeColor="text1"/>
          <w:u w:val="none"/>
        </w:rPr>
        <w:t>Use the 3</w:t>
      </w:r>
      <w:r w:rsidR="003678FA">
        <w:rPr>
          <w:rFonts w:ascii="Arial" w:hAnsi="Arial" w:cs="Arial"/>
          <w:color w:val="000000" w:themeColor="text1"/>
          <w:u w:val="none"/>
        </w:rPr>
        <w:t xml:space="preserve"> </w:t>
      </w:r>
      <w:r w:rsidRPr="003D1F25">
        <w:rPr>
          <w:rFonts w:ascii="Arial" w:hAnsi="Arial" w:cs="Arial"/>
          <w:color w:val="000000" w:themeColor="text1"/>
          <w:u w:val="none"/>
        </w:rPr>
        <w:t xml:space="preserve">ml syringe with a </w:t>
      </w:r>
      <w:r w:rsidR="003A22CF">
        <w:rPr>
          <w:rFonts w:ascii="Arial" w:hAnsi="Arial" w:cs="Arial"/>
          <w:color w:val="000000" w:themeColor="text1"/>
          <w:u w:val="none"/>
        </w:rPr>
        <w:t>short</w:t>
      </w:r>
      <w:r w:rsidRPr="003D1F25">
        <w:rPr>
          <w:rFonts w:ascii="Arial" w:hAnsi="Arial" w:cs="Arial"/>
          <w:color w:val="000000" w:themeColor="text1"/>
          <w:u w:val="none"/>
        </w:rPr>
        <w:t xml:space="preserve"> needle to perforate the heart while sucking the blood</w:t>
      </w:r>
      <w:r w:rsidR="003678FA">
        <w:rPr>
          <w:rFonts w:ascii="Arial" w:hAnsi="Arial" w:cs="Arial"/>
          <w:color w:val="000000" w:themeColor="text1"/>
          <w:u w:val="none"/>
        </w:rPr>
        <w:t>.</w:t>
      </w:r>
    </w:p>
    <w:p w14:paraId="42A06302" w14:textId="5127CB4F" w:rsidR="003D1F25" w:rsidRDefault="00465C70">
      <w:pPr>
        <w:pStyle w:val="Tpico5"/>
        <w:numPr>
          <w:ilvl w:val="1"/>
          <w:numId w:val="88"/>
        </w:numPr>
        <w:spacing w:line="276" w:lineRule="auto"/>
        <w:rPr>
          <w:rFonts w:ascii="Arial" w:hAnsi="Arial" w:cs="Arial"/>
          <w:color w:val="000000" w:themeColor="text1"/>
          <w:u w:val="none"/>
        </w:rPr>
      </w:pPr>
      <w:r w:rsidRPr="003D1F25">
        <w:rPr>
          <w:rFonts w:ascii="Arial" w:hAnsi="Arial" w:cs="Arial"/>
          <w:color w:val="000000" w:themeColor="text1"/>
          <w:u w:val="none"/>
        </w:rPr>
        <w:t>Try to collect the most amount of blood from this procedure</w:t>
      </w:r>
      <w:r w:rsidR="003678FA">
        <w:rPr>
          <w:rFonts w:ascii="Arial" w:hAnsi="Arial" w:cs="Arial"/>
          <w:color w:val="000000" w:themeColor="text1"/>
          <w:u w:val="none"/>
        </w:rPr>
        <w:t>.</w:t>
      </w:r>
    </w:p>
    <w:p w14:paraId="25160528" w14:textId="6EA015B8" w:rsidR="003A22CF" w:rsidRDefault="003A22CF">
      <w:pPr>
        <w:pStyle w:val="Tpico5"/>
        <w:numPr>
          <w:ilvl w:val="1"/>
          <w:numId w:val="88"/>
        </w:numPr>
        <w:spacing w:line="276" w:lineRule="auto"/>
        <w:rPr>
          <w:rFonts w:ascii="Arial" w:hAnsi="Arial" w:cs="Arial"/>
          <w:color w:val="000000" w:themeColor="text1"/>
          <w:u w:val="none"/>
        </w:rPr>
      </w:pPr>
      <w:r>
        <w:rPr>
          <w:rFonts w:ascii="Arial" w:hAnsi="Arial" w:cs="Arial"/>
          <w:color w:val="000000" w:themeColor="text1"/>
          <w:u w:val="none"/>
        </w:rPr>
        <w:t xml:space="preserve">It is necessary at least 500 </w:t>
      </w:r>
      <w:r>
        <w:rPr>
          <w:rFonts w:ascii="Arial" w:hAnsi="Arial" w:cs="Arial"/>
          <w:color w:val="000000" w:themeColor="text1"/>
          <w:u w:val="none"/>
        </w:rPr>
        <w:sym w:font="Symbol" w:char="F06D"/>
      </w:r>
      <w:r>
        <w:rPr>
          <w:rFonts w:ascii="Arial" w:hAnsi="Arial" w:cs="Arial"/>
          <w:color w:val="000000" w:themeColor="text1"/>
          <w:u w:val="none"/>
        </w:rPr>
        <w:t>L of blood to get enough serum to run ELISAs for 4 different cytokines.</w:t>
      </w:r>
    </w:p>
    <w:p w14:paraId="0E6E1B06" w14:textId="21835701" w:rsidR="00657334" w:rsidRDefault="00657334">
      <w:pPr>
        <w:pStyle w:val="Tpico5"/>
        <w:numPr>
          <w:ilvl w:val="1"/>
          <w:numId w:val="88"/>
        </w:numPr>
        <w:spacing w:line="276" w:lineRule="auto"/>
        <w:rPr>
          <w:rFonts w:ascii="Arial" w:hAnsi="Arial" w:cs="Arial"/>
          <w:color w:val="000000" w:themeColor="text1"/>
          <w:u w:val="none"/>
        </w:rPr>
      </w:pPr>
      <w:r>
        <w:rPr>
          <w:rFonts w:ascii="Arial" w:hAnsi="Arial" w:cs="Arial"/>
          <w:color w:val="000000" w:themeColor="text1"/>
          <w:u w:val="none"/>
        </w:rPr>
        <w:t xml:space="preserve">Blood spilled into the rib cage can be collected with 100 </w:t>
      </w:r>
      <w:r>
        <w:rPr>
          <w:rFonts w:ascii="Arial" w:hAnsi="Arial" w:cs="Arial"/>
          <w:color w:val="000000" w:themeColor="text1"/>
          <w:u w:val="none"/>
        </w:rPr>
        <w:sym w:font="Symbol" w:char="F06D"/>
      </w:r>
      <w:r>
        <w:rPr>
          <w:rFonts w:ascii="Arial" w:hAnsi="Arial" w:cs="Arial"/>
          <w:color w:val="000000" w:themeColor="text1"/>
          <w:u w:val="none"/>
        </w:rPr>
        <w:t>L pipette.</w:t>
      </w:r>
    </w:p>
    <w:p w14:paraId="79C1662C" w14:textId="46AD938F" w:rsidR="003D1F25" w:rsidRDefault="00465C70">
      <w:pPr>
        <w:pStyle w:val="Tpico5"/>
        <w:numPr>
          <w:ilvl w:val="0"/>
          <w:numId w:val="88"/>
        </w:numPr>
        <w:spacing w:line="276" w:lineRule="auto"/>
        <w:rPr>
          <w:rFonts w:ascii="Arial" w:hAnsi="Arial" w:cs="Arial"/>
          <w:color w:val="000000" w:themeColor="text1"/>
          <w:u w:val="none"/>
        </w:rPr>
      </w:pPr>
      <w:r w:rsidRPr="003D1F25">
        <w:rPr>
          <w:rFonts w:ascii="Arial" w:hAnsi="Arial" w:cs="Arial"/>
          <w:color w:val="000000" w:themeColor="text1"/>
          <w:u w:val="none"/>
        </w:rPr>
        <w:t>Immediately transfer the collected blood to microcentrifuge tube</w:t>
      </w:r>
      <w:r w:rsidR="00657334">
        <w:rPr>
          <w:rFonts w:ascii="Arial" w:hAnsi="Arial" w:cs="Arial"/>
          <w:color w:val="000000" w:themeColor="text1"/>
          <w:u w:val="none"/>
        </w:rPr>
        <w:t>.</w:t>
      </w:r>
    </w:p>
    <w:p w14:paraId="5E619040" w14:textId="4BCA9EAD" w:rsidR="003D1F25" w:rsidRDefault="00465C70">
      <w:pPr>
        <w:pStyle w:val="Tpico5"/>
        <w:numPr>
          <w:ilvl w:val="0"/>
          <w:numId w:val="88"/>
        </w:numPr>
        <w:spacing w:line="276" w:lineRule="auto"/>
        <w:rPr>
          <w:rFonts w:ascii="Arial" w:hAnsi="Arial" w:cs="Arial"/>
          <w:color w:val="000000" w:themeColor="text1"/>
          <w:u w:val="none"/>
        </w:rPr>
      </w:pPr>
      <w:r w:rsidRPr="003D1F25">
        <w:rPr>
          <w:rFonts w:ascii="Arial" w:hAnsi="Arial" w:cs="Arial"/>
          <w:color w:val="000000" w:themeColor="text1"/>
          <w:u w:val="none"/>
        </w:rPr>
        <w:t>Check mouse for vital signs. Only remove the cone when death is confirmed</w:t>
      </w:r>
      <w:r w:rsidR="00657334">
        <w:rPr>
          <w:rFonts w:ascii="Arial" w:hAnsi="Arial" w:cs="Arial"/>
          <w:color w:val="000000" w:themeColor="text1"/>
          <w:u w:val="none"/>
        </w:rPr>
        <w:t>. Cut the heart to ensure death.</w:t>
      </w:r>
    </w:p>
    <w:p w14:paraId="0A9C0687" w14:textId="77777777" w:rsidR="003D1F25" w:rsidRDefault="00465C70">
      <w:pPr>
        <w:pStyle w:val="Tpico5"/>
        <w:numPr>
          <w:ilvl w:val="0"/>
          <w:numId w:val="88"/>
        </w:numPr>
        <w:spacing w:line="276" w:lineRule="auto"/>
        <w:rPr>
          <w:rFonts w:ascii="Arial" w:hAnsi="Arial" w:cs="Arial"/>
          <w:color w:val="000000" w:themeColor="text1"/>
          <w:u w:val="none"/>
        </w:rPr>
      </w:pPr>
      <w:r w:rsidRPr="003D1F25">
        <w:rPr>
          <w:rFonts w:ascii="Arial" w:hAnsi="Arial" w:cs="Arial"/>
          <w:color w:val="000000" w:themeColor="text1"/>
          <w:u w:val="none"/>
        </w:rPr>
        <w:t>Dispose the mouse in biohazard bag</w:t>
      </w:r>
    </w:p>
    <w:p w14:paraId="4DD9D8E0" w14:textId="77777777" w:rsidR="003D1F25" w:rsidRDefault="00465C70">
      <w:pPr>
        <w:pStyle w:val="Tpico5"/>
        <w:numPr>
          <w:ilvl w:val="0"/>
          <w:numId w:val="88"/>
        </w:numPr>
        <w:spacing w:line="276" w:lineRule="auto"/>
        <w:rPr>
          <w:rFonts w:ascii="Arial" w:hAnsi="Arial" w:cs="Arial"/>
          <w:color w:val="000000" w:themeColor="text1"/>
          <w:u w:val="none"/>
        </w:rPr>
      </w:pPr>
      <w:r w:rsidRPr="003D1F25">
        <w:rPr>
          <w:rFonts w:ascii="Arial" w:hAnsi="Arial" w:cs="Arial"/>
          <w:color w:val="000000" w:themeColor="text1"/>
          <w:u w:val="none"/>
        </w:rPr>
        <w:t>Proceed to next mouse</w:t>
      </w:r>
    </w:p>
    <w:p w14:paraId="2EBA2AC8" w14:textId="77777777" w:rsidR="003D1F25" w:rsidRDefault="00465C70">
      <w:pPr>
        <w:pStyle w:val="Tpico5"/>
        <w:numPr>
          <w:ilvl w:val="0"/>
          <w:numId w:val="88"/>
        </w:numPr>
        <w:spacing w:line="276" w:lineRule="auto"/>
        <w:rPr>
          <w:rFonts w:ascii="Arial" w:hAnsi="Arial" w:cs="Arial"/>
          <w:color w:val="000000" w:themeColor="text1"/>
          <w:u w:val="none"/>
        </w:rPr>
      </w:pPr>
      <w:r w:rsidRPr="003D1F25">
        <w:rPr>
          <w:rFonts w:ascii="Arial" w:hAnsi="Arial" w:cs="Arial"/>
          <w:color w:val="000000" w:themeColor="text1"/>
          <w:u w:val="none"/>
        </w:rPr>
        <w:t>Monitor the amount of time that is spent from the beginning of the procedure.</w:t>
      </w:r>
    </w:p>
    <w:p w14:paraId="18951BA5" w14:textId="3AB26322" w:rsidR="00912EEA" w:rsidRDefault="00465C70">
      <w:pPr>
        <w:pStyle w:val="Tpico5"/>
        <w:numPr>
          <w:ilvl w:val="1"/>
          <w:numId w:val="88"/>
        </w:numPr>
        <w:spacing w:line="276" w:lineRule="auto"/>
        <w:rPr>
          <w:rFonts w:ascii="Arial" w:hAnsi="Arial" w:cs="Arial"/>
          <w:color w:val="000000" w:themeColor="text1"/>
          <w:u w:val="none"/>
        </w:rPr>
      </w:pPr>
      <w:r w:rsidRPr="003D1F25">
        <w:rPr>
          <w:rFonts w:ascii="Arial" w:hAnsi="Arial" w:cs="Arial"/>
          <w:color w:val="000000" w:themeColor="text1"/>
          <w:u w:val="none"/>
        </w:rPr>
        <w:t xml:space="preserve">Blood coagulates at RT naturally. The coagulation time should between 30 min </w:t>
      </w:r>
      <w:r w:rsidR="003678FA">
        <w:rPr>
          <w:rFonts w:ascii="Arial" w:hAnsi="Arial" w:cs="Arial"/>
          <w:color w:val="000000" w:themeColor="text1"/>
          <w:u w:val="none"/>
        </w:rPr>
        <w:t>and no</w:t>
      </w:r>
      <w:r w:rsidRPr="003D1F25">
        <w:rPr>
          <w:rFonts w:ascii="Arial" w:hAnsi="Arial" w:cs="Arial"/>
          <w:color w:val="000000" w:themeColor="text1"/>
          <w:u w:val="none"/>
        </w:rPr>
        <w:t xml:space="preserve"> more than 1 h. So</w:t>
      </w:r>
      <w:r w:rsidR="003D1F25" w:rsidRPr="003D1F25">
        <w:rPr>
          <w:rFonts w:ascii="Arial" w:hAnsi="Arial" w:cs="Arial"/>
          <w:color w:val="000000" w:themeColor="text1"/>
          <w:u w:val="none"/>
        </w:rPr>
        <w:t>,</w:t>
      </w:r>
      <w:r w:rsidRPr="003D1F25">
        <w:rPr>
          <w:rFonts w:ascii="Arial" w:hAnsi="Arial" w:cs="Arial"/>
          <w:color w:val="000000" w:themeColor="text1"/>
          <w:u w:val="none"/>
        </w:rPr>
        <w:t xml:space="preserve"> if the first mouse was euthanized 40 min before, stop the</w:t>
      </w:r>
      <w:r w:rsidR="003D1F25" w:rsidRPr="003D1F25">
        <w:rPr>
          <w:rFonts w:ascii="Arial" w:hAnsi="Arial" w:cs="Arial"/>
          <w:color w:val="000000" w:themeColor="text1"/>
          <w:u w:val="none"/>
        </w:rPr>
        <w:t xml:space="preserve"> </w:t>
      </w:r>
      <w:r w:rsidRPr="003D1F25">
        <w:rPr>
          <w:rFonts w:ascii="Arial" w:hAnsi="Arial" w:cs="Arial"/>
          <w:color w:val="000000" w:themeColor="text1"/>
          <w:u w:val="none"/>
        </w:rPr>
        <w:t xml:space="preserve">procedures, take the older </w:t>
      </w:r>
      <w:proofErr w:type="gramStart"/>
      <w:r w:rsidRPr="003D1F25">
        <w:rPr>
          <w:rFonts w:ascii="Arial" w:hAnsi="Arial" w:cs="Arial"/>
          <w:color w:val="000000" w:themeColor="text1"/>
          <w:u w:val="none"/>
        </w:rPr>
        <w:t>samples</w:t>
      </w:r>
      <w:proofErr w:type="gramEnd"/>
      <w:r w:rsidRPr="003D1F25">
        <w:rPr>
          <w:rFonts w:ascii="Arial" w:hAnsi="Arial" w:cs="Arial"/>
          <w:color w:val="000000" w:themeColor="text1"/>
          <w:u w:val="none"/>
        </w:rPr>
        <w:t xml:space="preserve"> and centrifuge it.</w:t>
      </w:r>
    </w:p>
    <w:p w14:paraId="64717548" w14:textId="18D611B8" w:rsidR="00465C70" w:rsidRDefault="00465C70">
      <w:pPr>
        <w:pStyle w:val="Tpico5"/>
        <w:numPr>
          <w:ilvl w:val="0"/>
          <w:numId w:val="88"/>
        </w:numPr>
        <w:spacing w:line="276" w:lineRule="auto"/>
        <w:rPr>
          <w:rFonts w:ascii="Arial" w:hAnsi="Arial" w:cs="Arial"/>
          <w:color w:val="000000" w:themeColor="text1"/>
          <w:u w:val="none"/>
        </w:rPr>
      </w:pPr>
      <w:r w:rsidRPr="00912EEA">
        <w:rPr>
          <w:rFonts w:ascii="Arial" w:hAnsi="Arial" w:cs="Arial"/>
          <w:color w:val="000000" w:themeColor="text1"/>
          <w:u w:val="none"/>
        </w:rPr>
        <w:t xml:space="preserve">Empty cages should be placed </w:t>
      </w:r>
      <w:r w:rsidR="00912EEA" w:rsidRPr="00912EEA">
        <w:rPr>
          <w:rFonts w:ascii="Arial" w:hAnsi="Arial" w:cs="Arial"/>
          <w:color w:val="000000" w:themeColor="text1"/>
          <w:u w:val="none"/>
        </w:rPr>
        <w:t xml:space="preserve">in trash, while feeders are left on </w:t>
      </w:r>
      <w:r w:rsidRPr="00912EEA">
        <w:rPr>
          <w:rFonts w:ascii="Arial" w:hAnsi="Arial" w:cs="Arial"/>
          <w:color w:val="000000" w:themeColor="text1"/>
          <w:u w:val="none"/>
        </w:rPr>
        <w:t xml:space="preserve">animal room </w:t>
      </w:r>
      <w:r w:rsidR="006C113E">
        <w:rPr>
          <w:rFonts w:ascii="Arial" w:hAnsi="Arial" w:cs="Arial"/>
          <w:color w:val="000000" w:themeColor="text1"/>
          <w:u w:val="none"/>
        </w:rPr>
        <w:t>so they can be washed by vivarium personnel</w:t>
      </w:r>
      <w:r w:rsidRPr="00912EEA">
        <w:rPr>
          <w:rFonts w:ascii="Arial" w:hAnsi="Arial" w:cs="Arial"/>
          <w:color w:val="000000" w:themeColor="text1"/>
          <w:u w:val="none"/>
        </w:rPr>
        <w:t>.</w:t>
      </w:r>
    </w:p>
    <w:p w14:paraId="67727E1B" w14:textId="77777777" w:rsidR="006C113E" w:rsidRPr="00912EEA" w:rsidRDefault="006C113E" w:rsidP="00657334">
      <w:pPr>
        <w:pStyle w:val="Tpico5"/>
        <w:spacing w:line="276" w:lineRule="auto"/>
        <w:rPr>
          <w:rFonts w:ascii="Arial" w:hAnsi="Arial" w:cs="Arial"/>
          <w:color w:val="000000" w:themeColor="text1"/>
          <w:u w:val="none"/>
        </w:rPr>
      </w:pPr>
    </w:p>
    <w:p w14:paraId="14874944" w14:textId="77777777" w:rsidR="00465C70" w:rsidRPr="00657334" w:rsidRDefault="00465C70" w:rsidP="00465C70">
      <w:pPr>
        <w:pStyle w:val="Tpico5"/>
        <w:spacing w:line="276" w:lineRule="auto"/>
        <w:rPr>
          <w:rFonts w:ascii="Arial" w:hAnsi="Arial" w:cs="Arial"/>
          <w:color w:val="000000" w:themeColor="text1"/>
        </w:rPr>
      </w:pPr>
      <w:r w:rsidRPr="00657334">
        <w:rPr>
          <w:rFonts w:ascii="Arial" w:hAnsi="Arial" w:cs="Arial"/>
          <w:color w:val="000000" w:themeColor="text1"/>
        </w:rPr>
        <w:t>Serum collection</w:t>
      </w:r>
    </w:p>
    <w:p w14:paraId="324AE542" w14:textId="2ACABF8C" w:rsidR="006C113E" w:rsidRPr="000F306B" w:rsidRDefault="00465C70" w:rsidP="000F306B">
      <w:pPr>
        <w:pStyle w:val="Tpico5"/>
        <w:numPr>
          <w:ilvl w:val="0"/>
          <w:numId w:val="89"/>
        </w:numPr>
        <w:spacing w:line="276" w:lineRule="auto"/>
        <w:rPr>
          <w:rFonts w:ascii="Arial" w:hAnsi="Arial" w:cs="Arial"/>
          <w:color w:val="000000" w:themeColor="text1"/>
          <w:u w:val="none"/>
        </w:rPr>
      </w:pPr>
      <w:r w:rsidRPr="00465C70">
        <w:rPr>
          <w:rFonts w:ascii="Arial" w:hAnsi="Arial" w:cs="Arial"/>
          <w:color w:val="000000" w:themeColor="text1"/>
          <w:u w:val="none"/>
        </w:rPr>
        <w:t xml:space="preserve">Centrifuge samples for 15 min at </w:t>
      </w:r>
      <w:r w:rsidR="000F306B">
        <w:rPr>
          <w:rFonts w:ascii="Arial" w:hAnsi="Arial" w:cs="Arial"/>
          <w:color w:val="000000" w:themeColor="text1"/>
          <w:u w:val="none"/>
        </w:rPr>
        <w:t>16,</w:t>
      </w:r>
      <w:r w:rsidRPr="00465C70">
        <w:rPr>
          <w:rFonts w:ascii="Arial" w:hAnsi="Arial" w:cs="Arial"/>
          <w:color w:val="000000" w:themeColor="text1"/>
          <w:u w:val="none"/>
        </w:rPr>
        <w:t>000g</w:t>
      </w:r>
      <w:r w:rsidR="000F306B">
        <w:rPr>
          <w:rFonts w:ascii="Arial" w:hAnsi="Arial" w:cs="Arial"/>
          <w:color w:val="000000" w:themeColor="text1"/>
          <w:u w:val="none"/>
        </w:rPr>
        <w:t>.</w:t>
      </w:r>
    </w:p>
    <w:p w14:paraId="75D08EA6" w14:textId="4D83FC47" w:rsidR="00465C70" w:rsidRPr="00465C70" w:rsidRDefault="00465C70">
      <w:pPr>
        <w:pStyle w:val="Tpico5"/>
        <w:numPr>
          <w:ilvl w:val="0"/>
          <w:numId w:val="89"/>
        </w:numPr>
        <w:spacing w:line="276" w:lineRule="auto"/>
        <w:rPr>
          <w:rFonts w:ascii="Arial" w:hAnsi="Arial" w:cs="Arial"/>
          <w:color w:val="000000" w:themeColor="text1"/>
          <w:u w:val="none"/>
        </w:rPr>
      </w:pPr>
      <w:r w:rsidRPr="00465C70">
        <w:rPr>
          <w:rFonts w:ascii="Arial" w:hAnsi="Arial" w:cs="Arial"/>
          <w:color w:val="000000" w:themeColor="text1"/>
          <w:u w:val="none"/>
        </w:rPr>
        <w:t>Take supernatant: that’s the serum.</w:t>
      </w:r>
    </w:p>
    <w:p w14:paraId="62F723CE" w14:textId="750D51D4" w:rsidR="007239B9" w:rsidRDefault="00465C70">
      <w:pPr>
        <w:pStyle w:val="Tpico5"/>
        <w:numPr>
          <w:ilvl w:val="0"/>
          <w:numId w:val="89"/>
        </w:numPr>
        <w:spacing w:line="276" w:lineRule="auto"/>
        <w:rPr>
          <w:rFonts w:ascii="Arial" w:hAnsi="Arial" w:cs="Arial"/>
          <w:color w:val="000000" w:themeColor="text1"/>
          <w:u w:val="none"/>
        </w:rPr>
      </w:pPr>
      <w:r w:rsidRPr="00465C70">
        <w:rPr>
          <w:rFonts w:ascii="Arial" w:hAnsi="Arial" w:cs="Arial"/>
          <w:color w:val="000000" w:themeColor="text1"/>
          <w:u w:val="none"/>
        </w:rPr>
        <w:t>Place serum samples in -80</w:t>
      </w:r>
      <w:r w:rsidR="007016EC">
        <w:rPr>
          <w:rFonts w:ascii="Arial" w:hAnsi="Arial" w:cs="Arial"/>
          <w:color w:val="000000" w:themeColor="text1"/>
          <w:u w:val="none"/>
        </w:rPr>
        <w:sym w:font="Symbol" w:char="F0B0"/>
      </w:r>
      <w:r w:rsidR="007016EC">
        <w:rPr>
          <w:rFonts w:ascii="Arial" w:hAnsi="Arial" w:cs="Arial"/>
          <w:color w:val="000000" w:themeColor="text1"/>
          <w:u w:val="none"/>
        </w:rPr>
        <w:t>C freezer</w:t>
      </w:r>
      <w:r w:rsidRPr="00465C70">
        <w:rPr>
          <w:rFonts w:ascii="Arial" w:hAnsi="Arial" w:cs="Arial"/>
          <w:color w:val="000000" w:themeColor="text1"/>
          <w:u w:val="none"/>
        </w:rPr>
        <w:t xml:space="preserve"> for later ELISA analysis</w:t>
      </w:r>
    </w:p>
    <w:p w14:paraId="3EF1DDBC" w14:textId="77777777" w:rsidR="007239B9" w:rsidRPr="00D74025" w:rsidRDefault="007239B9" w:rsidP="00D054DF">
      <w:pPr>
        <w:pStyle w:val="Tpico5"/>
        <w:spacing w:line="276" w:lineRule="auto"/>
        <w:rPr>
          <w:rFonts w:ascii="Arial" w:hAnsi="Arial" w:cs="Arial"/>
          <w:color w:val="000000" w:themeColor="text1"/>
          <w:u w:val="none"/>
        </w:rPr>
      </w:pPr>
    </w:p>
    <w:p w14:paraId="5F09F913" w14:textId="7C566881" w:rsidR="00A45772" w:rsidRPr="00E764B7" w:rsidRDefault="00A45772" w:rsidP="00F6020C">
      <w:pPr>
        <w:pStyle w:val="Tpico5"/>
        <w:spacing w:line="276" w:lineRule="auto"/>
        <w:outlineLvl w:val="1"/>
        <w:rPr>
          <w:rFonts w:ascii="Arial" w:hAnsi="Arial" w:cs="Arial"/>
          <w:b/>
          <w:bCs/>
          <w:color w:val="000000" w:themeColor="text1"/>
        </w:rPr>
      </w:pPr>
      <w:bookmarkStart w:id="227" w:name="_Toc121217317"/>
      <w:r w:rsidRPr="00E764B7">
        <w:rPr>
          <w:rFonts w:ascii="Arial" w:hAnsi="Arial" w:cs="Arial"/>
          <w:b/>
          <w:bCs/>
          <w:color w:val="000000" w:themeColor="text1"/>
        </w:rPr>
        <w:t>D5. Sp</w:t>
      </w:r>
      <w:r w:rsidR="00DC0645" w:rsidRPr="00E764B7">
        <w:rPr>
          <w:rFonts w:ascii="Arial" w:hAnsi="Arial" w:cs="Arial"/>
          <w:b/>
          <w:bCs/>
          <w:color w:val="000000" w:themeColor="text1"/>
        </w:rPr>
        <w:t xml:space="preserve">leen collection and splenic cells </w:t>
      </w:r>
      <w:r w:rsidR="009E4238" w:rsidRPr="00E764B7">
        <w:rPr>
          <w:rFonts w:ascii="Arial" w:hAnsi="Arial" w:cs="Arial"/>
          <w:b/>
          <w:bCs/>
          <w:color w:val="000000" w:themeColor="text1"/>
        </w:rPr>
        <w:t>staining for flow cytometry</w:t>
      </w:r>
      <w:bookmarkEnd w:id="227"/>
    </w:p>
    <w:p w14:paraId="19F412F4" w14:textId="77777777" w:rsidR="00155E96" w:rsidRPr="00D74025" w:rsidRDefault="00155E96" w:rsidP="00E764B7">
      <w:pPr>
        <w:pStyle w:val="Tpico5"/>
        <w:spacing w:line="276" w:lineRule="auto"/>
        <w:rPr>
          <w:rFonts w:ascii="Arial" w:hAnsi="Arial" w:cs="Arial"/>
          <w:color w:val="000000" w:themeColor="text1"/>
          <w:u w:val="none"/>
        </w:rPr>
      </w:pPr>
    </w:p>
    <w:p w14:paraId="2C46FDE1" w14:textId="77777777" w:rsidR="009E4238" w:rsidRPr="006A2560" w:rsidRDefault="009E4238" w:rsidP="00F6020C">
      <w:pPr>
        <w:spacing w:line="276" w:lineRule="auto"/>
        <w:rPr>
          <w:rFonts w:ascii="Arial" w:hAnsi="Arial" w:cs="Arial"/>
          <w:bCs/>
          <w:color w:val="000000" w:themeColor="text1"/>
          <w:u w:val="single"/>
        </w:rPr>
      </w:pPr>
      <w:r w:rsidRPr="006A2560">
        <w:rPr>
          <w:rFonts w:ascii="Arial" w:hAnsi="Arial" w:cs="Arial"/>
          <w:bCs/>
          <w:color w:val="000000" w:themeColor="text1"/>
          <w:u w:val="single"/>
        </w:rPr>
        <w:t>Tissue Collection:</w:t>
      </w:r>
    </w:p>
    <w:p w14:paraId="3A866F7D" w14:textId="77777777" w:rsidR="009E4238" w:rsidRPr="00D74025" w:rsidRDefault="009E4238">
      <w:pPr>
        <w:pStyle w:val="ListParagraph"/>
        <w:numPr>
          <w:ilvl w:val="0"/>
          <w:numId w:val="56"/>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Euthanize animal with CO</w:t>
      </w:r>
      <w:r w:rsidRPr="00D74025">
        <w:rPr>
          <w:rFonts w:ascii="Arial" w:hAnsi="Arial" w:cs="Arial"/>
          <w:color w:val="000000" w:themeColor="text1"/>
          <w:vertAlign w:val="subscript"/>
        </w:rPr>
        <w:t>2</w:t>
      </w:r>
      <w:r w:rsidRPr="00D74025">
        <w:rPr>
          <w:rFonts w:ascii="Arial" w:hAnsi="Arial" w:cs="Arial"/>
          <w:color w:val="000000" w:themeColor="text1"/>
        </w:rPr>
        <w:t xml:space="preserve"> inhalation.</w:t>
      </w:r>
    </w:p>
    <w:p w14:paraId="526FE494" w14:textId="77777777" w:rsidR="009E4238" w:rsidRPr="00D74025" w:rsidRDefault="009E4238">
      <w:pPr>
        <w:pStyle w:val="ListParagraph"/>
        <w:numPr>
          <w:ilvl w:val="0"/>
          <w:numId w:val="56"/>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Collect blood and place in heparin tube. Spin tube to separate plasma from blood and store at -20°C.</w:t>
      </w:r>
    </w:p>
    <w:p w14:paraId="29A0D743" w14:textId="77777777" w:rsidR="009E4238" w:rsidRPr="00D74025" w:rsidRDefault="009E4238">
      <w:pPr>
        <w:pStyle w:val="ListParagraph"/>
        <w:numPr>
          <w:ilvl w:val="0"/>
          <w:numId w:val="56"/>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Collect lymph node and spleen and place in 5 ml of cold RPMI-1640 medium. Place samples on ice and transport to Norman.</w:t>
      </w:r>
    </w:p>
    <w:p w14:paraId="1A6EE27C" w14:textId="0AF6B29A" w:rsidR="009E4238" w:rsidRDefault="009E4238">
      <w:pPr>
        <w:pStyle w:val="ListParagraph"/>
        <w:numPr>
          <w:ilvl w:val="0"/>
          <w:numId w:val="56"/>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Collect remaining tissue (liver, kidney, heart, lungs, intestine, and tumor) place in 10% </w:t>
      </w:r>
      <w:r w:rsidR="00390D21" w:rsidRPr="00390D21">
        <w:rPr>
          <w:rFonts w:ascii="Arial" w:hAnsi="Arial" w:cs="Arial"/>
          <w:color w:val="000000" w:themeColor="text1"/>
        </w:rPr>
        <w:t xml:space="preserve">neutral buffered formalin </w:t>
      </w:r>
      <w:r w:rsidR="00390D21">
        <w:rPr>
          <w:rFonts w:ascii="Arial" w:hAnsi="Arial" w:cs="Arial"/>
          <w:color w:val="000000" w:themeColor="text1"/>
        </w:rPr>
        <w:t>(</w:t>
      </w:r>
      <w:r w:rsidRPr="00D74025">
        <w:rPr>
          <w:rFonts w:ascii="Arial" w:hAnsi="Arial" w:cs="Arial"/>
          <w:color w:val="000000" w:themeColor="text1"/>
        </w:rPr>
        <w:t>NBF</w:t>
      </w:r>
      <w:r w:rsidR="00390D21">
        <w:rPr>
          <w:rFonts w:ascii="Arial" w:hAnsi="Arial" w:cs="Arial"/>
          <w:color w:val="000000" w:themeColor="text1"/>
        </w:rPr>
        <w:t>)</w:t>
      </w:r>
      <w:r w:rsidRPr="00D74025">
        <w:rPr>
          <w:rFonts w:ascii="Arial" w:hAnsi="Arial" w:cs="Arial"/>
          <w:color w:val="000000" w:themeColor="text1"/>
        </w:rPr>
        <w:t>.</w:t>
      </w:r>
    </w:p>
    <w:p w14:paraId="21191252" w14:textId="77777777" w:rsidR="006A2560" w:rsidRPr="00D74025" w:rsidRDefault="006A2560" w:rsidP="006A2560">
      <w:pPr>
        <w:pStyle w:val="ListParagraph"/>
        <w:spacing w:before="0" w:beforeAutospacing="0" w:after="0" w:afterAutospacing="0" w:line="276" w:lineRule="auto"/>
        <w:ind w:firstLine="0"/>
        <w:jc w:val="left"/>
        <w:rPr>
          <w:rFonts w:ascii="Arial" w:hAnsi="Arial" w:cs="Arial"/>
          <w:color w:val="000000" w:themeColor="text1"/>
        </w:rPr>
      </w:pPr>
    </w:p>
    <w:p w14:paraId="2AF36AEB" w14:textId="56BA23C5" w:rsidR="009E4238" w:rsidRDefault="009E4238" w:rsidP="00F6020C">
      <w:pPr>
        <w:spacing w:line="276" w:lineRule="auto"/>
        <w:rPr>
          <w:rFonts w:ascii="Arial" w:hAnsi="Arial" w:cs="Arial"/>
          <w:bCs/>
          <w:color w:val="000000" w:themeColor="text1"/>
          <w:u w:val="single"/>
        </w:rPr>
      </w:pPr>
      <w:r w:rsidRPr="006A2560">
        <w:rPr>
          <w:rFonts w:ascii="Arial" w:hAnsi="Arial" w:cs="Arial"/>
          <w:bCs/>
          <w:color w:val="000000" w:themeColor="text1"/>
          <w:u w:val="single"/>
        </w:rPr>
        <w:t>Flow Cytometry Buffer Preparation</w:t>
      </w:r>
      <w:r w:rsidR="006A2560">
        <w:rPr>
          <w:rFonts w:ascii="Arial" w:hAnsi="Arial" w:cs="Arial"/>
          <w:bCs/>
          <w:color w:val="000000" w:themeColor="text1"/>
          <w:u w:val="single"/>
        </w:rPr>
        <w:t>:</w:t>
      </w:r>
    </w:p>
    <w:p w14:paraId="3DFB205F" w14:textId="77777777" w:rsidR="006A2560" w:rsidRPr="006A2560" w:rsidRDefault="006A2560" w:rsidP="00F6020C">
      <w:pPr>
        <w:spacing w:line="276" w:lineRule="auto"/>
        <w:rPr>
          <w:rFonts w:ascii="Arial" w:hAnsi="Arial" w:cs="Arial"/>
          <w:bCs/>
          <w:color w:val="000000" w:themeColor="text1"/>
          <w:u w:val="single"/>
        </w:rPr>
      </w:pPr>
    </w:p>
    <w:p w14:paraId="575971DE" w14:textId="22B6871A" w:rsidR="009E4238" w:rsidRPr="00D74025" w:rsidRDefault="009E4238">
      <w:pPr>
        <w:pStyle w:val="ListParagraph"/>
        <w:numPr>
          <w:ilvl w:val="0"/>
          <w:numId w:val="5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Flow </w:t>
      </w:r>
      <w:r w:rsidR="00D613CE">
        <w:rPr>
          <w:rFonts w:ascii="Arial" w:hAnsi="Arial" w:cs="Arial"/>
          <w:color w:val="000000" w:themeColor="text1"/>
        </w:rPr>
        <w:t>c</w:t>
      </w:r>
      <w:r w:rsidRPr="00D74025">
        <w:rPr>
          <w:rFonts w:ascii="Arial" w:hAnsi="Arial" w:cs="Arial"/>
          <w:color w:val="000000" w:themeColor="text1"/>
        </w:rPr>
        <w:t xml:space="preserve">ytometry </w:t>
      </w:r>
      <w:r w:rsidR="00D613CE">
        <w:rPr>
          <w:rFonts w:ascii="Arial" w:hAnsi="Arial" w:cs="Arial"/>
          <w:color w:val="000000" w:themeColor="text1"/>
        </w:rPr>
        <w:t>s</w:t>
      </w:r>
      <w:r w:rsidRPr="00D74025">
        <w:rPr>
          <w:rFonts w:ascii="Arial" w:hAnsi="Arial" w:cs="Arial"/>
          <w:color w:val="000000" w:themeColor="text1"/>
        </w:rPr>
        <w:t xml:space="preserve">taining </w:t>
      </w:r>
      <w:r w:rsidR="00D613CE">
        <w:rPr>
          <w:rFonts w:ascii="Arial" w:hAnsi="Arial" w:cs="Arial"/>
          <w:color w:val="000000" w:themeColor="text1"/>
        </w:rPr>
        <w:t>b</w:t>
      </w:r>
      <w:r w:rsidRPr="00D74025">
        <w:rPr>
          <w:rFonts w:ascii="Arial" w:hAnsi="Arial" w:cs="Arial"/>
          <w:color w:val="000000" w:themeColor="text1"/>
        </w:rPr>
        <w:t xml:space="preserve">uffer (SB): 1X PBS + 0.5% BSA + 0.05% </w:t>
      </w:r>
      <w:r w:rsidR="00390D21">
        <w:rPr>
          <w:rFonts w:ascii="Arial" w:hAnsi="Arial" w:cs="Arial"/>
          <w:color w:val="000000" w:themeColor="text1"/>
        </w:rPr>
        <w:t>s</w:t>
      </w:r>
      <w:r w:rsidRPr="00D74025">
        <w:rPr>
          <w:rFonts w:ascii="Arial" w:hAnsi="Arial" w:cs="Arial"/>
          <w:color w:val="000000" w:themeColor="text1"/>
        </w:rPr>
        <w:t xml:space="preserve">odium </w:t>
      </w:r>
      <w:proofErr w:type="spellStart"/>
      <w:r w:rsidR="00390D21">
        <w:rPr>
          <w:rFonts w:ascii="Arial" w:hAnsi="Arial" w:cs="Arial"/>
          <w:color w:val="000000" w:themeColor="text1"/>
        </w:rPr>
        <w:t>a</w:t>
      </w:r>
      <w:r w:rsidRPr="00D74025">
        <w:rPr>
          <w:rFonts w:ascii="Arial" w:hAnsi="Arial" w:cs="Arial"/>
          <w:color w:val="000000" w:themeColor="text1"/>
        </w:rPr>
        <w:t>zide</w:t>
      </w:r>
      <w:proofErr w:type="spellEnd"/>
      <w:r w:rsidRPr="00D74025">
        <w:rPr>
          <w:rFonts w:ascii="Arial" w:hAnsi="Arial" w:cs="Arial"/>
          <w:color w:val="000000" w:themeColor="text1"/>
        </w:rPr>
        <w:t>.</w:t>
      </w:r>
    </w:p>
    <w:p w14:paraId="1D7229D7" w14:textId="10B78927" w:rsidR="009E4238" w:rsidRPr="00D74025" w:rsidRDefault="009E4238">
      <w:pPr>
        <w:pStyle w:val="ListParagraph"/>
        <w:numPr>
          <w:ilvl w:val="0"/>
          <w:numId w:val="5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Foxp3 </w:t>
      </w:r>
      <w:r w:rsidR="00D613CE">
        <w:rPr>
          <w:rFonts w:ascii="Arial" w:hAnsi="Arial" w:cs="Arial"/>
          <w:color w:val="000000" w:themeColor="text1"/>
        </w:rPr>
        <w:t>f</w:t>
      </w:r>
      <w:r w:rsidRPr="00D74025">
        <w:rPr>
          <w:rFonts w:ascii="Arial" w:hAnsi="Arial" w:cs="Arial"/>
          <w:color w:val="000000" w:themeColor="text1"/>
        </w:rPr>
        <w:t>ixation/</w:t>
      </w:r>
      <w:r w:rsidR="00D613CE">
        <w:rPr>
          <w:rFonts w:ascii="Arial" w:hAnsi="Arial" w:cs="Arial"/>
          <w:color w:val="000000" w:themeColor="text1"/>
        </w:rPr>
        <w:t>p</w:t>
      </w:r>
      <w:r w:rsidRPr="00D74025">
        <w:rPr>
          <w:rFonts w:ascii="Arial" w:hAnsi="Arial" w:cs="Arial"/>
          <w:color w:val="000000" w:themeColor="text1"/>
        </w:rPr>
        <w:t xml:space="preserve">ermeabilization working solution: Dilute the </w:t>
      </w:r>
      <w:r w:rsidR="00D613CE">
        <w:rPr>
          <w:rFonts w:ascii="Arial" w:hAnsi="Arial" w:cs="Arial"/>
          <w:color w:val="000000" w:themeColor="text1"/>
        </w:rPr>
        <w:t>f</w:t>
      </w:r>
      <w:r w:rsidRPr="00D74025">
        <w:rPr>
          <w:rFonts w:ascii="Arial" w:hAnsi="Arial" w:cs="Arial"/>
          <w:color w:val="000000" w:themeColor="text1"/>
        </w:rPr>
        <w:t>ixation/</w:t>
      </w:r>
      <w:r w:rsidR="00D613CE">
        <w:rPr>
          <w:rFonts w:ascii="Arial" w:hAnsi="Arial" w:cs="Arial"/>
          <w:color w:val="000000" w:themeColor="text1"/>
        </w:rPr>
        <w:t>p</w:t>
      </w:r>
      <w:r w:rsidRPr="00D74025">
        <w:rPr>
          <w:rFonts w:ascii="Arial" w:hAnsi="Arial" w:cs="Arial"/>
          <w:color w:val="000000" w:themeColor="text1"/>
        </w:rPr>
        <w:t xml:space="preserve">ermeabilization </w:t>
      </w:r>
      <w:r w:rsidR="00D613CE">
        <w:rPr>
          <w:rFonts w:ascii="Arial" w:hAnsi="Arial" w:cs="Arial"/>
          <w:color w:val="000000" w:themeColor="text1"/>
        </w:rPr>
        <w:t>c</w:t>
      </w:r>
      <w:r w:rsidRPr="00D74025">
        <w:rPr>
          <w:rFonts w:ascii="Arial" w:hAnsi="Arial" w:cs="Arial"/>
          <w:color w:val="000000" w:themeColor="text1"/>
        </w:rPr>
        <w:t xml:space="preserve">oncentrate (1 part) with </w:t>
      </w:r>
      <w:r w:rsidR="00D613CE">
        <w:rPr>
          <w:rFonts w:ascii="Arial" w:hAnsi="Arial" w:cs="Arial"/>
          <w:color w:val="000000" w:themeColor="text1"/>
        </w:rPr>
        <w:t>f</w:t>
      </w:r>
      <w:r w:rsidRPr="00D74025">
        <w:rPr>
          <w:rFonts w:ascii="Arial" w:hAnsi="Arial" w:cs="Arial"/>
          <w:color w:val="000000" w:themeColor="text1"/>
        </w:rPr>
        <w:t>ixation/</w:t>
      </w:r>
      <w:r w:rsidR="00D613CE">
        <w:rPr>
          <w:rFonts w:ascii="Arial" w:hAnsi="Arial" w:cs="Arial"/>
          <w:color w:val="000000" w:themeColor="text1"/>
        </w:rPr>
        <w:t>p</w:t>
      </w:r>
      <w:r w:rsidRPr="00D74025">
        <w:rPr>
          <w:rFonts w:ascii="Arial" w:hAnsi="Arial" w:cs="Arial"/>
          <w:color w:val="000000" w:themeColor="text1"/>
        </w:rPr>
        <w:t xml:space="preserve">ermeabilization </w:t>
      </w:r>
      <w:r w:rsidR="00D613CE">
        <w:rPr>
          <w:rFonts w:ascii="Arial" w:hAnsi="Arial" w:cs="Arial"/>
          <w:color w:val="000000" w:themeColor="text1"/>
        </w:rPr>
        <w:t>d</w:t>
      </w:r>
      <w:r w:rsidRPr="00D74025">
        <w:rPr>
          <w:rFonts w:ascii="Arial" w:hAnsi="Arial" w:cs="Arial"/>
          <w:color w:val="000000" w:themeColor="text1"/>
        </w:rPr>
        <w:t xml:space="preserve">iluent (3 parts). You will need 1 mL of the </w:t>
      </w:r>
      <w:r w:rsidR="00D613CE">
        <w:rPr>
          <w:rFonts w:ascii="Arial" w:hAnsi="Arial" w:cs="Arial"/>
          <w:color w:val="000000" w:themeColor="text1"/>
        </w:rPr>
        <w:t>f</w:t>
      </w:r>
      <w:r w:rsidRPr="00D74025">
        <w:rPr>
          <w:rFonts w:ascii="Arial" w:hAnsi="Arial" w:cs="Arial"/>
          <w:color w:val="000000" w:themeColor="text1"/>
        </w:rPr>
        <w:t>ixation/</w:t>
      </w:r>
      <w:r w:rsidR="00D613CE">
        <w:rPr>
          <w:rFonts w:ascii="Arial" w:hAnsi="Arial" w:cs="Arial"/>
          <w:color w:val="000000" w:themeColor="text1"/>
        </w:rPr>
        <w:t>p</w:t>
      </w:r>
      <w:r w:rsidRPr="00D74025">
        <w:rPr>
          <w:rFonts w:ascii="Arial" w:hAnsi="Arial" w:cs="Arial"/>
          <w:color w:val="000000" w:themeColor="text1"/>
        </w:rPr>
        <w:t>ermeabilization working solution for each sample, if staining in tubes.</w:t>
      </w:r>
    </w:p>
    <w:p w14:paraId="3FBBEEED" w14:textId="0BFC9680" w:rsidR="009E4238" w:rsidRPr="00D74025" w:rsidRDefault="009E4238">
      <w:pPr>
        <w:pStyle w:val="ListParagraph"/>
        <w:numPr>
          <w:ilvl w:val="0"/>
          <w:numId w:val="58"/>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Permeabilization </w:t>
      </w:r>
      <w:r w:rsidR="00D613CE">
        <w:rPr>
          <w:rFonts w:ascii="Arial" w:hAnsi="Arial" w:cs="Arial"/>
          <w:color w:val="000000" w:themeColor="text1"/>
        </w:rPr>
        <w:t>b</w:t>
      </w:r>
      <w:r w:rsidRPr="00D74025">
        <w:rPr>
          <w:rFonts w:ascii="Arial" w:hAnsi="Arial" w:cs="Arial"/>
          <w:color w:val="000000" w:themeColor="text1"/>
        </w:rPr>
        <w:t>uffer: Dilute the 10X concentrate with distilled water prior to use.</w:t>
      </w:r>
    </w:p>
    <w:p w14:paraId="27C9E16D" w14:textId="77777777" w:rsidR="009E4238" w:rsidRPr="00D74025" w:rsidRDefault="009E4238" w:rsidP="00F6020C">
      <w:pPr>
        <w:spacing w:line="276" w:lineRule="auto"/>
        <w:jc w:val="center"/>
        <w:rPr>
          <w:rFonts w:ascii="Arial" w:hAnsi="Arial" w:cs="Arial"/>
          <w:b/>
          <w:color w:val="000000" w:themeColor="text1"/>
        </w:rPr>
      </w:pPr>
      <w:r w:rsidRPr="00D74025">
        <w:rPr>
          <w:rFonts w:ascii="Arial" w:hAnsi="Arial" w:cs="Arial"/>
          <w:b/>
          <w:color w:val="000000" w:themeColor="text1"/>
        </w:rPr>
        <w:t>All following procedures with cells should be conducted on ice.</w:t>
      </w:r>
    </w:p>
    <w:p w14:paraId="69B0EFFC" w14:textId="77777777" w:rsidR="006A2560" w:rsidRDefault="006A2560" w:rsidP="00F6020C">
      <w:pPr>
        <w:spacing w:line="276" w:lineRule="auto"/>
        <w:rPr>
          <w:rFonts w:ascii="Arial" w:hAnsi="Arial" w:cs="Arial"/>
          <w:b/>
          <w:color w:val="000000" w:themeColor="text1"/>
        </w:rPr>
      </w:pPr>
    </w:p>
    <w:p w14:paraId="06D9D896" w14:textId="3E18C55C" w:rsidR="009E4238" w:rsidRDefault="009E4238" w:rsidP="00F6020C">
      <w:pPr>
        <w:spacing w:line="276" w:lineRule="auto"/>
        <w:rPr>
          <w:rFonts w:ascii="Arial" w:hAnsi="Arial" w:cs="Arial"/>
          <w:bCs/>
          <w:color w:val="000000" w:themeColor="text1"/>
          <w:u w:val="single"/>
        </w:rPr>
      </w:pPr>
      <w:r w:rsidRPr="006A2560">
        <w:rPr>
          <w:rFonts w:ascii="Arial" w:hAnsi="Arial" w:cs="Arial"/>
          <w:bCs/>
          <w:color w:val="000000" w:themeColor="text1"/>
          <w:u w:val="single"/>
        </w:rPr>
        <w:t xml:space="preserve">Flow </w:t>
      </w:r>
      <w:r w:rsidR="001D3BE3">
        <w:rPr>
          <w:rFonts w:ascii="Arial" w:hAnsi="Arial" w:cs="Arial"/>
          <w:bCs/>
          <w:color w:val="000000" w:themeColor="text1"/>
          <w:u w:val="single"/>
        </w:rPr>
        <w:t>c</w:t>
      </w:r>
      <w:r w:rsidRPr="006A2560">
        <w:rPr>
          <w:rFonts w:ascii="Arial" w:hAnsi="Arial" w:cs="Arial"/>
          <w:bCs/>
          <w:color w:val="000000" w:themeColor="text1"/>
          <w:u w:val="single"/>
        </w:rPr>
        <w:t xml:space="preserve">ytometry </w:t>
      </w:r>
      <w:r w:rsidR="001D3BE3">
        <w:rPr>
          <w:rFonts w:ascii="Arial" w:hAnsi="Arial" w:cs="Arial"/>
          <w:bCs/>
          <w:color w:val="000000" w:themeColor="text1"/>
          <w:u w:val="single"/>
        </w:rPr>
        <w:t>s</w:t>
      </w:r>
      <w:r w:rsidRPr="006A2560">
        <w:rPr>
          <w:rFonts w:ascii="Arial" w:hAnsi="Arial" w:cs="Arial"/>
          <w:bCs/>
          <w:color w:val="000000" w:themeColor="text1"/>
          <w:u w:val="single"/>
        </w:rPr>
        <w:t xml:space="preserve">ample </w:t>
      </w:r>
      <w:r w:rsidR="001D3BE3">
        <w:rPr>
          <w:rFonts w:ascii="Arial" w:hAnsi="Arial" w:cs="Arial"/>
          <w:bCs/>
          <w:color w:val="000000" w:themeColor="text1"/>
          <w:u w:val="single"/>
        </w:rPr>
        <w:t>p</w:t>
      </w:r>
      <w:r w:rsidRPr="006A2560">
        <w:rPr>
          <w:rFonts w:ascii="Arial" w:hAnsi="Arial" w:cs="Arial"/>
          <w:bCs/>
          <w:color w:val="000000" w:themeColor="text1"/>
          <w:u w:val="single"/>
        </w:rPr>
        <w:t>reparation:</w:t>
      </w:r>
    </w:p>
    <w:p w14:paraId="72E555AD" w14:textId="77777777" w:rsidR="006A2560" w:rsidRPr="006A2560" w:rsidRDefault="006A2560" w:rsidP="00F6020C">
      <w:pPr>
        <w:spacing w:line="276" w:lineRule="auto"/>
        <w:rPr>
          <w:rFonts w:ascii="Arial" w:hAnsi="Arial" w:cs="Arial"/>
          <w:bCs/>
          <w:color w:val="000000" w:themeColor="text1"/>
          <w:u w:val="single"/>
        </w:rPr>
      </w:pPr>
    </w:p>
    <w:p w14:paraId="6E5698A1" w14:textId="77777777" w:rsidR="009E4238" w:rsidRPr="00D74025" w:rsidRDefault="009E4238">
      <w:pPr>
        <w:pStyle w:val="ListParagraph"/>
        <w:numPr>
          <w:ilvl w:val="0"/>
          <w:numId w:val="57"/>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Tease apart tissue (lymph node and spleen) into a single-cell suspension by pressing with the plunger of a 3-mL syringe with 1 ml of SB into a petri dish. Wash plunger 2X with 1 ml SB each time.</w:t>
      </w:r>
    </w:p>
    <w:p w14:paraId="0B2A43CA" w14:textId="77777777" w:rsidR="009E4238" w:rsidRPr="00D74025" w:rsidRDefault="009E4238">
      <w:pPr>
        <w:pStyle w:val="ListParagraph"/>
        <w:numPr>
          <w:ilvl w:val="0"/>
          <w:numId w:val="57"/>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Place a cell strainer on top of a 50-ml conical tube. Pass cells from the petri</w:t>
      </w:r>
      <w:r w:rsidRPr="00D74025">
        <w:rPr>
          <w:rFonts w:ascii="Arial" w:hAnsi="Arial" w:cs="Arial"/>
          <w:color w:val="000000" w:themeColor="text1"/>
        </w:rPr>
        <w:br/>
        <w:t xml:space="preserve">culture dish through the cell strainer to eliminate clumps and debris. Wash petri dish and </w:t>
      </w:r>
      <w:proofErr w:type="spellStart"/>
      <w:r w:rsidRPr="00D74025">
        <w:rPr>
          <w:rFonts w:ascii="Arial" w:hAnsi="Arial" w:cs="Arial"/>
          <w:color w:val="000000" w:themeColor="text1"/>
        </w:rPr>
        <w:t>stainer</w:t>
      </w:r>
      <w:proofErr w:type="spellEnd"/>
      <w:r w:rsidRPr="00D74025">
        <w:rPr>
          <w:rFonts w:ascii="Arial" w:hAnsi="Arial" w:cs="Arial"/>
          <w:color w:val="000000" w:themeColor="text1"/>
        </w:rPr>
        <w:t xml:space="preserve"> 2X with 1 ml SB each time.</w:t>
      </w:r>
    </w:p>
    <w:p w14:paraId="6F77540D" w14:textId="77777777" w:rsidR="009E4238" w:rsidRPr="00D74025" w:rsidRDefault="009E4238">
      <w:pPr>
        <w:pStyle w:val="ListParagraph"/>
        <w:numPr>
          <w:ilvl w:val="0"/>
          <w:numId w:val="57"/>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Centrifuge cell suspension at 300-400</w:t>
      </w:r>
      <w:r w:rsidRPr="00D74025">
        <w:rPr>
          <w:rFonts w:ascii="Arial" w:hAnsi="Arial" w:cs="Arial"/>
          <w:i/>
          <w:iCs/>
          <w:color w:val="000000" w:themeColor="text1"/>
        </w:rPr>
        <w:t xml:space="preserve">g </w:t>
      </w:r>
      <w:r w:rsidRPr="00D74025">
        <w:rPr>
          <w:rFonts w:ascii="Arial" w:hAnsi="Arial" w:cs="Arial"/>
          <w:color w:val="000000" w:themeColor="text1"/>
        </w:rPr>
        <w:t>for 4-5 min at 2-8°C. Discard the</w:t>
      </w:r>
      <w:r w:rsidRPr="00D74025">
        <w:rPr>
          <w:rFonts w:ascii="Arial" w:hAnsi="Arial" w:cs="Arial"/>
          <w:color w:val="000000" w:themeColor="text1"/>
        </w:rPr>
        <w:br/>
        <w:t>supernatant.</w:t>
      </w:r>
    </w:p>
    <w:p w14:paraId="4FE0755A" w14:textId="77777777" w:rsidR="009E4238" w:rsidRPr="00D74025" w:rsidRDefault="009E4238">
      <w:pPr>
        <w:pStyle w:val="ListParagraph"/>
        <w:numPr>
          <w:ilvl w:val="0"/>
          <w:numId w:val="57"/>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Resuspend the cell pellet in a 1 ml volume of SB and perform a cell count and viability analysis.</w:t>
      </w:r>
    </w:p>
    <w:p w14:paraId="7102D6A2" w14:textId="7A2B03FE" w:rsidR="009E4238" w:rsidRPr="00D74025" w:rsidRDefault="009E4238">
      <w:pPr>
        <w:pStyle w:val="ListParagraph"/>
        <w:numPr>
          <w:ilvl w:val="1"/>
          <w:numId w:val="57"/>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Add 10 </w:t>
      </w:r>
      <w:proofErr w:type="spellStart"/>
      <w:r w:rsidRPr="00D74025">
        <w:rPr>
          <w:rFonts w:ascii="Arial" w:hAnsi="Arial" w:cs="Arial"/>
          <w:color w:val="000000" w:themeColor="text1"/>
        </w:rPr>
        <w:t>μl</w:t>
      </w:r>
      <w:proofErr w:type="spellEnd"/>
      <w:r w:rsidRPr="00D74025">
        <w:rPr>
          <w:rFonts w:ascii="Arial" w:hAnsi="Arial" w:cs="Arial"/>
          <w:color w:val="000000" w:themeColor="text1"/>
        </w:rPr>
        <w:t xml:space="preserve"> of </w:t>
      </w:r>
      <w:r w:rsidR="001D3BE3">
        <w:rPr>
          <w:rFonts w:ascii="Arial" w:hAnsi="Arial" w:cs="Arial"/>
          <w:color w:val="000000" w:themeColor="text1"/>
        </w:rPr>
        <w:t>Try</w:t>
      </w:r>
      <w:r w:rsidRPr="00D74025">
        <w:rPr>
          <w:rFonts w:ascii="Arial" w:hAnsi="Arial" w:cs="Arial"/>
          <w:color w:val="000000" w:themeColor="text1"/>
        </w:rPr>
        <w:t xml:space="preserve">pan </w:t>
      </w:r>
      <w:r w:rsidR="001D3BE3">
        <w:rPr>
          <w:rFonts w:ascii="Arial" w:hAnsi="Arial" w:cs="Arial"/>
          <w:color w:val="000000" w:themeColor="text1"/>
        </w:rPr>
        <w:t>B</w:t>
      </w:r>
      <w:r w:rsidRPr="00D74025">
        <w:rPr>
          <w:rFonts w:ascii="Arial" w:hAnsi="Arial" w:cs="Arial"/>
          <w:color w:val="000000" w:themeColor="text1"/>
        </w:rPr>
        <w:t>lue + 10</w:t>
      </w:r>
      <w:r w:rsidR="001D3BE3">
        <w:rPr>
          <w:rFonts w:ascii="Arial" w:hAnsi="Arial" w:cs="Arial"/>
          <w:color w:val="000000" w:themeColor="text1"/>
        </w:rPr>
        <w:t xml:space="preserve"> </w:t>
      </w:r>
      <w:r w:rsidR="001D3BE3">
        <w:rPr>
          <w:rFonts w:ascii="Arial" w:hAnsi="Arial" w:cs="Arial"/>
          <w:color w:val="000000" w:themeColor="text1"/>
        </w:rPr>
        <w:sym w:font="Symbol" w:char="F06D"/>
      </w:r>
      <w:r w:rsidR="0080789A">
        <w:rPr>
          <w:rFonts w:ascii="Arial" w:hAnsi="Arial" w:cs="Arial"/>
          <w:color w:val="000000" w:themeColor="text1"/>
        </w:rPr>
        <w:t>L</w:t>
      </w:r>
      <w:r w:rsidRPr="00D74025">
        <w:rPr>
          <w:rFonts w:ascii="Arial" w:hAnsi="Arial" w:cs="Arial"/>
          <w:color w:val="000000" w:themeColor="text1"/>
        </w:rPr>
        <w:t xml:space="preserve"> of diluted cell suspension (1:100 dilution) and count live and total cells.</w:t>
      </w:r>
    </w:p>
    <w:p w14:paraId="14F0F5FF" w14:textId="3CEC77CC" w:rsidR="009E4238" w:rsidRPr="00D74025" w:rsidRDefault="009E4238">
      <w:pPr>
        <w:pStyle w:val="ListParagraph"/>
        <w:numPr>
          <w:ilvl w:val="0"/>
          <w:numId w:val="57"/>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Centrifuge cells as in </w:t>
      </w:r>
      <w:r w:rsidR="00AF4D01">
        <w:rPr>
          <w:rFonts w:ascii="Arial" w:hAnsi="Arial" w:cs="Arial"/>
          <w:color w:val="000000" w:themeColor="text1"/>
        </w:rPr>
        <w:t>s</w:t>
      </w:r>
      <w:r w:rsidRPr="00D74025">
        <w:rPr>
          <w:rFonts w:ascii="Arial" w:hAnsi="Arial" w:cs="Arial"/>
          <w:color w:val="000000" w:themeColor="text1"/>
        </w:rPr>
        <w:t>tep 3 and resuspend in appropriate volume of SB so that the final cell concentration is 1 x 10</w:t>
      </w:r>
      <w:r w:rsidRPr="00D74025">
        <w:rPr>
          <w:rFonts w:ascii="Arial" w:hAnsi="Arial" w:cs="Arial"/>
          <w:color w:val="000000" w:themeColor="text1"/>
          <w:vertAlign w:val="superscript"/>
        </w:rPr>
        <w:t>7</w:t>
      </w:r>
      <w:r w:rsidRPr="00D74025">
        <w:rPr>
          <w:rFonts w:ascii="Arial" w:hAnsi="Arial" w:cs="Arial"/>
          <w:color w:val="000000" w:themeColor="text1"/>
        </w:rPr>
        <w:t xml:space="preserve"> cells </w:t>
      </w:r>
      <w:proofErr w:type="gramStart"/>
      <w:r w:rsidRPr="00D74025">
        <w:rPr>
          <w:rFonts w:ascii="Arial" w:hAnsi="Arial" w:cs="Arial"/>
          <w:color w:val="000000" w:themeColor="text1"/>
        </w:rPr>
        <w:t>ml</w:t>
      </w:r>
      <w:r w:rsidRPr="00D74025">
        <w:rPr>
          <w:rFonts w:ascii="Arial" w:hAnsi="Arial" w:cs="Arial"/>
          <w:color w:val="000000" w:themeColor="text1"/>
          <w:vertAlign w:val="superscript"/>
        </w:rPr>
        <w:t>-1</w:t>
      </w:r>
      <w:proofErr w:type="gramEnd"/>
      <w:r w:rsidRPr="00D74025">
        <w:rPr>
          <w:rFonts w:ascii="Arial" w:hAnsi="Arial" w:cs="Arial"/>
          <w:color w:val="000000" w:themeColor="text1"/>
        </w:rPr>
        <w:t>.</w:t>
      </w:r>
    </w:p>
    <w:p w14:paraId="7B19F5E6" w14:textId="77777777" w:rsidR="009E4238" w:rsidRPr="00D74025" w:rsidRDefault="009E4238" w:rsidP="00F6020C">
      <w:pPr>
        <w:spacing w:line="276" w:lineRule="auto"/>
        <w:rPr>
          <w:rFonts w:ascii="Arial" w:hAnsi="Arial" w:cs="Arial"/>
          <w:color w:val="000000" w:themeColor="text1"/>
        </w:rPr>
      </w:pPr>
    </w:p>
    <w:p w14:paraId="2DFB7696" w14:textId="6314D5D7" w:rsidR="009E4238" w:rsidRDefault="009E4238" w:rsidP="00F6020C">
      <w:pPr>
        <w:spacing w:line="276" w:lineRule="auto"/>
        <w:rPr>
          <w:rFonts w:ascii="Arial" w:hAnsi="Arial" w:cs="Arial"/>
          <w:bCs/>
          <w:color w:val="000000" w:themeColor="text1"/>
          <w:u w:val="single"/>
        </w:rPr>
      </w:pPr>
      <w:r w:rsidRPr="006A2560">
        <w:rPr>
          <w:rFonts w:ascii="Arial" w:hAnsi="Arial" w:cs="Arial"/>
          <w:bCs/>
          <w:color w:val="000000" w:themeColor="text1"/>
          <w:u w:val="single"/>
        </w:rPr>
        <w:t>Flow Cytometry Staining</w:t>
      </w:r>
    </w:p>
    <w:p w14:paraId="315C8D05" w14:textId="77777777" w:rsidR="006A2560" w:rsidRPr="006A2560" w:rsidRDefault="006A2560" w:rsidP="00F6020C">
      <w:pPr>
        <w:spacing w:line="276" w:lineRule="auto"/>
        <w:rPr>
          <w:rFonts w:ascii="Arial" w:hAnsi="Arial" w:cs="Arial"/>
          <w:bCs/>
          <w:color w:val="000000" w:themeColor="text1"/>
          <w:u w:val="single"/>
        </w:rPr>
      </w:pPr>
    </w:p>
    <w:p w14:paraId="2301200D" w14:textId="77777777" w:rsidR="009E4238" w:rsidRPr="00D74025" w:rsidRDefault="009E4238">
      <w:pPr>
        <w:pStyle w:val="ListParagraph"/>
        <w:numPr>
          <w:ilvl w:val="0"/>
          <w:numId w:val="5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Add 100 </w:t>
      </w:r>
      <w:proofErr w:type="spellStart"/>
      <w:r w:rsidRPr="00D74025">
        <w:rPr>
          <w:rFonts w:ascii="Arial" w:hAnsi="Arial" w:cs="Arial"/>
          <w:color w:val="000000" w:themeColor="text1"/>
        </w:rPr>
        <w:t>μL</w:t>
      </w:r>
      <w:proofErr w:type="spellEnd"/>
      <w:r w:rsidRPr="00D74025">
        <w:rPr>
          <w:rFonts w:ascii="Arial" w:hAnsi="Arial" w:cs="Arial"/>
          <w:color w:val="000000" w:themeColor="text1"/>
        </w:rPr>
        <w:t xml:space="preserve"> of cell stock to a 2 mL </w:t>
      </w:r>
      <w:proofErr w:type="spellStart"/>
      <w:r w:rsidRPr="00D74025">
        <w:rPr>
          <w:rFonts w:ascii="Arial" w:hAnsi="Arial" w:cs="Arial"/>
          <w:color w:val="000000" w:themeColor="text1"/>
        </w:rPr>
        <w:t>microvial</w:t>
      </w:r>
      <w:proofErr w:type="spellEnd"/>
      <w:r w:rsidRPr="00D74025">
        <w:rPr>
          <w:rFonts w:ascii="Arial" w:hAnsi="Arial" w:cs="Arial"/>
          <w:color w:val="000000" w:themeColor="text1"/>
        </w:rPr>
        <w:t>.</w:t>
      </w:r>
    </w:p>
    <w:p w14:paraId="7D37581A" w14:textId="77777777" w:rsidR="009E4238" w:rsidRPr="00D74025" w:rsidRDefault="009E4238">
      <w:pPr>
        <w:pStyle w:val="ListParagraph"/>
        <w:numPr>
          <w:ilvl w:val="0"/>
          <w:numId w:val="59"/>
        </w:numPr>
        <w:spacing w:before="0" w:beforeAutospacing="0" w:after="0" w:afterAutospacing="0" w:line="276" w:lineRule="auto"/>
        <w:jc w:val="left"/>
        <w:rPr>
          <w:rFonts w:ascii="Arial" w:hAnsi="Arial" w:cs="Arial"/>
          <w:b/>
          <w:bCs/>
          <w:color w:val="000000" w:themeColor="text1"/>
        </w:rPr>
      </w:pPr>
      <w:r w:rsidRPr="00D74025">
        <w:rPr>
          <w:rFonts w:ascii="Arial" w:hAnsi="Arial" w:cs="Arial"/>
          <w:b/>
          <w:bCs/>
          <w:color w:val="000000" w:themeColor="text1"/>
        </w:rPr>
        <w:t>Add mouse Fc Block (CD16/CD32 purified)</w:t>
      </w:r>
    </w:p>
    <w:p w14:paraId="4F3BE54A" w14:textId="77777777" w:rsidR="009E4238" w:rsidRPr="00D74025" w:rsidRDefault="009E4238">
      <w:pPr>
        <w:pStyle w:val="ListParagraph"/>
        <w:numPr>
          <w:ilvl w:val="0"/>
          <w:numId w:val="5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Spin primary antibody tubes to pull solution to bottom of vial.</w:t>
      </w:r>
    </w:p>
    <w:p w14:paraId="47D82DDC" w14:textId="56BC94F7" w:rsidR="009E4238" w:rsidRPr="00D74025" w:rsidRDefault="009E4238">
      <w:pPr>
        <w:pStyle w:val="ListParagraph"/>
        <w:numPr>
          <w:ilvl w:val="0"/>
          <w:numId w:val="5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Prepare antibody cocktail</w:t>
      </w:r>
      <w:r w:rsidR="00AF4D01">
        <w:rPr>
          <w:rFonts w:ascii="Arial" w:hAnsi="Arial" w:cs="Arial"/>
          <w:color w:val="000000" w:themeColor="text1"/>
        </w:rPr>
        <w:t>.</w:t>
      </w:r>
    </w:p>
    <w:p w14:paraId="4B6432ED" w14:textId="237EC2E9" w:rsidR="009E4238" w:rsidRPr="00D74025" w:rsidRDefault="009E4238">
      <w:pPr>
        <w:pStyle w:val="ListParagraph"/>
        <w:numPr>
          <w:ilvl w:val="0"/>
          <w:numId w:val="5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Add stock antibody cocktail (Table 1) and bring final volume to 50 </w:t>
      </w:r>
      <w:proofErr w:type="spellStart"/>
      <w:r w:rsidRPr="00D74025">
        <w:rPr>
          <w:rFonts w:ascii="Arial" w:hAnsi="Arial" w:cs="Arial"/>
          <w:color w:val="000000" w:themeColor="text1"/>
        </w:rPr>
        <w:t>μ</w:t>
      </w:r>
      <w:r w:rsidR="00AF4D01">
        <w:rPr>
          <w:rFonts w:ascii="Arial" w:hAnsi="Arial" w:cs="Arial"/>
          <w:color w:val="000000" w:themeColor="text1"/>
        </w:rPr>
        <w:t>L</w:t>
      </w:r>
      <w:proofErr w:type="spellEnd"/>
      <w:r w:rsidRPr="00D74025">
        <w:rPr>
          <w:rFonts w:ascii="Arial" w:hAnsi="Arial" w:cs="Arial"/>
          <w:color w:val="000000" w:themeColor="text1"/>
        </w:rPr>
        <w:t xml:space="preserve"> with SB.</w:t>
      </w:r>
    </w:p>
    <w:p w14:paraId="5E029E6A" w14:textId="77777777" w:rsidR="009E4238" w:rsidRPr="00D74025" w:rsidRDefault="009E4238">
      <w:pPr>
        <w:pStyle w:val="ListParagraph"/>
        <w:numPr>
          <w:ilvl w:val="0"/>
          <w:numId w:val="5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Incubate for at least 60 minutes at 2-8°C or on ice. Protect from light.</w:t>
      </w:r>
    </w:p>
    <w:p w14:paraId="25842D10" w14:textId="16FE5406" w:rsidR="009E4238" w:rsidRPr="00D74025" w:rsidRDefault="009E4238">
      <w:pPr>
        <w:pStyle w:val="ListParagraph"/>
        <w:numPr>
          <w:ilvl w:val="0"/>
          <w:numId w:val="5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Wash the cells by adding </w:t>
      </w:r>
      <w:r w:rsidR="009C298A">
        <w:rPr>
          <w:rFonts w:ascii="Arial" w:hAnsi="Arial" w:cs="Arial"/>
          <w:color w:val="000000" w:themeColor="text1"/>
        </w:rPr>
        <w:t>SB</w:t>
      </w:r>
      <w:r w:rsidRPr="00D74025">
        <w:rPr>
          <w:rFonts w:ascii="Arial" w:hAnsi="Arial" w:cs="Arial"/>
          <w:color w:val="000000" w:themeColor="text1"/>
        </w:rPr>
        <w:t xml:space="preserve">. Use 2 ml </w:t>
      </w:r>
      <w:proofErr w:type="gramStart"/>
      <w:r w:rsidRPr="00D74025">
        <w:rPr>
          <w:rFonts w:ascii="Arial" w:hAnsi="Arial" w:cs="Arial"/>
          <w:color w:val="000000" w:themeColor="text1"/>
        </w:rPr>
        <w:t>tube</w:t>
      </w:r>
      <w:r w:rsidRPr="00D74025">
        <w:rPr>
          <w:rFonts w:ascii="Arial" w:hAnsi="Arial" w:cs="Arial"/>
          <w:color w:val="000000" w:themeColor="text1"/>
          <w:vertAlign w:val="superscript"/>
        </w:rPr>
        <w:t>-1</w:t>
      </w:r>
      <w:proofErr w:type="gramEnd"/>
      <w:r w:rsidRPr="00D74025">
        <w:rPr>
          <w:rFonts w:ascii="Arial" w:hAnsi="Arial" w:cs="Arial"/>
          <w:color w:val="000000" w:themeColor="text1"/>
        </w:rPr>
        <w:t>. Centrifuge at 400-600</w:t>
      </w:r>
      <w:r w:rsidRPr="00D74025">
        <w:rPr>
          <w:rFonts w:ascii="Arial" w:hAnsi="Arial" w:cs="Arial"/>
          <w:i/>
          <w:iCs/>
          <w:color w:val="000000" w:themeColor="text1"/>
        </w:rPr>
        <w:t xml:space="preserve">g </w:t>
      </w:r>
      <w:r w:rsidRPr="00D74025">
        <w:rPr>
          <w:rFonts w:ascii="Arial" w:hAnsi="Arial" w:cs="Arial"/>
          <w:color w:val="000000" w:themeColor="text1"/>
        </w:rPr>
        <w:t>for 5 min at room temperature. Discard supernatant.</w:t>
      </w:r>
    </w:p>
    <w:p w14:paraId="5AC18F82" w14:textId="77777777" w:rsidR="009E4238" w:rsidRPr="00D74025" w:rsidRDefault="009E4238">
      <w:pPr>
        <w:pStyle w:val="ListParagraph"/>
        <w:numPr>
          <w:ilvl w:val="0"/>
          <w:numId w:val="5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Repeat previous wash step.</w:t>
      </w:r>
    </w:p>
    <w:p w14:paraId="4EAB601E" w14:textId="7157C4BB" w:rsidR="009E4238" w:rsidRPr="00D74025" w:rsidRDefault="009E4238">
      <w:pPr>
        <w:pStyle w:val="ListParagraph"/>
        <w:numPr>
          <w:ilvl w:val="0"/>
          <w:numId w:val="5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Add 1 ml of </w:t>
      </w:r>
      <w:r w:rsidR="009C298A">
        <w:rPr>
          <w:rFonts w:ascii="Arial" w:hAnsi="Arial" w:cs="Arial"/>
          <w:color w:val="000000" w:themeColor="text1"/>
        </w:rPr>
        <w:t>f</w:t>
      </w:r>
      <w:r w:rsidRPr="00D74025">
        <w:rPr>
          <w:rFonts w:ascii="Arial" w:hAnsi="Arial" w:cs="Arial"/>
          <w:color w:val="000000" w:themeColor="text1"/>
        </w:rPr>
        <w:t>ixation/</w:t>
      </w:r>
      <w:r w:rsidR="009C298A">
        <w:rPr>
          <w:rFonts w:ascii="Arial" w:hAnsi="Arial" w:cs="Arial"/>
          <w:color w:val="000000" w:themeColor="text1"/>
        </w:rPr>
        <w:t>p</w:t>
      </w:r>
      <w:r w:rsidRPr="00D74025">
        <w:rPr>
          <w:rFonts w:ascii="Arial" w:hAnsi="Arial" w:cs="Arial"/>
          <w:color w:val="000000" w:themeColor="text1"/>
        </w:rPr>
        <w:t>ermeabilization working solution to each tube and pulse vortex.</w:t>
      </w:r>
    </w:p>
    <w:p w14:paraId="1F933C56" w14:textId="77777777" w:rsidR="009E4238" w:rsidRPr="00D74025" w:rsidRDefault="009E4238">
      <w:pPr>
        <w:pStyle w:val="ListParagraph"/>
        <w:numPr>
          <w:ilvl w:val="0"/>
          <w:numId w:val="5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lastRenderedPageBreak/>
        <w:t>Incubate for 60 min at room temperature. Protect samples from light.</w:t>
      </w:r>
    </w:p>
    <w:p w14:paraId="6E7E761F" w14:textId="3D2F39CA" w:rsidR="009E4238" w:rsidRPr="00D74025" w:rsidRDefault="009E4238">
      <w:pPr>
        <w:pStyle w:val="ListParagraph"/>
        <w:numPr>
          <w:ilvl w:val="0"/>
          <w:numId w:val="5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Wash the cells by adding 1X </w:t>
      </w:r>
      <w:r w:rsidR="009C298A">
        <w:rPr>
          <w:rFonts w:ascii="Arial" w:hAnsi="Arial" w:cs="Arial"/>
          <w:color w:val="000000" w:themeColor="text1"/>
        </w:rPr>
        <w:t>p</w:t>
      </w:r>
      <w:r w:rsidRPr="00D74025">
        <w:rPr>
          <w:rFonts w:ascii="Arial" w:hAnsi="Arial" w:cs="Arial"/>
          <w:color w:val="000000" w:themeColor="text1"/>
        </w:rPr>
        <w:t xml:space="preserve">ermeabilization </w:t>
      </w:r>
      <w:r w:rsidR="009C298A">
        <w:rPr>
          <w:rFonts w:ascii="Arial" w:hAnsi="Arial" w:cs="Arial"/>
          <w:color w:val="000000" w:themeColor="text1"/>
        </w:rPr>
        <w:t>b</w:t>
      </w:r>
      <w:r w:rsidRPr="00D74025">
        <w:rPr>
          <w:rFonts w:ascii="Arial" w:hAnsi="Arial" w:cs="Arial"/>
          <w:color w:val="000000" w:themeColor="text1"/>
        </w:rPr>
        <w:t xml:space="preserve">uffer to each tube. Use 1 ml </w:t>
      </w:r>
      <w:proofErr w:type="gramStart"/>
      <w:r w:rsidRPr="00D74025">
        <w:rPr>
          <w:rFonts w:ascii="Arial" w:hAnsi="Arial" w:cs="Arial"/>
          <w:color w:val="000000" w:themeColor="text1"/>
        </w:rPr>
        <w:t>tube</w:t>
      </w:r>
      <w:r w:rsidRPr="00D74025">
        <w:rPr>
          <w:rFonts w:ascii="Arial" w:hAnsi="Arial" w:cs="Arial"/>
          <w:color w:val="000000" w:themeColor="text1"/>
          <w:vertAlign w:val="superscript"/>
        </w:rPr>
        <w:t>-1</w:t>
      </w:r>
      <w:proofErr w:type="gramEnd"/>
      <w:r w:rsidRPr="00D74025">
        <w:rPr>
          <w:rFonts w:ascii="Arial" w:hAnsi="Arial" w:cs="Arial"/>
          <w:color w:val="000000" w:themeColor="text1"/>
        </w:rPr>
        <w:t>. Centrifuge at 400-600</w:t>
      </w:r>
      <w:r w:rsidRPr="00D74025">
        <w:rPr>
          <w:rFonts w:ascii="Arial" w:hAnsi="Arial" w:cs="Arial"/>
          <w:i/>
          <w:iCs/>
          <w:color w:val="000000" w:themeColor="text1"/>
        </w:rPr>
        <w:t xml:space="preserve">g </w:t>
      </w:r>
      <w:r w:rsidRPr="00D74025">
        <w:rPr>
          <w:rFonts w:ascii="Arial" w:hAnsi="Arial" w:cs="Arial"/>
          <w:color w:val="000000" w:themeColor="text1"/>
        </w:rPr>
        <w:t>for 5 min at room temperature. Discard supernatant.</w:t>
      </w:r>
    </w:p>
    <w:p w14:paraId="04867D06" w14:textId="77777777" w:rsidR="009E4238" w:rsidRPr="00D74025" w:rsidRDefault="009E4238">
      <w:pPr>
        <w:pStyle w:val="ListParagraph"/>
        <w:numPr>
          <w:ilvl w:val="0"/>
          <w:numId w:val="5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Repeat previous wash step.</w:t>
      </w:r>
    </w:p>
    <w:p w14:paraId="3677091A" w14:textId="6A516F2A" w:rsidR="009E4238" w:rsidRPr="00D74025" w:rsidRDefault="009E4238">
      <w:pPr>
        <w:pStyle w:val="ListParagraph"/>
        <w:numPr>
          <w:ilvl w:val="0"/>
          <w:numId w:val="5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Resuspend pellet in 100 </w:t>
      </w:r>
      <w:proofErr w:type="spellStart"/>
      <w:r w:rsidRPr="00D74025">
        <w:rPr>
          <w:rFonts w:ascii="Arial" w:hAnsi="Arial" w:cs="Arial"/>
          <w:color w:val="000000" w:themeColor="text1"/>
        </w:rPr>
        <w:t>μ</w:t>
      </w:r>
      <w:r w:rsidR="009C298A">
        <w:rPr>
          <w:rFonts w:ascii="Arial" w:hAnsi="Arial" w:cs="Arial"/>
          <w:color w:val="000000" w:themeColor="text1"/>
        </w:rPr>
        <w:t>L</w:t>
      </w:r>
      <w:proofErr w:type="spellEnd"/>
      <w:r w:rsidRPr="00D74025">
        <w:rPr>
          <w:rFonts w:ascii="Arial" w:hAnsi="Arial" w:cs="Arial"/>
          <w:color w:val="000000" w:themeColor="text1"/>
        </w:rPr>
        <w:t xml:space="preserve"> of 1X </w:t>
      </w:r>
      <w:r w:rsidR="009C298A">
        <w:rPr>
          <w:rFonts w:ascii="Arial" w:hAnsi="Arial" w:cs="Arial"/>
          <w:color w:val="000000" w:themeColor="text1"/>
        </w:rPr>
        <w:t>p</w:t>
      </w:r>
      <w:r w:rsidRPr="00D74025">
        <w:rPr>
          <w:rFonts w:ascii="Arial" w:hAnsi="Arial" w:cs="Arial"/>
          <w:color w:val="000000" w:themeColor="text1"/>
        </w:rPr>
        <w:t>ermeabilization Buffer. This is typically the residual volume after decanting.</w:t>
      </w:r>
    </w:p>
    <w:p w14:paraId="0FA4ED96" w14:textId="338B5B90" w:rsidR="009E4238" w:rsidRPr="00D74025" w:rsidRDefault="009E4238">
      <w:pPr>
        <w:pStyle w:val="ListParagraph"/>
        <w:numPr>
          <w:ilvl w:val="0"/>
          <w:numId w:val="5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Block with 2% BSA by adding 2 </w:t>
      </w:r>
      <w:proofErr w:type="spellStart"/>
      <w:r w:rsidRPr="00D74025">
        <w:rPr>
          <w:rFonts w:ascii="Arial" w:hAnsi="Arial" w:cs="Arial"/>
          <w:color w:val="000000" w:themeColor="text1"/>
        </w:rPr>
        <w:t>μ</w:t>
      </w:r>
      <w:r w:rsidR="009C298A">
        <w:rPr>
          <w:rFonts w:ascii="Arial" w:hAnsi="Arial" w:cs="Arial"/>
          <w:color w:val="000000" w:themeColor="text1"/>
        </w:rPr>
        <w:t>L</w:t>
      </w:r>
      <w:proofErr w:type="spellEnd"/>
      <w:r w:rsidRPr="00D74025">
        <w:rPr>
          <w:rFonts w:ascii="Arial" w:hAnsi="Arial" w:cs="Arial"/>
          <w:color w:val="000000" w:themeColor="text1"/>
        </w:rPr>
        <w:t xml:space="preserve"> directly to the cells.</w:t>
      </w:r>
    </w:p>
    <w:p w14:paraId="453B3D61" w14:textId="77777777" w:rsidR="009E4238" w:rsidRPr="00D74025" w:rsidRDefault="009E4238">
      <w:pPr>
        <w:pStyle w:val="ListParagraph"/>
        <w:numPr>
          <w:ilvl w:val="0"/>
          <w:numId w:val="5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Incubate for 15 min at room temperature.</w:t>
      </w:r>
    </w:p>
    <w:p w14:paraId="0CAE7A53" w14:textId="68A3E847" w:rsidR="009E4238" w:rsidRPr="00D74025" w:rsidRDefault="009E4238">
      <w:pPr>
        <w:pStyle w:val="ListParagraph"/>
        <w:numPr>
          <w:ilvl w:val="0"/>
          <w:numId w:val="5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Without washing, add either 2.5 </w:t>
      </w:r>
      <w:proofErr w:type="spellStart"/>
      <w:r w:rsidRPr="00D74025">
        <w:rPr>
          <w:rFonts w:ascii="Arial" w:hAnsi="Arial" w:cs="Arial"/>
          <w:color w:val="000000" w:themeColor="text1"/>
        </w:rPr>
        <w:t>μL</w:t>
      </w:r>
      <w:proofErr w:type="spellEnd"/>
      <w:r w:rsidRPr="00D74025">
        <w:rPr>
          <w:rFonts w:ascii="Arial" w:hAnsi="Arial" w:cs="Arial"/>
          <w:color w:val="000000" w:themeColor="text1"/>
        </w:rPr>
        <w:t xml:space="preserve"> of PE-Foxp3 antibody or SB to cells.</w:t>
      </w:r>
    </w:p>
    <w:p w14:paraId="1C976B97" w14:textId="77777777" w:rsidR="009E4238" w:rsidRPr="00D74025" w:rsidRDefault="009E4238">
      <w:pPr>
        <w:pStyle w:val="ListParagraph"/>
        <w:numPr>
          <w:ilvl w:val="0"/>
          <w:numId w:val="5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Incubate for at least 30 minutes at room temperature. Protect samples from light.</w:t>
      </w:r>
    </w:p>
    <w:p w14:paraId="7807447D" w14:textId="377170F2" w:rsidR="009E4238" w:rsidRPr="00D74025" w:rsidRDefault="009E4238">
      <w:pPr>
        <w:pStyle w:val="ListParagraph"/>
        <w:numPr>
          <w:ilvl w:val="0"/>
          <w:numId w:val="5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Wash the cells by adding 1X </w:t>
      </w:r>
      <w:r w:rsidR="00F87EBE">
        <w:rPr>
          <w:rFonts w:ascii="Arial" w:hAnsi="Arial" w:cs="Arial"/>
          <w:color w:val="000000" w:themeColor="text1"/>
        </w:rPr>
        <w:t>p</w:t>
      </w:r>
      <w:r w:rsidRPr="00D74025">
        <w:rPr>
          <w:rFonts w:ascii="Arial" w:hAnsi="Arial" w:cs="Arial"/>
          <w:color w:val="000000" w:themeColor="text1"/>
        </w:rPr>
        <w:t xml:space="preserve">ermeabilization </w:t>
      </w:r>
      <w:r w:rsidR="00F87EBE">
        <w:rPr>
          <w:rFonts w:ascii="Arial" w:hAnsi="Arial" w:cs="Arial"/>
          <w:color w:val="000000" w:themeColor="text1"/>
        </w:rPr>
        <w:t>b</w:t>
      </w:r>
      <w:r w:rsidRPr="00D74025">
        <w:rPr>
          <w:rFonts w:ascii="Arial" w:hAnsi="Arial" w:cs="Arial"/>
          <w:color w:val="000000" w:themeColor="text1"/>
        </w:rPr>
        <w:t>uffer to each tube. Use 1 ml</w:t>
      </w:r>
      <w:r w:rsidR="00F87EBE">
        <w:rPr>
          <w:rFonts w:ascii="Arial" w:hAnsi="Arial" w:cs="Arial"/>
          <w:color w:val="000000" w:themeColor="text1"/>
        </w:rPr>
        <w:t>/</w:t>
      </w:r>
      <w:r w:rsidRPr="00D74025">
        <w:rPr>
          <w:rFonts w:ascii="Arial" w:hAnsi="Arial" w:cs="Arial"/>
          <w:color w:val="000000" w:themeColor="text1"/>
        </w:rPr>
        <w:t>tube</w:t>
      </w:r>
      <w:r w:rsidR="00F87EBE">
        <w:rPr>
          <w:rFonts w:ascii="Arial" w:hAnsi="Arial" w:cs="Arial"/>
          <w:color w:val="000000" w:themeColor="text1"/>
          <w:vertAlign w:val="superscript"/>
        </w:rPr>
        <w:t xml:space="preserve">. </w:t>
      </w:r>
      <w:r w:rsidRPr="00D74025">
        <w:rPr>
          <w:rFonts w:ascii="Arial" w:hAnsi="Arial" w:cs="Arial"/>
          <w:color w:val="000000" w:themeColor="text1"/>
        </w:rPr>
        <w:t>Centrifuge at 400-600</w:t>
      </w:r>
      <w:r w:rsidRPr="00D74025">
        <w:rPr>
          <w:rFonts w:ascii="Arial" w:hAnsi="Arial" w:cs="Arial"/>
          <w:i/>
          <w:iCs/>
          <w:color w:val="000000" w:themeColor="text1"/>
        </w:rPr>
        <w:t xml:space="preserve">g </w:t>
      </w:r>
      <w:r w:rsidRPr="00D74025">
        <w:rPr>
          <w:rFonts w:ascii="Arial" w:hAnsi="Arial" w:cs="Arial"/>
          <w:color w:val="000000" w:themeColor="text1"/>
        </w:rPr>
        <w:t>for 5 min at room temperature. Discard supernatant.</w:t>
      </w:r>
    </w:p>
    <w:p w14:paraId="49DB57EF" w14:textId="77777777" w:rsidR="009E4238" w:rsidRPr="00D74025" w:rsidRDefault="009E4238">
      <w:pPr>
        <w:pStyle w:val="ListParagraph"/>
        <w:numPr>
          <w:ilvl w:val="0"/>
          <w:numId w:val="5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Repeat previous wash step.</w:t>
      </w:r>
    </w:p>
    <w:p w14:paraId="7EC954A5" w14:textId="3F566A76" w:rsidR="009E4238" w:rsidRPr="00D74025" w:rsidRDefault="009E4238">
      <w:pPr>
        <w:pStyle w:val="ListParagraph"/>
        <w:numPr>
          <w:ilvl w:val="0"/>
          <w:numId w:val="5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Resuspend cells in an appropriate volume of </w:t>
      </w:r>
      <w:r w:rsidR="000F16D6">
        <w:rPr>
          <w:rFonts w:ascii="Arial" w:hAnsi="Arial" w:cs="Arial"/>
          <w:color w:val="000000" w:themeColor="text1"/>
        </w:rPr>
        <w:t>SB</w:t>
      </w:r>
      <w:r w:rsidRPr="00D74025">
        <w:rPr>
          <w:rFonts w:ascii="Arial" w:hAnsi="Arial" w:cs="Arial"/>
          <w:color w:val="000000" w:themeColor="text1"/>
        </w:rPr>
        <w:t>.</w:t>
      </w:r>
    </w:p>
    <w:p w14:paraId="0CC14291" w14:textId="77777777" w:rsidR="009E4238" w:rsidRPr="00D74025" w:rsidRDefault="009E4238">
      <w:pPr>
        <w:pStyle w:val="ListParagraph"/>
        <w:numPr>
          <w:ilvl w:val="0"/>
          <w:numId w:val="59"/>
        </w:numPr>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Analyze samples by flow cytometry.</w:t>
      </w:r>
    </w:p>
    <w:p w14:paraId="175018C9" w14:textId="0FB4EABF" w:rsidR="009E4238" w:rsidRPr="00D74025" w:rsidRDefault="009E4238" w:rsidP="00F6020C">
      <w:pPr>
        <w:pStyle w:val="Tpico5"/>
        <w:spacing w:line="276" w:lineRule="auto"/>
        <w:rPr>
          <w:rFonts w:ascii="Arial" w:hAnsi="Arial" w:cs="Arial"/>
          <w:color w:val="000000" w:themeColor="text1"/>
          <w:u w:val="none"/>
        </w:rPr>
      </w:pPr>
    </w:p>
    <w:p w14:paraId="192DB9EB" w14:textId="60DA6D54" w:rsidR="00FB376C" w:rsidRPr="00E764B7" w:rsidRDefault="00FB376C" w:rsidP="00E764B7">
      <w:pPr>
        <w:pStyle w:val="Heading2"/>
        <w:spacing w:line="276" w:lineRule="auto"/>
        <w:ind w:firstLine="0"/>
        <w:rPr>
          <w:rFonts w:ascii="Arial" w:hAnsi="Arial" w:cs="Arial"/>
          <w:b/>
          <w:bCs/>
          <w:color w:val="000000" w:themeColor="text1"/>
          <w:sz w:val="24"/>
          <w:szCs w:val="24"/>
          <w:u w:val="single"/>
        </w:rPr>
      </w:pPr>
      <w:bookmarkStart w:id="228" w:name="_Toc121217318"/>
      <w:r w:rsidRPr="00E764B7">
        <w:rPr>
          <w:rFonts w:ascii="Arial" w:hAnsi="Arial" w:cs="Arial"/>
          <w:b/>
          <w:bCs/>
          <w:color w:val="000000" w:themeColor="text1"/>
          <w:sz w:val="24"/>
          <w:szCs w:val="24"/>
          <w:u w:val="single"/>
        </w:rPr>
        <w:t>D</w:t>
      </w:r>
      <w:r w:rsidR="008F25B8">
        <w:rPr>
          <w:rFonts w:ascii="Arial" w:hAnsi="Arial" w:cs="Arial"/>
          <w:b/>
          <w:bCs/>
          <w:color w:val="000000" w:themeColor="text1"/>
          <w:sz w:val="24"/>
          <w:szCs w:val="24"/>
          <w:u w:val="single"/>
        </w:rPr>
        <w:t>6</w:t>
      </w:r>
      <w:r w:rsidR="00E764B7">
        <w:rPr>
          <w:rFonts w:ascii="Arial" w:hAnsi="Arial" w:cs="Arial"/>
          <w:b/>
          <w:bCs/>
          <w:color w:val="000000" w:themeColor="text1"/>
          <w:sz w:val="24"/>
          <w:szCs w:val="24"/>
          <w:u w:val="single"/>
        </w:rPr>
        <w:t>.</w:t>
      </w:r>
      <w:r w:rsidRPr="00E764B7">
        <w:rPr>
          <w:rFonts w:ascii="Arial" w:hAnsi="Arial" w:cs="Arial"/>
          <w:b/>
          <w:bCs/>
          <w:color w:val="000000" w:themeColor="text1"/>
          <w:sz w:val="24"/>
          <w:szCs w:val="24"/>
          <w:u w:val="single"/>
        </w:rPr>
        <w:t xml:space="preserve"> </w:t>
      </w:r>
      <w:r w:rsidR="00E764B7">
        <w:rPr>
          <w:rFonts w:ascii="Arial" w:hAnsi="Arial" w:cs="Arial"/>
          <w:b/>
          <w:bCs/>
          <w:color w:val="000000" w:themeColor="text1"/>
          <w:sz w:val="24"/>
          <w:szCs w:val="24"/>
          <w:u w:val="single"/>
        </w:rPr>
        <w:t>Preparation of t</w:t>
      </w:r>
      <w:r w:rsidRPr="00E764B7">
        <w:rPr>
          <w:rFonts w:ascii="Arial" w:hAnsi="Arial" w:cs="Arial"/>
          <w:b/>
          <w:bCs/>
          <w:color w:val="000000" w:themeColor="text1"/>
          <w:sz w:val="24"/>
          <w:szCs w:val="24"/>
          <w:u w:val="single"/>
        </w:rPr>
        <w:t>issue lysate for SWCNT detection after biodistribution study</w:t>
      </w:r>
      <w:bookmarkEnd w:id="228"/>
    </w:p>
    <w:p w14:paraId="0A422240" w14:textId="77777777" w:rsidR="00FB376C" w:rsidRPr="00D74025" w:rsidRDefault="00FB376C" w:rsidP="00F6020C">
      <w:pPr>
        <w:autoSpaceDE w:val="0"/>
        <w:autoSpaceDN w:val="0"/>
        <w:adjustRightInd w:val="0"/>
        <w:spacing w:line="276" w:lineRule="auto"/>
        <w:rPr>
          <w:rFonts w:ascii="Arial" w:hAnsi="Arial" w:cs="Arial"/>
          <w:color w:val="000000" w:themeColor="text1"/>
        </w:rPr>
      </w:pPr>
    </w:p>
    <w:p w14:paraId="2628955E" w14:textId="77777777" w:rsidR="00FB376C" w:rsidRPr="00D74025" w:rsidRDefault="00FB376C"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 xml:space="preserve">Lysis buffer: 1% SDS, 1% Triton X-100, 40 mM </w:t>
      </w:r>
      <w:proofErr w:type="gramStart"/>
      <w:r w:rsidRPr="00D74025">
        <w:rPr>
          <w:rFonts w:ascii="Arial" w:hAnsi="Arial" w:cs="Arial"/>
          <w:color w:val="000000" w:themeColor="text1"/>
        </w:rPr>
        <w:t>Tris</w:t>
      </w:r>
      <w:proofErr w:type="gramEnd"/>
      <w:r w:rsidRPr="00D74025">
        <w:rPr>
          <w:rFonts w:ascii="Arial" w:hAnsi="Arial" w:cs="Arial"/>
          <w:color w:val="000000" w:themeColor="text1"/>
        </w:rPr>
        <w:t xml:space="preserve"> acetate, 10 mM EDTA, 10 mM DTT</w:t>
      </w:r>
    </w:p>
    <w:p w14:paraId="7DF6FFC0" w14:textId="77777777" w:rsidR="00FB376C" w:rsidRPr="00D74025" w:rsidRDefault="00FB376C"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To make 1 L of that buffer:</w:t>
      </w:r>
    </w:p>
    <w:p w14:paraId="07BE6955" w14:textId="77777777" w:rsidR="00FB376C" w:rsidRPr="00D74025" w:rsidRDefault="00FB376C" w:rsidP="00F6020C">
      <w:pPr>
        <w:autoSpaceDE w:val="0"/>
        <w:autoSpaceDN w:val="0"/>
        <w:adjustRightInd w:val="0"/>
        <w:spacing w:line="276" w:lineRule="auto"/>
        <w:rPr>
          <w:rFonts w:ascii="Arial" w:hAnsi="Arial" w:cs="Arial"/>
          <w:color w:val="000000" w:themeColor="text1"/>
        </w:rPr>
      </w:pPr>
    </w:p>
    <w:p w14:paraId="2EDB89AB" w14:textId="77777777" w:rsidR="00FB376C" w:rsidRPr="00D74025" w:rsidRDefault="00FB376C">
      <w:pPr>
        <w:pStyle w:val="ListParagraph"/>
        <w:numPr>
          <w:ilvl w:val="0"/>
          <w:numId w:val="66"/>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Take 1 L of DI water</w:t>
      </w:r>
    </w:p>
    <w:p w14:paraId="373D29E8" w14:textId="77777777" w:rsidR="00FB376C" w:rsidRPr="00D74025" w:rsidRDefault="00FB376C">
      <w:pPr>
        <w:pStyle w:val="ListParagraph"/>
        <w:numPr>
          <w:ilvl w:val="0"/>
          <w:numId w:val="66"/>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Add 7.248 g of tris acetate</w:t>
      </w:r>
    </w:p>
    <w:p w14:paraId="407D7961" w14:textId="77777777" w:rsidR="00FB376C" w:rsidRPr="00D74025" w:rsidRDefault="00FB376C">
      <w:pPr>
        <w:pStyle w:val="ListParagraph"/>
        <w:numPr>
          <w:ilvl w:val="0"/>
          <w:numId w:val="66"/>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Add 1.543 g of DTT</w:t>
      </w:r>
    </w:p>
    <w:p w14:paraId="28A65EBF" w14:textId="28FAE149" w:rsidR="00FB376C" w:rsidRPr="00D74025" w:rsidRDefault="00FB376C">
      <w:pPr>
        <w:pStyle w:val="ListParagraph"/>
        <w:numPr>
          <w:ilvl w:val="0"/>
          <w:numId w:val="66"/>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Add 10 ml of </w:t>
      </w:r>
      <w:r w:rsidR="000F16D6">
        <w:rPr>
          <w:rFonts w:ascii="Arial" w:hAnsi="Arial" w:cs="Arial"/>
          <w:color w:val="000000" w:themeColor="text1"/>
        </w:rPr>
        <w:t>T</w:t>
      </w:r>
      <w:r w:rsidRPr="00D74025">
        <w:rPr>
          <w:rFonts w:ascii="Arial" w:hAnsi="Arial" w:cs="Arial"/>
          <w:color w:val="000000" w:themeColor="text1"/>
        </w:rPr>
        <w:t xml:space="preserve">riton </w:t>
      </w:r>
      <w:r w:rsidR="000F16D6">
        <w:rPr>
          <w:rFonts w:ascii="Arial" w:hAnsi="Arial" w:cs="Arial"/>
          <w:color w:val="000000" w:themeColor="text1"/>
        </w:rPr>
        <w:t>X</w:t>
      </w:r>
      <w:r w:rsidRPr="00D74025">
        <w:rPr>
          <w:rFonts w:ascii="Arial" w:hAnsi="Arial" w:cs="Arial"/>
          <w:color w:val="000000" w:themeColor="text1"/>
        </w:rPr>
        <w:t>-100</w:t>
      </w:r>
    </w:p>
    <w:p w14:paraId="118D9D6E" w14:textId="77777777" w:rsidR="00FB376C" w:rsidRPr="00D74025" w:rsidRDefault="00FB376C">
      <w:pPr>
        <w:pStyle w:val="ListParagraph"/>
        <w:numPr>
          <w:ilvl w:val="0"/>
          <w:numId w:val="66"/>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Add 10 g of SDS</w:t>
      </w:r>
    </w:p>
    <w:p w14:paraId="00DD48DA" w14:textId="77777777" w:rsidR="00FB376C" w:rsidRPr="00D74025" w:rsidRDefault="00FB376C" w:rsidP="00F6020C">
      <w:pPr>
        <w:autoSpaceDE w:val="0"/>
        <w:autoSpaceDN w:val="0"/>
        <w:adjustRightInd w:val="0"/>
        <w:spacing w:line="276" w:lineRule="auto"/>
        <w:rPr>
          <w:rFonts w:ascii="Arial" w:hAnsi="Arial" w:cs="Arial"/>
          <w:color w:val="000000" w:themeColor="text1"/>
        </w:rPr>
      </w:pPr>
    </w:p>
    <w:p w14:paraId="44407609" w14:textId="77777777" w:rsidR="00FB376C" w:rsidRPr="00D74025" w:rsidRDefault="00FB376C" w:rsidP="00F6020C">
      <w:pPr>
        <w:autoSpaceDE w:val="0"/>
        <w:autoSpaceDN w:val="0"/>
        <w:adjustRightInd w:val="0"/>
        <w:spacing w:line="276" w:lineRule="auto"/>
        <w:rPr>
          <w:rFonts w:ascii="Arial" w:hAnsi="Arial" w:cs="Arial"/>
          <w:color w:val="000000" w:themeColor="text1"/>
        </w:rPr>
      </w:pPr>
    </w:p>
    <w:p w14:paraId="77FD22DD" w14:textId="77777777" w:rsidR="00FB376C" w:rsidRPr="00D74025" w:rsidRDefault="00FB376C"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Procedures</w:t>
      </w:r>
    </w:p>
    <w:p w14:paraId="452F7DA8" w14:textId="77777777" w:rsidR="00FB376C" w:rsidRPr="00D74025" w:rsidRDefault="00FB376C" w:rsidP="00F6020C">
      <w:pPr>
        <w:autoSpaceDE w:val="0"/>
        <w:autoSpaceDN w:val="0"/>
        <w:adjustRightInd w:val="0"/>
        <w:spacing w:line="276" w:lineRule="auto"/>
        <w:rPr>
          <w:rFonts w:ascii="Arial" w:hAnsi="Arial" w:cs="Arial"/>
          <w:color w:val="000000" w:themeColor="text1"/>
        </w:rPr>
      </w:pPr>
    </w:p>
    <w:p w14:paraId="49F47C29" w14:textId="3BA17287" w:rsidR="00FB376C" w:rsidRPr="00D74025" w:rsidRDefault="00FB376C">
      <w:pPr>
        <w:pStyle w:val="ListParagraph"/>
        <w:numPr>
          <w:ilvl w:val="0"/>
          <w:numId w:val="65"/>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Thaw the frozen vial that had cataloged organ/tissue</w:t>
      </w:r>
      <w:r w:rsidR="000F16D6">
        <w:rPr>
          <w:rFonts w:ascii="Arial" w:hAnsi="Arial" w:cs="Arial"/>
          <w:color w:val="000000" w:themeColor="text1"/>
        </w:rPr>
        <w:t>.</w:t>
      </w:r>
    </w:p>
    <w:p w14:paraId="434BFA79" w14:textId="3BB38A0C" w:rsidR="00FB376C" w:rsidRPr="00D74025" w:rsidRDefault="00FB376C">
      <w:pPr>
        <w:pStyle w:val="ListParagraph"/>
        <w:numPr>
          <w:ilvl w:val="1"/>
          <w:numId w:val="65"/>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The weight of the sample should have been recorded during collection of organs</w:t>
      </w:r>
      <w:r w:rsidR="000F16D6">
        <w:rPr>
          <w:rFonts w:ascii="Arial" w:hAnsi="Arial" w:cs="Arial"/>
          <w:color w:val="000000" w:themeColor="text1"/>
        </w:rPr>
        <w:t>.</w:t>
      </w:r>
    </w:p>
    <w:p w14:paraId="54D4DC08" w14:textId="77777777" w:rsidR="00FB376C" w:rsidRPr="00D74025" w:rsidRDefault="00FB376C">
      <w:pPr>
        <w:pStyle w:val="ListParagraph"/>
        <w:numPr>
          <w:ilvl w:val="0"/>
          <w:numId w:val="65"/>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Cut the organ/tissue in smaller pieces</w:t>
      </w:r>
    </w:p>
    <w:p w14:paraId="050A0437" w14:textId="6ECEED00" w:rsidR="00FB376C" w:rsidRPr="00D74025" w:rsidRDefault="00FB376C">
      <w:pPr>
        <w:pStyle w:val="ListParagraph"/>
        <w:numPr>
          <w:ilvl w:val="0"/>
          <w:numId w:val="65"/>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Place tissue into tissue grinder and add a small volume of lysis buffer to it (~3</w:t>
      </w:r>
      <w:r w:rsidR="000F16D6">
        <w:rPr>
          <w:rFonts w:ascii="Arial" w:hAnsi="Arial" w:cs="Arial"/>
          <w:color w:val="000000" w:themeColor="text1"/>
        </w:rPr>
        <w:t> </w:t>
      </w:r>
      <w:r w:rsidRPr="00D74025">
        <w:rPr>
          <w:rFonts w:ascii="Arial" w:hAnsi="Arial" w:cs="Arial"/>
          <w:color w:val="000000" w:themeColor="text1"/>
        </w:rPr>
        <w:t>ml)</w:t>
      </w:r>
      <w:r w:rsidR="000F16D6">
        <w:rPr>
          <w:rFonts w:ascii="Arial" w:hAnsi="Arial" w:cs="Arial"/>
          <w:color w:val="000000" w:themeColor="text1"/>
        </w:rPr>
        <w:t>.</w:t>
      </w:r>
    </w:p>
    <w:p w14:paraId="6C505545" w14:textId="136708F2" w:rsidR="00FB376C" w:rsidRPr="00D74025" w:rsidRDefault="00FB376C">
      <w:pPr>
        <w:pStyle w:val="ListParagraph"/>
        <w:numPr>
          <w:ilvl w:val="0"/>
          <w:numId w:val="65"/>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Grind tissue</w:t>
      </w:r>
      <w:r w:rsidR="000F16D6">
        <w:rPr>
          <w:rFonts w:ascii="Arial" w:hAnsi="Arial" w:cs="Arial"/>
          <w:color w:val="000000" w:themeColor="text1"/>
        </w:rPr>
        <w:t>.</w:t>
      </w:r>
    </w:p>
    <w:p w14:paraId="60E4271C" w14:textId="72CEEDC6" w:rsidR="00FB376C" w:rsidRPr="00D74025" w:rsidRDefault="00FB376C">
      <w:pPr>
        <w:pStyle w:val="ListParagraph"/>
        <w:numPr>
          <w:ilvl w:val="0"/>
          <w:numId w:val="65"/>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Transfer the contents of the tissue grinder to a 15 ml Falcon tube</w:t>
      </w:r>
      <w:r w:rsidR="000F16D6">
        <w:rPr>
          <w:rFonts w:ascii="Arial" w:hAnsi="Arial" w:cs="Arial"/>
          <w:color w:val="000000" w:themeColor="text1"/>
        </w:rPr>
        <w:t>.</w:t>
      </w:r>
    </w:p>
    <w:p w14:paraId="2BBD3E81" w14:textId="0784B82C" w:rsidR="00FB376C" w:rsidRPr="00D74025" w:rsidRDefault="00FB376C">
      <w:pPr>
        <w:pStyle w:val="ListParagraph"/>
        <w:numPr>
          <w:ilvl w:val="0"/>
          <w:numId w:val="65"/>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lastRenderedPageBreak/>
        <w:t>Complete volume to 15 ml of total solution</w:t>
      </w:r>
      <w:r w:rsidR="000F16D6">
        <w:rPr>
          <w:rFonts w:ascii="Arial" w:hAnsi="Arial" w:cs="Arial"/>
          <w:color w:val="000000" w:themeColor="text1"/>
        </w:rPr>
        <w:t>.</w:t>
      </w:r>
    </w:p>
    <w:p w14:paraId="1613B2D5" w14:textId="099A318D" w:rsidR="00FB376C" w:rsidRPr="00D74025" w:rsidRDefault="00FB376C">
      <w:pPr>
        <w:pStyle w:val="ListParagraph"/>
        <w:numPr>
          <w:ilvl w:val="0"/>
          <w:numId w:val="65"/>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Place vial in incubator at 70</w:t>
      </w:r>
      <w:r w:rsidRPr="00D74025">
        <w:rPr>
          <w:rFonts w:ascii="Arial" w:hAnsi="Arial" w:cs="Arial"/>
          <w:color w:val="000000" w:themeColor="text1"/>
        </w:rPr>
        <w:sym w:font="Symbol" w:char="F0B0"/>
      </w:r>
      <w:r w:rsidRPr="00D74025">
        <w:rPr>
          <w:rFonts w:ascii="Arial" w:hAnsi="Arial" w:cs="Arial"/>
          <w:color w:val="000000" w:themeColor="text1"/>
        </w:rPr>
        <w:t>C and leave it for 2 h</w:t>
      </w:r>
      <w:r w:rsidR="000F16D6">
        <w:rPr>
          <w:rFonts w:ascii="Arial" w:hAnsi="Arial" w:cs="Arial"/>
          <w:color w:val="000000" w:themeColor="text1"/>
        </w:rPr>
        <w:t>.</w:t>
      </w:r>
    </w:p>
    <w:p w14:paraId="0CC0524D" w14:textId="7B6B9F39" w:rsidR="00FB376C" w:rsidRPr="00D74025" w:rsidRDefault="00FB376C">
      <w:pPr>
        <w:pStyle w:val="ListParagraph"/>
        <w:numPr>
          <w:ilvl w:val="1"/>
          <w:numId w:val="65"/>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At the end of this procedure, a clear homogenate tissue solutions should be obtained for Raman measurement</w:t>
      </w:r>
      <w:r w:rsidR="000F16D6">
        <w:rPr>
          <w:rFonts w:ascii="Arial" w:hAnsi="Arial" w:cs="Arial"/>
          <w:color w:val="000000" w:themeColor="text1"/>
        </w:rPr>
        <w:t>.</w:t>
      </w:r>
    </w:p>
    <w:p w14:paraId="4921FAEF" w14:textId="6AC845F7" w:rsidR="00FB376C" w:rsidRPr="00D74025" w:rsidRDefault="00FB376C">
      <w:pPr>
        <w:pStyle w:val="ListParagraph"/>
        <w:numPr>
          <w:ilvl w:val="0"/>
          <w:numId w:val="65"/>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Send sample for analysis</w:t>
      </w:r>
      <w:r w:rsidR="000F16D6">
        <w:rPr>
          <w:rFonts w:ascii="Arial" w:hAnsi="Arial" w:cs="Arial"/>
          <w:color w:val="000000" w:themeColor="text1"/>
        </w:rPr>
        <w:t>.</w:t>
      </w:r>
    </w:p>
    <w:p w14:paraId="5F350263" w14:textId="37A48E0C" w:rsidR="00FB503C" w:rsidRPr="00D74025" w:rsidRDefault="00FB503C" w:rsidP="00F6020C">
      <w:pPr>
        <w:pStyle w:val="Tpico5"/>
        <w:spacing w:line="276" w:lineRule="auto"/>
        <w:rPr>
          <w:rFonts w:ascii="Arial" w:hAnsi="Arial" w:cs="Arial"/>
          <w:color w:val="000000" w:themeColor="text1"/>
          <w:u w:val="none"/>
        </w:rPr>
      </w:pPr>
    </w:p>
    <w:p w14:paraId="7C0EBAA5" w14:textId="5B8912E0" w:rsidR="00D21A05" w:rsidRPr="00E764B7" w:rsidRDefault="00D21A05" w:rsidP="00E764B7">
      <w:pPr>
        <w:pStyle w:val="Heading2"/>
        <w:spacing w:line="276" w:lineRule="auto"/>
        <w:ind w:firstLine="0"/>
        <w:rPr>
          <w:rFonts w:ascii="Arial" w:hAnsi="Arial" w:cs="Arial"/>
          <w:b/>
          <w:bCs/>
          <w:color w:val="000000" w:themeColor="text1"/>
          <w:sz w:val="24"/>
          <w:szCs w:val="24"/>
          <w:u w:val="single"/>
        </w:rPr>
      </w:pPr>
      <w:bookmarkStart w:id="229" w:name="_Toc121217319"/>
      <w:r w:rsidRPr="00E764B7">
        <w:rPr>
          <w:rFonts w:ascii="Arial" w:hAnsi="Arial" w:cs="Arial"/>
          <w:b/>
          <w:bCs/>
          <w:color w:val="000000" w:themeColor="text1"/>
          <w:sz w:val="24"/>
          <w:szCs w:val="24"/>
          <w:u w:val="single"/>
        </w:rPr>
        <w:t>D</w:t>
      </w:r>
      <w:r w:rsidR="008F25B8">
        <w:rPr>
          <w:rFonts w:ascii="Arial" w:hAnsi="Arial" w:cs="Arial"/>
          <w:b/>
          <w:bCs/>
          <w:color w:val="000000" w:themeColor="text1"/>
          <w:sz w:val="24"/>
          <w:szCs w:val="24"/>
          <w:u w:val="single"/>
        </w:rPr>
        <w:t>7</w:t>
      </w:r>
      <w:r w:rsidRPr="00E764B7">
        <w:rPr>
          <w:rFonts w:ascii="Arial" w:hAnsi="Arial" w:cs="Arial"/>
          <w:b/>
          <w:bCs/>
          <w:color w:val="000000" w:themeColor="text1"/>
          <w:sz w:val="24"/>
          <w:szCs w:val="24"/>
          <w:u w:val="single"/>
        </w:rPr>
        <w:t>. Preparation of injectable hydrogel</w:t>
      </w:r>
      <w:bookmarkEnd w:id="229"/>
    </w:p>
    <w:p w14:paraId="5C1B4EFD" w14:textId="77777777" w:rsidR="00D21A05" w:rsidRPr="00D74025" w:rsidRDefault="00D21A05" w:rsidP="00F6020C">
      <w:pPr>
        <w:autoSpaceDE w:val="0"/>
        <w:autoSpaceDN w:val="0"/>
        <w:adjustRightInd w:val="0"/>
        <w:spacing w:line="276" w:lineRule="auto"/>
        <w:rPr>
          <w:rFonts w:ascii="Arial" w:hAnsi="Arial" w:cs="Arial"/>
          <w:color w:val="000000" w:themeColor="text1"/>
        </w:rPr>
      </w:pPr>
    </w:p>
    <w:p w14:paraId="1EB23447" w14:textId="0D4754CE" w:rsidR="00D21A05" w:rsidRPr="00D74025" w:rsidRDefault="00D21A05">
      <w:pPr>
        <w:pStyle w:val="ListParagraph"/>
        <w:numPr>
          <w:ilvl w:val="0"/>
          <w:numId w:val="69"/>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Dissolve 156.25 mg of </w:t>
      </w:r>
      <w:r w:rsidR="00E221F0" w:rsidRPr="00D74025">
        <w:rPr>
          <w:rFonts w:ascii="Arial" w:hAnsi="Arial" w:cs="Arial"/>
          <w:color w:val="000000" w:themeColor="text1"/>
        </w:rPr>
        <w:t xml:space="preserve">four-arm polyethylene glycol thiol (PEGSH, 95%, MW 5000) </w:t>
      </w:r>
      <w:r w:rsidRPr="00D74025">
        <w:rPr>
          <w:rFonts w:ascii="Arial" w:hAnsi="Arial" w:cs="Arial"/>
          <w:color w:val="000000" w:themeColor="text1"/>
        </w:rPr>
        <w:t xml:space="preserve">in 500 </w:t>
      </w:r>
      <w:r w:rsidR="005726AD">
        <w:rPr>
          <w:rFonts w:ascii="Arial" w:hAnsi="Arial" w:cs="Arial"/>
          <w:color w:val="000000" w:themeColor="text1"/>
        </w:rPr>
        <w:sym w:font="Symbol" w:char="F06D"/>
      </w:r>
      <w:r w:rsidRPr="00D74025">
        <w:rPr>
          <w:rFonts w:ascii="Arial" w:hAnsi="Arial" w:cs="Arial"/>
          <w:color w:val="000000" w:themeColor="text1"/>
        </w:rPr>
        <w:t>L of PBS</w:t>
      </w:r>
    </w:p>
    <w:p w14:paraId="358C3EA4" w14:textId="0B8BCD15" w:rsidR="00D21A05" w:rsidRPr="00D74025" w:rsidRDefault="00D21A05">
      <w:pPr>
        <w:pStyle w:val="ListParagraph"/>
        <w:numPr>
          <w:ilvl w:val="0"/>
          <w:numId w:val="69"/>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Dissolve 43.75 mg of </w:t>
      </w:r>
      <w:r w:rsidR="00E221F0" w:rsidRPr="00D74025">
        <w:rPr>
          <w:rFonts w:ascii="Arial" w:hAnsi="Arial" w:cs="Arial"/>
          <w:color w:val="000000" w:themeColor="text1"/>
        </w:rPr>
        <w:t>poly (ethylene glycol) diacrylate (PEGDA, MW 700)</w:t>
      </w:r>
      <w:r w:rsidRPr="00D74025">
        <w:rPr>
          <w:rFonts w:ascii="Arial" w:hAnsi="Arial" w:cs="Arial"/>
          <w:color w:val="000000" w:themeColor="text1"/>
        </w:rPr>
        <w:t xml:space="preserve"> in 500</w:t>
      </w:r>
      <w:r w:rsidR="00E221F0">
        <w:rPr>
          <w:rFonts w:ascii="Arial" w:hAnsi="Arial" w:cs="Arial"/>
          <w:color w:val="000000" w:themeColor="text1"/>
        </w:rPr>
        <w:t> </w:t>
      </w:r>
      <w:r w:rsidR="005726AD">
        <w:rPr>
          <w:rFonts w:ascii="Arial" w:hAnsi="Arial" w:cs="Arial"/>
          <w:color w:val="000000" w:themeColor="text1"/>
        </w:rPr>
        <w:sym w:font="Symbol" w:char="F06D"/>
      </w:r>
      <w:r w:rsidR="005726AD" w:rsidRPr="00D74025">
        <w:rPr>
          <w:rFonts w:ascii="Arial" w:hAnsi="Arial" w:cs="Arial"/>
          <w:color w:val="000000" w:themeColor="text1"/>
        </w:rPr>
        <w:t>L</w:t>
      </w:r>
      <w:r w:rsidRPr="00D74025">
        <w:rPr>
          <w:rFonts w:ascii="Arial" w:hAnsi="Arial" w:cs="Arial"/>
          <w:color w:val="000000" w:themeColor="text1"/>
        </w:rPr>
        <w:t xml:space="preserve"> of PBS</w:t>
      </w:r>
    </w:p>
    <w:p w14:paraId="5C8CA421" w14:textId="422E950E" w:rsidR="00D21A05" w:rsidRPr="00D74025" w:rsidRDefault="00D21A05">
      <w:pPr>
        <w:pStyle w:val="ListParagraph"/>
        <w:numPr>
          <w:ilvl w:val="0"/>
          <w:numId w:val="69"/>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Mixture both solutions to obtain hydrogel</w:t>
      </w:r>
      <w:r w:rsidR="00EE0A32">
        <w:rPr>
          <w:rFonts w:ascii="Arial" w:hAnsi="Arial" w:cs="Arial"/>
          <w:color w:val="000000" w:themeColor="text1"/>
        </w:rPr>
        <w:t>.</w:t>
      </w:r>
    </w:p>
    <w:p w14:paraId="1A816513" w14:textId="023F4B94" w:rsidR="00D21A05" w:rsidRPr="00D74025" w:rsidRDefault="00D21A05">
      <w:pPr>
        <w:pStyle w:val="ListParagraph"/>
        <w:numPr>
          <w:ilvl w:val="0"/>
          <w:numId w:val="69"/>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Confirm gelation by tube inversion</w:t>
      </w:r>
      <w:r w:rsidR="00EE0A32">
        <w:rPr>
          <w:rFonts w:ascii="Arial" w:hAnsi="Arial" w:cs="Arial"/>
          <w:color w:val="000000" w:themeColor="text1"/>
        </w:rPr>
        <w:t>.</w:t>
      </w:r>
    </w:p>
    <w:p w14:paraId="710F50A2" w14:textId="77777777" w:rsidR="00D21A05" w:rsidRPr="00D74025" w:rsidRDefault="00D21A05" w:rsidP="00F6020C">
      <w:pPr>
        <w:autoSpaceDE w:val="0"/>
        <w:autoSpaceDN w:val="0"/>
        <w:adjustRightInd w:val="0"/>
        <w:spacing w:line="276" w:lineRule="auto"/>
        <w:rPr>
          <w:rFonts w:ascii="Arial" w:hAnsi="Arial" w:cs="Arial"/>
          <w:color w:val="000000" w:themeColor="text1"/>
        </w:rPr>
      </w:pPr>
    </w:p>
    <w:p w14:paraId="739542AC" w14:textId="77777777" w:rsidR="00D21A05" w:rsidRPr="00D74025" w:rsidRDefault="00D21A05" w:rsidP="00F6020C">
      <w:pPr>
        <w:autoSpaceDE w:val="0"/>
        <w:autoSpaceDN w:val="0"/>
        <w:adjustRightInd w:val="0"/>
        <w:spacing w:line="276" w:lineRule="auto"/>
        <w:rPr>
          <w:rFonts w:ascii="Arial" w:hAnsi="Arial" w:cs="Arial"/>
          <w:color w:val="000000" w:themeColor="text1"/>
        </w:rPr>
      </w:pPr>
    </w:p>
    <w:p w14:paraId="402BA902" w14:textId="77777777" w:rsidR="00D21A05" w:rsidRPr="00D74025" w:rsidRDefault="00D21A05"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Preparation of imiquimod (IMQ)-loaded injectable hydrogel</w:t>
      </w:r>
    </w:p>
    <w:p w14:paraId="65FF9A8D" w14:textId="77777777" w:rsidR="00D21A05" w:rsidRPr="00D74025" w:rsidRDefault="00D21A05" w:rsidP="00F6020C">
      <w:pPr>
        <w:autoSpaceDE w:val="0"/>
        <w:autoSpaceDN w:val="0"/>
        <w:adjustRightInd w:val="0"/>
        <w:spacing w:line="276" w:lineRule="auto"/>
        <w:rPr>
          <w:rFonts w:ascii="Arial" w:hAnsi="Arial" w:cs="Arial"/>
          <w:color w:val="000000" w:themeColor="text1"/>
        </w:rPr>
      </w:pPr>
    </w:p>
    <w:p w14:paraId="19D8F17C" w14:textId="23658D69" w:rsidR="00D21A05" w:rsidRPr="00D74025" w:rsidRDefault="00D21A05">
      <w:pPr>
        <w:pStyle w:val="ListParagraph"/>
        <w:numPr>
          <w:ilvl w:val="0"/>
          <w:numId w:val="67"/>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Dissolve 3 mg IMQ with 1 mL DMSO (dimethyl sulfoxide) to get a 3 mg/mL R837 solution</w:t>
      </w:r>
      <w:r w:rsidR="005726AD">
        <w:rPr>
          <w:rFonts w:ascii="Arial" w:hAnsi="Arial" w:cs="Arial"/>
          <w:color w:val="000000" w:themeColor="text1"/>
        </w:rPr>
        <w:t>.</w:t>
      </w:r>
    </w:p>
    <w:p w14:paraId="32B4E8DB" w14:textId="7019A897" w:rsidR="00D21A05" w:rsidRPr="00D74025" w:rsidRDefault="00D21A05">
      <w:pPr>
        <w:pStyle w:val="ListParagraph"/>
        <w:numPr>
          <w:ilvl w:val="0"/>
          <w:numId w:val="67"/>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Add 66.7 </w:t>
      </w:r>
      <w:r w:rsidR="005726AD">
        <w:rPr>
          <w:rFonts w:ascii="Arial" w:hAnsi="Arial" w:cs="Arial"/>
          <w:color w:val="000000" w:themeColor="text1"/>
        </w:rPr>
        <w:sym w:font="Symbol" w:char="F06D"/>
      </w:r>
      <w:r w:rsidR="005726AD" w:rsidRPr="00D74025">
        <w:rPr>
          <w:rFonts w:ascii="Arial" w:hAnsi="Arial" w:cs="Arial"/>
          <w:color w:val="000000" w:themeColor="text1"/>
        </w:rPr>
        <w:t>L</w:t>
      </w:r>
      <w:r w:rsidRPr="00D74025">
        <w:rPr>
          <w:rFonts w:ascii="Arial" w:hAnsi="Arial" w:cs="Arial"/>
          <w:color w:val="000000" w:themeColor="text1"/>
        </w:rPr>
        <w:t xml:space="preserve"> 3 mg/mL R837 solution were added in 500 </w:t>
      </w:r>
      <w:proofErr w:type="spellStart"/>
      <w:r w:rsidRPr="00D74025">
        <w:rPr>
          <w:rFonts w:ascii="Arial" w:hAnsi="Arial" w:cs="Arial"/>
          <w:color w:val="000000" w:themeColor="text1"/>
        </w:rPr>
        <w:t>μL</w:t>
      </w:r>
      <w:proofErr w:type="spellEnd"/>
      <w:r w:rsidRPr="00D74025">
        <w:rPr>
          <w:rFonts w:ascii="Arial" w:hAnsi="Arial" w:cs="Arial"/>
          <w:color w:val="000000" w:themeColor="text1"/>
        </w:rPr>
        <w:t xml:space="preserve"> PEGDA solution (without solid precipitation).</w:t>
      </w:r>
    </w:p>
    <w:p w14:paraId="6155E5FC" w14:textId="282E7ABD" w:rsidR="00D21A05" w:rsidRPr="00D74025" w:rsidRDefault="00D21A05">
      <w:pPr>
        <w:pStyle w:val="ListParagraph"/>
        <w:numPr>
          <w:ilvl w:val="1"/>
          <w:numId w:val="67"/>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 xml:space="preserve">That gives a 10 </w:t>
      </w:r>
      <w:proofErr w:type="spellStart"/>
      <w:r w:rsidRPr="00D74025">
        <w:rPr>
          <w:rFonts w:ascii="Arial" w:hAnsi="Arial" w:cs="Arial"/>
          <w:color w:val="000000" w:themeColor="text1"/>
        </w:rPr>
        <w:t>μg</w:t>
      </w:r>
      <w:proofErr w:type="spellEnd"/>
      <w:r w:rsidRPr="00D74025">
        <w:rPr>
          <w:rFonts w:ascii="Arial" w:hAnsi="Arial" w:cs="Arial"/>
          <w:color w:val="000000" w:themeColor="text1"/>
        </w:rPr>
        <w:t>/mL imiquimod final concentration in the hydrogel</w:t>
      </w:r>
      <w:r w:rsidR="005726AD">
        <w:rPr>
          <w:rFonts w:ascii="Arial" w:hAnsi="Arial" w:cs="Arial"/>
          <w:color w:val="000000" w:themeColor="text1"/>
        </w:rPr>
        <w:t>.</w:t>
      </w:r>
    </w:p>
    <w:p w14:paraId="3764D8E0" w14:textId="09EEC5FF" w:rsidR="00D21A05" w:rsidRPr="00D74025" w:rsidRDefault="00D21A05">
      <w:pPr>
        <w:pStyle w:val="ListParagraph"/>
        <w:numPr>
          <w:ilvl w:val="0"/>
          <w:numId w:val="67"/>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Mixture both solutions to obtain hydrogel</w:t>
      </w:r>
      <w:r w:rsidR="005726AD">
        <w:rPr>
          <w:rFonts w:ascii="Arial" w:hAnsi="Arial" w:cs="Arial"/>
          <w:color w:val="000000" w:themeColor="text1"/>
        </w:rPr>
        <w:t>.</w:t>
      </w:r>
    </w:p>
    <w:p w14:paraId="32E0EB88" w14:textId="77777777" w:rsidR="00D21A05" w:rsidRPr="00D74025" w:rsidRDefault="00D21A05">
      <w:pPr>
        <w:pStyle w:val="ListParagraph"/>
        <w:numPr>
          <w:ilvl w:val="0"/>
          <w:numId w:val="67"/>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Confirm gelation by tube inversion</w:t>
      </w:r>
    </w:p>
    <w:p w14:paraId="79B8984B" w14:textId="77777777" w:rsidR="00D21A05" w:rsidRPr="00D74025" w:rsidRDefault="00D21A05" w:rsidP="00F6020C">
      <w:pPr>
        <w:autoSpaceDE w:val="0"/>
        <w:autoSpaceDN w:val="0"/>
        <w:adjustRightInd w:val="0"/>
        <w:spacing w:line="276" w:lineRule="auto"/>
        <w:rPr>
          <w:rFonts w:ascii="Arial" w:hAnsi="Arial" w:cs="Arial"/>
          <w:color w:val="000000" w:themeColor="text1"/>
        </w:rPr>
      </w:pPr>
    </w:p>
    <w:p w14:paraId="39B777EC" w14:textId="77777777" w:rsidR="00D21A05" w:rsidRPr="00D74025" w:rsidRDefault="00D21A05" w:rsidP="00F6020C">
      <w:pPr>
        <w:autoSpaceDE w:val="0"/>
        <w:autoSpaceDN w:val="0"/>
        <w:adjustRightInd w:val="0"/>
        <w:spacing w:line="276" w:lineRule="auto"/>
        <w:rPr>
          <w:rFonts w:ascii="Arial" w:hAnsi="Arial" w:cs="Arial"/>
          <w:color w:val="000000" w:themeColor="text1"/>
        </w:rPr>
      </w:pPr>
    </w:p>
    <w:p w14:paraId="4E806A2E" w14:textId="77777777" w:rsidR="00D21A05" w:rsidRPr="00D74025" w:rsidRDefault="00D21A05" w:rsidP="00F6020C">
      <w:pPr>
        <w:autoSpaceDE w:val="0"/>
        <w:autoSpaceDN w:val="0"/>
        <w:adjustRightInd w:val="0"/>
        <w:spacing w:line="276" w:lineRule="auto"/>
        <w:rPr>
          <w:rFonts w:ascii="Arial" w:hAnsi="Arial" w:cs="Arial"/>
          <w:color w:val="000000" w:themeColor="text1"/>
        </w:rPr>
      </w:pPr>
      <w:r w:rsidRPr="00D74025">
        <w:rPr>
          <w:rFonts w:ascii="Arial" w:hAnsi="Arial" w:cs="Arial"/>
          <w:color w:val="000000" w:themeColor="text1"/>
        </w:rPr>
        <w:t>Injection of imiquimod-loaded injection hydrogel in mice</w:t>
      </w:r>
    </w:p>
    <w:p w14:paraId="2F76518F" w14:textId="77777777" w:rsidR="00D21A05" w:rsidRPr="00D74025" w:rsidRDefault="00D21A05" w:rsidP="00F6020C">
      <w:pPr>
        <w:autoSpaceDE w:val="0"/>
        <w:autoSpaceDN w:val="0"/>
        <w:adjustRightInd w:val="0"/>
        <w:spacing w:line="276" w:lineRule="auto"/>
        <w:rPr>
          <w:rFonts w:ascii="Arial" w:hAnsi="Arial" w:cs="Arial"/>
          <w:color w:val="000000" w:themeColor="text1"/>
        </w:rPr>
      </w:pPr>
    </w:p>
    <w:p w14:paraId="6923B589" w14:textId="1A2779DB" w:rsidR="00D21A05" w:rsidRPr="00D74025" w:rsidRDefault="00D21A05">
      <w:pPr>
        <w:pStyle w:val="ListParagraph"/>
        <w:numPr>
          <w:ilvl w:val="0"/>
          <w:numId w:val="68"/>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Prepare the IMQ loaded PEGDA solution, sterilize by sterile filtering with 0.2 um filter</w:t>
      </w:r>
      <w:r w:rsidR="005726AD">
        <w:rPr>
          <w:rFonts w:ascii="Arial" w:hAnsi="Arial" w:cs="Arial"/>
          <w:color w:val="000000" w:themeColor="text1"/>
        </w:rPr>
        <w:t>.</w:t>
      </w:r>
    </w:p>
    <w:p w14:paraId="19F839C4" w14:textId="77777777" w:rsidR="00D21A05" w:rsidRPr="00D74025" w:rsidRDefault="00D21A05">
      <w:pPr>
        <w:pStyle w:val="ListParagraph"/>
        <w:numPr>
          <w:ilvl w:val="0"/>
          <w:numId w:val="68"/>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Prepare PEGSH solution, sterilize it too.</w:t>
      </w:r>
    </w:p>
    <w:p w14:paraId="62CCC461" w14:textId="777A8E30" w:rsidR="00D21A05" w:rsidRPr="00D74025" w:rsidRDefault="00D21A05">
      <w:pPr>
        <w:pStyle w:val="ListParagraph"/>
        <w:numPr>
          <w:ilvl w:val="0"/>
          <w:numId w:val="68"/>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Add PEGSH solution to first one in a</w:t>
      </w:r>
      <w:r w:rsidR="005726AD">
        <w:rPr>
          <w:rFonts w:ascii="Arial" w:hAnsi="Arial" w:cs="Arial"/>
          <w:color w:val="000000" w:themeColor="text1"/>
        </w:rPr>
        <w:t>n</w:t>
      </w:r>
      <w:r w:rsidRPr="00D74025">
        <w:rPr>
          <w:rFonts w:ascii="Arial" w:hAnsi="Arial" w:cs="Arial"/>
          <w:color w:val="000000" w:themeColor="text1"/>
        </w:rPr>
        <w:t xml:space="preserve"> EP tube and mix it thoroughly under sterile conditions in a location close to where the mice to be injected is located.</w:t>
      </w:r>
    </w:p>
    <w:p w14:paraId="6496B592" w14:textId="77777777" w:rsidR="00D21A05" w:rsidRPr="00D74025" w:rsidRDefault="00D21A05">
      <w:pPr>
        <w:pStyle w:val="ListParagraph"/>
        <w:numPr>
          <w:ilvl w:val="0"/>
          <w:numId w:val="68"/>
        </w:numPr>
        <w:autoSpaceDE w:val="0"/>
        <w:autoSpaceDN w:val="0"/>
        <w:adjustRightInd w:val="0"/>
        <w:spacing w:before="0" w:beforeAutospacing="0" w:after="0" w:afterAutospacing="0" w:line="276" w:lineRule="auto"/>
        <w:jc w:val="left"/>
        <w:rPr>
          <w:rFonts w:ascii="Arial" w:hAnsi="Arial" w:cs="Arial"/>
          <w:color w:val="000000" w:themeColor="text1"/>
        </w:rPr>
      </w:pPr>
      <w:r w:rsidRPr="00D74025">
        <w:rPr>
          <w:rFonts w:ascii="Arial" w:hAnsi="Arial" w:cs="Arial"/>
          <w:color w:val="000000" w:themeColor="text1"/>
        </w:rPr>
        <w:t>Rapidly suction the mixture into a syringe for quick injection in less than 1 min to avoid gelation.</w:t>
      </w:r>
    </w:p>
    <w:p w14:paraId="317B7EEA" w14:textId="6B6BF69D" w:rsidR="00705AE1" w:rsidRDefault="00705AE1" w:rsidP="00F6020C">
      <w:pPr>
        <w:pStyle w:val="Tpico5"/>
        <w:spacing w:line="276" w:lineRule="auto"/>
        <w:rPr>
          <w:rFonts w:ascii="Arial" w:hAnsi="Arial" w:cs="Arial"/>
          <w:color w:val="000000" w:themeColor="text1"/>
          <w:u w:val="none"/>
        </w:rPr>
      </w:pPr>
      <w:r>
        <w:rPr>
          <w:rFonts w:ascii="Arial" w:hAnsi="Arial" w:cs="Arial"/>
          <w:color w:val="000000" w:themeColor="text1"/>
          <w:u w:val="none"/>
        </w:rPr>
        <w:br w:type="page"/>
      </w:r>
    </w:p>
    <w:p w14:paraId="20F9BEBF" w14:textId="4823EB38" w:rsidR="00FB503C" w:rsidRPr="009C2B41" w:rsidRDefault="00FB503C" w:rsidP="009C2B41">
      <w:pPr>
        <w:pStyle w:val="Tpico5"/>
        <w:spacing w:line="276" w:lineRule="auto"/>
        <w:jc w:val="center"/>
        <w:outlineLvl w:val="0"/>
        <w:rPr>
          <w:rFonts w:ascii="Arial" w:hAnsi="Arial" w:cs="Arial"/>
          <w:b/>
          <w:bCs/>
          <w:color w:val="000000" w:themeColor="text1"/>
          <w:sz w:val="28"/>
          <w:szCs w:val="28"/>
          <w:u w:val="none"/>
        </w:rPr>
      </w:pPr>
      <w:bookmarkStart w:id="230" w:name="_Toc121217320"/>
      <w:r w:rsidRPr="009C2B41">
        <w:rPr>
          <w:rFonts w:ascii="Arial" w:hAnsi="Arial" w:cs="Arial"/>
          <w:b/>
          <w:bCs/>
          <w:color w:val="000000" w:themeColor="text1"/>
          <w:sz w:val="28"/>
          <w:szCs w:val="28"/>
          <w:u w:val="none"/>
        </w:rPr>
        <w:lastRenderedPageBreak/>
        <w:t>APPENDIX E – Other Protocols</w:t>
      </w:r>
      <w:bookmarkEnd w:id="230"/>
    </w:p>
    <w:p w14:paraId="5CEDCF88" w14:textId="77777777" w:rsidR="009C2B41" w:rsidRDefault="009C2B41" w:rsidP="009C2B41">
      <w:pPr>
        <w:rPr>
          <w:rFonts w:ascii="Arial" w:hAnsi="Arial" w:cs="Arial"/>
          <w:b/>
          <w:bCs/>
          <w:color w:val="000000" w:themeColor="text1"/>
          <w:u w:val="single"/>
        </w:rPr>
      </w:pPr>
    </w:p>
    <w:p w14:paraId="2BB41A04" w14:textId="65CD02FD" w:rsidR="00FB503C" w:rsidRPr="009C2B41" w:rsidRDefault="006B0827" w:rsidP="009C2B41">
      <w:pPr>
        <w:pStyle w:val="Heading2"/>
        <w:spacing w:line="276" w:lineRule="auto"/>
        <w:ind w:firstLine="0"/>
        <w:rPr>
          <w:rFonts w:ascii="Arial" w:hAnsi="Arial" w:cs="Arial"/>
          <w:b/>
          <w:bCs/>
          <w:color w:val="000000" w:themeColor="text1"/>
          <w:sz w:val="24"/>
          <w:szCs w:val="24"/>
          <w:u w:val="single"/>
          <w:lang w:val="en-GB"/>
        </w:rPr>
      </w:pPr>
      <w:bookmarkStart w:id="231" w:name="_Toc121217321"/>
      <w:r w:rsidRPr="009C2B41">
        <w:rPr>
          <w:rFonts w:ascii="Arial" w:hAnsi="Arial" w:cs="Arial"/>
          <w:b/>
          <w:bCs/>
          <w:color w:val="000000" w:themeColor="text1"/>
          <w:sz w:val="24"/>
          <w:szCs w:val="24"/>
          <w:u w:val="single"/>
          <w:lang w:val="en-GB"/>
        </w:rPr>
        <w:t xml:space="preserve">E1. </w:t>
      </w:r>
      <w:r w:rsidR="00FB503C" w:rsidRPr="009C2B41">
        <w:rPr>
          <w:rFonts w:ascii="Arial" w:hAnsi="Arial" w:cs="Arial"/>
          <w:b/>
          <w:bCs/>
          <w:color w:val="000000" w:themeColor="text1"/>
          <w:sz w:val="24"/>
          <w:szCs w:val="24"/>
          <w:u w:val="single"/>
          <w:lang w:val="en-GB"/>
        </w:rPr>
        <w:t>RF measurements</w:t>
      </w:r>
      <w:r w:rsidRPr="009C2B41">
        <w:rPr>
          <w:rFonts w:ascii="Arial" w:hAnsi="Arial" w:cs="Arial"/>
          <w:b/>
          <w:bCs/>
          <w:color w:val="000000" w:themeColor="text1"/>
          <w:sz w:val="24"/>
          <w:szCs w:val="24"/>
          <w:u w:val="single"/>
          <w:lang w:val="en-GB"/>
        </w:rPr>
        <w:t xml:space="preserve"> using </w:t>
      </w:r>
      <w:r w:rsidR="00B86DA1">
        <w:rPr>
          <w:rFonts w:ascii="Arial" w:hAnsi="Arial" w:cs="Arial"/>
          <w:b/>
          <w:bCs/>
          <w:color w:val="000000" w:themeColor="text1"/>
          <w:sz w:val="24"/>
          <w:szCs w:val="24"/>
          <w:u w:val="single"/>
          <w:lang w:val="en-GB"/>
        </w:rPr>
        <w:t>n</w:t>
      </w:r>
      <w:r w:rsidR="003776A2" w:rsidRPr="009C2B41">
        <w:rPr>
          <w:rFonts w:ascii="Arial" w:hAnsi="Arial" w:cs="Arial"/>
          <w:b/>
          <w:bCs/>
          <w:color w:val="000000" w:themeColor="text1"/>
          <w:sz w:val="24"/>
          <w:szCs w:val="24"/>
          <w:u w:val="single"/>
          <w:lang w:val="en-GB"/>
        </w:rPr>
        <w:t xml:space="preserve">etwork </w:t>
      </w:r>
      <w:r w:rsidR="007A2A30" w:rsidRPr="009C2B41">
        <w:rPr>
          <w:rFonts w:ascii="Arial" w:hAnsi="Arial" w:cs="Arial"/>
          <w:b/>
          <w:bCs/>
          <w:color w:val="000000" w:themeColor="text1"/>
          <w:sz w:val="24"/>
          <w:szCs w:val="24"/>
          <w:u w:val="single"/>
          <w:lang w:val="en-GB"/>
        </w:rPr>
        <w:t>analy</w:t>
      </w:r>
      <w:r w:rsidR="007A2A30">
        <w:rPr>
          <w:rFonts w:ascii="Arial" w:hAnsi="Arial" w:cs="Arial"/>
          <w:b/>
          <w:bCs/>
          <w:color w:val="000000" w:themeColor="text1"/>
          <w:sz w:val="24"/>
          <w:szCs w:val="24"/>
          <w:u w:val="single"/>
          <w:lang w:val="en-GB"/>
        </w:rPr>
        <w:t>s</w:t>
      </w:r>
      <w:r w:rsidR="007A2A30" w:rsidRPr="009C2B41">
        <w:rPr>
          <w:rFonts w:ascii="Arial" w:hAnsi="Arial" w:cs="Arial"/>
          <w:b/>
          <w:bCs/>
          <w:color w:val="000000" w:themeColor="text1"/>
          <w:sz w:val="24"/>
          <w:szCs w:val="24"/>
          <w:u w:val="single"/>
          <w:lang w:val="en-GB"/>
        </w:rPr>
        <w:t>er</w:t>
      </w:r>
      <w:bookmarkEnd w:id="231"/>
    </w:p>
    <w:p w14:paraId="3756DC27" w14:textId="77777777" w:rsidR="00FB503C" w:rsidRPr="00D74025" w:rsidRDefault="00FB503C" w:rsidP="00F6020C">
      <w:pPr>
        <w:spacing w:line="276" w:lineRule="auto"/>
        <w:jc w:val="center"/>
        <w:rPr>
          <w:rFonts w:ascii="Arial" w:hAnsi="Arial" w:cs="Arial"/>
          <w:color w:val="000000" w:themeColor="text1"/>
          <w:lang w:val="en-GB"/>
        </w:rPr>
      </w:pPr>
    </w:p>
    <w:p w14:paraId="1A488FB3" w14:textId="77777777" w:rsidR="00FB503C" w:rsidRPr="00D74025" w:rsidRDefault="00FB503C" w:rsidP="00F6020C">
      <w:pPr>
        <w:spacing w:line="276" w:lineRule="auto"/>
        <w:rPr>
          <w:rFonts w:ascii="Arial" w:hAnsi="Arial" w:cs="Arial"/>
          <w:color w:val="000000" w:themeColor="text1"/>
          <w:lang w:val="en-GB"/>
        </w:rPr>
      </w:pPr>
      <w:r w:rsidRPr="00D74025">
        <w:rPr>
          <w:rFonts w:ascii="Arial" w:hAnsi="Arial" w:cs="Arial"/>
          <w:color w:val="000000" w:themeColor="text1"/>
          <w:lang w:val="en-GB"/>
        </w:rPr>
        <w:t>-Open “Network Analyser Application”</w:t>
      </w:r>
    </w:p>
    <w:p w14:paraId="6CBD7D19" w14:textId="1669A5CC" w:rsidR="00FB503C" w:rsidRPr="00D74025" w:rsidRDefault="00FB503C" w:rsidP="00F6020C">
      <w:pPr>
        <w:spacing w:line="276" w:lineRule="auto"/>
        <w:rPr>
          <w:rFonts w:ascii="Arial" w:hAnsi="Arial" w:cs="Arial"/>
          <w:color w:val="000000" w:themeColor="text1"/>
          <w:lang w:val="en-GB"/>
        </w:rPr>
      </w:pPr>
      <w:r w:rsidRPr="00D74025">
        <w:rPr>
          <w:rFonts w:ascii="Arial" w:hAnsi="Arial" w:cs="Arial"/>
          <w:color w:val="000000" w:themeColor="text1"/>
          <w:lang w:val="en-GB"/>
        </w:rPr>
        <w:t xml:space="preserve">-Click on “Response”, Click “Call”, select the third option, select 1 port, set up the “Start” value at 10 M Hz, </w:t>
      </w:r>
      <w:r w:rsidR="00222CEB">
        <w:rPr>
          <w:rFonts w:ascii="Arial" w:hAnsi="Arial" w:cs="Arial"/>
          <w:color w:val="000000" w:themeColor="text1"/>
          <w:lang w:val="en-GB"/>
        </w:rPr>
        <w:t>s</w:t>
      </w:r>
      <w:r w:rsidRPr="00D74025">
        <w:rPr>
          <w:rFonts w:ascii="Arial" w:hAnsi="Arial" w:cs="Arial"/>
          <w:color w:val="000000" w:themeColor="text1"/>
          <w:lang w:val="en-GB"/>
        </w:rPr>
        <w:t xml:space="preserve">et up the “Stop” value at 150 M Hz, </w:t>
      </w:r>
      <w:r w:rsidR="00222CEB">
        <w:rPr>
          <w:rFonts w:ascii="Arial" w:hAnsi="Arial" w:cs="Arial"/>
          <w:color w:val="000000" w:themeColor="text1"/>
          <w:lang w:val="en-GB"/>
        </w:rPr>
        <w:t>s</w:t>
      </w:r>
      <w:r w:rsidRPr="00D74025">
        <w:rPr>
          <w:rFonts w:ascii="Arial" w:hAnsi="Arial" w:cs="Arial"/>
          <w:color w:val="000000" w:themeColor="text1"/>
          <w:lang w:val="en-GB"/>
        </w:rPr>
        <w:t xml:space="preserve">et up the </w:t>
      </w:r>
      <w:proofErr w:type="gramStart"/>
      <w:r w:rsidRPr="00D74025">
        <w:rPr>
          <w:rFonts w:ascii="Arial" w:hAnsi="Arial" w:cs="Arial"/>
          <w:color w:val="000000" w:themeColor="text1"/>
          <w:lang w:val="en-GB"/>
        </w:rPr>
        <w:t>number</w:t>
      </w:r>
      <w:proofErr w:type="gramEnd"/>
      <w:r w:rsidRPr="00D74025">
        <w:rPr>
          <w:rFonts w:ascii="Arial" w:hAnsi="Arial" w:cs="Arial"/>
          <w:color w:val="000000" w:themeColor="text1"/>
          <w:lang w:val="en-GB"/>
        </w:rPr>
        <w:t xml:space="preserve"> of “point” at 804, click “OK”.</w:t>
      </w:r>
    </w:p>
    <w:p w14:paraId="3C751554" w14:textId="77777777" w:rsidR="00FB503C" w:rsidRPr="00D74025" w:rsidRDefault="00FB503C" w:rsidP="00F6020C">
      <w:pPr>
        <w:spacing w:line="276" w:lineRule="auto"/>
        <w:rPr>
          <w:rFonts w:ascii="Arial" w:hAnsi="Arial" w:cs="Arial"/>
          <w:color w:val="000000" w:themeColor="text1"/>
          <w:lang w:val="en-GB"/>
        </w:rPr>
      </w:pPr>
      <w:r w:rsidRPr="00D74025">
        <w:rPr>
          <w:rFonts w:ascii="Arial" w:hAnsi="Arial" w:cs="Arial"/>
          <w:color w:val="000000" w:themeColor="text1"/>
          <w:lang w:val="en-GB"/>
        </w:rPr>
        <w:t>-Link the system with the cable, use your hand at first to tighten the grip, and then the adjustable wrench.</w:t>
      </w:r>
    </w:p>
    <w:p w14:paraId="72C00B0F" w14:textId="77777777" w:rsidR="00FB503C" w:rsidRPr="00D74025" w:rsidRDefault="00FB503C" w:rsidP="00F6020C">
      <w:pPr>
        <w:spacing w:line="276" w:lineRule="auto"/>
        <w:rPr>
          <w:rFonts w:ascii="Arial" w:hAnsi="Arial" w:cs="Arial"/>
          <w:color w:val="000000" w:themeColor="text1"/>
          <w:lang w:val="en-GB"/>
        </w:rPr>
      </w:pPr>
      <w:r w:rsidRPr="00D74025">
        <w:rPr>
          <w:rFonts w:ascii="Arial" w:hAnsi="Arial" w:cs="Arial"/>
          <w:color w:val="000000" w:themeColor="text1"/>
          <w:lang w:val="en-GB"/>
        </w:rPr>
        <w:t xml:space="preserve">-Put on your wrist the bracelet linked to an earthing-cable to be able to touch the system. </w:t>
      </w:r>
    </w:p>
    <w:p w14:paraId="4C752C98" w14:textId="77777777" w:rsidR="00FB503C" w:rsidRPr="00D74025" w:rsidRDefault="00FB503C" w:rsidP="00F6020C">
      <w:pPr>
        <w:spacing w:line="276" w:lineRule="auto"/>
        <w:rPr>
          <w:rFonts w:ascii="Arial" w:hAnsi="Arial" w:cs="Arial"/>
          <w:color w:val="000000" w:themeColor="text1"/>
          <w:lang w:val="en-GB"/>
        </w:rPr>
      </w:pPr>
      <w:r w:rsidRPr="00D74025">
        <w:rPr>
          <w:rFonts w:ascii="Arial" w:hAnsi="Arial" w:cs="Arial"/>
          <w:color w:val="000000" w:themeColor="text1"/>
          <w:lang w:val="en-GB"/>
        </w:rPr>
        <w:t>(Do not touch the system without this bracelet as it could interfere with the system).</w:t>
      </w:r>
    </w:p>
    <w:p w14:paraId="463C9DA8" w14:textId="77777777" w:rsidR="00FB503C" w:rsidRPr="00D74025" w:rsidRDefault="00FB503C" w:rsidP="00F6020C">
      <w:pPr>
        <w:spacing w:line="276" w:lineRule="auto"/>
        <w:rPr>
          <w:rFonts w:ascii="Arial" w:hAnsi="Arial" w:cs="Arial"/>
          <w:color w:val="000000" w:themeColor="text1"/>
          <w:lang w:val="en-GB"/>
        </w:rPr>
      </w:pPr>
      <w:r w:rsidRPr="00D74025">
        <w:rPr>
          <w:rFonts w:ascii="Arial" w:hAnsi="Arial" w:cs="Arial"/>
          <w:color w:val="000000" w:themeColor="text1"/>
          <w:lang w:val="en-GB"/>
        </w:rPr>
        <w:t>-Set up the oscilloscope on channel 3 and run it by pressing the “Run/Stop” button.</w:t>
      </w:r>
    </w:p>
    <w:p w14:paraId="1E791917" w14:textId="77777777" w:rsidR="00FB503C" w:rsidRPr="00D74025" w:rsidRDefault="00FB503C" w:rsidP="00F6020C">
      <w:pPr>
        <w:spacing w:line="276" w:lineRule="auto"/>
        <w:rPr>
          <w:rFonts w:ascii="Arial" w:hAnsi="Arial" w:cs="Arial"/>
          <w:color w:val="000000" w:themeColor="text1"/>
          <w:lang w:val="en-GB"/>
        </w:rPr>
      </w:pPr>
      <w:r w:rsidRPr="00D74025">
        <w:rPr>
          <w:rFonts w:ascii="Arial" w:hAnsi="Arial" w:cs="Arial"/>
          <w:color w:val="000000" w:themeColor="text1"/>
          <w:lang w:val="en-GB"/>
        </w:rPr>
        <w:t>-On the Network Analyser, click “Marker Analysis”, click “Marker”, click “Marker” again, set up at 35 M Hz (or the experimental frequency you want to work with), click “OK”.</w:t>
      </w:r>
    </w:p>
    <w:p w14:paraId="26C43FC7" w14:textId="77777777" w:rsidR="00FB503C" w:rsidRPr="00D74025" w:rsidRDefault="00FB503C" w:rsidP="00F6020C">
      <w:pPr>
        <w:spacing w:line="276" w:lineRule="auto"/>
        <w:rPr>
          <w:rFonts w:ascii="Arial" w:hAnsi="Arial" w:cs="Arial"/>
          <w:color w:val="000000" w:themeColor="text1"/>
          <w:lang w:val="en-GB"/>
        </w:rPr>
      </w:pPr>
      <w:r w:rsidRPr="00D74025">
        <w:rPr>
          <w:rFonts w:ascii="Arial" w:hAnsi="Arial" w:cs="Arial"/>
          <w:color w:val="000000" w:themeColor="text1"/>
          <w:lang w:val="en-GB"/>
        </w:rPr>
        <w:t xml:space="preserve">-Adjust inductance to match the </w:t>
      </w:r>
      <w:proofErr w:type="spellStart"/>
      <w:r w:rsidRPr="00D74025">
        <w:rPr>
          <w:rFonts w:ascii="Arial" w:hAnsi="Arial" w:cs="Arial"/>
          <w:color w:val="000000" w:themeColor="text1"/>
          <w:lang w:val="en-GB"/>
        </w:rPr>
        <w:t>center</w:t>
      </w:r>
      <w:proofErr w:type="spellEnd"/>
      <w:r w:rsidRPr="00D74025">
        <w:rPr>
          <w:rFonts w:ascii="Arial" w:hAnsi="Arial" w:cs="Arial"/>
          <w:color w:val="000000" w:themeColor="text1"/>
          <w:lang w:val="en-GB"/>
        </w:rPr>
        <w:t xml:space="preserve"> of the screen by screwing / unscrewing the inductors. </w:t>
      </w:r>
    </w:p>
    <w:p w14:paraId="51CF8684" w14:textId="77777777" w:rsidR="00FB503C" w:rsidRPr="00D74025" w:rsidRDefault="00FB503C" w:rsidP="00F6020C">
      <w:pPr>
        <w:spacing w:line="276" w:lineRule="auto"/>
        <w:rPr>
          <w:rFonts w:ascii="Arial" w:hAnsi="Arial" w:cs="Arial"/>
          <w:color w:val="000000" w:themeColor="text1"/>
          <w:lang w:val="en-GB"/>
        </w:rPr>
      </w:pPr>
      <w:r w:rsidRPr="00D74025">
        <w:rPr>
          <w:rFonts w:ascii="Arial" w:hAnsi="Arial" w:cs="Arial"/>
          <w:color w:val="000000" w:themeColor="text1"/>
          <w:lang w:val="en-GB"/>
        </w:rPr>
        <w:t xml:space="preserve">-Adjust capacitance to match the </w:t>
      </w:r>
      <w:proofErr w:type="spellStart"/>
      <w:r w:rsidRPr="00D74025">
        <w:rPr>
          <w:rFonts w:ascii="Arial" w:hAnsi="Arial" w:cs="Arial"/>
          <w:color w:val="000000" w:themeColor="text1"/>
          <w:lang w:val="en-GB"/>
        </w:rPr>
        <w:t>center</w:t>
      </w:r>
      <w:proofErr w:type="spellEnd"/>
      <w:r w:rsidRPr="00D74025">
        <w:rPr>
          <w:rFonts w:ascii="Arial" w:hAnsi="Arial" w:cs="Arial"/>
          <w:color w:val="000000" w:themeColor="text1"/>
          <w:lang w:val="en-GB"/>
        </w:rPr>
        <w:t xml:space="preserve"> of the screen by pressing and turning the capacitors.</w:t>
      </w:r>
    </w:p>
    <w:p w14:paraId="21684BE6" w14:textId="77777777" w:rsidR="00FB503C" w:rsidRPr="00D74025" w:rsidRDefault="00FB503C" w:rsidP="00F6020C">
      <w:pPr>
        <w:spacing w:line="276" w:lineRule="auto"/>
        <w:rPr>
          <w:rFonts w:ascii="Arial" w:hAnsi="Arial" w:cs="Arial"/>
          <w:color w:val="000000" w:themeColor="text1"/>
          <w:lang w:val="en-GB"/>
        </w:rPr>
      </w:pPr>
      <w:r w:rsidRPr="00D74025">
        <w:rPr>
          <w:rFonts w:ascii="Arial" w:hAnsi="Arial" w:cs="Arial"/>
          <w:color w:val="000000" w:themeColor="text1"/>
          <w:lang w:val="en-GB"/>
        </w:rPr>
        <w:t>(Try to be as close as possible of a resistance of 50 Ohm).</w:t>
      </w:r>
    </w:p>
    <w:p w14:paraId="39347725" w14:textId="77777777" w:rsidR="00FB503C" w:rsidRPr="00D74025" w:rsidRDefault="00FB503C" w:rsidP="00F6020C">
      <w:pPr>
        <w:spacing w:line="276" w:lineRule="auto"/>
        <w:rPr>
          <w:rFonts w:ascii="Arial" w:hAnsi="Arial" w:cs="Arial"/>
          <w:color w:val="000000" w:themeColor="text1"/>
          <w:lang w:val="en-GB"/>
        </w:rPr>
      </w:pPr>
      <w:r w:rsidRPr="00D74025">
        <w:rPr>
          <w:rFonts w:ascii="Arial" w:hAnsi="Arial" w:cs="Arial"/>
          <w:color w:val="000000" w:themeColor="text1"/>
          <w:lang w:val="en-GB"/>
        </w:rPr>
        <w:t>-When the system is adjusted correctly, turn off the oscilloscope and unplug it from the outlet.</w:t>
      </w:r>
    </w:p>
    <w:p w14:paraId="2CCB8FF3" w14:textId="77777777" w:rsidR="00FB503C" w:rsidRPr="00D74025" w:rsidRDefault="00FB503C" w:rsidP="00F6020C">
      <w:pPr>
        <w:spacing w:line="276" w:lineRule="auto"/>
        <w:rPr>
          <w:rFonts w:ascii="Arial" w:hAnsi="Arial" w:cs="Arial"/>
          <w:color w:val="000000" w:themeColor="text1"/>
          <w:lang w:val="en-GB"/>
        </w:rPr>
      </w:pPr>
      <w:r w:rsidRPr="00D74025">
        <w:rPr>
          <w:rFonts w:ascii="Arial" w:hAnsi="Arial" w:cs="Arial"/>
          <w:color w:val="000000" w:themeColor="text1"/>
          <w:lang w:val="en-GB"/>
        </w:rPr>
        <w:t>-Carry the oscilloscope next to the generator and plug it again.</w:t>
      </w:r>
    </w:p>
    <w:p w14:paraId="185E1806" w14:textId="77777777" w:rsidR="00FB503C" w:rsidRPr="00D74025" w:rsidRDefault="00FB503C" w:rsidP="00F6020C">
      <w:pPr>
        <w:spacing w:line="276" w:lineRule="auto"/>
        <w:rPr>
          <w:rFonts w:ascii="Arial" w:hAnsi="Arial" w:cs="Arial"/>
          <w:color w:val="000000" w:themeColor="text1"/>
          <w:lang w:val="en-GB"/>
        </w:rPr>
      </w:pPr>
      <w:r w:rsidRPr="00D74025">
        <w:rPr>
          <w:rFonts w:ascii="Arial" w:hAnsi="Arial" w:cs="Arial"/>
          <w:color w:val="000000" w:themeColor="text1"/>
          <w:lang w:val="en-GB"/>
        </w:rPr>
        <w:t>-Unplug the system and carry it next to the generator. (Be careful not to spill the glass bowl containing the nanotubes or the blank).</w:t>
      </w:r>
    </w:p>
    <w:p w14:paraId="6CCC613D" w14:textId="77777777" w:rsidR="00FB503C" w:rsidRPr="00D74025" w:rsidRDefault="00FB503C" w:rsidP="00F6020C">
      <w:pPr>
        <w:spacing w:line="276" w:lineRule="auto"/>
        <w:rPr>
          <w:rFonts w:ascii="Arial" w:hAnsi="Arial" w:cs="Arial"/>
          <w:color w:val="000000" w:themeColor="text1"/>
          <w:lang w:val="en-GB"/>
        </w:rPr>
      </w:pPr>
      <w:r w:rsidRPr="00D74025">
        <w:rPr>
          <w:rFonts w:ascii="Arial" w:hAnsi="Arial" w:cs="Arial"/>
          <w:color w:val="000000" w:themeColor="text1"/>
          <w:lang w:val="en-GB"/>
        </w:rPr>
        <w:t>-Plug the system to the generator.</w:t>
      </w:r>
    </w:p>
    <w:p w14:paraId="77BB50CD" w14:textId="77777777" w:rsidR="00FB503C" w:rsidRPr="00D74025" w:rsidRDefault="00FB503C" w:rsidP="00F6020C">
      <w:pPr>
        <w:spacing w:line="276" w:lineRule="auto"/>
        <w:rPr>
          <w:rFonts w:ascii="Arial" w:hAnsi="Arial" w:cs="Arial"/>
          <w:color w:val="000000" w:themeColor="text1"/>
          <w:lang w:val="en-GB"/>
        </w:rPr>
      </w:pPr>
      <w:r w:rsidRPr="00D74025">
        <w:rPr>
          <w:rFonts w:ascii="Arial" w:hAnsi="Arial" w:cs="Arial"/>
          <w:color w:val="000000" w:themeColor="text1"/>
          <w:lang w:val="en-GB"/>
        </w:rPr>
        <w:t>-Be sure the oscilloscope is set up on channel 3 and run it by pressing the “Run/Stop” button.</w:t>
      </w:r>
    </w:p>
    <w:p w14:paraId="6817BB30" w14:textId="77777777" w:rsidR="00FB503C" w:rsidRPr="00D74025" w:rsidRDefault="00FB503C" w:rsidP="00F6020C">
      <w:pPr>
        <w:spacing w:line="276" w:lineRule="auto"/>
        <w:rPr>
          <w:rFonts w:ascii="Arial" w:hAnsi="Arial" w:cs="Arial"/>
          <w:color w:val="000000" w:themeColor="text1"/>
          <w:lang w:val="en-GB"/>
        </w:rPr>
      </w:pPr>
      <w:r w:rsidRPr="00D74025">
        <w:rPr>
          <w:rFonts w:ascii="Arial" w:hAnsi="Arial" w:cs="Arial"/>
          <w:color w:val="000000" w:themeColor="text1"/>
          <w:lang w:val="en-GB"/>
        </w:rPr>
        <w:t>-Press “Voltage” on the oscilloscope and select the last option at the bottom.</w:t>
      </w:r>
    </w:p>
    <w:p w14:paraId="7174FDDF" w14:textId="77777777" w:rsidR="00FB503C" w:rsidRPr="00D74025" w:rsidRDefault="00FB503C" w:rsidP="00F6020C">
      <w:pPr>
        <w:spacing w:line="276" w:lineRule="auto"/>
        <w:rPr>
          <w:rFonts w:ascii="Arial" w:hAnsi="Arial" w:cs="Arial"/>
          <w:color w:val="000000" w:themeColor="text1"/>
          <w:lang w:val="en-GB"/>
        </w:rPr>
      </w:pPr>
      <w:r w:rsidRPr="00D74025">
        <w:rPr>
          <w:rFonts w:ascii="Arial" w:hAnsi="Arial" w:cs="Arial"/>
          <w:color w:val="000000" w:themeColor="text1"/>
          <w:lang w:val="en-GB"/>
        </w:rPr>
        <w:t>-Set up the oscilloscope on “</w:t>
      </w:r>
      <w:proofErr w:type="spellStart"/>
      <w:r w:rsidRPr="00D74025">
        <w:rPr>
          <w:rFonts w:ascii="Arial" w:hAnsi="Arial" w:cs="Arial"/>
          <w:color w:val="000000" w:themeColor="text1"/>
          <w:lang w:val="en-GB"/>
        </w:rPr>
        <w:t>Frenquecing</w:t>
      </w:r>
      <w:proofErr w:type="spellEnd"/>
      <w:r w:rsidRPr="00D74025">
        <w:rPr>
          <w:rFonts w:ascii="Arial" w:hAnsi="Arial" w:cs="Arial"/>
          <w:color w:val="000000" w:themeColor="text1"/>
          <w:lang w:val="en-GB"/>
        </w:rPr>
        <w:t>” mode.</w:t>
      </w:r>
    </w:p>
    <w:p w14:paraId="303C4142" w14:textId="77777777" w:rsidR="00FB503C" w:rsidRPr="00D74025" w:rsidRDefault="00FB503C" w:rsidP="00F6020C">
      <w:pPr>
        <w:spacing w:line="276" w:lineRule="auto"/>
        <w:rPr>
          <w:rFonts w:ascii="Arial" w:hAnsi="Arial" w:cs="Arial"/>
          <w:color w:val="000000" w:themeColor="text1"/>
          <w:lang w:val="en-GB"/>
        </w:rPr>
      </w:pPr>
      <w:r w:rsidRPr="00D74025">
        <w:rPr>
          <w:rFonts w:ascii="Arial" w:hAnsi="Arial" w:cs="Arial"/>
          <w:color w:val="000000" w:themeColor="text1"/>
          <w:lang w:val="en-GB"/>
        </w:rPr>
        <w:t>-On the generator, set the frequency at 35 M Hz (or the experimental frequency you want to work with), and turn RF “ON”.</w:t>
      </w:r>
    </w:p>
    <w:p w14:paraId="12A05486" w14:textId="77777777" w:rsidR="00FB503C" w:rsidRPr="00D74025" w:rsidRDefault="00FB503C" w:rsidP="00F6020C">
      <w:pPr>
        <w:spacing w:line="276" w:lineRule="auto"/>
        <w:rPr>
          <w:rFonts w:ascii="Arial" w:hAnsi="Arial" w:cs="Arial"/>
          <w:color w:val="000000" w:themeColor="text1"/>
          <w:lang w:val="en-GB"/>
        </w:rPr>
      </w:pPr>
      <w:r w:rsidRPr="00D74025">
        <w:rPr>
          <w:rFonts w:ascii="Arial" w:hAnsi="Arial" w:cs="Arial"/>
          <w:color w:val="000000" w:themeColor="text1"/>
          <w:lang w:val="en-GB"/>
        </w:rPr>
        <w:t>-Press “Auto” on the oscilloscope and run the generator + amplifier.</w:t>
      </w:r>
    </w:p>
    <w:p w14:paraId="2BD76076" w14:textId="77777777" w:rsidR="00FB503C" w:rsidRPr="00D74025" w:rsidRDefault="00FB503C" w:rsidP="00F6020C">
      <w:pPr>
        <w:spacing w:line="276" w:lineRule="auto"/>
        <w:rPr>
          <w:rFonts w:ascii="Arial" w:hAnsi="Arial" w:cs="Arial"/>
          <w:color w:val="000000" w:themeColor="text1"/>
          <w:lang w:val="en-GB"/>
        </w:rPr>
      </w:pPr>
      <w:r w:rsidRPr="00D74025">
        <w:rPr>
          <w:rFonts w:ascii="Arial" w:hAnsi="Arial" w:cs="Arial"/>
          <w:color w:val="000000" w:themeColor="text1"/>
          <w:lang w:val="en-GB"/>
        </w:rPr>
        <w:t>(Step forward to not interfere with the system during the exposure to radiofrequencies).</w:t>
      </w:r>
    </w:p>
    <w:p w14:paraId="009C6929" w14:textId="77777777" w:rsidR="00FB503C" w:rsidRPr="00D74025" w:rsidRDefault="00FB503C" w:rsidP="00F6020C">
      <w:pPr>
        <w:spacing w:line="276" w:lineRule="auto"/>
        <w:rPr>
          <w:rFonts w:ascii="Arial" w:hAnsi="Arial" w:cs="Arial"/>
          <w:color w:val="000000" w:themeColor="text1"/>
          <w:lang w:val="en-GB"/>
        </w:rPr>
      </w:pPr>
      <w:r w:rsidRPr="00D74025">
        <w:rPr>
          <w:rFonts w:ascii="Arial" w:hAnsi="Arial" w:cs="Arial"/>
          <w:color w:val="000000" w:themeColor="text1"/>
          <w:lang w:val="en-GB"/>
        </w:rPr>
        <w:t>After 8 minutes, measure the temperature using the thermocouple.</w:t>
      </w:r>
    </w:p>
    <w:p w14:paraId="07E307EF" w14:textId="61A4445B" w:rsidR="00FB503C" w:rsidRPr="00D74025" w:rsidRDefault="00FB503C" w:rsidP="00F6020C">
      <w:pPr>
        <w:pStyle w:val="Tpico5"/>
        <w:spacing w:line="276" w:lineRule="auto"/>
        <w:rPr>
          <w:rFonts w:ascii="Arial" w:hAnsi="Arial" w:cs="Arial"/>
          <w:color w:val="000000" w:themeColor="text1"/>
          <w:u w:val="none"/>
        </w:rPr>
      </w:pPr>
    </w:p>
    <w:p w14:paraId="1DC20794" w14:textId="0C95E488" w:rsidR="00174F88" w:rsidRPr="008F25B8" w:rsidRDefault="007665AF" w:rsidP="009C2B41">
      <w:pPr>
        <w:pStyle w:val="Heading2"/>
        <w:spacing w:line="276" w:lineRule="auto"/>
        <w:ind w:firstLine="0"/>
        <w:rPr>
          <w:rFonts w:ascii="Arial" w:hAnsi="Arial" w:cs="Arial"/>
          <w:b/>
          <w:bCs/>
          <w:color w:val="000000" w:themeColor="text1"/>
          <w:sz w:val="24"/>
          <w:szCs w:val="24"/>
          <w:u w:val="single"/>
        </w:rPr>
      </w:pPr>
      <w:bookmarkStart w:id="232" w:name="_Toc121217322"/>
      <w:r w:rsidRPr="008F25B8">
        <w:rPr>
          <w:rFonts w:ascii="Arial" w:hAnsi="Arial" w:cs="Arial"/>
          <w:b/>
          <w:bCs/>
          <w:color w:val="000000" w:themeColor="text1"/>
          <w:sz w:val="24"/>
          <w:szCs w:val="24"/>
          <w:u w:val="single"/>
        </w:rPr>
        <w:lastRenderedPageBreak/>
        <w:t xml:space="preserve">E2. </w:t>
      </w:r>
      <w:r w:rsidR="00174F88" w:rsidRPr="008F25B8">
        <w:rPr>
          <w:rFonts w:ascii="Arial" w:hAnsi="Arial" w:cs="Arial"/>
          <w:b/>
          <w:bCs/>
          <w:color w:val="000000" w:themeColor="text1"/>
          <w:sz w:val="24"/>
          <w:szCs w:val="24"/>
          <w:u w:val="single"/>
        </w:rPr>
        <w:t xml:space="preserve">Agarose </w:t>
      </w:r>
      <w:r w:rsidR="00B86DA1">
        <w:rPr>
          <w:rFonts w:ascii="Arial" w:hAnsi="Arial" w:cs="Arial"/>
          <w:b/>
          <w:bCs/>
          <w:color w:val="000000" w:themeColor="text1"/>
          <w:sz w:val="24"/>
          <w:szCs w:val="24"/>
          <w:u w:val="single"/>
        </w:rPr>
        <w:t>g</w:t>
      </w:r>
      <w:r w:rsidR="00174F88" w:rsidRPr="008F25B8">
        <w:rPr>
          <w:rFonts w:ascii="Arial" w:hAnsi="Arial" w:cs="Arial"/>
          <w:b/>
          <w:bCs/>
          <w:color w:val="000000" w:themeColor="text1"/>
          <w:sz w:val="24"/>
          <w:szCs w:val="24"/>
          <w:u w:val="single"/>
        </w:rPr>
        <w:t xml:space="preserve">el </w:t>
      </w:r>
      <w:r w:rsidR="00B86DA1">
        <w:rPr>
          <w:rFonts w:ascii="Arial" w:hAnsi="Arial" w:cs="Arial"/>
          <w:b/>
          <w:bCs/>
          <w:color w:val="000000" w:themeColor="text1"/>
          <w:sz w:val="24"/>
          <w:szCs w:val="24"/>
          <w:u w:val="single"/>
        </w:rPr>
        <w:t>c</w:t>
      </w:r>
      <w:r w:rsidR="00174F88" w:rsidRPr="008F25B8">
        <w:rPr>
          <w:rFonts w:ascii="Arial" w:hAnsi="Arial" w:cs="Arial"/>
          <w:b/>
          <w:bCs/>
          <w:color w:val="000000" w:themeColor="text1"/>
          <w:sz w:val="24"/>
          <w:szCs w:val="24"/>
          <w:u w:val="single"/>
        </w:rPr>
        <w:t xml:space="preserve">asting and </w:t>
      </w:r>
      <w:r w:rsidR="00B86DA1">
        <w:rPr>
          <w:rFonts w:ascii="Arial" w:hAnsi="Arial" w:cs="Arial"/>
          <w:b/>
          <w:bCs/>
          <w:color w:val="000000" w:themeColor="text1"/>
          <w:sz w:val="24"/>
          <w:szCs w:val="24"/>
          <w:u w:val="single"/>
        </w:rPr>
        <w:t>r</w:t>
      </w:r>
      <w:r w:rsidR="00174F88" w:rsidRPr="008F25B8">
        <w:rPr>
          <w:rFonts w:ascii="Arial" w:hAnsi="Arial" w:cs="Arial"/>
          <w:b/>
          <w:bCs/>
          <w:color w:val="000000" w:themeColor="text1"/>
          <w:sz w:val="24"/>
          <w:szCs w:val="24"/>
          <w:u w:val="single"/>
        </w:rPr>
        <w:t xml:space="preserve">unning </w:t>
      </w:r>
      <w:r w:rsidR="00B86DA1">
        <w:rPr>
          <w:rFonts w:ascii="Arial" w:hAnsi="Arial" w:cs="Arial"/>
          <w:b/>
          <w:bCs/>
          <w:color w:val="000000" w:themeColor="text1"/>
          <w:sz w:val="24"/>
          <w:szCs w:val="24"/>
          <w:u w:val="single"/>
        </w:rPr>
        <w:t>h</w:t>
      </w:r>
      <w:r w:rsidR="00174F88" w:rsidRPr="008F25B8">
        <w:rPr>
          <w:rFonts w:ascii="Arial" w:hAnsi="Arial" w:cs="Arial"/>
          <w:b/>
          <w:bCs/>
          <w:color w:val="000000" w:themeColor="text1"/>
          <w:sz w:val="24"/>
          <w:szCs w:val="24"/>
          <w:u w:val="single"/>
        </w:rPr>
        <w:t xml:space="preserve">orizontal </w:t>
      </w:r>
      <w:r w:rsidR="00B86DA1">
        <w:rPr>
          <w:rFonts w:ascii="Arial" w:hAnsi="Arial" w:cs="Arial"/>
          <w:b/>
          <w:bCs/>
          <w:color w:val="000000" w:themeColor="text1"/>
          <w:sz w:val="24"/>
          <w:szCs w:val="24"/>
          <w:u w:val="single"/>
        </w:rPr>
        <w:t>e</w:t>
      </w:r>
      <w:r w:rsidR="00174F88" w:rsidRPr="008F25B8">
        <w:rPr>
          <w:rFonts w:ascii="Arial" w:hAnsi="Arial" w:cs="Arial"/>
          <w:b/>
          <w:bCs/>
          <w:color w:val="000000" w:themeColor="text1"/>
          <w:sz w:val="24"/>
          <w:szCs w:val="24"/>
          <w:u w:val="single"/>
        </w:rPr>
        <w:t>lectrophoresis</w:t>
      </w:r>
      <w:bookmarkEnd w:id="232"/>
    </w:p>
    <w:p w14:paraId="648FC711" w14:textId="77777777" w:rsidR="007665AF" w:rsidRPr="00D74025" w:rsidRDefault="007665AF" w:rsidP="00F6020C">
      <w:pPr>
        <w:spacing w:line="276" w:lineRule="auto"/>
        <w:rPr>
          <w:rFonts w:ascii="Arial" w:hAnsi="Arial" w:cs="Arial"/>
          <w:b/>
          <w:bCs/>
          <w:color w:val="000000" w:themeColor="text1"/>
        </w:rPr>
      </w:pPr>
    </w:p>
    <w:p w14:paraId="37A97C94" w14:textId="77777777" w:rsidR="00174F88" w:rsidRPr="00D74025" w:rsidRDefault="00174F88" w:rsidP="00F6020C">
      <w:pPr>
        <w:spacing w:line="276" w:lineRule="auto"/>
        <w:rPr>
          <w:rFonts w:ascii="Arial" w:hAnsi="Arial" w:cs="Arial"/>
          <w:color w:val="000000" w:themeColor="text1"/>
          <w:u w:val="single"/>
        </w:rPr>
      </w:pPr>
      <w:r w:rsidRPr="00D74025">
        <w:rPr>
          <w:rFonts w:ascii="Arial" w:hAnsi="Arial" w:cs="Arial"/>
          <w:color w:val="000000" w:themeColor="text1"/>
          <w:u w:val="single"/>
        </w:rPr>
        <w:t>Materials:</w:t>
      </w:r>
    </w:p>
    <w:p w14:paraId="7C1CFC00" w14:textId="77777777" w:rsidR="00174F88" w:rsidRPr="00D74025" w:rsidRDefault="00174F88">
      <w:pPr>
        <w:pStyle w:val="ListParagraph"/>
        <w:numPr>
          <w:ilvl w:val="0"/>
          <w:numId w:val="72"/>
        </w:numPr>
        <w:spacing w:before="0" w:beforeAutospacing="0" w:after="160" w:afterAutospacing="0" w:line="276" w:lineRule="auto"/>
        <w:jc w:val="left"/>
        <w:rPr>
          <w:rFonts w:ascii="Arial" w:hAnsi="Arial" w:cs="Arial"/>
          <w:color w:val="000000" w:themeColor="text1"/>
          <w:u w:val="single"/>
        </w:rPr>
      </w:pPr>
      <w:r w:rsidRPr="00D74025">
        <w:rPr>
          <w:rFonts w:ascii="Arial" w:hAnsi="Arial" w:cs="Arial"/>
          <w:color w:val="000000" w:themeColor="text1"/>
        </w:rPr>
        <w:t>Nanoparticle samples</w:t>
      </w:r>
    </w:p>
    <w:p w14:paraId="7EFC7BB7" w14:textId="1BD3C806" w:rsidR="00174F88" w:rsidRPr="00D74025" w:rsidRDefault="00174F88">
      <w:pPr>
        <w:pStyle w:val="ListParagraph"/>
        <w:numPr>
          <w:ilvl w:val="0"/>
          <w:numId w:val="72"/>
        </w:numPr>
        <w:spacing w:before="0" w:beforeAutospacing="0" w:after="160" w:afterAutospacing="0" w:line="276" w:lineRule="auto"/>
        <w:jc w:val="left"/>
        <w:rPr>
          <w:rFonts w:ascii="Arial" w:hAnsi="Arial" w:cs="Arial"/>
          <w:i/>
          <w:iCs/>
          <w:color w:val="000000" w:themeColor="text1"/>
        </w:rPr>
      </w:pPr>
      <w:r w:rsidRPr="00D74025">
        <w:rPr>
          <w:rFonts w:ascii="Arial" w:hAnsi="Arial" w:cs="Arial"/>
          <w:i/>
          <w:iCs/>
          <w:color w:val="000000" w:themeColor="text1"/>
        </w:rPr>
        <w:t>1x Tris-</w:t>
      </w:r>
      <w:r w:rsidR="00222CEB">
        <w:rPr>
          <w:rFonts w:ascii="Arial" w:hAnsi="Arial" w:cs="Arial"/>
          <w:i/>
          <w:iCs/>
          <w:color w:val="000000" w:themeColor="text1"/>
        </w:rPr>
        <w:t>b</w:t>
      </w:r>
      <w:r w:rsidRPr="00D74025">
        <w:rPr>
          <w:rFonts w:ascii="Arial" w:hAnsi="Arial" w:cs="Arial"/>
          <w:i/>
          <w:iCs/>
          <w:color w:val="000000" w:themeColor="text1"/>
        </w:rPr>
        <w:t>orate-EDTA (TBE)–89 mM tris (pH 7.6), 89 mM boric acid, 2 mM EDTA</w:t>
      </w:r>
    </w:p>
    <w:p w14:paraId="37231517" w14:textId="1CB7D487" w:rsidR="00174F88" w:rsidRPr="00D74025" w:rsidRDefault="00174F88">
      <w:pPr>
        <w:pStyle w:val="ListParagraph"/>
        <w:numPr>
          <w:ilvl w:val="1"/>
          <w:numId w:val="72"/>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10x </w:t>
      </w:r>
      <w:r w:rsidR="000F0264">
        <w:rPr>
          <w:rFonts w:ascii="Arial" w:hAnsi="Arial" w:cs="Arial"/>
          <w:color w:val="000000" w:themeColor="text1"/>
        </w:rPr>
        <w:t>s</w:t>
      </w:r>
      <w:r w:rsidRPr="00D74025">
        <w:rPr>
          <w:rFonts w:ascii="Arial" w:hAnsi="Arial" w:cs="Arial"/>
          <w:color w:val="000000" w:themeColor="text1"/>
        </w:rPr>
        <w:t>tock (1 liter)–dissolve in 600 ml distilled water:</w:t>
      </w:r>
    </w:p>
    <w:p w14:paraId="57ECE5B3" w14:textId="77777777" w:rsidR="00174F88" w:rsidRPr="00D74025" w:rsidRDefault="00174F88">
      <w:pPr>
        <w:pStyle w:val="ListParagraph"/>
        <w:numPr>
          <w:ilvl w:val="1"/>
          <w:numId w:val="72"/>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108 g </w:t>
      </w:r>
      <w:proofErr w:type="gramStart"/>
      <w:r w:rsidRPr="00D74025">
        <w:rPr>
          <w:rFonts w:ascii="Arial" w:hAnsi="Arial" w:cs="Arial"/>
          <w:color w:val="000000" w:themeColor="text1"/>
        </w:rPr>
        <w:t>Tris</w:t>
      </w:r>
      <w:proofErr w:type="gramEnd"/>
      <w:r w:rsidRPr="00D74025">
        <w:rPr>
          <w:rFonts w:ascii="Arial" w:hAnsi="Arial" w:cs="Arial"/>
          <w:color w:val="000000" w:themeColor="text1"/>
        </w:rPr>
        <w:t xml:space="preserve"> base (FW = 121)</w:t>
      </w:r>
    </w:p>
    <w:p w14:paraId="3634F5C5" w14:textId="77777777" w:rsidR="00174F88" w:rsidRPr="00D74025" w:rsidRDefault="00174F88">
      <w:pPr>
        <w:pStyle w:val="ListParagraph"/>
        <w:numPr>
          <w:ilvl w:val="1"/>
          <w:numId w:val="72"/>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55 g boric acid (FW = 61.8)</w:t>
      </w:r>
    </w:p>
    <w:p w14:paraId="28C55611" w14:textId="77777777" w:rsidR="00174F88" w:rsidRPr="00D74025" w:rsidRDefault="00174F88">
      <w:pPr>
        <w:pStyle w:val="ListParagraph"/>
        <w:numPr>
          <w:ilvl w:val="1"/>
          <w:numId w:val="72"/>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40 ml 0.5 M EDTA (pH 8.0)</w:t>
      </w:r>
    </w:p>
    <w:p w14:paraId="3583994D" w14:textId="72CC265A" w:rsidR="00174F88" w:rsidRPr="00D74025" w:rsidRDefault="00174F88">
      <w:pPr>
        <w:pStyle w:val="ListParagraph"/>
        <w:numPr>
          <w:ilvl w:val="1"/>
          <w:numId w:val="72"/>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Fill to a final volume of 1 liter with distilled water</w:t>
      </w:r>
    </w:p>
    <w:p w14:paraId="149CF19F" w14:textId="77777777" w:rsidR="00174F88" w:rsidRPr="00D74025" w:rsidRDefault="00174F88">
      <w:pPr>
        <w:pStyle w:val="ListParagraph"/>
        <w:numPr>
          <w:ilvl w:val="0"/>
          <w:numId w:val="72"/>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Agarose</w:t>
      </w:r>
    </w:p>
    <w:p w14:paraId="63EE21A6" w14:textId="635FF1CD" w:rsidR="00174F88" w:rsidRPr="00D74025" w:rsidRDefault="00174F88">
      <w:pPr>
        <w:pStyle w:val="ListParagraph"/>
        <w:numPr>
          <w:ilvl w:val="0"/>
          <w:numId w:val="72"/>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Horizontal </w:t>
      </w:r>
      <w:r w:rsidR="00222CEB">
        <w:rPr>
          <w:rFonts w:ascii="Arial" w:hAnsi="Arial" w:cs="Arial"/>
          <w:color w:val="000000" w:themeColor="text1"/>
        </w:rPr>
        <w:t>e</w:t>
      </w:r>
      <w:r w:rsidRPr="00D74025">
        <w:rPr>
          <w:rFonts w:ascii="Arial" w:hAnsi="Arial" w:cs="Arial"/>
          <w:color w:val="000000" w:themeColor="text1"/>
        </w:rPr>
        <w:t>lectrophoresis chamber and power source</w:t>
      </w:r>
    </w:p>
    <w:p w14:paraId="418DC2AF" w14:textId="77777777" w:rsidR="00174F88" w:rsidRPr="00D74025" w:rsidRDefault="00174F88">
      <w:pPr>
        <w:pStyle w:val="ListParagraph"/>
        <w:numPr>
          <w:ilvl w:val="0"/>
          <w:numId w:val="72"/>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Casting apparatus</w:t>
      </w:r>
    </w:p>
    <w:p w14:paraId="76728432" w14:textId="77777777" w:rsidR="00174F88" w:rsidRPr="00D74025" w:rsidRDefault="00174F88">
      <w:pPr>
        <w:pStyle w:val="ListParagraph"/>
        <w:numPr>
          <w:ilvl w:val="0"/>
          <w:numId w:val="72"/>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Microwave</w:t>
      </w:r>
    </w:p>
    <w:p w14:paraId="22465D17" w14:textId="77777777" w:rsidR="00174F88" w:rsidRPr="00D74025" w:rsidRDefault="00174F88" w:rsidP="00F6020C">
      <w:pPr>
        <w:pStyle w:val="ListParagraph"/>
        <w:spacing w:line="276" w:lineRule="auto"/>
        <w:rPr>
          <w:rFonts w:ascii="Arial" w:hAnsi="Arial" w:cs="Arial"/>
          <w:color w:val="000000" w:themeColor="text1"/>
        </w:rPr>
      </w:pPr>
    </w:p>
    <w:p w14:paraId="006DF6A1" w14:textId="77777777" w:rsidR="00174F88" w:rsidRPr="00D74025" w:rsidRDefault="00174F88" w:rsidP="00F6020C">
      <w:pPr>
        <w:spacing w:line="276" w:lineRule="auto"/>
        <w:rPr>
          <w:rFonts w:ascii="Arial" w:hAnsi="Arial" w:cs="Arial"/>
          <w:color w:val="000000" w:themeColor="text1"/>
          <w:u w:val="single"/>
        </w:rPr>
      </w:pPr>
      <w:r w:rsidRPr="00D74025">
        <w:rPr>
          <w:rFonts w:ascii="Arial" w:hAnsi="Arial" w:cs="Arial"/>
          <w:color w:val="000000" w:themeColor="text1"/>
          <w:u w:val="single"/>
        </w:rPr>
        <w:t>Preparation</w:t>
      </w:r>
    </w:p>
    <w:p w14:paraId="159B259B" w14:textId="77777777" w:rsidR="00174F88" w:rsidRPr="00D74025" w:rsidRDefault="00174F88" w:rsidP="00F6020C">
      <w:pPr>
        <w:spacing w:line="276" w:lineRule="auto"/>
        <w:rPr>
          <w:rFonts w:ascii="Arial" w:hAnsi="Arial" w:cs="Arial"/>
          <w:color w:val="000000" w:themeColor="text1"/>
        </w:rPr>
      </w:pPr>
      <w:r w:rsidRPr="00D74025">
        <w:rPr>
          <w:rFonts w:ascii="Arial" w:hAnsi="Arial" w:cs="Arial"/>
          <w:color w:val="000000" w:themeColor="text1"/>
        </w:rPr>
        <w:t>To make a gel, first figure out what volume you want. You can pour water into the tray and when the wells look deep enough, you can record the volume and make your gel using that volume.</w:t>
      </w:r>
    </w:p>
    <w:p w14:paraId="7BFE57BD" w14:textId="77777777" w:rsidR="00174F88" w:rsidRPr="00D74025" w:rsidRDefault="00174F88" w:rsidP="00F6020C">
      <w:pPr>
        <w:spacing w:line="276" w:lineRule="auto"/>
        <w:rPr>
          <w:rFonts w:ascii="Arial" w:hAnsi="Arial" w:cs="Arial"/>
          <w:color w:val="000000" w:themeColor="text1"/>
        </w:rPr>
      </w:pPr>
      <w:r w:rsidRPr="00D74025">
        <w:rPr>
          <w:rFonts w:ascii="Arial" w:hAnsi="Arial" w:cs="Arial"/>
          <w:color w:val="000000" w:themeColor="text1"/>
        </w:rPr>
        <w:t>For a 7X7 cm gel tray:</w:t>
      </w:r>
    </w:p>
    <w:tbl>
      <w:tblPr>
        <w:tblStyle w:val="TableGrid"/>
        <w:tblW w:w="0" w:type="auto"/>
        <w:tblInd w:w="360" w:type="dxa"/>
        <w:tblLook w:val="04A0" w:firstRow="1" w:lastRow="0" w:firstColumn="1" w:lastColumn="0" w:noHBand="0" w:noVBand="1"/>
      </w:tblPr>
      <w:tblGrid>
        <w:gridCol w:w="1829"/>
        <w:gridCol w:w="1792"/>
        <w:gridCol w:w="1783"/>
        <w:gridCol w:w="1792"/>
        <w:gridCol w:w="1794"/>
      </w:tblGrid>
      <w:tr w:rsidR="00D74025" w:rsidRPr="00D74025" w14:paraId="1A20750D" w14:textId="77777777">
        <w:tc>
          <w:tcPr>
            <w:tcW w:w="1829" w:type="dxa"/>
          </w:tcPr>
          <w:p w14:paraId="6778EE59" w14:textId="77777777" w:rsidR="00174F88" w:rsidRPr="000F0264" w:rsidRDefault="00174F88" w:rsidP="00F6020C">
            <w:pPr>
              <w:spacing w:line="276" w:lineRule="auto"/>
              <w:rPr>
                <w:rFonts w:ascii="Arial" w:hAnsi="Arial" w:cs="Arial"/>
                <w:b/>
                <w:bCs/>
                <w:color w:val="000000" w:themeColor="text1"/>
                <w:sz w:val="22"/>
                <w:szCs w:val="22"/>
              </w:rPr>
            </w:pPr>
            <w:r w:rsidRPr="000F0264">
              <w:rPr>
                <w:rFonts w:ascii="Arial" w:hAnsi="Arial" w:cs="Arial"/>
                <w:b/>
                <w:bCs/>
                <w:color w:val="000000" w:themeColor="text1"/>
                <w:sz w:val="22"/>
                <w:szCs w:val="22"/>
              </w:rPr>
              <w:t>Gel Thickness</w:t>
            </w:r>
          </w:p>
        </w:tc>
        <w:tc>
          <w:tcPr>
            <w:tcW w:w="1792" w:type="dxa"/>
          </w:tcPr>
          <w:p w14:paraId="255CB828" w14:textId="77777777" w:rsidR="00174F88" w:rsidRPr="000F0264" w:rsidRDefault="00174F88" w:rsidP="00F6020C">
            <w:pPr>
              <w:spacing w:line="276" w:lineRule="auto"/>
              <w:rPr>
                <w:rFonts w:ascii="Arial" w:hAnsi="Arial" w:cs="Arial"/>
                <w:b/>
                <w:bCs/>
                <w:color w:val="000000" w:themeColor="text1"/>
                <w:sz w:val="22"/>
                <w:szCs w:val="22"/>
              </w:rPr>
            </w:pPr>
            <w:r w:rsidRPr="000F0264">
              <w:rPr>
                <w:rFonts w:ascii="Arial" w:hAnsi="Arial" w:cs="Arial"/>
                <w:b/>
                <w:bCs/>
                <w:color w:val="000000" w:themeColor="text1"/>
                <w:sz w:val="22"/>
                <w:szCs w:val="22"/>
              </w:rPr>
              <w:t>0.25 cm</w:t>
            </w:r>
          </w:p>
        </w:tc>
        <w:tc>
          <w:tcPr>
            <w:tcW w:w="1783" w:type="dxa"/>
          </w:tcPr>
          <w:p w14:paraId="7111989E" w14:textId="77777777" w:rsidR="00174F88" w:rsidRPr="000F0264" w:rsidRDefault="00174F88" w:rsidP="00F6020C">
            <w:pPr>
              <w:spacing w:line="276" w:lineRule="auto"/>
              <w:rPr>
                <w:rFonts w:ascii="Arial" w:hAnsi="Arial" w:cs="Arial"/>
                <w:b/>
                <w:bCs/>
                <w:color w:val="000000" w:themeColor="text1"/>
                <w:sz w:val="22"/>
                <w:szCs w:val="22"/>
              </w:rPr>
            </w:pPr>
            <w:r w:rsidRPr="000F0264">
              <w:rPr>
                <w:rFonts w:ascii="Arial" w:hAnsi="Arial" w:cs="Arial"/>
                <w:b/>
                <w:bCs/>
                <w:color w:val="000000" w:themeColor="text1"/>
                <w:sz w:val="22"/>
                <w:szCs w:val="22"/>
              </w:rPr>
              <w:t>0.5 cm</w:t>
            </w:r>
          </w:p>
        </w:tc>
        <w:tc>
          <w:tcPr>
            <w:tcW w:w="1792" w:type="dxa"/>
          </w:tcPr>
          <w:p w14:paraId="4B18C72E" w14:textId="77777777" w:rsidR="00174F88" w:rsidRPr="000F0264" w:rsidRDefault="00174F88" w:rsidP="00F6020C">
            <w:pPr>
              <w:spacing w:line="276" w:lineRule="auto"/>
              <w:rPr>
                <w:rFonts w:ascii="Arial" w:hAnsi="Arial" w:cs="Arial"/>
                <w:b/>
                <w:bCs/>
                <w:color w:val="000000" w:themeColor="text1"/>
                <w:sz w:val="22"/>
                <w:szCs w:val="22"/>
              </w:rPr>
            </w:pPr>
            <w:r w:rsidRPr="000F0264">
              <w:rPr>
                <w:rFonts w:ascii="Arial" w:hAnsi="Arial" w:cs="Arial"/>
                <w:b/>
                <w:bCs/>
                <w:color w:val="000000" w:themeColor="text1"/>
                <w:sz w:val="22"/>
                <w:szCs w:val="22"/>
              </w:rPr>
              <w:t>0.75 cm</w:t>
            </w:r>
          </w:p>
        </w:tc>
        <w:tc>
          <w:tcPr>
            <w:tcW w:w="1794" w:type="dxa"/>
          </w:tcPr>
          <w:p w14:paraId="109E0B34" w14:textId="77777777" w:rsidR="00174F88" w:rsidRPr="000F0264" w:rsidRDefault="00174F88" w:rsidP="00F6020C">
            <w:pPr>
              <w:spacing w:line="276" w:lineRule="auto"/>
              <w:rPr>
                <w:rFonts w:ascii="Arial" w:hAnsi="Arial" w:cs="Arial"/>
                <w:b/>
                <w:bCs/>
                <w:color w:val="000000" w:themeColor="text1"/>
                <w:sz w:val="22"/>
                <w:szCs w:val="22"/>
              </w:rPr>
            </w:pPr>
            <w:r w:rsidRPr="000F0264">
              <w:rPr>
                <w:rFonts w:ascii="Arial" w:hAnsi="Arial" w:cs="Arial"/>
                <w:b/>
                <w:bCs/>
                <w:color w:val="000000" w:themeColor="text1"/>
                <w:sz w:val="22"/>
                <w:szCs w:val="22"/>
              </w:rPr>
              <w:t>1.0 cm</w:t>
            </w:r>
          </w:p>
        </w:tc>
      </w:tr>
      <w:tr w:rsidR="00D74025" w:rsidRPr="00D74025" w14:paraId="4AB25548" w14:textId="77777777">
        <w:tc>
          <w:tcPr>
            <w:tcW w:w="1829" w:type="dxa"/>
          </w:tcPr>
          <w:p w14:paraId="6A373F2C" w14:textId="77777777" w:rsidR="00174F88" w:rsidRPr="00D74025" w:rsidRDefault="00174F88" w:rsidP="00F6020C">
            <w:pPr>
              <w:spacing w:line="276" w:lineRule="auto"/>
              <w:rPr>
                <w:rFonts w:ascii="Arial" w:hAnsi="Arial" w:cs="Arial"/>
                <w:color w:val="000000" w:themeColor="text1"/>
              </w:rPr>
            </w:pPr>
            <w:r w:rsidRPr="00D74025">
              <w:rPr>
                <w:rFonts w:ascii="Arial" w:hAnsi="Arial" w:cs="Arial"/>
                <w:color w:val="000000" w:themeColor="text1"/>
              </w:rPr>
              <w:t>Base</w:t>
            </w:r>
          </w:p>
        </w:tc>
        <w:tc>
          <w:tcPr>
            <w:tcW w:w="1792" w:type="dxa"/>
          </w:tcPr>
          <w:p w14:paraId="647F77D0" w14:textId="77777777" w:rsidR="00174F88" w:rsidRPr="00D74025" w:rsidRDefault="00174F88" w:rsidP="00F6020C">
            <w:pPr>
              <w:spacing w:line="276" w:lineRule="auto"/>
              <w:rPr>
                <w:rFonts w:ascii="Arial" w:hAnsi="Arial" w:cs="Arial"/>
                <w:color w:val="000000" w:themeColor="text1"/>
              </w:rPr>
            </w:pPr>
            <w:r w:rsidRPr="00D74025">
              <w:rPr>
                <w:rFonts w:ascii="Arial" w:hAnsi="Arial" w:cs="Arial"/>
                <w:color w:val="000000" w:themeColor="text1"/>
              </w:rPr>
              <w:t>10 ml</w:t>
            </w:r>
          </w:p>
        </w:tc>
        <w:tc>
          <w:tcPr>
            <w:tcW w:w="1783" w:type="dxa"/>
          </w:tcPr>
          <w:p w14:paraId="092457EF" w14:textId="77777777" w:rsidR="00174F88" w:rsidRPr="00D74025" w:rsidRDefault="00174F88" w:rsidP="00F6020C">
            <w:pPr>
              <w:spacing w:line="276" w:lineRule="auto"/>
              <w:rPr>
                <w:rFonts w:ascii="Arial" w:hAnsi="Arial" w:cs="Arial"/>
                <w:color w:val="000000" w:themeColor="text1"/>
              </w:rPr>
            </w:pPr>
            <w:r w:rsidRPr="00D74025">
              <w:rPr>
                <w:rFonts w:ascii="Arial" w:hAnsi="Arial" w:cs="Arial"/>
                <w:color w:val="000000" w:themeColor="text1"/>
              </w:rPr>
              <w:t>20 ml</w:t>
            </w:r>
          </w:p>
        </w:tc>
        <w:tc>
          <w:tcPr>
            <w:tcW w:w="1792" w:type="dxa"/>
          </w:tcPr>
          <w:p w14:paraId="524E187B" w14:textId="77777777" w:rsidR="00174F88" w:rsidRPr="00D74025" w:rsidRDefault="00174F88" w:rsidP="00F6020C">
            <w:pPr>
              <w:spacing w:line="276" w:lineRule="auto"/>
              <w:rPr>
                <w:rFonts w:ascii="Arial" w:hAnsi="Arial" w:cs="Arial"/>
                <w:color w:val="000000" w:themeColor="text1"/>
              </w:rPr>
            </w:pPr>
            <w:r w:rsidRPr="00D74025">
              <w:rPr>
                <w:rFonts w:ascii="Arial" w:hAnsi="Arial" w:cs="Arial"/>
                <w:color w:val="000000" w:themeColor="text1"/>
              </w:rPr>
              <w:t>30 ml</w:t>
            </w:r>
          </w:p>
        </w:tc>
        <w:tc>
          <w:tcPr>
            <w:tcW w:w="1794" w:type="dxa"/>
          </w:tcPr>
          <w:p w14:paraId="190E0A6A" w14:textId="77777777" w:rsidR="00174F88" w:rsidRPr="00D74025" w:rsidRDefault="00174F88" w:rsidP="00F6020C">
            <w:pPr>
              <w:spacing w:line="276" w:lineRule="auto"/>
              <w:rPr>
                <w:rFonts w:ascii="Arial" w:hAnsi="Arial" w:cs="Arial"/>
                <w:color w:val="000000" w:themeColor="text1"/>
              </w:rPr>
            </w:pPr>
            <w:r w:rsidRPr="00D74025">
              <w:rPr>
                <w:rFonts w:ascii="Arial" w:hAnsi="Arial" w:cs="Arial"/>
                <w:color w:val="000000" w:themeColor="text1"/>
              </w:rPr>
              <w:t>40 ml</w:t>
            </w:r>
          </w:p>
        </w:tc>
      </w:tr>
      <w:tr w:rsidR="00174F88" w:rsidRPr="00D74025" w14:paraId="2754BC40" w14:textId="77777777">
        <w:tc>
          <w:tcPr>
            <w:tcW w:w="1829" w:type="dxa"/>
          </w:tcPr>
          <w:p w14:paraId="367E7DA7" w14:textId="77777777" w:rsidR="00174F88" w:rsidRPr="00D74025" w:rsidRDefault="00174F88" w:rsidP="00F6020C">
            <w:pPr>
              <w:spacing w:line="276" w:lineRule="auto"/>
              <w:rPr>
                <w:rFonts w:ascii="Arial" w:hAnsi="Arial" w:cs="Arial"/>
                <w:color w:val="000000" w:themeColor="text1"/>
              </w:rPr>
            </w:pPr>
            <w:r w:rsidRPr="00D74025">
              <w:rPr>
                <w:rFonts w:ascii="Arial" w:hAnsi="Arial" w:cs="Arial"/>
                <w:color w:val="000000" w:themeColor="text1"/>
              </w:rPr>
              <w:t>Tray</w:t>
            </w:r>
          </w:p>
        </w:tc>
        <w:tc>
          <w:tcPr>
            <w:tcW w:w="1792" w:type="dxa"/>
          </w:tcPr>
          <w:p w14:paraId="2DA748FC" w14:textId="77777777" w:rsidR="00174F88" w:rsidRPr="00D74025" w:rsidRDefault="00174F88" w:rsidP="00F6020C">
            <w:pPr>
              <w:spacing w:line="276" w:lineRule="auto"/>
              <w:rPr>
                <w:rFonts w:ascii="Arial" w:hAnsi="Arial" w:cs="Arial"/>
                <w:color w:val="000000" w:themeColor="text1"/>
              </w:rPr>
            </w:pPr>
            <w:r w:rsidRPr="00D74025">
              <w:rPr>
                <w:rFonts w:ascii="Arial" w:hAnsi="Arial" w:cs="Arial"/>
                <w:color w:val="000000" w:themeColor="text1"/>
              </w:rPr>
              <w:t>10 ml</w:t>
            </w:r>
          </w:p>
        </w:tc>
        <w:tc>
          <w:tcPr>
            <w:tcW w:w="1783" w:type="dxa"/>
          </w:tcPr>
          <w:p w14:paraId="05A7B2CF" w14:textId="77777777" w:rsidR="00174F88" w:rsidRPr="00D74025" w:rsidRDefault="00174F88" w:rsidP="00F6020C">
            <w:pPr>
              <w:spacing w:line="276" w:lineRule="auto"/>
              <w:rPr>
                <w:rFonts w:ascii="Arial" w:hAnsi="Arial" w:cs="Arial"/>
                <w:color w:val="000000" w:themeColor="text1"/>
              </w:rPr>
            </w:pPr>
            <w:r w:rsidRPr="00D74025">
              <w:rPr>
                <w:rFonts w:ascii="Arial" w:hAnsi="Arial" w:cs="Arial"/>
                <w:color w:val="000000" w:themeColor="text1"/>
              </w:rPr>
              <w:t>20 ml</w:t>
            </w:r>
          </w:p>
        </w:tc>
        <w:tc>
          <w:tcPr>
            <w:tcW w:w="1792" w:type="dxa"/>
          </w:tcPr>
          <w:p w14:paraId="0D8358B7" w14:textId="77777777" w:rsidR="00174F88" w:rsidRPr="00D74025" w:rsidRDefault="00174F88" w:rsidP="00F6020C">
            <w:pPr>
              <w:spacing w:line="276" w:lineRule="auto"/>
              <w:rPr>
                <w:rFonts w:ascii="Arial" w:hAnsi="Arial" w:cs="Arial"/>
                <w:color w:val="000000" w:themeColor="text1"/>
              </w:rPr>
            </w:pPr>
            <w:r w:rsidRPr="00D74025">
              <w:rPr>
                <w:rFonts w:ascii="Arial" w:hAnsi="Arial" w:cs="Arial"/>
                <w:color w:val="000000" w:themeColor="text1"/>
              </w:rPr>
              <w:t>30 ml</w:t>
            </w:r>
          </w:p>
        </w:tc>
        <w:tc>
          <w:tcPr>
            <w:tcW w:w="1794" w:type="dxa"/>
          </w:tcPr>
          <w:p w14:paraId="02EF09B9" w14:textId="77777777" w:rsidR="00174F88" w:rsidRPr="00D74025" w:rsidRDefault="00174F88" w:rsidP="00F6020C">
            <w:pPr>
              <w:spacing w:line="276" w:lineRule="auto"/>
              <w:rPr>
                <w:rFonts w:ascii="Arial" w:hAnsi="Arial" w:cs="Arial"/>
                <w:color w:val="000000" w:themeColor="text1"/>
              </w:rPr>
            </w:pPr>
            <w:r w:rsidRPr="00D74025">
              <w:rPr>
                <w:rFonts w:ascii="Arial" w:hAnsi="Arial" w:cs="Arial"/>
                <w:color w:val="000000" w:themeColor="text1"/>
              </w:rPr>
              <w:t>40ml</w:t>
            </w:r>
          </w:p>
        </w:tc>
      </w:tr>
    </w:tbl>
    <w:p w14:paraId="78C6A603" w14:textId="77777777" w:rsidR="00174F88" w:rsidRPr="00D74025" w:rsidRDefault="00174F88" w:rsidP="00F6020C">
      <w:pPr>
        <w:spacing w:line="276" w:lineRule="auto"/>
        <w:rPr>
          <w:rFonts w:ascii="Arial" w:hAnsi="Arial" w:cs="Arial"/>
          <w:color w:val="000000" w:themeColor="text1"/>
        </w:rPr>
      </w:pPr>
    </w:p>
    <w:p w14:paraId="77DBABDC" w14:textId="77777777" w:rsidR="00174F88" w:rsidRPr="00D74025" w:rsidRDefault="00174F88">
      <w:pPr>
        <w:pStyle w:val="ListParagraph"/>
        <w:numPr>
          <w:ilvl w:val="0"/>
          <w:numId w:val="70"/>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Dilute TBE (Tris-borate-EDTA) buffer to a 1x or 0.5x concentration. </w:t>
      </w:r>
    </w:p>
    <w:p w14:paraId="415D10FB" w14:textId="77777777" w:rsidR="00174F88" w:rsidRPr="00D74025" w:rsidRDefault="00174F88">
      <w:pPr>
        <w:pStyle w:val="ListParagraph"/>
        <w:numPr>
          <w:ilvl w:val="1"/>
          <w:numId w:val="70"/>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Place the diluted buffer in a beaker or flask that can hold 2-4 times the volume of agarose to be prepared.</w:t>
      </w:r>
    </w:p>
    <w:p w14:paraId="2A6142FA" w14:textId="77777777" w:rsidR="00174F88" w:rsidRPr="00D74025" w:rsidRDefault="00174F88">
      <w:pPr>
        <w:pStyle w:val="ListParagraph"/>
        <w:numPr>
          <w:ilvl w:val="0"/>
          <w:numId w:val="70"/>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Weigh out the agarose and add it to the flask/beaker containing the buffer. </w:t>
      </w:r>
    </w:p>
    <w:p w14:paraId="705349D5" w14:textId="77777777" w:rsidR="00174F88" w:rsidRPr="00D74025" w:rsidRDefault="00174F88">
      <w:pPr>
        <w:pStyle w:val="ListParagraph"/>
        <w:numPr>
          <w:ilvl w:val="1"/>
          <w:numId w:val="70"/>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For example, for a 1% agarose gel, add 1 g agarose to 100 ml buffer. </w:t>
      </w:r>
    </w:p>
    <w:p w14:paraId="4644687D" w14:textId="77777777" w:rsidR="00174F88" w:rsidRPr="00D74025" w:rsidRDefault="00174F88">
      <w:pPr>
        <w:pStyle w:val="ListParagraph"/>
        <w:numPr>
          <w:ilvl w:val="1"/>
          <w:numId w:val="70"/>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Allow the agarose to sit in solution for a few minutes before swirling the flask/beaker and suspending it in the solution. Higher percentage gels (&gt; 1.5%) should hydrate for longer than lower percentage gels. Use a stir bar and stirring plate to rapidly mix the solution. </w:t>
      </w:r>
    </w:p>
    <w:p w14:paraId="496963D8" w14:textId="77777777" w:rsidR="00174F88" w:rsidRPr="00D74025" w:rsidRDefault="00174F88">
      <w:pPr>
        <w:pStyle w:val="ListParagraph"/>
        <w:numPr>
          <w:ilvl w:val="1"/>
          <w:numId w:val="70"/>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Note: Remember to remove the stir bar before microwaving. </w:t>
      </w:r>
    </w:p>
    <w:p w14:paraId="6B28268A" w14:textId="77777777" w:rsidR="00174F88" w:rsidRPr="00D74025" w:rsidRDefault="00174F88">
      <w:pPr>
        <w:pStyle w:val="ListParagraph"/>
        <w:numPr>
          <w:ilvl w:val="0"/>
          <w:numId w:val="70"/>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Cover the mouth of the flask/beaker with plastic wrap and make a small hole in the top to allow the solution to vent.</w:t>
      </w:r>
    </w:p>
    <w:p w14:paraId="7E5B6A80" w14:textId="77777777" w:rsidR="00174F88" w:rsidRPr="00D74025" w:rsidRDefault="00174F88">
      <w:pPr>
        <w:pStyle w:val="ListParagraph"/>
        <w:numPr>
          <w:ilvl w:val="0"/>
          <w:numId w:val="70"/>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lastRenderedPageBreak/>
        <w:t xml:space="preserve">Heat the flask/beaker in the microwave. After 30 seconds, remove and swirl to mix well. Repeat every 30 seconds until all the agarose has dissolved. </w:t>
      </w:r>
    </w:p>
    <w:p w14:paraId="14119FC6" w14:textId="77777777" w:rsidR="00174F88" w:rsidRPr="00D74025" w:rsidRDefault="00174F88">
      <w:pPr>
        <w:pStyle w:val="ListParagraph"/>
        <w:numPr>
          <w:ilvl w:val="1"/>
          <w:numId w:val="70"/>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Note: If solid agarose or gel pieces remain, return the flask to the </w:t>
      </w:r>
      <w:proofErr w:type="gramStart"/>
      <w:r w:rsidRPr="00D74025">
        <w:rPr>
          <w:rFonts w:ascii="Arial" w:hAnsi="Arial" w:cs="Arial"/>
          <w:color w:val="000000" w:themeColor="text1"/>
        </w:rPr>
        <w:t>microwave</w:t>
      </w:r>
      <w:proofErr w:type="gramEnd"/>
      <w:r w:rsidRPr="00D74025">
        <w:rPr>
          <w:rFonts w:ascii="Arial" w:hAnsi="Arial" w:cs="Arial"/>
          <w:color w:val="000000" w:themeColor="text1"/>
        </w:rPr>
        <w:t xml:space="preserve"> and continue heating in 30-second intervals until all product is in solution. This may take a few minutes, depending on the gel concentration you are making and the power of the microwave.</w:t>
      </w:r>
    </w:p>
    <w:p w14:paraId="032B185E" w14:textId="77777777" w:rsidR="00174F88" w:rsidRPr="00D74025" w:rsidRDefault="00174F88">
      <w:pPr>
        <w:pStyle w:val="ListParagraph"/>
        <w:numPr>
          <w:ilvl w:val="0"/>
          <w:numId w:val="70"/>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Remove the flask/beaker from the microwave and very gently swirl. </w:t>
      </w:r>
    </w:p>
    <w:p w14:paraId="275292C9" w14:textId="77777777" w:rsidR="00174F88" w:rsidRPr="00D74025" w:rsidRDefault="00174F88">
      <w:pPr>
        <w:pStyle w:val="ListParagraph"/>
        <w:numPr>
          <w:ilvl w:val="1"/>
          <w:numId w:val="70"/>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WARNING: The microwaved solution can become superheated and foam over quickly when agitated. Wear appropriate protection and use caution.</w:t>
      </w:r>
    </w:p>
    <w:p w14:paraId="25D5EB2F" w14:textId="77777777" w:rsidR="00174F88" w:rsidRPr="00D74025" w:rsidRDefault="00174F88">
      <w:pPr>
        <w:pStyle w:val="ListParagraph"/>
        <w:numPr>
          <w:ilvl w:val="0"/>
          <w:numId w:val="70"/>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Cool the solution to 55-60°C.</w:t>
      </w:r>
    </w:p>
    <w:p w14:paraId="1AAC4377" w14:textId="77777777" w:rsidR="00174F88" w:rsidRPr="00D74025" w:rsidRDefault="00174F88">
      <w:pPr>
        <w:pStyle w:val="ListParagraph"/>
        <w:numPr>
          <w:ilvl w:val="0"/>
          <w:numId w:val="70"/>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Cast the gel following the instructions provided for your casting apparatus.</w:t>
      </w:r>
    </w:p>
    <w:p w14:paraId="5DA4FA74" w14:textId="77777777" w:rsidR="00174F88" w:rsidRPr="00D74025" w:rsidRDefault="00174F88" w:rsidP="00F6020C">
      <w:pPr>
        <w:spacing w:line="276" w:lineRule="auto"/>
        <w:rPr>
          <w:rFonts w:ascii="Arial" w:hAnsi="Arial" w:cs="Arial"/>
          <w:color w:val="000000" w:themeColor="text1"/>
          <w:u w:val="single"/>
        </w:rPr>
      </w:pPr>
    </w:p>
    <w:p w14:paraId="1D292642" w14:textId="4A1C404A" w:rsidR="00174F88" w:rsidRPr="00D74025" w:rsidRDefault="00174F88" w:rsidP="00F6020C">
      <w:pPr>
        <w:spacing w:line="276" w:lineRule="auto"/>
        <w:rPr>
          <w:rFonts w:ascii="Arial" w:hAnsi="Arial" w:cs="Arial"/>
          <w:color w:val="000000" w:themeColor="text1"/>
          <w:u w:val="single"/>
        </w:rPr>
      </w:pPr>
      <w:r w:rsidRPr="00D74025">
        <w:rPr>
          <w:rFonts w:ascii="Arial" w:hAnsi="Arial" w:cs="Arial"/>
          <w:color w:val="000000" w:themeColor="text1"/>
          <w:u w:val="single"/>
        </w:rPr>
        <w:t xml:space="preserve">Casting the </w:t>
      </w:r>
      <w:r w:rsidR="000F0264">
        <w:rPr>
          <w:rFonts w:ascii="Arial" w:hAnsi="Arial" w:cs="Arial"/>
          <w:color w:val="000000" w:themeColor="text1"/>
          <w:u w:val="single"/>
        </w:rPr>
        <w:t>g</w:t>
      </w:r>
      <w:r w:rsidRPr="00D74025">
        <w:rPr>
          <w:rFonts w:ascii="Arial" w:hAnsi="Arial" w:cs="Arial"/>
          <w:color w:val="000000" w:themeColor="text1"/>
          <w:u w:val="single"/>
        </w:rPr>
        <w:t>el</w:t>
      </w:r>
    </w:p>
    <w:p w14:paraId="4EAD7DF4" w14:textId="77777777" w:rsidR="00174F88" w:rsidRPr="00D74025" w:rsidRDefault="00174F88">
      <w:pPr>
        <w:pStyle w:val="ListParagraph"/>
        <w:numPr>
          <w:ilvl w:val="0"/>
          <w:numId w:val="73"/>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Level the cell using the leveling bubble provided.</w:t>
      </w:r>
    </w:p>
    <w:p w14:paraId="70C5DA85" w14:textId="61C53365" w:rsidR="00174F88" w:rsidRPr="00D74025" w:rsidRDefault="00174F88">
      <w:pPr>
        <w:pStyle w:val="ListParagraph"/>
        <w:numPr>
          <w:ilvl w:val="0"/>
          <w:numId w:val="73"/>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Place the UVTP tray on the gel stage. (</w:t>
      </w:r>
      <w:proofErr w:type="gramStart"/>
      <w:r w:rsidRPr="00D74025">
        <w:rPr>
          <w:rFonts w:ascii="Arial" w:hAnsi="Arial" w:cs="Arial"/>
          <w:color w:val="000000" w:themeColor="text1"/>
        </w:rPr>
        <w:t>see</w:t>
      </w:r>
      <w:proofErr w:type="gramEnd"/>
      <w:r w:rsidRPr="00D74025">
        <w:rPr>
          <w:rFonts w:ascii="Arial" w:hAnsi="Arial" w:cs="Arial"/>
          <w:color w:val="000000" w:themeColor="text1"/>
        </w:rPr>
        <w:t xml:space="preserve"> picture</w:t>
      </w:r>
      <w:r w:rsidR="00B95D03">
        <w:rPr>
          <w:rFonts w:ascii="Arial" w:hAnsi="Arial" w:cs="Arial"/>
          <w:color w:val="000000" w:themeColor="text1"/>
        </w:rPr>
        <w:t xml:space="preserve"> below</w:t>
      </w:r>
      <w:r w:rsidRPr="00D74025">
        <w:rPr>
          <w:rFonts w:ascii="Arial" w:hAnsi="Arial" w:cs="Arial"/>
          <w:color w:val="000000" w:themeColor="text1"/>
        </w:rPr>
        <w:t>)</w:t>
      </w:r>
    </w:p>
    <w:p w14:paraId="715D1B32" w14:textId="77777777" w:rsidR="00174F88" w:rsidRPr="00D74025" w:rsidRDefault="00174F88">
      <w:pPr>
        <w:pStyle w:val="ListParagraph"/>
        <w:numPr>
          <w:ilvl w:val="0"/>
          <w:numId w:val="73"/>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Slide the gel casting gates into the slots at opposite ends of the GT gel stage. </w:t>
      </w:r>
    </w:p>
    <w:p w14:paraId="1BE9492C" w14:textId="77777777" w:rsidR="00174F88" w:rsidRPr="00D74025" w:rsidRDefault="00174F88">
      <w:pPr>
        <w:pStyle w:val="ListParagraph"/>
        <w:numPr>
          <w:ilvl w:val="1"/>
          <w:numId w:val="73"/>
        </w:numPr>
        <w:spacing w:before="0" w:beforeAutospacing="0" w:after="160" w:afterAutospacing="0" w:line="276" w:lineRule="auto"/>
        <w:jc w:val="left"/>
        <w:rPr>
          <w:rFonts w:ascii="Arial" w:hAnsi="Arial" w:cs="Arial"/>
          <w:color w:val="000000" w:themeColor="text1"/>
        </w:rPr>
      </w:pPr>
      <w:proofErr w:type="gramStart"/>
      <w:r w:rsidRPr="00D74025">
        <w:rPr>
          <w:rFonts w:ascii="Arial" w:hAnsi="Arial" w:cs="Arial"/>
          <w:color w:val="000000" w:themeColor="text1"/>
        </w:rPr>
        <w:t>Insure</w:t>
      </w:r>
      <w:proofErr w:type="gramEnd"/>
      <w:r w:rsidRPr="00D74025">
        <w:rPr>
          <w:rFonts w:ascii="Arial" w:hAnsi="Arial" w:cs="Arial"/>
          <w:color w:val="000000" w:themeColor="text1"/>
        </w:rPr>
        <w:t xml:space="preserve"> that the gates are evenly seated in the slots and the gates uniformly contact all edges of the UVTP tray. The weight of the gates provides a tight seal to prevent any leakage problems during gel casting</w:t>
      </w:r>
    </w:p>
    <w:p w14:paraId="5FA8E823" w14:textId="77777777" w:rsidR="00174F88" w:rsidRPr="00D74025" w:rsidRDefault="00174F88">
      <w:pPr>
        <w:pStyle w:val="ListParagraph"/>
        <w:numPr>
          <w:ilvl w:val="1"/>
          <w:numId w:val="73"/>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Note: If leakage occurs while pouring the gel on the casting tray atop the stage, chill the casting gates in the freezer for 2-3 minutes. Place the casting gates into the slots when ready to pour the gel. The chilled casting gates will prevent the gel solution from leaking out of the tray and into the chambers. </w:t>
      </w:r>
    </w:p>
    <w:p w14:paraId="6DDE67AB" w14:textId="77777777" w:rsidR="00174F88" w:rsidRPr="00D74025" w:rsidRDefault="00174F88">
      <w:pPr>
        <w:pStyle w:val="ListParagraph"/>
        <w:numPr>
          <w:ilvl w:val="0"/>
          <w:numId w:val="73"/>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Place the comb(s) into the appropriate slot(s) of the trays.</w:t>
      </w:r>
    </w:p>
    <w:p w14:paraId="083C0CFA" w14:textId="23597B34" w:rsidR="00174F88" w:rsidRPr="00D74025" w:rsidRDefault="00174F88">
      <w:pPr>
        <w:pStyle w:val="ListParagraph"/>
        <w:numPr>
          <w:ilvl w:val="0"/>
          <w:numId w:val="73"/>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Prepare the desired concentration and amount of agarose in 1x electrophoresis buffer. When the agarose solution has cooled to 50—60°C, pour the molten agarose between the gates.</w:t>
      </w:r>
    </w:p>
    <w:p w14:paraId="02CA7E0F" w14:textId="77777777" w:rsidR="00174F88" w:rsidRPr="00D74025" w:rsidRDefault="00174F88">
      <w:pPr>
        <w:pStyle w:val="ListParagraph"/>
        <w:numPr>
          <w:ilvl w:val="1"/>
          <w:numId w:val="73"/>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Warning: Hot agarose (&gt;60°C) may cause the tray to warp or craze and will decrease the lifetime of the tray. Warping may also result in sample wells of uneven depth.</w:t>
      </w:r>
    </w:p>
    <w:p w14:paraId="2D52B182" w14:textId="77777777" w:rsidR="00174F88" w:rsidRPr="00D74025" w:rsidRDefault="00174F88">
      <w:pPr>
        <w:pStyle w:val="ListParagraph"/>
        <w:numPr>
          <w:ilvl w:val="0"/>
          <w:numId w:val="73"/>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Allow 20—40 minutes for the gel to solidify at room temperature.</w:t>
      </w:r>
    </w:p>
    <w:p w14:paraId="58709A93" w14:textId="77777777" w:rsidR="00174F88" w:rsidRPr="00D74025" w:rsidRDefault="00174F88">
      <w:pPr>
        <w:pStyle w:val="ListParagraph"/>
        <w:numPr>
          <w:ilvl w:val="0"/>
          <w:numId w:val="73"/>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Carefully remove the comb from the solidified gel. Remove the gel casting gates</w:t>
      </w:r>
    </w:p>
    <w:p w14:paraId="72E6DBC8" w14:textId="77777777" w:rsidR="00174F88" w:rsidRPr="00D74025" w:rsidRDefault="00174F88">
      <w:pPr>
        <w:pStyle w:val="ListParagraph"/>
        <w:numPr>
          <w:ilvl w:val="0"/>
          <w:numId w:val="73"/>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Submerge the gel beneath 2 to 6 mm of 1x electrophoresis buffer. Use greater depth overlay (</w:t>
      </w:r>
      <w:proofErr w:type="gramStart"/>
      <w:r w:rsidRPr="00D74025">
        <w:rPr>
          <w:rFonts w:ascii="Arial" w:hAnsi="Arial" w:cs="Arial"/>
          <w:color w:val="000000" w:themeColor="text1"/>
        </w:rPr>
        <w:t>more buffer</w:t>
      </w:r>
      <w:proofErr w:type="gramEnd"/>
      <w:r w:rsidRPr="00D74025">
        <w:rPr>
          <w:rFonts w:ascii="Arial" w:hAnsi="Arial" w:cs="Arial"/>
          <w:color w:val="000000" w:themeColor="text1"/>
        </w:rPr>
        <w:t>) with increasing voltages to prevent pH and heat effect</w:t>
      </w:r>
    </w:p>
    <w:p w14:paraId="1D8A7474" w14:textId="77777777" w:rsidR="00174F88" w:rsidRPr="00D74025" w:rsidRDefault="00174F88" w:rsidP="00F6020C">
      <w:pPr>
        <w:spacing w:line="276" w:lineRule="auto"/>
        <w:ind w:left="360"/>
        <w:rPr>
          <w:rFonts w:ascii="Arial" w:hAnsi="Arial" w:cs="Arial"/>
          <w:color w:val="000000" w:themeColor="text1"/>
        </w:rPr>
      </w:pPr>
      <w:r w:rsidRPr="00D74025">
        <w:rPr>
          <w:rFonts w:ascii="Arial" w:hAnsi="Arial" w:cs="Arial"/>
          <w:noProof/>
          <w:color w:val="000000" w:themeColor="text1"/>
        </w:rPr>
        <w:lastRenderedPageBreak/>
        <w:drawing>
          <wp:inline distT="0" distB="0" distL="0" distR="0" wp14:anchorId="1232552E" wp14:editId="2FFA8D1E">
            <wp:extent cx="5943600" cy="2552700"/>
            <wp:effectExtent l="0" t="0" r="0" b="0"/>
            <wp:docPr id="14" name="Picture 1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 engineering drawing&#10;&#10;Description automatically generated"/>
                    <pic:cNvPicPr/>
                  </pic:nvPicPr>
                  <pic:blipFill>
                    <a:blip r:embed="rId106"/>
                    <a:stretch>
                      <a:fillRect/>
                    </a:stretch>
                  </pic:blipFill>
                  <pic:spPr>
                    <a:xfrm>
                      <a:off x="0" y="0"/>
                      <a:ext cx="5943600" cy="2552700"/>
                    </a:xfrm>
                    <a:prstGeom prst="rect">
                      <a:avLst/>
                    </a:prstGeom>
                  </pic:spPr>
                </pic:pic>
              </a:graphicData>
            </a:graphic>
          </wp:inline>
        </w:drawing>
      </w:r>
    </w:p>
    <w:p w14:paraId="63A25616" w14:textId="065164E3" w:rsidR="00174F88" w:rsidRPr="008D7498" w:rsidRDefault="007A2A30" w:rsidP="007A2A30">
      <w:pPr>
        <w:pStyle w:val="Caption"/>
        <w:rPr>
          <w:rFonts w:ascii="Arial" w:hAnsi="Arial" w:cs="Arial"/>
          <w:b/>
          <w:bCs/>
          <w:i w:val="0"/>
          <w:iCs w:val="0"/>
          <w:color w:val="000000" w:themeColor="text1"/>
          <w:sz w:val="24"/>
          <w:szCs w:val="24"/>
          <w:u w:val="single"/>
        </w:rPr>
      </w:pPr>
      <w:bookmarkStart w:id="233" w:name="_Toc121217407"/>
      <w:r w:rsidRPr="008D7498">
        <w:rPr>
          <w:rFonts w:ascii="Arial" w:hAnsi="Arial" w:cs="Arial"/>
          <w:b/>
          <w:bCs/>
          <w:i w:val="0"/>
          <w:iCs w:val="0"/>
          <w:color w:val="000000" w:themeColor="text1"/>
          <w:sz w:val="24"/>
          <w:szCs w:val="24"/>
        </w:rPr>
        <w:t xml:space="preserve">Figure </w:t>
      </w:r>
      <w:r w:rsidRPr="008D7498">
        <w:rPr>
          <w:rFonts w:ascii="Arial" w:hAnsi="Arial" w:cs="Arial"/>
          <w:b/>
          <w:bCs/>
          <w:i w:val="0"/>
          <w:iCs w:val="0"/>
          <w:color w:val="000000" w:themeColor="text1"/>
          <w:sz w:val="24"/>
          <w:szCs w:val="24"/>
        </w:rPr>
        <w:fldChar w:fldCharType="begin"/>
      </w:r>
      <w:r w:rsidRPr="008D7498">
        <w:rPr>
          <w:rFonts w:ascii="Arial" w:hAnsi="Arial" w:cs="Arial"/>
          <w:b/>
          <w:bCs/>
          <w:i w:val="0"/>
          <w:iCs w:val="0"/>
          <w:color w:val="000000" w:themeColor="text1"/>
          <w:sz w:val="24"/>
          <w:szCs w:val="24"/>
        </w:rPr>
        <w:instrText xml:space="preserve"> SEQ Figure \* ARABIC </w:instrText>
      </w:r>
      <w:r w:rsidRPr="008D7498">
        <w:rPr>
          <w:rFonts w:ascii="Arial" w:hAnsi="Arial" w:cs="Arial"/>
          <w:b/>
          <w:bCs/>
          <w:i w:val="0"/>
          <w:iCs w:val="0"/>
          <w:color w:val="000000" w:themeColor="text1"/>
          <w:sz w:val="24"/>
          <w:szCs w:val="24"/>
        </w:rPr>
        <w:fldChar w:fldCharType="separate"/>
      </w:r>
      <w:r w:rsidR="002C4B25">
        <w:rPr>
          <w:rFonts w:ascii="Arial" w:hAnsi="Arial" w:cs="Arial"/>
          <w:b/>
          <w:bCs/>
          <w:i w:val="0"/>
          <w:iCs w:val="0"/>
          <w:noProof/>
          <w:color w:val="000000" w:themeColor="text1"/>
          <w:sz w:val="24"/>
          <w:szCs w:val="24"/>
        </w:rPr>
        <w:t>85</w:t>
      </w:r>
      <w:r w:rsidRPr="008D7498">
        <w:rPr>
          <w:rFonts w:ascii="Arial" w:hAnsi="Arial" w:cs="Arial"/>
          <w:b/>
          <w:bCs/>
          <w:i w:val="0"/>
          <w:iCs w:val="0"/>
          <w:color w:val="000000" w:themeColor="text1"/>
          <w:sz w:val="24"/>
          <w:szCs w:val="24"/>
        </w:rPr>
        <w:fldChar w:fldCharType="end"/>
      </w:r>
      <w:r w:rsidR="00844C70">
        <w:rPr>
          <w:rFonts w:ascii="Arial" w:hAnsi="Arial" w:cs="Arial"/>
          <w:b/>
          <w:bCs/>
          <w:i w:val="0"/>
          <w:iCs w:val="0"/>
          <w:color w:val="000000" w:themeColor="text1"/>
          <w:sz w:val="24"/>
          <w:szCs w:val="24"/>
        </w:rPr>
        <w:t>:</w:t>
      </w:r>
      <w:r w:rsidRPr="008D7498">
        <w:rPr>
          <w:rFonts w:ascii="Arial" w:hAnsi="Arial" w:cs="Arial"/>
          <w:b/>
          <w:bCs/>
          <w:i w:val="0"/>
          <w:iCs w:val="0"/>
          <w:color w:val="000000" w:themeColor="text1"/>
          <w:sz w:val="24"/>
          <w:szCs w:val="24"/>
        </w:rPr>
        <w:t xml:space="preserve"> Horizontal electrophoresis gel </w:t>
      </w:r>
      <w:r w:rsidR="009B7EB2" w:rsidRPr="008D7498">
        <w:rPr>
          <w:rFonts w:ascii="Arial" w:hAnsi="Arial" w:cs="Arial"/>
          <w:b/>
          <w:bCs/>
          <w:i w:val="0"/>
          <w:iCs w:val="0"/>
          <w:color w:val="000000" w:themeColor="text1"/>
          <w:sz w:val="24"/>
          <w:szCs w:val="24"/>
        </w:rPr>
        <w:t>casting.</w:t>
      </w:r>
      <w:bookmarkEnd w:id="233"/>
    </w:p>
    <w:p w14:paraId="65CD82ED" w14:textId="77777777" w:rsidR="00174F88" w:rsidRPr="00D74025" w:rsidRDefault="00174F88" w:rsidP="00F6020C">
      <w:pPr>
        <w:spacing w:line="276" w:lineRule="auto"/>
        <w:ind w:left="360"/>
        <w:rPr>
          <w:rFonts w:ascii="Arial" w:hAnsi="Arial" w:cs="Arial"/>
          <w:color w:val="000000" w:themeColor="text1"/>
          <w:u w:val="single"/>
        </w:rPr>
      </w:pPr>
    </w:p>
    <w:p w14:paraId="18249E62" w14:textId="43C82AB5" w:rsidR="00174F88" w:rsidRPr="00D74025" w:rsidRDefault="00174F88" w:rsidP="00F6020C">
      <w:pPr>
        <w:spacing w:line="276" w:lineRule="auto"/>
        <w:ind w:left="360"/>
        <w:rPr>
          <w:rFonts w:ascii="Arial" w:hAnsi="Arial" w:cs="Arial"/>
          <w:color w:val="000000" w:themeColor="text1"/>
          <w:u w:val="single"/>
        </w:rPr>
      </w:pPr>
      <w:r w:rsidRPr="00D74025">
        <w:rPr>
          <w:rFonts w:ascii="Arial" w:hAnsi="Arial" w:cs="Arial"/>
          <w:color w:val="000000" w:themeColor="text1"/>
          <w:u w:val="single"/>
        </w:rPr>
        <w:t xml:space="preserve">Sample </w:t>
      </w:r>
      <w:r w:rsidR="00B95D03">
        <w:rPr>
          <w:rFonts w:ascii="Arial" w:hAnsi="Arial" w:cs="Arial"/>
          <w:color w:val="000000" w:themeColor="text1"/>
          <w:u w:val="single"/>
        </w:rPr>
        <w:t>l</w:t>
      </w:r>
      <w:r w:rsidRPr="00D74025">
        <w:rPr>
          <w:rFonts w:ascii="Arial" w:hAnsi="Arial" w:cs="Arial"/>
          <w:color w:val="000000" w:themeColor="text1"/>
          <w:u w:val="single"/>
        </w:rPr>
        <w:t xml:space="preserve">oading and </w:t>
      </w:r>
      <w:r w:rsidR="00B95D03">
        <w:rPr>
          <w:rFonts w:ascii="Arial" w:hAnsi="Arial" w:cs="Arial"/>
          <w:color w:val="000000" w:themeColor="text1"/>
          <w:u w:val="single"/>
        </w:rPr>
        <w:t>r</w:t>
      </w:r>
      <w:r w:rsidRPr="00D74025">
        <w:rPr>
          <w:rFonts w:ascii="Arial" w:hAnsi="Arial" w:cs="Arial"/>
          <w:color w:val="000000" w:themeColor="text1"/>
          <w:u w:val="single"/>
        </w:rPr>
        <w:t xml:space="preserve">unning </w:t>
      </w:r>
      <w:r w:rsidR="00B95D03">
        <w:rPr>
          <w:rFonts w:ascii="Arial" w:hAnsi="Arial" w:cs="Arial"/>
          <w:color w:val="000000" w:themeColor="text1"/>
          <w:u w:val="single"/>
        </w:rPr>
        <w:t>e</w:t>
      </w:r>
      <w:r w:rsidRPr="00D74025">
        <w:rPr>
          <w:rFonts w:ascii="Arial" w:hAnsi="Arial" w:cs="Arial"/>
          <w:color w:val="000000" w:themeColor="text1"/>
          <w:u w:val="single"/>
        </w:rPr>
        <w:t>lectrophoresis</w:t>
      </w:r>
    </w:p>
    <w:p w14:paraId="4FDCD8BD" w14:textId="77777777" w:rsidR="00174F88" w:rsidRPr="00D74025" w:rsidRDefault="00174F88">
      <w:pPr>
        <w:pStyle w:val="ListParagraph"/>
        <w:numPr>
          <w:ilvl w:val="0"/>
          <w:numId w:val="7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Prepare samples for gel loading. </w:t>
      </w:r>
    </w:p>
    <w:p w14:paraId="66739AE8" w14:textId="0DD4A519" w:rsidR="00174F88" w:rsidRPr="00D74025" w:rsidRDefault="00174F88">
      <w:pPr>
        <w:pStyle w:val="ListParagraph"/>
        <w:numPr>
          <w:ilvl w:val="1"/>
          <w:numId w:val="71"/>
        </w:numPr>
        <w:spacing w:before="0" w:beforeAutospacing="0" w:after="160" w:afterAutospacing="0" w:line="276" w:lineRule="auto"/>
        <w:jc w:val="left"/>
        <w:rPr>
          <w:rFonts w:ascii="Arial" w:hAnsi="Arial" w:cs="Arial"/>
          <w:color w:val="000000" w:themeColor="text1"/>
        </w:rPr>
      </w:pPr>
      <w:proofErr w:type="gramStart"/>
      <w:r w:rsidRPr="00D74025">
        <w:rPr>
          <w:rFonts w:ascii="Arial" w:hAnsi="Arial" w:cs="Arial"/>
          <w:color w:val="000000" w:themeColor="text1"/>
        </w:rPr>
        <w:t>Before  loading</w:t>
      </w:r>
      <w:proofErr w:type="gramEnd"/>
      <w:r w:rsidRPr="00D74025">
        <w:rPr>
          <w:rFonts w:ascii="Arial" w:hAnsi="Arial" w:cs="Arial"/>
          <w:color w:val="000000" w:themeColor="text1"/>
        </w:rPr>
        <w:t xml:space="preserve">  the  gel  with  the  PEGylated  nanoparticle  sample,  a  small amount of loading buffer (30% D(+)-</w:t>
      </w:r>
      <w:r w:rsidR="00B95D03">
        <w:rPr>
          <w:rFonts w:ascii="Arial" w:hAnsi="Arial" w:cs="Arial"/>
          <w:color w:val="000000" w:themeColor="text1"/>
        </w:rPr>
        <w:t>s</w:t>
      </w:r>
      <w:r w:rsidRPr="00D74025">
        <w:rPr>
          <w:rFonts w:ascii="Arial" w:hAnsi="Arial" w:cs="Arial"/>
          <w:color w:val="000000" w:themeColor="text1"/>
        </w:rPr>
        <w:t>ucrose in 0.5x TBE-buffer) is added to  the  sample</w:t>
      </w:r>
      <w:r w:rsidR="002806BD">
        <w:rPr>
          <w:rFonts w:ascii="Arial" w:hAnsi="Arial" w:cs="Arial"/>
          <w:color w:val="000000" w:themeColor="text1"/>
        </w:rPr>
        <w:t>.</w:t>
      </w:r>
    </w:p>
    <w:p w14:paraId="7C0AA4B9" w14:textId="77777777" w:rsidR="00174F88" w:rsidRPr="00D74025" w:rsidRDefault="00174F88">
      <w:pPr>
        <w:pStyle w:val="ListParagraph"/>
        <w:numPr>
          <w:ilvl w:val="0"/>
          <w:numId w:val="7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Load the samples into the wells using standard pipets</w:t>
      </w:r>
    </w:p>
    <w:p w14:paraId="3F5E435F" w14:textId="5CE4BD7F" w:rsidR="00174F88" w:rsidRPr="00D74025" w:rsidRDefault="00174F88">
      <w:pPr>
        <w:pStyle w:val="ListParagraph"/>
        <w:numPr>
          <w:ilvl w:val="1"/>
          <w:numId w:val="7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 xml:space="preserve">10 </w:t>
      </w:r>
      <w:proofErr w:type="spellStart"/>
      <w:r w:rsidRPr="00D74025">
        <w:rPr>
          <w:rFonts w:ascii="Arial" w:hAnsi="Arial" w:cs="Arial"/>
          <w:color w:val="000000" w:themeColor="text1"/>
        </w:rPr>
        <w:t>μ</w:t>
      </w:r>
      <w:r w:rsidR="00830790">
        <w:rPr>
          <w:rFonts w:ascii="Arial" w:hAnsi="Arial" w:cs="Arial"/>
          <w:color w:val="000000" w:themeColor="text1"/>
        </w:rPr>
        <w:t>L</w:t>
      </w:r>
      <w:proofErr w:type="spellEnd"/>
      <w:r w:rsidRPr="00D74025">
        <w:rPr>
          <w:rFonts w:ascii="Arial" w:hAnsi="Arial" w:cs="Arial"/>
          <w:color w:val="000000" w:themeColor="text1"/>
        </w:rPr>
        <w:t xml:space="preserve"> sample is loaded into one well of the gel.</w:t>
      </w:r>
    </w:p>
    <w:p w14:paraId="1E4B5839" w14:textId="77777777" w:rsidR="00174F88" w:rsidRPr="00D74025" w:rsidRDefault="00174F88">
      <w:pPr>
        <w:pStyle w:val="ListParagraph"/>
        <w:numPr>
          <w:ilvl w:val="0"/>
          <w:numId w:val="7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Place the lid on the electrophoresis chamber carefully. Do not disturb the samples. The Sub-Cell GT system lids attach to the base in only one orientation. To attach the lid correctly, match the red and black banana jacks on the lid with the red and black banana plugs of the base.</w:t>
      </w:r>
    </w:p>
    <w:p w14:paraId="4B844BD6" w14:textId="77777777" w:rsidR="00174F88" w:rsidRPr="00D74025" w:rsidRDefault="00174F88">
      <w:pPr>
        <w:pStyle w:val="ListParagraph"/>
        <w:numPr>
          <w:ilvl w:val="0"/>
          <w:numId w:val="7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Adjust power input to 150 V in the power source.</w:t>
      </w:r>
    </w:p>
    <w:p w14:paraId="2D5E355F" w14:textId="77777777" w:rsidR="00174F88" w:rsidRPr="00D74025" w:rsidRDefault="00174F88">
      <w:pPr>
        <w:pStyle w:val="ListParagraph"/>
        <w:numPr>
          <w:ilvl w:val="0"/>
          <w:numId w:val="71"/>
        </w:numPr>
        <w:spacing w:before="0" w:beforeAutospacing="0" w:after="160" w:afterAutospacing="0" w:line="276" w:lineRule="auto"/>
        <w:jc w:val="left"/>
        <w:rPr>
          <w:rFonts w:ascii="Arial" w:hAnsi="Arial" w:cs="Arial"/>
          <w:color w:val="000000" w:themeColor="text1"/>
        </w:rPr>
      </w:pPr>
      <w:r w:rsidRPr="00D74025">
        <w:rPr>
          <w:rFonts w:ascii="Arial" w:hAnsi="Arial" w:cs="Arial"/>
          <w:color w:val="000000" w:themeColor="text1"/>
        </w:rPr>
        <w:t>Run electrophoresis for adequate amount of time (30 - 45 min)</w:t>
      </w:r>
    </w:p>
    <w:p w14:paraId="10AED22F" w14:textId="77777777" w:rsidR="00174F88" w:rsidRPr="00D74025" w:rsidRDefault="00174F88" w:rsidP="00F6020C">
      <w:pPr>
        <w:pStyle w:val="Tpico5"/>
        <w:spacing w:line="276" w:lineRule="auto"/>
        <w:rPr>
          <w:rFonts w:ascii="Arial" w:hAnsi="Arial" w:cs="Arial"/>
          <w:color w:val="000000" w:themeColor="text1"/>
          <w:u w:val="none"/>
        </w:rPr>
      </w:pPr>
    </w:p>
    <w:sectPr w:rsidR="00174F88" w:rsidRPr="00D74025" w:rsidSect="002558D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89104" w14:textId="77777777" w:rsidR="00733917" w:rsidRDefault="00733917" w:rsidP="00274D42">
      <w:r>
        <w:separator/>
      </w:r>
    </w:p>
  </w:endnote>
  <w:endnote w:type="continuationSeparator" w:id="0">
    <w:p w14:paraId="502FF57F" w14:textId="77777777" w:rsidR="00733917" w:rsidRDefault="00733917" w:rsidP="00274D42">
      <w:r>
        <w:continuationSeparator/>
      </w:r>
    </w:p>
  </w:endnote>
  <w:endnote w:type="continuationNotice" w:id="1">
    <w:p w14:paraId="5B648F18" w14:textId="77777777" w:rsidR="00733917" w:rsidRDefault="007339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2FF" w:usb1="420024FF" w:usb2="00000000" w:usb3="00000000" w:csb0="0000019F" w:csb1="00000000"/>
  </w:font>
  <w:font w:name="Times">
    <w:panose1 w:val="00000500000000020000"/>
    <w:charset w:val="00"/>
    <w:family w:val="auto"/>
    <w:pitch w:val="variable"/>
    <w:sig w:usb0="E00002FF" w:usb1="5000205A" w:usb2="00000000" w:usb3="00000000" w:csb0="0000019F" w:csb1="00000000"/>
  </w:font>
  <w:font w:name="CIDFont+F1">
    <w:altName w:val="Microsoft JhengHei"/>
    <w:panose1 w:val="020B0604020202020204"/>
    <w:charset w:val="00"/>
    <w:family w:val="auto"/>
    <w:notTrueType/>
    <w:pitch w:val="default"/>
    <w:sig w:usb0="00000003" w:usb1="00000000" w:usb2="00000000" w:usb3="00000000" w:csb0="00000001" w:csb1="00000000"/>
  </w:font>
  <w:font w:name="CIDFont+F12">
    <w:altName w:val="Microsoft JhengHei"/>
    <w:panose1 w:val="020B0604020202020204"/>
    <w:charset w:val="88"/>
    <w:family w:val="auto"/>
    <w:pitch w:val="default"/>
    <w:sig w:usb0="00000001" w:usb1="08080000" w:usb2="00000010" w:usb3="00000000" w:csb0="00100000" w:csb1="00000000"/>
  </w:font>
  <w:font w:name="MS Gothic">
    <w:altName w:val="ＭＳ ゴシック"/>
    <w:panose1 w:val="020B0609070205080204"/>
    <w:charset w:val="80"/>
    <w:family w:val="modern"/>
    <w:pitch w:val="fixed"/>
    <w:sig w:usb0="E00002FF" w:usb1="6AC7FDFB" w:usb2="08000012" w:usb3="00000000" w:csb0="0002009F" w:csb1="00000000"/>
  </w:font>
  <w:font w:name="MTSY">
    <w:altName w:val="Malgun Gothic"/>
    <w:panose1 w:val="020B0604020202020204"/>
    <w:charset w:val="81"/>
    <w:family w:val="auto"/>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84903953"/>
      <w:docPartObj>
        <w:docPartGallery w:val="Page Numbers (Bottom of Page)"/>
        <w:docPartUnique/>
      </w:docPartObj>
    </w:sdtPr>
    <w:sdtEndPr>
      <w:rPr>
        <w:rStyle w:val="PageNumber"/>
      </w:rPr>
    </w:sdtEndPr>
    <w:sdtContent>
      <w:p w14:paraId="3F9E486F" w14:textId="447CDC1B" w:rsidR="00C736D4" w:rsidRDefault="00C736D4" w:rsidP="008658E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352EA">
          <w:rPr>
            <w:rStyle w:val="PageNumber"/>
            <w:noProof/>
          </w:rPr>
          <w:t>19</w:t>
        </w:r>
        <w:r>
          <w:rPr>
            <w:rStyle w:val="PageNumber"/>
          </w:rPr>
          <w:fldChar w:fldCharType="end"/>
        </w:r>
      </w:p>
    </w:sdtContent>
  </w:sdt>
  <w:sdt>
    <w:sdtPr>
      <w:rPr>
        <w:rStyle w:val="PageNumber"/>
      </w:rPr>
      <w:id w:val="1319461019"/>
      <w:docPartObj>
        <w:docPartGallery w:val="Page Numbers (Bottom of Page)"/>
        <w:docPartUnique/>
      </w:docPartObj>
    </w:sdtPr>
    <w:sdtEndPr>
      <w:rPr>
        <w:rStyle w:val="PageNumber"/>
      </w:rPr>
    </w:sdtEndPr>
    <w:sdtContent>
      <w:p w14:paraId="7139309D" w14:textId="09BEAA5C" w:rsidR="00274D42" w:rsidRDefault="00274D42" w:rsidP="008658E4">
        <w:pPr>
          <w:pStyle w:val="Footer"/>
          <w:framePr w:wrap="none" w:vAnchor="text" w:hAnchor="margin" w:xAlign="center"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3352EA">
          <w:rPr>
            <w:rStyle w:val="PageNumber"/>
            <w:noProof/>
          </w:rPr>
          <w:t>19</w:t>
        </w:r>
        <w:r>
          <w:rPr>
            <w:rStyle w:val="PageNumber"/>
          </w:rPr>
          <w:fldChar w:fldCharType="end"/>
        </w:r>
      </w:p>
    </w:sdtContent>
  </w:sdt>
  <w:p w14:paraId="56CF7E9D" w14:textId="77777777" w:rsidR="00274D42" w:rsidRDefault="00274D42" w:rsidP="00274D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B2261" w14:textId="77777777" w:rsidR="00274D42" w:rsidRDefault="00274D42" w:rsidP="00274D4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4998977"/>
      <w:docPartObj>
        <w:docPartGallery w:val="Page Numbers (Bottom of Page)"/>
        <w:docPartUnique/>
      </w:docPartObj>
    </w:sdtPr>
    <w:sdtEndPr>
      <w:rPr>
        <w:rStyle w:val="PageNumber"/>
      </w:rPr>
    </w:sdtEndPr>
    <w:sdtContent>
      <w:p w14:paraId="20085D25" w14:textId="77777777" w:rsidR="0034337C" w:rsidRDefault="0034337C" w:rsidP="0012067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7BEA1434" w14:textId="77777777" w:rsidR="0034337C" w:rsidRDefault="0034337C" w:rsidP="00274D4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69441" w14:textId="77777777" w:rsidR="00733917" w:rsidRDefault="00733917" w:rsidP="00274D42">
      <w:r>
        <w:separator/>
      </w:r>
    </w:p>
  </w:footnote>
  <w:footnote w:type="continuationSeparator" w:id="0">
    <w:p w14:paraId="210D6417" w14:textId="77777777" w:rsidR="00733917" w:rsidRDefault="00733917" w:rsidP="00274D42">
      <w:r>
        <w:continuationSeparator/>
      </w:r>
    </w:p>
  </w:footnote>
  <w:footnote w:type="continuationNotice" w:id="1">
    <w:p w14:paraId="4CFB9735" w14:textId="77777777" w:rsidR="00733917" w:rsidRDefault="0073391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3765C"/>
    <w:multiLevelType w:val="hybridMultilevel"/>
    <w:tmpl w:val="D23276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9419C"/>
    <w:multiLevelType w:val="multilevel"/>
    <w:tmpl w:val="90A4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365B40"/>
    <w:multiLevelType w:val="hybridMultilevel"/>
    <w:tmpl w:val="C6506EA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5426614"/>
    <w:multiLevelType w:val="hybridMultilevel"/>
    <w:tmpl w:val="8E4EE4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AF1313"/>
    <w:multiLevelType w:val="hybridMultilevel"/>
    <w:tmpl w:val="691E2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6F31DD"/>
    <w:multiLevelType w:val="hybridMultilevel"/>
    <w:tmpl w:val="62E207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7D3E3D"/>
    <w:multiLevelType w:val="hybridMultilevel"/>
    <w:tmpl w:val="DFE62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8030DC"/>
    <w:multiLevelType w:val="hybridMultilevel"/>
    <w:tmpl w:val="25884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A726BA1"/>
    <w:multiLevelType w:val="hybridMultilevel"/>
    <w:tmpl w:val="A77840A2"/>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B241D6A"/>
    <w:multiLevelType w:val="hybridMultilevel"/>
    <w:tmpl w:val="45261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3360CF"/>
    <w:multiLevelType w:val="hybridMultilevel"/>
    <w:tmpl w:val="79E4A1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481129"/>
    <w:multiLevelType w:val="hybridMultilevel"/>
    <w:tmpl w:val="1568BC9E"/>
    <w:lvl w:ilvl="0" w:tplc="B7D279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1C5548"/>
    <w:multiLevelType w:val="hybridMultilevel"/>
    <w:tmpl w:val="06D4474A"/>
    <w:lvl w:ilvl="0" w:tplc="4AE6C9E6">
      <w:start w:val="10"/>
      <w:numFmt w:val="bullet"/>
      <w:lvlText w:val="-"/>
      <w:lvlJc w:val="left"/>
      <w:pPr>
        <w:ind w:left="1800" w:hanging="360"/>
      </w:pPr>
      <w:rPr>
        <w:rFonts w:ascii="Times New Roman" w:eastAsia="SimSu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0850046"/>
    <w:multiLevelType w:val="hybridMultilevel"/>
    <w:tmpl w:val="53AAF278"/>
    <w:lvl w:ilvl="0" w:tplc="40161B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9D5A45"/>
    <w:multiLevelType w:val="hybridMultilevel"/>
    <w:tmpl w:val="B11E69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1246472B"/>
    <w:multiLevelType w:val="hybridMultilevel"/>
    <w:tmpl w:val="10B8B5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4C70AB"/>
    <w:multiLevelType w:val="hybridMultilevel"/>
    <w:tmpl w:val="3F46EE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137F205D"/>
    <w:multiLevelType w:val="hybridMultilevel"/>
    <w:tmpl w:val="84A2BA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15614CDF"/>
    <w:multiLevelType w:val="hybridMultilevel"/>
    <w:tmpl w:val="09320B36"/>
    <w:lvl w:ilvl="0" w:tplc="8DDA4BF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16451752"/>
    <w:multiLevelType w:val="hybridMultilevel"/>
    <w:tmpl w:val="9DBCA2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171A6E08"/>
    <w:multiLevelType w:val="hybridMultilevel"/>
    <w:tmpl w:val="105615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7ED174F"/>
    <w:multiLevelType w:val="hybridMultilevel"/>
    <w:tmpl w:val="C64CC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9760AE8"/>
    <w:multiLevelType w:val="hybridMultilevel"/>
    <w:tmpl w:val="35823938"/>
    <w:lvl w:ilvl="0" w:tplc="09045B5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9FA44AE"/>
    <w:multiLevelType w:val="hybridMultilevel"/>
    <w:tmpl w:val="9D66ED24"/>
    <w:lvl w:ilvl="0" w:tplc="945858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B774F53"/>
    <w:multiLevelType w:val="hybridMultilevel"/>
    <w:tmpl w:val="4BB606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69E1A7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C8715E2"/>
    <w:multiLevelType w:val="hybridMultilevel"/>
    <w:tmpl w:val="8C96EEE8"/>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1D587030"/>
    <w:multiLevelType w:val="hybridMultilevel"/>
    <w:tmpl w:val="57D85236"/>
    <w:lvl w:ilvl="0" w:tplc="A3C68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F647FBB"/>
    <w:multiLevelType w:val="hybridMultilevel"/>
    <w:tmpl w:val="D7DED6D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1F8F6791"/>
    <w:multiLevelType w:val="hybridMultilevel"/>
    <w:tmpl w:val="0664AE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C31211"/>
    <w:multiLevelType w:val="hybridMultilevel"/>
    <w:tmpl w:val="803E6A6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20EC442A"/>
    <w:multiLevelType w:val="hybridMultilevel"/>
    <w:tmpl w:val="7C565130"/>
    <w:lvl w:ilvl="0" w:tplc="4AE6C9E6">
      <w:start w:val="10"/>
      <w:numFmt w:val="bullet"/>
      <w:lvlText w:val="-"/>
      <w:lvlJc w:val="left"/>
      <w:pPr>
        <w:ind w:left="1800" w:hanging="360"/>
      </w:pPr>
      <w:rPr>
        <w:rFonts w:ascii="Times New Roman" w:eastAsia="SimSu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21806398"/>
    <w:multiLevelType w:val="hybridMultilevel"/>
    <w:tmpl w:val="33FA7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2C648A7"/>
    <w:multiLevelType w:val="hybridMultilevel"/>
    <w:tmpl w:val="E3A8381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247B3CFD"/>
    <w:multiLevelType w:val="hybridMultilevel"/>
    <w:tmpl w:val="D1927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48B2FE1"/>
    <w:multiLevelType w:val="hybridMultilevel"/>
    <w:tmpl w:val="03308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73E2C5A"/>
    <w:multiLevelType w:val="hybridMultilevel"/>
    <w:tmpl w:val="8C9CCDBA"/>
    <w:lvl w:ilvl="0" w:tplc="E4E26F70">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2A146FCE"/>
    <w:multiLevelType w:val="hybridMultilevel"/>
    <w:tmpl w:val="5694F1EA"/>
    <w:lvl w:ilvl="0" w:tplc="FF724E76">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B231E96"/>
    <w:multiLevelType w:val="hybridMultilevel"/>
    <w:tmpl w:val="49A8250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2C8D4877"/>
    <w:multiLevelType w:val="hybridMultilevel"/>
    <w:tmpl w:val="7FF8C2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F6730B1"/>
    <w:multiLevelType w:val="hybridMultilevel"/>
    <w:tmpl w:val="5E14B3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1915776"/>
    <w:multiLevelType w:val="hybridMultilevel"/>
    <w:tmpl w:val="CAF48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2116863"/>
    <w:multiLevelType w:val="hybridMultilevel"/>
    <w:tmpl w:val="DD302F3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32245C07"/>
    <w:multiLevelType w:val="hybridMultilevel"/>
    <w:tmpl w:val="52AADC24"/>
    <w:lvl w:ilvl="0" w:tplc="EAA2DBA8">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389449A1"/>
    <w:multiLevelType w:val="hybridMultilevel"/>
    <w:tmpl w:val="E876BD6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38E312EA"/>
    <w:multiLevelType w:val="hybridMultilevel"/>
    <w:tmpl w:val="8E3E4D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91213EE"/>
    <w:multiLevelType w:val="hybridMultilevel"/>
    <w:tmpl w:val="976A5234"/>
    <w:lvl w:ilvl="0" w:tplc="7736C43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AA1794A"/>
    <w:multiLevelType w:val="multilevel"/>
    <w:tmpl w:val="AD901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D4E1F09"/>
    <w:multiLevelType w:val="hybridMultilevel"/>
    <w:tmpl w:val="9AB8FA90"/>
    <w:lvl w:ilvl="0" w:tplc="0409000F">
      <w:start w:val="1"/>
      <w:numFmt w:val="decimal"/>
      <w:lvlText w:val="%1."/>
      <w:lvlJc w:val="left"/>
      <w:pPr>
        <w:ind w:left="1080" w:hanging="360"/>
      </w:pPr>
      <w:rPr>
        <w:rFonts w:hint="default"/>
      </w:rPr>
    </w:lvl>
    <w:lvl w:ilvl="1" w:tplc="0409000B">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3E1A283F"/>
    <w:multiLevelType w:val="hybridMultilevel"/>
    <w:tmpl w:val="F44E0D16"/>
    <w:lvl w:ilvl="0" w:tplc="F024435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E477A90"/>
    <w:multiLevelType w:val="hybridMultilevel"/>
    <w:tmpl w:val="93D6F558"/>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15:restartNumberingAfterBreak="0">
    <w:nsid w:val="3EBE4FD6"/>
    <w:multiLevelType w:val="hybridMultilevel"/>
    <w:tmpl w:val="F02C7FD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1" w15:restartNumberingAfterBreak="0">
    <w:nsid w:val="3FEE3FB4"/>
    <w:multiLevelType w:val="hybridMultilevel"/>
    <w:tmpl w:val="085C3670"/>
    <w:lvl w:ilvl="0" w:tplc="7982E62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40F06A06"/>
    <w:multiLevelType w:val="hybridMultilevel"/>
    <w:tmpl w:val="483CB8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2CD73CD"/>
    <w:multiLevelType w:val="hybridMultilevel"/>
    <w:tmpl w:val="82BC02F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15:restartNumberingAfterBreak="0">
    <w:nsid w:val="43457322"/>
    <w:multiLevelType w:val="hybridMultilevel"/>
    <w:tmpl w:val="3EB646DA"/>
    <w:lvl w:ilvl="0" w:tplc="0409000F">
      <w:start w:val="1"/>
      <w:numFmt w:val="decimal"/>
      <w:lvlText w:val="%1."/>
      <w:lvlJc w:val="left"/>
      <w:pPr>
        <w:ind w:left="1080" w:hanging="360"/>
      </w:pPr>
      <w:rPr>
        <w:rFonts w:hint="default"/>
      </w:rPr>
    </w:lvl>
    <w:lvl w:ilvl="1" w:tplc="0409000B">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444A7D57"/>
    <w:multiLevelType w:val="hybridMultilevel"/>
    <w:tmpl w:val="87589CB2"/>
    <w:lvl w:ilvl="0" w:tplc="346EF12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4AF2F42"/>
    <w:multiLevelType w:val="hybridMultilevel"/>
    <w:tmpl w:val="4614CA02"/>
    <w:lvl w:ilvl="0" w:tplc="0409000B">
      <w:start w:val="1"/>
      <w:numFmt w:val="bullet"/>
      <w:lvlText w:val=""/>
      <w:lvlJc w:val="left"/>
      <w:pPr>
        <w:ind w:left="1860" w:hanging="360"/>
      </w:pPr>
      <w:rPr>
        <w:rFonts w:ascii="Wingdings" w:hAnsi="Wingdings"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57" w15:restartNumberingAfterBreak="0">
    <w:nsid w:val="45C9610A"/>
    <w:multiLevelType w:val="hybridMultilevel"/>
    <w:tmpl w:val="F54CE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7CC1864"/>
    <w:multiLevelType w:val="hybridMultilevel"/>
    <w:tmpl w:val="4CD295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80B08D2"/>
    <w:multiLevelType w:val="hybridMultilevel"/>
    <w:tmpl w:val="559831F6"/>
    <w:lvl w:ilvl="0" w:tplc="3356DB0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96B53BC"/>
    <w:multiLevelType w:val="hybridMultilevel"/>
    <w:tmpl w:val="39EEBA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1" w15:restartNumberingAfterBreak="0">
    <w:nsid w:val="4C017C9B"/>
    <w:multiLevelType w:val="hybridMultilevel"/>
    <w:tmpl w:val="E1784F96"/>
    <w:lvl w:ilvl="0" w:tplc="DB6E899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15:restartNumberingAfterBreak="0">
    <w:nsid w:val="4C2145DB"/>
    <w:multiLevelType w:val="hybridMultilevel"/>
    <w:tmpl w:val="EF5AE5FE"/>
    <w:lvl w:ilvl="0" w:tplc="679E7C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4DFF75DA"/>
    <w:multiLevelType w:val="hybridMultilevel"/>
    <w:tmpl w:val="1F94CE9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15:restartNumberingAfterBreak="0">
    <w:nsid w:val="4E98759B"/>
    <w:multiLevelType w:val="hybridMultilevel"/>
    <w:tmpl w:val="6E3EA68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821D58">
      <w:start w:val="1"/>
      <w:numFmt w:val="decimal"/>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526664AD"/>
    <w:multiLevelType w:val="hybridMultilevel"/>
    <w:tmpl w:val="74462EA0"/>
    <w:lvl w:ilvl="0" w:tplc="D59EB7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2DF0AE7"/>
    <w:multiLevelType w:val="hybridMultilevel"/>
    <w:tmpl w:val="D5FA9648"/>
    <w:lvl w:ilvl="0" w:tplc="F544C19A">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7" w15:restartNumberingAfterBreak="0">
    <w:nsid w:val="53FC3B9F"/>
    <w:multiLevelType w:val="hybridMultilevel"/>
    <w:tmpl w:val="45320A38"/>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8" w15:restartNumberingAfterBreak="0">
    <w:nsid w:val="559A433D"/>
    <w:multiLevelType w:val="hybridMultilevel"/>
    <w:tmpl w:val="6A3A8E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9" w15:restartNumberingAfterBreak="0">
    <w:nsid w:val="583A7945"/>
    <w:multiLevelType w:val="hybridMultilevel"/>
    <w:tmpl w:val="2D32383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15:restartNumberingAfterBreak="0">
    <w:nsid w:val="585D2378"/>
    <w:multiLevelType w:val="hybridMultilevel"/>
    <w:tmpl w:val="FA02D2C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1" w15:restartNumberingAfterBreak="0">
    <w:nsid w:val="58672B08"/>
    <w:multiLevelType w:val="hybridMultilevel"/>
    <w:tmpl w:val="13D2AE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8C37921"/>
    <w:multiLevelType w:val="hybridMultilevel"/>
    <w:tmpl w:val="E3CCA5D8"/>
    <w:lvl w:ilvl="0" w:tplc="03CAC3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5AB17672"/>
    <w:multiLevelType w:val="hybridMultilevel"/>
    <w:tmpl w:val="96085D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E082363"/>
    <w:multiLevelType w:val="hybridMultilevel"/>
    <w:tmpl w:val="8220A14A"/>
    <w:lvl w:ilvl="0" w:tplc="9538E8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0C2C9F"/>
    <w:multiLevelType w:val="hybridMultilevel"/>
    <w:tmpl w:val="0CCA244C"/>
    <w:lvl w:ilvl="0" w:tplc="0409000F">
      <w:start w:val="1"/>
      <w:numFmt w:val="decimal"/>
      <w:lvlText w:val="%1."/>
      <w:lvlJc w:val="left"/>
      <w:pPr>
        <w:ind w:left="1080" w:hanging="360"/>
      </w:pPr>
      <w:rPr>
        <w:rFonts w:hint="default"/>
      </w:rPr>
    </w:lvl>
    <w:lvl w:ilvl="1" w:tplc="0409000B">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5F2D1AFB"/>
    <w:multiLevelType w:val="hybridMultilevel"/>
    <w:tmpl w:val="CB287264"/>
    <w:lvl w:ilvl="0" w:tplc="225CA05E">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7" w15:restartNumberingAfterBreak="0">
    <w:nsid w:val="5F5A4059"/>
    <w:multiLevelType w:val="hybridMultilevel"/>
    <w:tmpl w:val="42D8BBE0"/>
    <w:lvl w:ilvl="0" w:tplc="78D4B9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12F06EE"/>
    <w:multiLevelType w:val="hybridMultilevel"/>
    <w:tmpl w:val="8C900FF8"/>
    <w:lvl w:ilvl="0" w:tplc="C2CEF04E">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9" w15:restartNumberingAfterBreak="0">
    <w:nsid w:val="64736F12"/>
    <w:multiLevelType w:val="hybridMultilevel"/>
    <w:tmpl w:val="89389280"/>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66FF1A27"/>
    <w:multiLevelType w:val="hybridMultilevel"/>
    <w:tmpl w:val="E3E2F328"/>
    <w:lvl w:ilvl="0" w:tplc="D60C43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7DD6499"/>
    <w:multiLevelType w:val="hybridMultilevel"/>
    <w:tmpl w:val="4098748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2" w15:restartNumberingAfterBreak="0">
    <w:nsid w:val="69290A5C"/>
    <w:multiLevelType w:val="hybridMultilevel"/>
    <w:tmpl w:val="56DC91C2"/>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3" w15:restartNumberingAfterBreak="0">
    <w:nsid w:val="69B8105B"/>
    <w:multiLevelType w:val="hybridMultilevel"/>
    <w:tmpl w:val="3800D504"/>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B">
      <w:start w:val="1"/>
      <w:numFmt w:val="bullet"/>
      <w:lvlText w:val=""/>
      <w:lvlJc w:val="left"/>
      <w:pPr>
        <w:ind w:left="2520" w:hanging="180"/>
      </w:pPr>
      <w:rPr>
        <w:rFonts w:ascii="Wingdings" w:hAnsi="Wingding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6B2C3BBB"/>
    <w:multiLevelType w:val="hybridMultilevel"/>
    <w:tmpl w:val="53F68A92"/>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5" w15:restartNumberingAfterBreak="0">
    <w:nsid w:val="71C311BC"/>
    <w:multiLevelType w:val="hybridMultilevel"/>
    <w:tmpl w:val="0B90EFB2"/>
    <w:lvl w:ilvl="0" w:tplc="0409000F">
      <w:start w:val="1"/>
      <w:numFmt w:val="decimal"/>
      <w:lvlText w:val="%1."/>
      <w:lvlJc w:val="left"/>
      <w:pPr>
        <w:ind w:left="1080" w:hanging="360"/>
      </w:pPr>
      <w:rPr>
        <w:rFonts w:hint="default"/>
      </w:rPr>
    </w:lvl>
    <w:lvl w:ilvl="1" w:tplc="0409000B">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74D906D9"/>
    <w:multiLevelType w:val="hybridMultilevel"/>
    <w:tmpl w:val="3274E654"/>
    <w:lvl w:ilvl="0" w:tplc="A3C68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50E7304"/>
    <w:multiLevelType w:val="hybridMultilevel"/>
    <w:tmpl w:val="6A663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8B05222"/>
    <w:multiLevelType w:val="hybridMultilevel"/>
    <w:tmpl w:val="BC0CC7B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9" w15:restartNumberingAfterBreak="0">
    <w:nsid w:val="79876FD1"/>
    <w:multiLevelType w:val="hybridMultilevel"/>
    <w:tmpl w:val="13A04038"/>
    <w:lvl w:ilvl="0" w:tplc="BE822BFE">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0" w15:restartNumberingAfterBreak="0">
    <w:nsid w:val="79A626C4"/>
    <w:multiLevelType w:val="hybridMultilevel"/>
    <w:tmpl w:val="D4763F14"/>
    <w:lvl w:ilvl="0" w:tplc="D1AC34F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 w15:restartNumberingAfterBreak="0">
    <w:nsid w:val="7B1946BB"/>
    <w:multiLevelType w:val="hybridMultilevel"/>
    <w:tmpl w:val="5716721A"/>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686834885">
    <w:abstractNumId w:val="79"/>
  </w:num>
  <w:num w:numId="2" w16cid:durableId="436408679">
    <w:abstractNumId w:val="41"/>
  </w:num>
  <w:num w:numId="3" w16cid:durableId="1248147020">
    <w:abstractNumId w:val="8"/>
  </w:num>
  <w:num w:numId="4" w16cid:durableId="980040395">
    <w:abstractNumId w:val="25"/>
  </w:num>
  <w:num w:numId="5" w16cid:durableId="1147281077">
    <w:abstractNumId w:val="81"/>
  </w:num>
  <w:num w:numId="6" w16cid:durableId="962156028">
    <w:abstractNumId w:val="53"/>
  </w:num>
  <w:num w:numId="7" w16cid:durableId="1657489686">
    <w:abstractNumId w:val="43"/>
  </w:num>
  <w:num w:numId="8" w16cid:durableId="442187277">
    <w:abstractNumId w:val="29"/>
  </w:num>
  <w:num w:numId="9" w16cid:durableId="949556613">
    <w:abstractNumId w:val="56"/>
  </w:num>
  <w:num w:numId="10" w16cid:durableId="968587599">
    <w:abstractNumId w:val="69"/>
  </w:num>
  <w:num w:numId="11" w16cid:durableId="579603599">
    <w:abstractNumId w:val="39"/>
  </w:num>
  <w:num w:numId="12" w16cid:durableId="1960405075">
    <w:abstractNumId w:val="50"/>
  </w:num>
  <w:num w:numId="13" w16cid:durableId="365108604">
    <w:abstractNumId w:val="84"/>
  </w:num>
  <w:num w:numId="14" w16cid:durableId="1152481471">
    <w:abstractNumId w:val="91"/>
  </w:num>
  <w:num w:numId="15" w16cid:durableId="372267929">
    <w:abstractNumId w:val="67"/>
  </w:num>
  <w:num w:numId="16" w16cid:durableId="1317105049">
    <w:abstractNumId w:val="49"/>
  </w:num>
  <w:num w:numId="17" w16cid:durableId="1301880407">
    <w:abstractNumId w:val="32"/>
  </w:num>
  <w:num w:numId="18" w16cid:durableId="416634573">
    <w:abstractNumId w:val="83"/>
  </w:num>
  <w:num w:numId="19" w16cid:durableId="1262032367">
    <w:abstractNumId w:val="27"/>
  </w:num>
  <w:num w:numId="20" w16cid:durableId="922952329">
    <w:abstractNumId w:val="2"/>
  </w:num>
  <w:num w:numId="21" w16cid:durableId="129327050">
    <w:abstractNumId w:val="82"/>
  </w:num>
  <w:num w:numId="22" w16cid:durableId="144859550">
    <w:abstractNumId w:val="12"/>
  </w:num>
  <w:num w:numId="23" w16cid:durableId="1067922373">
    <w:abstractNumId w:val="75"/>
  </w:num>
  <w:num w:numId="24" w16cid:durableId="1012680239">
    <w:abstractNumId w:val="47"/>
  </w:num>
  <w:num w:numId="25" w16cid:durableId="804809830">
    <w:abstractNumId w:val="54"/>
  </w:num>
  <w:num w:numId="26" w16cid:durableId="1620991768">
    <w:abstractNumId w:val="85"/>
  </w:num>
  <w:num w:numId="27" w16cid:durableId="1541285902">
    <w:abstractNumId w:val="30"/>
  </w:num>
  <w:num w:numId="28" w16cid:durableId="67004115">
    <w:abstractNumId w:val="60"/>
  </w:num>
  <w:num w:numId="29" w16cid:durableId="435373926">
    <w:abstractNumId w:val="68"/>
  </w:num>
  <w:num w:numId="30" w16cid:durableId="790320396">
    <w:abstractNumId w:val="76"/>
  </w:num>
  <w:num w:numId="31" w16cid:durableId="1699701112">
    <w:abstractNumId w:val="35"/>
  </w:num>
  <w:num w:numId="32" w16cid:durableId="383724212">
    <w:abstractNumId w:val="70"/>
  </w:num>
  <w:num w:numId="33" w16cid:durableId="1291278016">
    <w:abstractNumId w:val="15"/>
  </w:num>
  <w:num w:numId="34" w16cid:durableId="1224293703">
    <w:abstractNumId w:val="7"/>
  </w:num>
  <w:num w:numId="35" w16cid:durableId="246698645">
    <w:abstractNumId w:val="0"/>
  </w:num>
  <w:num w:numId="36" w16cid:durableId="954678100">
    <w:abstractNumId w:val="17"/>
  </w:num>
  <w:num w:numId="37" w16cid:durableId="1102914735">
    <w:abstractNumId w:val="16"/>
  </w:num>
  <w:num w:numId="38" w16cid:durableId="1767850382">
    <w:abstractNumId w:val="42"/>
  </w:num>
  <w:num w:numId="39" w16cid:durableId="432288277">
    <w:abstractNumId w:val="62"/>
  </w:num>
  <w:num w:numId="40" w16cid:durableId="2103914183">
    <w:abstractNumId w:val="89"/>
  </w:num>
  <w:num w:numId="41" w16cid:durableId="994457449">
    <w:abstractNumId w:val="66"/>
  </w:num>
  <w:num w:numId="42" w16cid:durableId="2028365169">
    <w:abstractNumId w:val="78"/>
  </w:num>
  <w:num w:numId="43" w16cid:durableId="1991668609">
    <w:abstractNumId w:val="63"/>
  </w:num>
  <w:num w:numId="44" w16cid:durableId="849639244">
    <w:abstractNumId w:val="71"/>
  </w:num>
  <w:num w:numId="45" w16cid:durableId="2100130745">
    <w:abstractNumId w:val="3"/>
  </w:num>
  <w:num w:numId="46" w16cid:durableId="1368677678">
    <w:abstractNumId w:val="64"/>
  </w:num>
  <w:num w:numId="47" w16cid:durableId="135881978">
    <w:abstractNumId w:val="24"/>
  </w:num>
  <w:num w:numId="48" w16cid:durableId="451024212">
    <w:abstractNumId w:val="59"/>
  </w:num>
  <w:num w:numId="49" w16cid:durableId="1776365834">
    <w:abstractNumId w:val="11"/>
  </w:num>
  <w:num w:numId="50" w16cid:durableId="2011129188">
    <w:abstractNumId w:val="65"/>
  </w:num>
  <w:num w:numId="51" w16cid:durableId="1025979171">
    <w:abstractNumId w:val="55"/>
  </w:num>
  <w:num w:numId="52" w16cid:durableId="36666054">
    <w:abstractNumId w:val="21"/>
  </w:num>
  <w:num w:numId="53" w16cid:durableId="1158494034">
    <w:abstractNumId w:val="38"/>
  </w:num>
  <w:num w:numId="54" w16cid:durableId="1711418519">
    <w:abstractNumId w:val="19"/>
  </w:num>
  <w:num w:numId="55" w16cid:durableId="1497303562">
    <w:abstractNumId w:val="14"/>
  </w:num>
  <w:num w:numId="56" w16cid:durableId="860819565">
    <w:abstractNumId w:val="31"/>
  </w:num>
  <w:num w:numId="57" w16cid:durableId="1219053104">
    <w:abstractNumId w:val="5"/>
  </w:num>
  <w:num w:numId="58" w16cid:durableId="1832942047">
    <w:abstractNumId w:val="6"/>
  </w:num>
  <w:num w:numId="59" w16cid:durableId="1097019362">
    <w:abstractNumId w:val="58"/>
  </w:num>
  <w:num w:numId="60" w16cid:durableId="1586913718">
    <w:abstractNumId w:val="18"/>
  </w:num>
  <w:num w:numId="61" w16cid:durableId="114494629">
    <w:abstractNumId w:val="1"/>
  </w:num>
  <w:num w:numId="62" w16cid:durableId="1414618067">
    <w:abstractNumId w:val="46"/>
  </w:num>
  <w:num w:numId="63" w16cid:durableId="1732461900">
    <w:abstractNumId w:val="61"/>
  </w:num>
  <w:num w:numId="64" w16cid:durableId="1361278300">
    <w:abstractNumId w:val="88"/>
  </w:num>
  <w:num w:numId="65" w16cid:durableId="717122799">
    <w:abstractNumId w:val="48"/>
  </w:num>
  <w:num w:numId="66" w16cid:durableId="1663435768">
    <w:abstractNumId w:val="87"/>
  </w:num>
  <w:num w:numId="67" w16cid:durableId="363412085">
    <w:abstractNumId w:val="22"/>
  </w:num>
  <w:num w:numId="68" w16cid:durableId="1539931190">
    <w:abstractNumId w:val="86"/>
  </w:num>
  <w:num w:numId="69" w16cid:durableId="2013948256">
    <w:abstractNumId w:val="26"/>
  </w:num>
  <w:num w:numId="70" w16cid:durableId="66420168">
    <w:abstractNumId w:val="28"/>
  </w:num>
  <w:num w:numId="71" w16cid:durableId="1064521981">
    <w:abstractNumId w:val="37"/>
  </w:num>
  <w:num w:numId="72" w16cid:durableId="1294485657">
    <w:abstractNumId w:val="40"/>
  </w:num>
  <w:num w:numId="73" w16cid:durableId="1709723578">
    <w:abstractNumId w:val="52"/>
  </w:num>
  <w:num w:numId="74" w16cid:durableId="1627275149">
    <w:abstractNumId w:val="57"/>
  </w:num>
  <w:num w:numId="75" w16cid:durableId="1395392801">
    <w:abstractNumId w:val="72"/>
  </w:num>
  <w:num w:numId="76" w16cid:durableId="1116216336">
    <w:abstractNumId w:val="77"/>
  </w:num>
  <w:num w:numId="77" w16cid:durableId="1164396434">
    <w:abstractNumId w:val="90"/>
  </w:num>
  <w:num w:numId="78" w16cid:durableId="1791244002">
    <w:abstractNumId w:val="51"/>
  </w:num>
  <w:num w:numId="79" w16cid:durableId="866872594">
    <w:abstractNumId w:val="23"/>
  </w:num>
  <w:num w:numId="80" w16cid:durableId="19018703">
    <w:abstractNumId w:val="45"/>
  </w:num>
  <w:num w:numId="81" w16cid:durableId="357120976">
    <w:abstractNumId w:val="74"/>
  </w:num>
  <w:num w:numId="82" w16cid:durableId="68503266">
    <w:abstractNumId w:val="13"/>
  </w:num>
  <w:num w:numId="83" w16cid:durableId="589235990">
    <w:abstractNumId w:val="9"/>
  </w:num>
  <w:num w:numId="84" w16cid:durableId="1585842019">
    <w:abstractNumId w:val="33"/>
  </w:num>
  <w:num w:numId="85" w16cid:durableId="1669475748">
    <w:abstractNumId w:val="4"/>
  </w:num>
  <w:num w:numId="86" w16cid:durableId="113258582">
    <w:abstractNumId w:val="10"/>
  </w:num>
  <w:num w:numId="87" w16cid:durableId="319389255">
    <w:abstractNumId w:val="44"/>
  </w:num>
  <w:num w:numId="88" w16cid:durableId="963580086">
    <w:abstractNumId w:val="73"/>
  </w:num>
  <w:num w:numId="89" w16cid:durableId="1385568874">
    <w:abstractNumId w:val="20"/>
  </w:num>
  <w:num w:numId="90" w16cid:durableId="115105765">
    <w:abstractNumId w:val="34"/>
  </w:num>
  <w:num w:numId="91" w16cid:durableId="1192918503">
    <w:abstractNumId w:val="80"/>
  </w:num>
  <w:num w:numId="92" w16cid:durableId="798107846">
    <w:abstractNumId w:val="3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8C4"/>
    <w:rsid w:val="000000A6"/>
    <w:rsid w:val="0000074B"/>
    <w:rsid w:val="00000F50"/>
    <w:rsid w:val="00001683"/>
    <w:rsid w:val="00001B6D"/>
    <w:rsid w:val="00001E34"/>
    <w:rsid w:val="000020BE"/>
    <w:rsid w:val="000023D6"/>
    <w:rsid w:val="00002477"/>
    <w:rsid w:val="00002573"/>
    <w:rsid w:val="000027EF"/>
    <w:rsid w:val="0000280B"/>
    <w:rsid w:val="000028BE"/>
    <w:rsid w:val="000030CD"/>
    <w:rsid w:val="000031B8"/>
    <w:rsid w:val="00003ACE"/>
    <w:rsid w:val="00003D10"/>
    <w:rsid w:val="00003FAA"/>
    <w:rsid w:val="00004494"/>
    <w:rsid w:val="00004D7D"/>
    <w:rsid w:val="0000589E"/>
    <w:rsid w:val="00005910"/>
    <w:rsid w:val="00005B8D"/>
    <w:rsid w:val="00006078"/>
    <w:rsid w:val="00006AD4"/>
    <w:rsid w:val="00006DE2"/>
    <w:rsid w:val="000072CD"/>
    <w:rsid w:val="000073F7"/>
    <w:rsid w:val="0000751A"/>
    <w:rsid w:val="000076EB"/>
    <w:rsid w:val="00010A95"/>
    <w:rsid w:val="00010ABC"/>
    <w:rsid w:val="00010BE8"/>
    <w:rsid w:val="00011523"/>
    <w:rsid w:val="00011992"/>
    <w:rsid w:val="000129D2"/>
    <w:rsid w:val="0001310C"/>
    <w:rsid w:val="00013130"/>
    <w:rsid w:val="000131B0"/>
    <w:rsid w:val="00013396"/>
    <w:rsid w:val="0001347E"/>
    <w:rsid w:val="00014F52"/>
    <w:rsid w:val="000150FB"/>
    <w:rsid w:val="000161E9"/>
    <w:rsid w:val="000164D8"/>
    <w:rsid w:val="00016730"/>
    <w:rsid w:val="00016770"/>
    <w:rsid w:val="0001698B"/>
    <w:rsid w:val="00016A16"/>
    <w:rsid w:val="00016BF4"/>
    <w:rsid w:val="00016FED"/>
    <w:rsid w:val="000172C5"/>
    <w:rsid w:val="00017375"/>
    <w:rsid w:val="0001771F"/>
    <w:rsid w:val="00017F94"/>
    <w:rsid w:val="0002082A"/>
    <w:rsid w:val="00020855"/>
    <w:rsid w:val="00020C29"/>
    <w:rsid w:val="00020C6A"/>
    <w:rsid w:val="00021770"/>
    <w:rsid w:val="00021822"/>
    <w:rsid w:val="000218F4"/>
    <w:rsid w:val="00022304"/>
    <w:rsid w:val="000223C2"/>
    <w:rsid w:val="00023634"/>
    <w:rsid w:val="00023877"/>
    <w:rsid w:val="00023BFA"/>
    <w:rsid w:val="0002463B"/>
    <w:rsid w:val="00025018"/>
    <w:rsid w:val="00025122"/>
    <w:rsid w:val="000252D8"/>
    <w:rsid w:val="00025413"/>
    <w:rsid w:val="000254BB"/>
    <w:rsid w:val="000255CE"/>
    <w:rsid w:val="00025865"/>
    <w:rsid w:val="00025987"/>
    <w:rsid w:val="00025AEC"/>
    <w:rsid w:val="00025BAA"/>
    <w:rsid w:val="00025CDB"/>
    <w:rsid w:val="0002618B"/>
    <w:rsid w:val="0002651F"/>
    <w:rsid w:val="00026C7F"/>
    <w:rsid w:val="00027151"/>
    <w:rsid w:val="00027AFE"/>
    <w:rsid w:val="00027CEE"/>
    <w:rsid w:val="00027DAA"/>
    <w:rsid w:val="00030024"/>
    <w:rsid w:val="000301D5"/>
    <w:rsid w:val="000302ED"/>
    <w:rsid w:val="00030993"/>
    <w:rsid w:val="00031841"/>
    <w:rsid w:val="00031DF0"/>
    <w:rsid w:val="00032BB2"/>
    <w:rsid w:val="00032C8D"/>
    <w:rsid w:val="000331D3"/>
    <w:rsid w:val="00033391"/>
    <w:rsid w:val="000334DE"/>
    <w:rsid w:val="000341C4"/>
    <w:rsid w:val="000344D9"/>
    <w:rsid w:val="0003473C"/>
    <w:rsid w:val="00035856"/>
    <w:rsid w:val="00035A39"/>
    <w:rsid w:val="00035AD7"/>
    <w:rsid w:val="00035CA1"/>
    <w:rsid w:val="00035E5C"/>
    <w:rsid w:val="00036CD7"/>
    <w:rsid w:val="00037089"/>
    <w:rsid w:val="000371EC"/>
    <w:rsid w:val="00037834"/>
    <w:rsid w:val="00037A8B"/>
    <w:rsid w:val="00037F65"/>
    <w:rsid w:val="0004045C"/>
    <w:rsid w:val="00040A7D"/>
    <w:rsid w:val="00040AA0"/>
    <w:rsid w:val="00040EED"/>
    <w:rsid w:val="00040EF4"/>
    <w:rsid w:val="0004102D"/>
    <w:rsid w:val="00041C08"/>
    <w:rsid w:val="000428E2"/>
    <w:rsid w:val="000428F7"/>
    <w:rsid w:val="0004386B"/>
    <w:rsid w:val="00044379"/>
    <w:rsid w:val="00044834"/>
    <w:rsid w:val="00044AE9"/>
    <w:rsid w:val="00044F1F"/>
    <w:rsid w:val="00044FA6"/>
    <w:rsid w:val="00045658"/>
    <w:rsid w:val="00045668"/>
    <w:rsid w:val="00045881"/>
    <w:rsid w:val="00045C50"/>
    <w:rsid w:val="00045F33"/>
    <w:rsid w:val="00045F63"/>
    <w:rsid w:val="00045F94"/>
    <w:rsid w:val="00046122"/>
    <w:rsid w:val="00046205"/>
    <w:rsid w:val="00046BFF"/>
    <w:rsid w:val="00047CFE"/>
    <w:rsid w:val="00047E9A"/>
    <w:rsid w:val="00050126"/>
    <w:rsid w:val="0005069C"/>
    <w:rsid w:val="00050718"/>
    <w:rsid w:val="00050AB6"/>
    <w:rsid w:val="00050EFF"/>
    <w:rsid w:val="000512F5"/>
    <w:rsid w:val="0005153B"/>
    <w:rsid w:val="0005189B"/>
    <w:rsid w:val="000520E5"/>
    <w:rsid w:val="000525B9"/>
    <w:rsid w:val="00053213"/>
    <w:rsid w:val="000534DE"/>
    <w:rsid w:val="000535EB"/>
    <w:rsid w:val="0005381D"/>
    <w:rsid w:val="000542B3"/>
    <w:rsid w:val="00054435"/>
    <w:rsid w:val="00054601"/>
    <w:rsid w:val="000548E4"/>
    <w:rsid w:val="00054BC1"/>
    <w:rsid w:val="00054E3E"/>
    <w:rsid w:val="000557BD"/>
    <w:rsid w:val="00055CAC"/>
    <w:rsid w:val="00055E86"/>
    <w:rsid w:val="00057D54"/>
    <w:rsid w:val="00057DBE"/>
    <w:rsid w:val="00060798"/>
    <w:rsid w:val="000608DD"/>
    <w:rsid w:val="00060BA5"/>
    <w:rsid w:val="00060F61"/>
    <w:rsid w:val="000612FD"/>
    <w:rsid w:val="00061467"/>
    <w:rsid w:val="000615C4"/>
    <w:rsid w:val="000616C0"/>
    <w:rsid w:val="000617BE"/>
    <w:rsid w:val="00061876"/>
    <w:rsid w:val="0006189D"/>
    <w:rsid w:val="00061C41"/>
    <w:rsid w:val="0006205C"/>
    <w:rsid w:val="00062742"/>
    <w:rsid w:val="000628F3"/>
    <w:rsid w:val="00062AF2"/>
    <w:rsid w:val="00062C8B"/>
    <w:rsid w:val="00062E68"/>
    <w:rsid w:val="00063B03"/>
    <w:rsid w:val="00063D9E"/>
    <w:rsid w:val="00063DA3"/>
    <w:rsid w:val="000640EA"/>
    <w:rsid w:val="0006415C"/>
    <w:rsid w:val="0006458A"/>
    <w:rsid w:val="00064702"/>
    <w:rsid w:val="000648F4"/>
    <w:rsid w:val="000657FC"/>
    <w:rsid w:val="0006615F"/>
    <w:rsid w:val="0006629B"/>
    <w:rsid w:val="000678A6"/>
    <w:rsid w:val="00067D01"/>
    <w:rsid w:val="00067D69"/>
    <w:rsid w:val="000721A4"/>
    <w:rsid w:val="000726FE"/>
    <w:rsid w:val="000728F2"/>
    <w:rsid w:val="00073056"/>
    <w:rsid w:val="000730CA"/>
    <w:rsid w:val="000732FF"/>
    <w:rsid w:val="00073D2B"/>
    <w:rsid w:val="00073DD0"/>
    <w:rsid w:val="00074002"/>
    <w:rsid w:val="00074990"/>
    <w:rsid w:val="00074E8D"/>
    <w:rsid w:val="0007527B"/>
    <w:rsid w:val="000758E8"/>
    <w:rsid w:val="000759B4"/>
    <w:rsid w:val="00075C5B"/>
    <w:rsid w:val="00075F4C"/>
    <w:rsid w:val="000809AC"/>
    <w:rsid w:val="00080D29"/>
    <w:rsid w:val="0008119D"/>
    <w:rsid w:val="000813CF"/>
    <w:rsid w:val="000818C1"/>
    <w:rsid w:val="00081AA6"/>
    <w:rsid w:val="0008213D"/>
    <w:rsid w:val="000822E1"/>
    <w:rsid w:val="00082612"/>
    <w:rsid w:val="00082DC6"/>
    <w:rsid w:val="0008316A"/>
    <w:rsid w:val="0008338D"/>
    <w:rsid w:val="00083B6B"/>
    <w:rsid w:val="00083BBD"/>
    <w:rsid w:val="00083C90"/>
    <w:rsid w:val="00083E9A"/>
    <w:rsid w:val="00083EC9"/>
    <w:rsid w:val="00084C0F"/>
    <w:rsid w:val="00084C5E"/>
    <w:rsid w:val="00084F74"/>
    <w:rsid w:val="00085A12"/>
    <w:rsid w:val="000864C9"/>
    <w:rsid w:val="0008674D"/>
    <w:rsid w:val="00087C02"/>
    <w:rsid w:val="00090295"/>
    <w:rsid w:val="00090C75"/>
    <w:rsid w:val="00090CBA"/>
    <w:rsid w:val="00090EAC"/>
    <w:rsid w:val="00090F0C"/>
    <w:rsid w:val="00091A26"/>
    <w:rsid w:val="0009274F"/>
    <w:rsid w:val="00092FC7"/>
    <w:rsid w:val="00093144"/>
    <w:rsid w:val="00093692"/>
    <w:rsid w:val="00093B22"/>
    <w:rsid w:val="00093D65"/>
    <w:rsid w:val="0009451A"/>
    <w:rsid w:val="00095480"/>
    <w:rsid w:val="00097534"/>
    <w:rsid w:val="0009794D"/>
    <w:rsid w:val="00097E3A"/>
    <w:rsid w:val="000A01BE"/>
    <w:rsid w:val="000A070D"/>
    <w:rsid w:val="000A0C4F"/>
    <w:rsid w:val="000A0C75"/>
    <w:rsid w:val="000A1748"/>
    <w:rsid w:val="000A24AC"/>
    <w:rsid w:val="000A2FA8"/>
    <w:rsid w:val="000A3008"/>
    <w:rsid w:val="000A3436"/>
    <w:rsid w:val="000A358A"/>
    <w:rsid w:val="000A366D"/>
    <w:rsid w:val="000A39E7"/>
    <w:rsid w:val="000A3AC4"/>
    <w:rsid w:val="000A3BA7"/>
    <w:rsid w:val="000A469C"/>
    <w:rsid w:val="000A4F7B"/>
    <w:rsid w:val="000A514A"/>
    <w:rsid w:val="000A53BF"/>
    <w:rsid w:val="000A6B1C"/>
    <w:rsid w:val="000A6C14"/>
    <w:rsid w:val="000A7508"/>
    <w:rsid w:val="000A7586"/>
    <w:rsid w:val="000A7D4D"/>
    <w:rsid w:val="000A7EB0"/>
    <w:rsid w:val="000A7F6A"/>
    <w:rsid w:val="000B03EC"/>
    <w:rsid w:val="000B1226"/>
    <w:rsid w:val="000B123B"/>
    <w:rsid w:val="000B1471"/>
    <w:rsid w:val="000B16D7"/>
    <w:rsid w:val="000B186E"/>
    <w:rsid w:val="000B1871"/>
    <w:rsid w:val="000B187F"/>
    <w:rsid w:val="000B2373"/>
    <w:rsid w:val="000B2456"/>
    <w:rsid w:val="000B2501"/>
    <w:rsid w:val="000B2612"/>
    <w:rsid w:val="000B2CE7"/>
    <w:rsid w:val="000B3B39"/>
    <w:rsid w:val="000B3E0A"/>
    <w:rsid w:val="000B421E"/>
    <w:rsid w:val="000B48B3"/>
    <w:rsid w:val="000B522C"/>
    <w:rsid w:val="000B64DE"/>
    <w:rsid w:val="000B7900"/>
    <w:rsid w:val="000B7923"/>
    <w:rsid w:val="000C0085"/>
    <w:rsid w:val="000C05D0"/>
    <w:rsid w:val="000C0C3C"/>
    <w:rsid w:val="000C11D5"/>
    <w:rsid w:val="000C173A"/>
    <w:rsid w:val="000C1776"/>
    <w:rsid w:val="000C1AA3"/>
    <w:rsid w:val="000C1AEB"/>
    <w:rsid w:val="000C2E53"/>
    <w:rsid w:val="000C4CEE"/>
    <w:rsid w:val="000C5840"/>
    <w:rsid w:val="000C58A8"/>
    <w:rsid w:val="000C6177"/>
    <w:rsid w:val="000C64CC"/>
    <w:rsid w:val="000C67B1"/>
    <w:rsid w:val="000C68DA"/>
    <w:rsid w:val="000C6917"/>
    <w:rsid w:val="000C6B58"/>
    <w:rsid w:val="000C7864"/>
    <w:rsid w:val="000C7F5F"/>
    <w:rsid w:val="000D06EB"/>
    <w:rsid w:val="000D0E34"/>
    <w:rsid w:val="000D15C5"/>
    <w:rsid w:val="000D321F"/>
    <w:rsid w:val="000D3816"/>
    <w:rsid w:val="000D385A"/>
    <w:rsid w:val="000D3CDB"/>
    <w:rsid w:val="000D41A3"/>
    <w:rsid w:val="000D43E4"/>
    <w:rsid w:val="000D45AF"/>
    <w:rsid w:val="000D4C50"/>
    <w:rsid w:val="000D4F7D"/>
    <w:rsid w:val="000D5ED2"/>
    <w:rsid w:val="000D608A"/>
    <w:rsid w:val="000D6AA6"/>
    <w:rsid w:val="000D6C3F"/>
    <w:rsid w:val="000D7159"/>
    <w:rsid w:val="000D71A7"/>
    <w:rsid w:val="000D74B7"/>
    <w:rsid w:val="000D7B57"/>
    <w:rsid w:val="000D7D06"/>
    <w:rsid w:val="000D7F39"/>
    <w:rsid w:val="000E039F"/>
    <w:rsid w:val="000E04C2"/>
    <w:rsid w:val="000E09D3"/>
    <w:rsid w:val="000E0D94"/>
    <w:rsid w:val="000E126A"/>
    <w:rsid w:val="000E132D"/>
    <w:rsid w:val="000E16F2"/>
    <w:rsid w:val="000E2378"/>
    <w:rsid w:val="000E36E9"/>
    <w:rsid w:val="000E3708"/>
    <w:rsid w:val="000E40E9"/>
    <w:rsid w:val="000E48DC"/>
    <w:rsid w:val="000E492F"/>
    <w:rsid w:val="000E49AD"/>
    <w:rsid w:val="000E4A51"/>
    <w:rsid w:val="000E4FD3"/>
    <w:rsid w:val="000E5129"/>
    <w:rsid w:val="000E72F5"/>
    <w:rsid w:val="000E7436"/>
    <w:rsid w:val="000E7ACD"/>
    <w:rsid w:val="000E7FBB"/>
    <w:rsid w:val="000F0264"/>
    <w:rsid w:val="000F03AF"/>
    <w:rsid w:val="000F102C"/>
    <w:rsid w:val="000F11D8"/>
    <w:rsid w:val="000F16D6"/>
    <w:rsid w:val="000F17D9"/>
    <w:rsid w:val="000F1BDE"/>
    <w:rsid w:val="000F1E5E"/>
    <w:rsid w:val="000F2241"/>
    <w:rsid w:val="000F233C"/>
    <w:rsid w:val="000F2467"/>
    <w:rsid w:val="000F273D"/>
    <w:rsid w:val="000F2A5F"/>
    <w:rsid w:val="000F2AEC"/>
    <w:rsid w:val="000F306B"/>
    <w:rsid w:val="000F30DE"/>
    <w:rsid w:val="000F320C"/>
    <w:rsid w:val="000F34BE"/>
    <w:rsid w:val="000F37D1"/>
    <w:rsid w:val="000F37EF"/>
    <w:rsid w:val="000F3B2E"/>
    <w:rsid w:val="000F4347"/>
    <w:rsid w:val="000F44FF"/>
    <w:rsid w:val="000F4722"/>
    <w:rsid w:val="000F48BD"/>
    <w:rsid w:val="000F4C59"/>
    <w:rsid w:val="000F4CB3"/>
    <w:rsid w:val="000F4D52"/>
    <w:rsid w:val="000F4E02"/>
    <w:rsid w:val="000F4F53"/>
    <w:rsid w:val="000F60A9"/>
    <w:rsid w:val="000F64E8"/>
    <w:rsid w:val="000F6951"/>
    <w:rsid w:val="000F6F96"/>
    <w:rsid w:val="000F720D"/>
    <w:rsid w:val="000F7543"/>
    <w:rsid w:val="000F77B6"/>
    <w:rsid w:val="000F7C13"/>
    <w:rsid w:val="0010037E"/>
    <w:rsid w:val="001003F1"/>
    <w:rsid w:val="00100A4F"/>
    <w:rsid w:val="00101D04"/>
    <w:rsid w:val="001023B6"/>
    <w:rsid w:val="00102FB1"/>
    <w:rsid w:val="00103047"/>
    <w:rsid w:val="0010336E"/>
    <w:rsid w:val="00103703"/>
    <w:rsid w:val="00103715"/>
    <w:rsid w:val="001037EF"/>
    <w:rsid w:val="0010415F"/>
    <w:rsid w:val="00104CDD"/>
    <w:rsid w:val="00105025"/>
    <w:rsid w:val="001050BD"/>
    <w:rsid w:val="001051B8"/>
    <w:rsid w:val="0010594F"/>
    <w:rsid w:val="00105CFA"/>
    <w:rsid w:val="001064CF"/>
    <w:rsid w:val="0010663F"/>
    <w:rsid w:val="00106794"/>
    <w:rsid w:val="00106D4C"/>
    <w:rsid w:val="00107058"/>
    <w:rsid w:val="00107339"/>
    <w:rsid w:val="00107A9D"/>
    <w:rsid w:val="00107D1C"/>
    <w:rsid w:val="00107FC4"/>
    <w:rsid w:val="00110480"/>
    <w:rsid w:val="001105D1"/>
    <w:rsid w:val="001114B0"/>
    <w:rsid w:val="00111791"/>
    <w:rsid w:val="001119A5"/>
    <w:rsid w:val="00111A5C"/>
    <w:rsid w:val="00111ABF"/>
    <w:rsid w:val="00111E5F"/>
    <w:rsid w:val="00111F2B"/>
    <w:rsid w:val="0011212E"/>
    <w:rsid w:val="0011252B"/>
    <w:rsid w:val="00112625"/>
    <w:rsid w:val="0011274A"/>
    <w:rsid w:val="00113DD7"/>
    <w:rsid w:val="00114043"/>
    <w:rsid w:val="00114234"/>
    <w:rsid w:val="0011471C"/>
    <w:rsid w:val="00114D13"/>
    <w:rsid w:val="00115DB5"/>
    <w:rsid w:val="0011623D"/>
    <w:rsid w:val="0011658A"/>
    <w:rsid w:val="00116A88"/>
    <w:rsid w:val="00117912"/>
    <w:rsid w:val="00117F29"/>
    <w:rsid w:val="001201F6"/>
    <w:rsid w:val="0012067F"/>
    <w:rsid w:val="0012188E"/>
    <w:rsid w:val="00122D3E"/>
    <w:rsid w:val="00123B4F"/>
    <w:rsid w:val="00123D43"/>
    <w:rsid w:val="00123DF6"/>
    <w:rsid w:val="00123E70"/>
    <w:rsid w:val="00123F4A"/>
    <w:rsid w:val="001244E6"/>
    <w:rsid w:val="00124743"/>
    <w:rsid w:val="0012496D"/>
    <w:rsid w:val="001251FF"/>
    <w:rsid w:val="001259EC"/>
    <w:rsid w:val="00126134"/>
    <w:rsid w:val="00126C38"/>
    <w:rsid w:val="001276AD"/>
    <w:rsid w:val="001301E1"/>
    <w:rsid w:val="00130B58"/>
    <w:rsid w:val="001312F8"/>
    <w:rsid w:val="00131A4E"/>
    <w:rsid w:val="00131C7A"/>
    <w:rsid w:val="00132150"/>
    <w:rsid w:val="00132319"/>
    <w:rsid w:val="00132330"/>
    <w:rsid w:val="001328C9"/>
    <w:rsid w:val="0013366E"/>
    <w:rsid w:val="0013381D"/>
    <w:rsid w:val="00133CCD"/>
    <w:rsid w:val="00133F27"/>
    <w:rsid w:val="00134091"/>
    <w:rsid w:val="0013410D"/>
    <w:rsid w:val="00134499"/>
    <w:rsid w:val="001347B5"/>
    <w:rsid w:val="001349A9"/>
    <w:rsid w:val="001352EA"/>
    <w:rsid w:val="001356C7"/>
    <w:rsid w:val="00135728"/>
    <w:rsid w:val="001357D8"/>
    <w:rsid w:val="0013595C"/>
    <w:rsid w:val="00135F3E"/>
    <w:rsid w:val="00136E8A"/>
    <w:rsid w:val="00137825"/>
    <w:rsid w:val="00137903"/>
    <w:rsid w:val="00137912"/>
    <w:rsid w:val="001407FD"/>
    <w:rsid w:val="00141DD5"/>
    <w:rsid w:val="001427CD"/>
    <w:rsid w:val="0014290D"/>
    <w:rsid w:val="00143AA4"/>
    <w:rsid w:val="0014414F"/>
    <w:rsid w:val="00144356"/>
    <w:rsid w:val="001449DA"/>
    <w:rsid w:val="00144AB5"/>
    <w:rsid w:val="00144B80"/>
    <w:rsid w:val="00144C8B"/>
    <w:rsid w:val="0014540C"/>
    <w:rsid w:val="00145CAA"/>
    <w:rsid w:val="00146CA4"/>
    <w:rsid w:val="00147395"/>
    <w:rsid w:val="001505FE"/>
    <w:rsid w:val="001508E7"/>
    <w:rsid w:val="00150A05"/>
    <w:rsid w:val="00151426"/>
    <w:rsid w:val="00151780"/>
    <w:rsid w:val="001517EC"/>
    <w:rsid w:val="001518CE"/>
    <w:rsid w:val="00151D92"/>
    <w:rsid w:val="00153444"/>
    <w:rsid w:val="00153F7C"/>
    <w:rsid w:val="0015416B"/>
    <w:rsid w:val="0015437C"/>
    <w:rsid w:val="001547A3"/>
    <w:rsid w:val="00154D88"/>
    <w:rsid w:val="0015588E"/>
    <w:rsid w:val="00155C88"/>
    <w:rsid w:val="00155E96"/>
    <w:rsid w:val="00155F04"/>
    <w:rsid w:val="00156789"/>
    <w:rsid w:val="00156F37"/>
    <w:rsid w:val="0015739B"/>
    <w:rsid w:val="001575DE"/>
    <w:rsid w:val="00160066"/>
    <w:rsid w:val="0016016C"/>
    <w:rsid w:val="001604A2"/>
    <w:rsid w:val="001611BC"/>
    <w:rsid w:val="00161415"/>
    <w:rsid w:val="00161721"/>
    <w:rsid w:val="00161B0F"/>
    <w:rsid w:val="00161B41"/>
    <w:rsid w:val="001623A1"/>
    <w:rsid w:val="00162E77"/>
    <w:rsid w:val="0016318A"/>
    <w:rsid w:val="0016324C"/>
    <w:rsid w:val="00163551"/>
    <w:rsid w:val="00163740"/>
    <w:rsid w:val="001639A5"/>
    <w:rsid w:val="00163A9A"/>
    <w:rsid w:val="00163DCB"/>
    <w:rsid w:val="00163E5E"/>
    <w:rsid w:val="00163EA3"/>
    <w:rsid w:val="00164314"/>
    <w:rsid w:val="001645DE"/>
    <w:rsid w:val="001653C2"/>
    <w:rsid w:val="00165664"/>
    <w:rsid w:val="00165772"/>
    <w:rsid w:val="00165FFE"/>
    <w:rsid w:val="00166944"/>
    <w:rsid w:val="00166956"/>
    <w:rsid w:val="00166F0C"/>
    <w:rsid w:val="00167998"/>
    <w:rsid w:val="00167F2C"/>
    <w:rsid w:val="001706FE"/>
    <w:rsid w:val="001707D1"/>
    <w:rsid w:val="00170F88"/>
    <w:rsid w:val="001712F1"/>
    <w:rsid w:val="00171403"/>
    <w:rsid w:val="00171A08"/>
    <w:rsid w:val="00171ADB"/>
    <w:rsid w:val="00171B9B"/>
    <w:rsid w:val="00172696"/>
    <w:rsid w:val="00172C79"/>
    <w:rsid w:val="00173BA5"/>
    <w:rsid w:val="00173F47"/>
    <w:rsid w:val="00174D75"/>
    <w:rsid w:val="00174F88"/>
    <w:rsid w:val="00175659"/>
    <w:rsid w:val="00175B58"/>
    <w:rsid w:val="0017626F"/>
    <w:rsid w:val="001764C2"/>
    <w:rsid w:val="00176863"/>
    <w:rsid w:val="00177648"/>
    <w:rsid w:val="001776AC"/>
    <w:rsid w:val="00181044"/>
    <w:rsid w:val="001814D5"/>
    <w:rsid w:val="00181639"/>
    <w:rsid w:val="00182492"/>
    <w:rsid w:val="001831FA"/>
    <w:rsid w:val="0018323E"/>
    <w:rsid w:val="0018368E"/>
    <w:rsid w:val="00183E1A"/>
    <w:rsid w:val="00184032"/>
    <w:rsid w:val="00184079"/>
    <w:rsid w:val="001847D7"/>
    <w:rsid w:val="00184E2D"/>
    <w:rsid w:val="00185443"/>
    <w:rsid w:val="0018560A"/>
    <w:rsid w:val="00185B37"/>
    <w:rsid w:val="00185C89"/>
    <w:rsid w:val="00186579"/>
    <w:rsid w:val="00187463"/>
    <w:rsid w:val="00187482"/>
    <w:rsid w:val="00187795"/>
    <w:rsid w:val="00187AE6"/>
    <w:rsid w:val="00187EE8"/>
    <w:rsid w:val="0019009E"/>
    <w:rsid w:val="001900CB"/>
    <w:rsid w:val="001915C2"/>
    <w:rsid w:val="00191AF0"/>
    <w:rsid w:val="00191FBB"/>
    <w:rsid w:val="00192041"/>
    <w:rsid w:val="00192214"/>
    <w:rsid w:val="0019257A"/>
    <w:rsid w:val="001925E7"/>
    <w:rsid w:val="00192936"/>
    <w:rsid w:val="00193182"/>
    <w:rsid w:val="001931F9"/>
    <w:rsid w:val="001939F2"/>
    <w:rsid w:val="001947FB"/>
    <w:rsid w:val="00194C53"/>
    <w:rsid w:val="00194D30"/>
    <w:rsid w:val="00194D75"/>
    <w:rsid w:val="00194E87"/>
    <w:rsid w:val="00195903"/>
    <w:rsid w:val="001961F7"/>
    <w:rsid w:val="00196FA1"/>
    <w:rsid w:val="0019740F"/>
    <w:rsid w:val="00197987"/>
    <w:rsid w:val="00197D53"/>
    <w:rsid w:val="001A00E8"/>
    <w:rsid w:val="001A0122"/>
    <w:rsid w:val="001A0887"/>
    <w:rsid w:val="001A0CC7"/>
    <w:rsid w:val="001A14FB"/>
    <w:rsid w:val="001A15CF"/>
    <w:rsid w:val="001A1C0F"/>
    <w:rsid w:val="001A206F"/>
    <w:rsid w:val="001A23B8"/>
    <w:rsid w:val="001A2924"/>
    <w:rsid w:val="001A3B5B"/>
    <w:rsid w:val="001A407E"/>
    <w:rsid w:val="001A46D5"/>
    <w:rsid w:val="001A49F4"/>
    <w:rsid w:val="001A4C15"/>
    <w:rsid w:val="001A4ED7"/>
    <w:rsid w:val="001A5BB8"/>
    <w:rsid w:val="001A6338"/>
    <w:rsid w:val="001A6757"/>
    <w:rsid w:val="001A6B18"/>
    <w:rsid w:val="001A6F48"/>
    <w:rsid w:val="001A7112"/>
    <w:rsid w:val="001A715A"/>
    <w:rsid w:val="001A7201"/>
    <w:rsid w:val="001A73AD"/>
    <w:rsid w:val="001A78FB"/>
    <w:rsid w:val="001A7B8F"/>
    <w:rsid w:val="001B00C3"/>
    <w:rsid w:val="001B0E76"/>
    <w:rsid w:val="001B1347"/>
    <w:rsid w:val="001B1653"/>
    <w:rsid w:val="001B17D7"/>
    <w:rsid w:val="001B189F"/>
    <w:rsid w:val="001B1D2B"/>
    <w:rsid w:val="001B1E71"/>
    <w:rsid w:val="001B1FC4"/>
    <w:rsid w:val="001B229B"/>
    <w:rsid w:val="001B28C2"/>
    <w:rsid w:val="001B32A1"/>
    <w:rsid w:val="001B343E"/>
    <w:rsid w:val="001B38D2"/>
    <w:rsid w:val="001B3920"/>
    <w:rsid w:val="001B42AF"/>
    <w:rsid w:val="001B475E"/>
    <w:rsid w:val="001B4A4E"/>
    <w:rsid w:val="001B4E4C"/>
    <w:rsid w:val="001B614F"/>
    <w:rsid w:val="001B64F6"/>
    <w:rsid w:val="001B652A"/>
    <w:rsid w:val="001B6614"/>
    <w:rsid w:val="001B67B4"/>
    <w:rsid w:val="001B6D6E"/>
    <w:rsid w:val="001B76FA"/>
    <w:rsid w:val="001B7887"/>
    <w:rsid w:val="001B7FA0"/>
    <w:rsid w:val="001C2B81"/>
    <w:rsid w:val="001C3500"/>
    <w:rsid w:val="001C3566"/>
    <w:rsid w:val="001C3679"/>
    <w:rsid w:val="001C38B7"/>
    <w:rsid w:val="001C3AD7"/>
    <w:rsid w:val="001C4894"/>
    <w:rsid w:val="001C4C01"/>
    <w:rsid w:val="001C51BD"/>
    <w:rsid w:val="001C5EDD"/>
    <w:rsid w:val="001C5FE3"/>
    <w:rsid w:val="001C688A"/>
    <w:rsid w:val="001C7335"/>
    <w:rsid w:val="001C770E"/>
    <w:rsid w:val="001C791D"/>
    <w:rsid w:val="001C7F79"/>
    <w:rsid w:val="001D0024"/>
    <w:rsid w:val="001D026A"/>
    <w:rsid w:val="001D08BC"/>
    <w:rsid w:val="001D0C03"/>
    <w:rsid w:val="001D0FF0"/>
    <w:rsid w:val="001D1472"/>
    <w:rsid w:val="001D1BC6"/>
    <w:rsid w:val="001D1F26"/>
    <w:rsid w:val="001D20B7"/>
    <w:rsid w:val="001D21BF"/>
    <w:rsid w:val="001D2AA1"/>
    <w:rsid w:val="001D346A"/>
    <w:rsid w:val="001D3AE1"/>
    <w:rsid w:val="001D3BE3"/>
    <w:rsid w:val="001D4504"/>
    <w:rsid w:val="001D511A"/>
    <w:rsid w:val="001D52AD"/>
    <w:rsid w:val="001D53FC"/>
    <w:rsid w:val="001D5656"/>
    <w:rsid w:val="001D5787"/>
    <w:rsid w:val="001D60A5"/>
    <w:rsid w:val="001E0067"/>
    <w:rsid w:val="001E0287"/>
    <w:rsid w:val="001E03C8"/>
    <w:rsid w:val="001E0B6D"/>
    <w:rsid w:val="001E0CFD"/>
    <w:rsid w:val="001E116F"/>
    <w:rsid w:val="001E1C42"/>
    <w:rsid w:val="001E1CDC"/>
    <w:rsid w:val="001E1EEB"/>
    <w:rsid w:val="001E25D1"/>
    <w:rsid w:val="001E34D8"/>
    <w:rsid w:val="001E392A"/>
    <w:rsid w:val="001E3B31"/>
    <w:rsid w:val="001E3B3B"/>
    <w:rsid w:val="001E3CAD"/>
    <w:rsid w:val="001E3E29"/>
    <w:rsid w:val="001E41DF"/>
    <w:rsid w:val="001E4E29"/>
    <w:rsid w:val="001E5656"/>
    <w:rsid w:val="001E58DF"/>
    <w:rsid w:val="001E5B42"/>
    <w:rsid w:val="001E5F74"/>
    <w:rsid w:val="001E6FAA"/>
    <w:rsid w:val="001E7763"/>
    <w:rsid w:val="001E7E87"/>
    <w:rsid w:val="001E7F5E"/>
    <w:rsid w:val="001F08E5"/>
    <w:rsid w:val="001F1415"/>
    <w:rsid w:val="001F186A"/>
    <w:rsid w:val="001F1948"/>
    <w:rsid w:val="001F2221"/>
    <w:rsid w:val="001F27FA"/>
    <w:rsid w:val="001F3820"/>
    <w:rsid w:val="001F3DB6"/>
    <w:rsid w:val="001F450F"/>
    <w:rsid w:val="001F45E8"/>
    <w:rsid w:val="001F4B25"/>
    <w:rsid w:val="001F4B9D"/>
    <w:rsid w:val="001F5199"/>
    <w:rsid w:val="001F57D8"/>
    <w:rsid w:val="001F5883"/>
    <w:rsid w:val="001F5D35"/>
    <w:rsid w:val="001F605D"/>
    <w:rsid w:val="001F62D7"/>
    <w:rsid w:val="001F63B8"/>
    <w:rsid w:val="001F6D82"/>
    <w:rsid w:val="001F7059"/>
    <w:rsid w:val="001F7EEB"/>
    <w:rsid w:val="0020020F"/>
    <w:rsid w:val="00200234"/>
    <w:rsid w:val="002004F5"/>
    <w:rsid w:val="00200DE2"/>
    <w:rsid w:val="002016E6"/>
    <w:rsid w:val="002017DB"/>
    <w:rsid w:val="00201DFE"/>
    <w:rsid w:val="00201EB6"/>
    <w:rsid w:val="002027C4"/>
    <w:rsid w:val="002031B0"/>
    <w:rsid w:val="00203C06"/>
    <w:rsid w:val="002042A8"/>
    <w:rsid w:val="002045DF"/>
    <w:rsid w:val="00204FB3"/>
    <w:rsid w:val="0020520B"/>
    <w:rsid w:val="0020566A"/>
    <w:rsid w:val="0020588E"/>
    <w:rsid w:val="002059F3"/>
    <w:rsid w:val="00205E47"/>
    <w:rsid w:val="0020603E"/>
    <w:rsid w:val="002061D9"/>
    <w:rsid w:val="00206276"/>
    <w:rsid w:val="002065AE"/>
    <w:rsid w:val="00206C2E"/>
    <w:rsid w:val="00206EC1"/>
    <w:rsid w:val="00207056"/>
    <w:rsid w:val="00207AAC"/>
    <w:rsid w:val="00207C65"/>
    <w:rsid w:val="00210652"/>
    <w:rsid w:val="00210AA1"/>
    <w:rsid w:val="00210F61"/>
    <w:rsid w:val="00211A69"/>
    <w:rsid w:val="00211BF4"/>
    <w:rsid w:val="00212331"/>
    <w:rsid w:val="002125A6"/>
    <w:rsid w:val="002126D2"/>
    <w:rsid w:val="00212CFB"/>
    <w:rsid w:val="00212FC2"/>
    <w:rsid w:val="002132BC"/>
    <w:rsid w:val="002136C4"/>
    <w:rsid w:val="00213918"/>
    <w:rsid w:val="0021394D"/>
    <w:rsid w:val="00213F67"/>
    <w:rsid w:val="0021416A"/>
    <w:rsid w:val="0021426F"/>
    <w:rsid w:val="00214467"/>
    <w:rsid w:val="002148EA"/>
    <w:rsid w:val="0021491E"/>
    <w:rsid w:val="002152E1"/>
    <w:rsid w:val="00215F02"/>
    <w:rsid w:val="00216051"/>
    <w:rsid w:val="00216091"/>
    <w:rsid w:val="0021636C"/>
    <w:rsid w:val="00216CBD"/>
    <w:rsid w:val="00216D38"/>
    <w:rsid w:val="00216E77"/>
    <w:rsid w:val="0021703D"/>
    <w:rsid w:val="0021741E"/>
    <w:rsid w:val="0021749E"/>
    <w:rsid w:val="00220630"/>
    <w:rsid w:val="00220862"/>
    <w:rsid w:val="00220915"/>
    <w:rsid w:val="0022109F"/>
    <w:rsid w:val="00221C3A"/>
    <w:rsid w:val="00221FF2"/>
    <w:rsid w:val="0022230C"/>
    <w:rsid w:val="00222428"/>
    <w:rsid w:val="00222919"/>
    <w:rsid w:val="00222CEB"/>
    <w:rsid w:val="00222E5A"/>
    <w:rsid w:val="0022371F"/>
    <w:rsid w:val="002239E3"/>
    <w:rsid w:val="00223CAE"/>
    <w:rsid w:val="00223D02"/>
    <w:rsid w:val="00223EC2"/>
    <w:rsid w:val="00223F77"/>
    <w:rsid w:val="002241B2"/>
    <w:rsid w:val="0022449C"/>
    <w:rsid w:val="0022525D"/>
    <w:rsid w:val="0022557A"/>
    <w:rsid w:val="0022567B"/>
    <w:rsid w:val="00225DD9"/>
    <w:rsid w:val="00225E2C"/>
    <w:rsid w:val="00225E3C"/>
    <w:rsid w:val="00226669"/>
    <w:rsid w:val="00226B7D"/>
    <w:rsid w:val="00227423"/>
    <w:rsid w:val="00227D44"/>
    <w:rsid w:val="00230D7D"/>
    <w:rsid w:val="00232020"/>
    <w:rsid w:val="002320B4"/>
    <w:rsid w:val="00232316"/>
    <w:rsid w:val="00232C2E"/>
    <w:rsid w:val="00232D16"/>
    <w:rsid w:val="00232E26"/>
    <w:rsid w:val="00233D73"/>
    <w:rsid w:val="0023487A"/>
    <w:rsid w:val="00234BBA"/>
    <w:rsid w:val="0023649B"/>
    <w:rsid w:val="00236970"/>
    <w:rsid w:val="00236CC9"/>
    <w:rsid w:val="00236E70"/>
    <w:rsid w:val="002371F0"/>
    <w:rsid w:val="0023728F"/>
    <w:rsid w:val="00237A22"/>
    <w:rsid w:val="00237C9F"/>
    <w:rsid w:val="00240077"/>
    <w:rsid w:val="002402A6"/>
    <w:rsid w:val="0024086D"/>
    <w:rsid w:val="002409DA"/>
    <w:rsid w:val="00240E08"/>
    <w:rsid w:val="00241395"/>
    <w:rsid w:val="00241417"/>
    <w:rsid w:val="002419A3"/>
    <w:rsid w:val="00241B11"/>
    <w:rsid w:val="00241E71"/>
    <w:rsid w:val="00242966"/>
    <w:rsid w:val="0024308A"/>
    <w:rsid w:val="002446C4"/>
    <w:rsid w:val="0024491C"/>
    <w:rsid w:val="00244AE1"/>
    <w:rsid w:val="00244DDF"/>
    <w:rsid w:val="002450B3"/>
    <w:rsid w:val="00245110"/>
    <w:rsid w:val="0024558C"/>
    <w:rsid w:val="00245D4A"/>
    <w:rsid w:val="00246BFD"/>
    <w:rsid w:val="00246D80"/>
    <w:rsid w:val="00247365"/>
    <w:rsid w:val="002473A0"/>
    <w:rsid w:val="002507CC"/>
    <w:rsid w:val="0025080A"/>
    <w:rsid w:val="00250AB2"/>
    <w:rsid w:val="00250BFC"/>
    <w:rsid w:val="00250D40"/>
    <w:rsid w:val="00250E0F"/>
    <w:rsid w:val="0025164B"/>
    <w:rsid w:val="00251EB5"/>
    <w:rsid w:val="002520D4"/>
    <w:rsid w:val="002522EE"/>
    <w:rsid w:val="00252316"/>
    <w:rsid w:val="0025238C"/>
    <w:rsid w:val="00252A97"/>
    <w:rsid w:val="00253449"/>
    <w:rsid w:val="00253815"/>
    <w:rsid w:val="00253FC2"/>
    <w:rsid w:val="002540F2"/>
    <w:rsid w:val="00254217"/>
    <w:rsid w:val="0025428A"/>
    <w:rsid w:val="0025468B"/>
    <w:rsid w:val="00254A8A"/>
    <w:rsid w:val="0025514C"/>
    <w:rsid w:val="0025540C"/>
    <w:rsid w:val="002558D4"/>
    <w:rsid w:val="0025598C"/>
    <w:rsid w:val="00255DC9"/>
    <w:rsid w:val="00255FF9"/>
    <w:rsid w:val="00256066"/>
    <w:rsid w:val="002609A6"/>
    <w:rsid w:val="0026116F"/>
    <w:rsid w:val="00261BDA"/>
    <w:rsid w:val="002626E7"/>
    <w:rsid w:val="00262B82"/>
    <w:rsid w:val="00262BDC"/>
    <w:rsid w:val="00262C19"/>
    <w:rsid w:val="00262D9E"/>
    <w:rsid w:val="00262DA0"/>
    <w:rsid w:val="00262E53"/>
    <w:rsid w:val="00263851"/>
    <w:rsid w:val="00263918"/>
    <w:rsid w:val="00263AF0"/>
    <w:rsid w:val="00263C6E"/>
    <w:rsid w:val="00264308"/>
    <w:rsid w:val="00264597"/>
    <w:rsid w:val="002645A8"/>
    <w:rsid w:val="002649BA"/>
    <w:rsid w:val="00264C11"/>
    <w:rsid w:val="00264E09"/>
    <w:rsid w:val="0026525F"/>
    <w:rsid w:val="0026553F"/>
    <w:rsid w:val="00265D63"/>
    <w:rsid w:val="00265DCA"/>
    <w:rsid w:val="00266162"/>
    <w:rsid w:val="00266172"/>
    <w:rsid w:val="002663F4"/>
    <w:rsid w:val="00266F93"/>
    <w:rsid w:val="0026700A"/>
    <w:rsid w:val="002675D8"/>
    <w:rsid w:val="00270323"/>
    <w:rsid w:val="00270366"/>
    <w:rsid w:val="0027100A"/>
    <w:rsid w:val="0027119B"/>
    <w:rsid w:val="00271417"/>
    <w:rsid w:val="002721CC"/>
    <w:rsid w:val="002728BC"/>
    <w:rsid w:val="00272EE5"/>
    <w:rsid w:val="0027356B"/>
    <w:rsid w:val="002736C7"/>
    <w:rsid w:val="00273D27"/>
    <w:rsid w:val="002743C2"/>
    <w:rsid w:val="00274426"/>
    <w:rsid w:val="0027473A"/>
    <w:rsid w:val="002749F5"/>
    <w:rsid w:val="00274D42"/>
    <w:rsid w:val="00274E63"/>
    <w:rsid w:val="00274FDB"/>
    <w:rsid w:val="00275121"/>
    <w:rsid w:val="00275949"/>
    <w:rsid w:val="00275A61"/>
    <w:rsid w:val="002764AF"/>
    <w:rsid w:val="002765DF"/>
    <w:rsid w:val="00276603"/>
    <w:rsid w:val="00276CEC"/>
    <w:rsid w:val="00276D0C"/>
    <w:rsid w:val="00276DF3"/>
    <w:rsid w:val="0027700F"/>
    <w:rsid w:val="0027724C"/>
    <w:rsid w:val="00277373"/>
    <w:rsid w:val="0027739F"/>
    <w:rsid w:val="00277529"/>
    <w:rsid w:val="002775C3"/>
    <w:rsid w:val="00277DA5"/>
    <w:rsid w:val="002800B7"/>
    <w:rsid w:val="0028057F"/>
    <w:rsid w:val="002806BD"/>
    <w:rsid w:val="00280BC2"/>
    <w:rsid w:val="002818E3"/>
    <w:rsid w:val="00281F70"/>
    <w:rsid w:val="00282340"/>
    <w:rsid w:val="0028237C"/>
    <w:rsid w:val="00282838"/>
    <w:rsid w:val="0028301B"/>
    <w:rsid w:val="00284243"/>
    <w:rsid w:val="00284BBB"/>
    <w:rsid w:val="00284DE3"/>
    <w:rsid w:val="00284F0A"/>
    <w:rsid w:val="00285234"/>
    <w:rsid w:val="00285416"/>
    <w:rsid w:val="00285937"/>
    <w:rsid w:val="00285A31"/>
    <w:rsid w:val="00285A8E"/>
    <w:rsid w:val="00285EB5"/>
    <w:rsid w:val="00286120"/>
    <w:rsid w:val="002863FD"/>
    <w:rsid w:val="00287284"/>
    <w:rsid w:val="00287371"/>
    <w:rsid w:val="0028793E"/>
    <w:rsid w:val="00290A5D"/>
    <w:rsid w:val="00290B13"/>
    <w:rsid w:val="002912C4"/>
    <w:rsid w:val="00291538"/>
    <w:rsid w:val="00291851"/>
    <w:rsid w:val="00292B09"/>
    <w:rsid w:val="0029377A"/>
    <w:rsid w:val="00293AB6"/>
    <w:rsid w:val="00294CB7"/>
    <w:rsid w:val="00294DDF"/>
    <w:rsid w:val="00294EAA"/>
    <w:rsid w:val="00294F2F"/>
    <w:rsid w:val="002956A8"/>
    <w:rsid w:val="002957E9"/>
    <w:rsid w:val="00295A4C"/>
    <w:rsid w:val="00296635"/>
    <w:rsid w:val="00296F23"/>
    <w:rsid w:val="0029798A"/>
    <w:rsid w:val="00297FCE"/>
    <w:rsid w:val="002A089E"/>
    <w:rsid w:val="002A0C2A"/>
    <w:rsid w:val="002A106C"/>
    <w:rsid w:val="002A1847"/>
    <w:rsid w:val="002A1F8B"/>
    <w:rsid w:val="002A20C1"/>
    <w:rsid w:val="002A37A8"/>
    <w:rsid w:val="002A40B7"/>
    <w:rsid w:val="002A46F2"/>
    <w:rsid w:val="002A4D25"/>
    <w:rsid w:val="002A4DCF"/>
    <w:rsid w:val="002A5EE3"/>
    <w:rsid w:val="002A6A6D"/>
    <w:rsid w:val="002A6CAB"/>
    <w:rsid w:val="002A7E9E"/>
    <w:rsid w:val="002A7EAC"/>
    <w:rsid w:val="002B0379"/>
    <w:rsid w:val="002B05D3"/>
    <w:rsid w:val="002B08AB"/>
    <w:rsid w:val="002B1281"/>
    <w:rsid w:val="002B1B3C"/>
    <w:rsid w:val="002B2250"/>
    <w:rsid w:val="002B25C0"/>
    <w:rsid w:val="002B2F5C"/>
    <w:rsid w:val="002B3056"/>
    <w:rsid w:val="002B33C2"/>
    <w:rsid w:val="002B3738"/>
    <w:rsid w:val="002B4DB4"/>
    <w:rsid w:val="002B5C8F"/>
    <w:rsid w:val="002B5ECF"/>
    <w:rsid w:val="002B63AD"/>
    <w:rsid w:val="002B6CBF"/>
    <w:rsid w:val="002B6D48"/>
    <w:rsid w:val="002B7173"/>
    <w:rsid w:val="002B75BE"/>
    <w:rsid w:val="002B76CE"/>
    <w:rsid w:val="002B7706"/>
    <w:rsid w:val="002B7FE6"/>
    <w:rsid w:val="002B7FFE"/>
    <w:rsid w:val="002C0037"/>
    <w:rsid w:val="002C0357"/>
    <w:rsid w:val="002C07C4"/>
    <w:rsid w:val="002C0EED"/>
    <w:rsid w:val="002C0FDC"/>
    <w:rsid w:val="002C199A"/>
    <w:rsid w:val="002C2579"/>
    <w:rsid w:val="002C2587"/>
    <w:rsid w:val="002C30B2"/>
    <w:rsid w:val="002C3294"/>
    <w:rsid w:val="002C3371"/>
    <w:rsid w:val="002C358E"/>
    <w:rsid w:val="002C382A"/>
    <w:rsid w:val="002C3ADD"/>
    <w:rsid w:val="002C3B2A"/>
    <w:rsid w:val="002C3CEB"/>
    <w:rsid w:val="002C408E"/>
    <w:rsid w:val="002C4289"/>
    <w:rsid w:val="002C4B25"/>
    <w:rsid w:val="002C4E82"/>
    <w:rsid w:val="002C4E9A"/>
    <w:rsid w:val="002C4FF5"/>
    <w:rsid w:val="002C541F"/>
    <w:rsid w:val="002C58D1"/>
    <w:rsid w:val="002C5B96"/>
    <w:rsid w:val="002C5DEA"/>
    <w:rsid w:val="002C6ACD"/>
    <w:rsid w:val="002C6E45"/>
    <w:rsid w:val="002C7634"/>
    <w:rsid w:val="002C79A8"/>
    <w:rsid w:val="002C7EBD"/>
    <w:rsid w:val="002D072C"/>
    <w:rsid w:val="002D0B13"/>
    <w:rsid w:val="002D0EFD"/>
    <w:rsid w:val="002D0F5E"/>
    <w:rsid w:val="002D18FD"/>
    <w:rsid w:val="002D1A38"/>
    <w:rsid w:val="002D207C"/>
    <w:rsid w:val="002D23ED"/>
    <w:rsid w:val="002D2CF6"/>
    <w:rsid w:val="002D2E03"/>
    <w:rsid w:val="002D2EB6"/>
    <w:rsid w:val="002D2EDD"/>
    <w:rsid w:val="002D347B"/>
    <w:rsid w:val="002D352C"/>
    <w:rsid w:val="002D356A"/>
    <w:rsid w:val="002D3DB8"/>
    <w:rsid w:val="002D431A"/>
    <w:rsid w:val="002D48A5"/>
    <w:rsid w:val="002D4A44"/>
    <w:rsid w:val="002D4DE6"/>
    <w:rsid w:val="002D51DA"/>
    <w:rsid w:val="002D6157"/>
    <w:rsid w:val="002D69FA"/>
    <w:rsid w:val="002D6DCE"/>
    <w:rsid w:val="002D7562"/>
    <w:rsid w:val="002D7BE0"/>
    <w:rsid w:val="002D7E24"/>
    <w:rsid w:val="002E0D6C"/>
    <w:rsid w:val="002E0E2E"/>
    <w:rsid w:val="002E0F36"/>
    <w:rsid w:val="002E1086"/>
    <w:rsid w:val="002E1122"/>
    <w:rsid w:val="002E1140"/>
    <w:rsid w:val="002E1612"/>
    <w:rsid w:val="002E2054"/>
    <w:rsid w:val="002E22D9"/>
    <w:rsid w:val="002E301F"/>
    <w:rsid w:val="002E33F8"/>
    <w:rsid w:val="002E353B"/>
    <w:rsid w:val="002E3B99"/>
    <w:rsid w:val="002E3FFB"/>
    <w:rsid w:val="002E447B"/>
    <w:rsid w:val="002E45DC"/>
    <w:rsid w:val="002E469C"/>
    <w:rsid w:val="002E47A5"/>
    <w:rsid w:val="002E4A23"/>
    <w:rsid w:val="002E4EB5"/>
    <w:rsid w:val="002E4F51"/>
    <w:rsid w:val="002E55D1"/>
    <w:rsid w:val="002E5E01"/>
    <w:rsid w:val="002E5F0A"/>
    <w:rsid w:val="002E6EFF"/>
    <w:rsid w:val="002E736A"/>
    <w:rsid w:val="002F087A"/>
    <w:rsid w:val="002F0F9F"/>
    <w:rsid w:val="002F1379"/>
    <w:rsid w:val="002F1528"/>
    <w:rsid w:val="002F178D"/>
    <w:rsid w:val="002F1CC0"/>
    <w:rsid w:val="002F2490"/>
    <w:rsid w:val="002F2516"/>
    <w:rsid w:val="002F30B3"/>
    <w:rsid w:val="002F3A10"/>
    <w:rsid w:val="002F3B7F"/>
    <w:rsid w:val="002F436D"/>
    <w:rsid w:val="002F497E"/>
    <w:rsid w:val="002F4F9E"/>
    <w:rsid w:val="002F514B"/>
    <w:rsid w:val="002F59E0"/>
    <w:rsid w:val="002F5E40"/>
    <w:rsid w:val="002F6657"/>
    <w:rsid w:val="002F66D4"/>
    <w:rsid w:val="002F690A"/>
    <w:rsid w:val="002F77E3"/>
    <w:rsid w:val="00300688"/>
    <w:rsid w:val="00300738"/>
    <w:rsid w:val="00301B82"/>
    <w:rsid w:val="00301C3C"/>
    <w:rsid w:val="00301F26"/>
    <w:rsid w:val="00302606"/>
    <w:rsid w:val="00302ABB"/>
    <w:rsid w:val="00302B7C"/>
    <w:rsid w:val="00302FE9"/>
    <w:rsid w:val="0030395C"/>
    <w:rsid w:val="00303E06"/>
    <w:rsid w:val="0030424D"/>
    <w:rsid w:val="003042F9"/>
    <w:rsid w:val="00304664"/>
    <w:rsid w:val="00304D0C"/>
    <w:rsid w:val="00304FA0"/>
    <w:rsid w:val="00305872"/>
    <w:rsid w:val="003062C3"/>
    <w:rsid w:val="00306459"/>
    <w:rsid w:val="003068C6"/>
    <w:rsid w:val="00306AB1"/>
    <w:rsid w:val="00306AE4"/>
    <w:rsid w:val="00307D18"/>
    <w:rsid w:val="00310808"/>
    <w:rsid w:val="00310C5F"/>
    <w:rsid w:val="0031153F"/>
    <w:rsid w:val="00311F75"/>
    <w:rsid w:val="003120ED"/>
    <w:rsid w:val="00312260"/>
    <w:rsid w:val="0031252C"/>
    <w:rsid w:val="003128AA"/>
    <w:rsid w:val="00312D1B"/>
    <w:rsid w:val="00313617"/>
    <w:rsid w:val="00313A43"/>
    <w:rsid w:val="00313C2A"/>
    <w:rsid w:val="00314A00"/>
    <w:rsid w:val="00314F59"/>
    <w:rsid w:val="003150EC"/>
    <w:rsid w:val="003154EE"/>
    <w:rsid w:val="0031554C"/>
    <w:rsid w:val="003156BB"/>
    <w:rsid w:val="00315901"/>
    <w:rsid w:val="00315BB7"/>
    <w:rsid w:val="00315BD4"/>
    <w:rsid w:val="003162F5"/>
    <w:rsid w:val="003166EB"/>
    <w:rsid w:val="00316AD1"/>
    <w:rsid w:val="00316EF0"/>
    <w:rsid w:val="00317547"/>
    <w:rsid w:val="0031774F"/>
    <w:rsid w:val="003177BE"/>
    <w:rsid w:val="00317842"/>
    <w:rsid w:val="00320695"/>
    <w:rsid w:val="00320A9F"/>
    <w:rsid w:val="00320C9B"/>
    <w:rsid w:val="00320DBF"/>
    <w:rsid w:val="003210C3"/>
    <w:rsid w:val="00321AFB"/>
    <w:rsid w:val="00322623"/>
    <w:rsid w:val="00322863"/>
    <w:rsid w:val="00322AB8"/>
    <w:rsid w:val="00322EC7"/>
    <w:rsid w:val="0032350A"/>
    <w:rsid w:val="003238C4"/>
    <w:rsid w:val="00323984"/>
    <w:rsid w:val="00323BEB"/>
    <w:rsid w:val="00323CED"/>
    <w:rsid w:val="003240F0"/>
    <w:rsid w:val="003242BF"/>
    <w:rsid w:val="00324DCC"/>
    <w:rsid w:val="00324F82"/>
    <w:rsid w:val="00325A94"/>
    <w:rsid w:val="00325BCA"/>
    <w:rsid w:val="00326812"/>
    <w:rsid w:val="00326AD7"/>
    <w:rsid w:val="00326CDF"/>
    <w:rsid w:val="00326D81"/>
    <w:rsid w:val="00327B29"/>
    <w:rsid w:val="00327BAB"/>
    <w:rsid w:val="00327BCF"/>
    <w:rsid w:val="003314E7"/>
    <w:rsid w:val="00331915"/>
    <w:rsid w:val="00332644"/>
    <w:rsid w:val="00332839"/>
    <w:rsid w:val="003339BA"/>
    <w:rsid w:val="0033434A"/>
    <w:rsid w:val="003343DC"/>
    <w:rsid w:val="00334753"/>
    <w:rsid w:val="003352EA"/>
    <w:rsid w:val="00336992"/>
    <w:rsid w:val="00336AAB"/>
    <w:rsid w:val="00336D17"/>
    <w:rsid w:val="00336F03"/>
    <w:rsid w:val="003371AE"/>
    <w:rsid w:val="00340083"/>
    <w:rsid w:val="0034190A"/>
    <w:rsid w:val="00342041"/>
    <w:rsid w:val="00342879"/>
    <w:rsid w:val="00342A1B"/>
    <w:rsid w:val="00343194"/>
    <w:rsid w:val="0034337C"/>
    <w:rsid w:val="00343C58"/>
    <w:rsid w:val="00343DB8"/>
    <w:rsid w:val="00344102"/>
    <w:rsid w:val="0034451E"/>
    <w:rsid w:val="00344774"/>
    <w:rsid w:val="00344EC8"/>
    <w:rsid w:val="00345469"/>
    <w:rsid w:val="003456CB"/>
    <w:rsid w:val="00345EE7"/>
    <w:rsid w:val="00345FB4"/>
    <w:rsid w:val="0034671D"/>
    <w:rsid w:val="00346C34"/>
    <w:rsid w:val="003476A9"/>
    <w:rsid w:val="003476C8"/>
    <w:rsid w:val="0035014D"/>
    <w:rsid w:val="003502AA"/>
    <w:rsid w:val="0035148E"/>
    <w:rsid w:val="00351DE1"/>
    <w:rsid w:val="00352310"/>
    <w:rsid w:val="003523C1"/>
    <w:rsid w:val="00352670"/>
    <w:rsid w:val="003526C5"/>
    <w:rsid w:val="003528CB"/>
    <w:rsid w:val="003537BB"/>
    <w:rsid w:val="003542DD"/>
    <w:rsid w:val="003542FF"/>
    <w:rsid w:val="003546C7"/>
    <w:rsid w:val="00355343"/>
    <w:rsid w:val="003557F7"/>
    <w:rsid w:val="00355C19"/>
    <w:rsid w:val="00355D00"/>
    <w:rsid w:val="00356527"/>
    <w:rsid w:val="0035783D"/>
    <w:rsid w:val="00360337"/>
    <w:rsid w:val="0036035C"/>
    <w:rsid w:val="0036065F"/>
    <w:rsid w:val="00360E8F"/>
    <w:rsid w:val="0036103C"/>
    <w:rsid w:val="00361946"/>
    <w:rsid w:val="00361A89"/>
    <w:rsid w:val="00361FAD"/>
    <w:rsid w:val="003623BE"/>
    <w:rsid w:val="003628EA"/>
    <w:rsid w:val="0036327C"/>
    <w:rsid w:val="00364432"/>
    <w:rsid w:val="003654C1"/>
    <w:rsid w:val="00365B85"/>
    <w:rsid w:val="00365C2C"/>
    <w:rsid w:val="00366232"/>
    <w:rsid w:val="00366479"/>
    <w:rsid w:val="00367337"/>
    <w:rsid w:val="003678FA"/>
    <w:rsid w:val="00367CD9"/>
    <w:rsid w:val="0037030D"/>
    <w:rsid w:val="003706D4"/>
    <w:rsid w:val="00370DB2"/>
    <w:rsid w:val="00370F75"/>
    <w:rsid w:val="00371365"/>
    <w:rsid w:val="003715CB"/>
    <w:rsid w:val="00371895"/>
    <w:rsid w:val="00371BC4"/>
    <w:rsid w:val="00371C5A"/>
    <w:rsid w:val="00371C98"/>
    <w:rsid w:val="003726E8"/>
    <w:rsid w:val="00372877"/>
    <w:rsid w:val="00372ED6"/>
    <w:rsid w:val="00372EDE"/>
    <w:rsid w:val="003732CE"/>
    <w:rsid w:val="003734A5"/>
    <w:rsid w:val="00373DD8"/>
    <w:rsid w:val="00374938"/>
    <w:rsid w:val="00374C81"/>
    <w:rsid w:val="00374E2C"/>
    <w:rsid w:val="00375037"/>
    <w:rsid w:val="0037526B"/>
    <w:rsid w:val="00375A98"/>
    <w:rsid w:val="00375B00"/>
    <w:rsid w:val="00376F76"/>
    <w:rsid w:val="003776A2"/>
    <w:rsid w:val="00377B9F"/>
    <w:rsid w:val="00377F84"/>
    <w:rsid w:val="00380195"/>
    <w:rsid w:val="00380B78"/>
    <w:rsid w:val="00381347"/>
    <w:rsid w:val="00382203"/>
    <w:rsid w:val="00382338"/>
    <w:rsid w:val="00382537"/>
    <w:rsid w:val="0038281B"/>
    <w:rsid w:val="003828DA"/>
    <w:rsid w:val="00382B21"/>
    <w:rsid w:val="00384E85"/>
    <w:rsid w:val="003853F8"/>
    <w:rsid w:val="003862AD"/>
    <w:rsid w:val="003867B1"/>
    <w:rsid w:val="00386D56"/>
    <w:rsid w:val="00386D6B"/>
    <w:rsid w:val="00386E7F"/>
    <w:rsid w:val="00386FDE"/>
    <w:rsid w:val="0038796A"/>
    <w:rsid w:val="003907E8"/>
    <w:rsid w:val="00390D21"/>
    <w:rsid w:val="003923FC"/>
    <w:rsid w:val="00392C61"/>
    <w:rsid w:val="00392DF8"/>
    <w:rsid w:val="003930A0"/>
    <w:rsid w:val="00393DC2"/>
    <w:rsid w:val="00394039"/>
    <w:rsid w:val="00394142"/>
    <w:rsid w:val="00394255"/>
    <w:rsid w:val="003944CE"/>
    <w:rsid w:val="00394F32"/>
    <w:rsid w:val="00395357"/>
    <w:rsid w:val="0039540E"/>
    <w:rsid w:val="00395722"/>
    <w:rsid w:val="00395778"/>
    <w:rsid w:val="003959F9"/>
    <w:rsid w:val="00395EEB"/>
    <w:rsid w:val="003960D6"/>
    <w:rsid w:val="00396356"/>
    <w:rsid w:val="0039673A"/>
    <w:rsid w:val="00396A33"/>
    <w:rsid w:val="00396A7F"/>
    <w:rsid w:val="00396D55"/>
    <w:rsid w:val="00396F83"/>
    <w:rsid w:val="003970F8"/>
    <w:rsid w:val="00397355"/>
    <w:rsid w:val="00397AC6"/>
    <w:rsid w:val="00397EFB"/>
    <w:rsid w:val="003A05C4"/>
    <w:rsid w:val="003A0D60"/>
    <w:rsid w:val="003A19FC"/>
    <w:rsid w:val="003A1D85"/>
    <w:rsid w:val="003A22CF"/>
    <w:rsid w:val="003A3093"/>
    <w:rsid w:val="003A36E1"/>
    <w:rsid w:val="003A39AC"/>
    <w:rsid w:val="003A406F"/>
    <w:rsid w:val="003A4BDB"/>
    <w:rsid w:val="003A5277"/>
    <w:rsid w:val="003A5746"/>
    <w:rsid w:val="003A59A4"/>
    <w:rsid w:val="003A59D6"/>
    <w:rsid w:val="003A69D2"/>
    <w:rsid w:val="003A6E22"/>
    <w:rsid w:val="003A6F00"/>
    <w:rsid w:val="003A7066"/>
    <w:rsid w:val="003A7108"/>
    <w:rsid w:val="003A7559"/>
    <w:rsid w:val="003B0086"/>
    <w:rsid w:val="003B1249"/>
    <w:rsid w:val="003B178C"/>
    <w:rsid w:val="003B17BE"/>
    <w:rsid w:val="003B1BFC"/>
    <w:rsid w:val="003B265C"/>
    <w:rsid w:val="003B32E6"/>
    <w:rsid w:val="003B34A4"/>
    <w:rsid w:val="003B36E2"/>
    <w:rsid w:val="003B393E"/>
    <w:rsid w:val="003B4676"/>
    <w:rsid w:val="003B47E6"/>
    <w:rsid w:val="003B47F5"/>
    <w:rsid w:val="003B5400"/>
    <w:rsid w:val="003B5662"/>
    <w:rsid w:val="003B572C"/>
    <w:rsid w:val="003B59D3"/>
    <w:rsid w:val="003B5AF4"/>
    <w:rsid w:val="003B610C"/>
    <w:rsid w:val="003B6385"/>
    <w:rsid w:val="003B78AF"/>
    <w:rsid w:val="003C0169"/>
    <w:rsid w:val="003C03A2"/>
    <w:rsid w:val="003C0423"/>
    <w:rsid w:val="003C05BF"/>
    <w:rsid w:val="003C0692"/>
    <w:rsid w:val="003C0729"/>
    <w:rsid w:val="003C08BD"/>
    <w:rsid w:val="003C0EF3"/>
    <w:rsid w:val="003C10A3"/>
    <w:rsid w:val="003C1B0A"/>
    <w:rsid w:val="003C1CF9"/>
    <w:rsid w:val="003C1D43"/>
    <w:rsid w:val="003C1DE3"/>
    <w:rsid w:val="003C203D"/>
    <w:rsid w:val="003C322C"/>
    <w:rsid w:val="003C338B"/>
    <w:rsid w:val="003C39B3"/>
    <w:rsid w:val="003C3DFE"/>
    <w:rsid w:val="003C3E0C"/>
    <w:rsid w:val="003C46FF"/>
    <w:rsid w:val="003C4CFC"/>
    <w:rsid w:val="003C519D"/>
    <w:rsid w:val="003C54B7"/>
    <w:rsid w:val="003C5D81"/>
    <w:rsid w:val="003C5F34"/>
    <w:rsid w:val="003C6163"/>
    <w:rsid w:val="003C6805"/>
    <w:rsid w:val="003C6AD9"/>
    <w:rsid w:val="003C6FA5"/>
    <w:rsid w:val="003C7297"/>
    <w:rsid w:val="003C7A7E"/>
    <w:rsid w:val="003C7E5A"/>
    <w:rsid w:val="003C7EBD"/>
    <w:rsid w:val="003D0A8A"/>
    <w:rsid w:val="003D0D30"/>
    <w:rsid w:val="003D12AB"/>
    <w:rsid w:val="003D19C2"/>
    <w:rsid w:val="003D1B8B"/>
    <w:rsid w:val="003D1D01"/>
    <w:rsid w:val="003D1DC8"/>
    <w:rsid w:val="003D1F25"/>
    <w:rsid w:val="003D2CDF"/>
    <w:rsid w:val="003D2ED0"/>
    <w:rsid w:val="003D31D7"/>
    <w:rsid w:val="003D370B"/>
    <w:rsid w:val="003D3A8D"/>
    <w:rsid w:val="003D4BE9"/>
    <w:rsid w:val="003D4BEA"/>
    <w:rsid w:val="003D4C83"/>
    <w:rsid w:val="003D5118"/>
    <w:rsid w:val="003D563D"/>
    <w:rsid w:val="003D568D"/>
    <w:rsid w:val="003D6396"/>
    <w:rsid w:val="003D763B"/>
    <w:rsid w:val="003D7EB1"/>
    <w:rsid w:val="003E0AC3"/>
    <w:rsid w:val="003E0E8C"/>
    <w:rsid w:val="003E1273"/>
    <w:rsid w:val="003E1B1E"/>
    <w:rsid w:val="003E1CE0"/>
    <w:rsid w:val="003E1F5A"/>
    <w:rsid w:val="003E2199"/>
    <w:rsid w:val="003E23A7"/>
    <w:rsid w:val="003E26AD"/>
    <w:rsid w:val="003E2E4F"/>
    <w:rsid w:val="003E301D"/>
    <w:rsid w:val="003E327C"/>
    <w:rsid w:val="003E3412"/>
    <w:rsid w:val="003E344D"/>
    <w:rsid w:val="003E39E9"/>
    <w:rsid w:val="003E3BCB"/>
    <w:rsid w:val="003E3FBA"/>
    <w:rsid w:val="003E47C0"/>
    <w:rsid w:val="003E4D92"/>
    <w:rsid w:val="003E53AF"/>
    <w:rsid w:val="003E5552"/>
    <w:rsid w:val="003E6161"/>
    <w:rsid w:val="003E627C"/>
    <w:rsid w:val="003E707E"/>
    <w:rsid w:val="003E790C"/>
    <w:rsid w:val="003F0126"/>
    <w:rsid w:val="003F074E"/>
    <w:rsid w:val="003F0A29"/>
    <w:rsid w:val="003F0B14"/>
    <w:rsid w:val="003F0DD7"/>
    <w:rsid w:val="003F14A1"/>
    <w:rsid w:val="003F19AA"/>
    <w:rsid w:val="003F1B51"/>
    <w:rsid w:val="003F1BD8"/>
    <w:rsid w:val="003F1D8E"/>
    <w:rsid w:val="003F21F1"/>
    <w:rsid w:val="003F2544"/>
    <w:rsid w:val="003F2943"/>
    <w:rsid w:val="003F2CCF"/>
    <w:rsid w:val="003F33DD"/>
    <w:rsid w:val="003F3424"/>
    <w:rsid w:val="003F374C"/>
    <w:rsid w:val="003F3802"/>
    <w:rsid w:val="003F39B3"/>
    <w:rsid w:val="003F3C4D"/>
    <w:rsid w:val="003F3CAC"/>
    <w:rsid w:val="003F3F6A"/>
    <w:rsid w:val="003F4150"/>
    <w:rsid w:val="003F4478"/>
    <w:rsid w:val="003F5945"/>
    <w:rsid w:val="003F6030"/>
    <w:rsid w:val="003F6AFE"/>
    <w:rsid w:val="003F6BBA"/>
    <w:rsid w:val="003F740A"/>
    <w:rsid w:val="003F7958"/>
    <w:rsid w:val="004006F0"/>
    <w:rsid w:val="00400B8F"/>
    <w:rsid w:val="004014B8"/>
    <w:rsid w:val="00401559"/>
    <w:rsid w:val="0040252B"/>
    <w:rsid w:val="00402652"/>
    <w:rsid w:val="0040294E"/>
    <w:rsid w:val="00402A37"/>
    <w:rsid w:val="00402EE4"/>
    <w:rsid w:val="00403BE0"/>
    <w:rsid w:val="0040416A"/>
    <w:rsid w:val="004041EF"/>
    <w:rsid w:val="00404715"/>
    <w:rsid w:val="00405A98"/>
    <w:rsid w:val="00405AEB"/>
    <w:rsid w:val="00406225"/>
    <w:rsid w:val="00406800"/>
    <w:rsid w:val="00406C5D"/>
    <w:rsid w:val="004078BB"/>
    <w:rsid w:val="00407927"/>
    <w:rsid w:val="00407943"/>
    <w:rsid w:val="00407AD0"/>
    <w:rsid w:val="00410078"/>
    <w:rsid w:val="00410254"/>
    <w:rsid w:val="004119CB"/>
    <w:rsid w:val="00411BAC"/>
    <w:rsid w:val="00411EB5"/>
    <w:rsid w:val="004125DC"/>
    <w:rsid w:val="004126EB"/>
    <w:rsid w:val="00412712"/>
    <w:rsid w:val="00412FF9"/>
    <w:rsid w:val="004137F0"/>
    <w:rsid w:val="00413996"/>
    <w:rsid w:val="004139E5"/>
    <w:rsid w:val="00413BDF"/>
    <w:rsid w:val="00413D21"/>
    <w:rsid w:val="0041475F"/>
    <w:rsid w:val="00414C4B"/>
    <w:rsid w:val="0041523F"/>
    <w:rsid w:val="00415547"/>
    <w:rsid w:val="0041575D"/>
    <w:rsid w:val="00415BB9"/>
    <w:rsid w:val="00415EF2"/>
    <w:rsid w:val="00416082"/>
    <w:rsid w:val="0041657E"/>
    <w:rsid w:val="0041681A"/>
    <w:rsid w:val="00416AB3"/>
    <w:rsid w:val="00416ED0"/>
    <w:rsid w:val="004172CA"/>
    <w:rsid w:val="004177AD"/>
    <w:rsid w:val="004204F7"/>
    <w:rsid w:val="00420EF1"/>
    <w:rsid w:val="004210A6"/>
    <w:rsid w:val="00421215"/>
    <w:rsid w:val="00421244"/>
    <w:rsid w:val="004213FF"/>
    <w:rsid w:val="004215E0"/>
    <w:rsid w:val="0042161A"/>
    <w:rsid w:val="004216B1"/>
    <w:rsid w:val="00421A3B"/>
    <w:rsid w:val="00421E67"/>
    <w:rsid w:val="00422332"/>
    <w:rsid w:val="004237CA"/>
    <w:rsid w:val="00423DA2"/>
    <w:rsid w:val="004244F8"/>
    <w:rsid w:val="00424E41"/>
    <w:rsid w:val="00424E99"/>
    <w:rsid w:val="00425382"/>
    <w:rsid w:val="004254FF"/>
    <w:rsid w:val="0042565D"/>
    <w:rsid w:val="00425B03"/>
    <w:rsid w:val="00425BC6"/>
    <w:rsid w:val="00426123"/>
    <w:rsid w:val="004261A5"/>
    <w:rsid w:val="00426761"/>
    <w:rsid w:val="004268E6"/>
    <w:rsid w:val="00426FDF"/>
    <w:rsid w:val="00427271"/>
    <w:rsid w:val="004272CE"/>
    <w:rsid w:val="00427518"/>
    <w:rsid w:val="00427D2E"/>
    <w:rsid w:val="00427FC5"/>
    <w:rsid w:val="00430803"/>
    <w:rsid w:val="004308E5"/>
    <w:rsid w:val="00430B5F"/>
    <w:rsid w:val="00430EF0"/>
    <w:rsid w:val="00431CE5"/>
    <w:rsid w:val="00431F3D"/>
    <w:rsid w:val="00433351"/>
    <w:rsid w:val="00433901"/>
    <w:rsid w:val="00433DC7"/>
    <w:rsid w:val="0043522B"/>
    <w:rsid w:val="0043551D"/>
    <w:rsid w:val="00435927"/>
    <w:rsid w:val="004364BE"/>
    <w:rsid w:val="00436D37"/>
    <w:rsid w:val="00437382"/>
    <w:rsid w:val="0043760A"/>
    <w:rsid w:val="004377FB"/>
    <w:rsid w:val="00437856"/>
    <w:rsid w:val="00437943"/>
    <w:rsid w:val="00437BAD"/>
    <w:rsid w:val="0044023E"/>
    <w:rsid w:val="004410B5"/>
    <w:rsid w:val="0044117F"/>
    <w:rsid w:val="0044168E"/>
    <w:rsid w:val="00441A69"/>
    <w:rsid w:val="00441E2B"/>
    <w:rsid w:val="00442590"/>
    <w:rsid w:val="004426E2"/>
    <w:rsid w:val="0044288B"/>
    <w:rsid w:val="00442D8A"/>
    <w:rsid w:val="00442FB4"/>
    <w:rsid w:val="00443696"/>
    <w:rsid w:val="00443E81"/>
    <w:rsid w:val="00444787"/>
    <w:rsid w:val="004448DD"/>
    <w:rsid w:val="00444A3F"/>
    <w:rsid w:val="00445D59"/>
    <w:rsid w:val="0044641B"/>
    <w:rsid w:val="0044731B"/>
    <w:rsid w:val="00447756"/>
    <w:rsid w:val="00447CEA"/>
    <w:rsid w:val="00447DE2"/>
    <w:rsid w:val="00450003"/>
    <w:rsid w:val="0045016D"/>
    <w:rsid w:val="00450283"/>
    <w:rsid w:val="004502D7"/>
    <w:rsid w:val="00450B64"/>
    <w:rsid w:val="0045105E"/>
    <w:rsid w:val="004511EE"/>
    <w:rsid w:val="004512A9"/>
    <w:rsid w:val="0045160F"/>
    <w:rsid w:val="004517C8"/>
    <w:rsid w:val="00451887"/>
    <w:rsid w:val="00451A9B"/>
    <w:rsid w:val="00451CA7"/>
    <w:rsid w:val="00452089"/>
    <w:rsid w:val="00452679"/>
    <w:rsid w:val="00452B5E"/>
    <w:rsid w:val="00452EC7"/>
    <w:rsid w:val="004536A0"/>
    <w:rsid w:val="00454E83"/>
    <w:rsid w:val="00454F63"/>
    <w:rsid w:val="004550CA"/>
    <w:rsid w:val="00455190"/>
    <w:rsid w:val="00455219"/>
    <w:rsid w:val="004552C9"/>
    <w:rsid w:val="00455653"/>
    <w:rsid w:val="0045579B"/>
    <w:rsid w:val="004561F1"/>
    <w:rsid w:val="0045639F"/>
    <w:rsid w:val="00456502"/>
    <w:rsid w:val="004568F9"/>
    <w:rsid w:val="00457132"/>
    <w:rsid w:val="00457493"/>
    <w:rsid w:val="0045754F"/>
    <w:rsid w:val="004575A6"/>
    <w:rsid w:val="0045764B"/>
    <w:rsid w:val="00457D85"/>
    <w:rsid w:val="00460AD0"/>
    <w:rsid w:val="004610AD"/>
    <w:rsid w:val="00461412"/>
    <w:rsid w:val="0046154A"/>
    <w:rsid w:val="00461C64"/>
    <w:rsid w:val="004625DA"/>
    <w:rsid w:val="00462C11"/>
    <w:rsid w:val="004630C0"/>
    <w:rsid w:val="004636FA"/>
    <w:rsid w:val="00463745"/>
    <w:rsid w:val="004640F9"/>
    <w:rsid w:val="004643DE"/>
    <w:rsid w:val="004646D8"/>
    <w:rsid w:val="004648EE"/>
    <w:rsid w:val="00465253"/>
    <w:rsid w:val="00465B88"/>
    <w:rsid w:val="00465C70"/>
    <w:rsid w:val="00465EEF"/>
    <w:rsid w:val="00466694"/>
    <w:rsid w:val="004667F5"/>
    <w:rsid w:val="004670A0"/>
    <w:rsid w:val="00470068"/>
    <w:rsid w:val="0047017E"/>
    <w:rsid w:val="004706BD"/>
    <w:rsid w:val="004709B2"/>
    <w:rsid w:val="00470B02"/>
    <w:rsid w:val="00470EB4"/>
    <w:rsid w:val="004711EF"/>
    <w:rsid w:val="00471BFF"/>
    <w:rsid w:val="00471D57"/>
    <w:rsid w:val="00471DE0"/>
    <w:rsid w:val="00472413"/>
    <w:rsid w:val="00472AF3"/>
    <w:rsid w:val="00472F9F"/>
    <w:rsid w:val="00473F6C"/>
    <w:rsid w:val="00474114"/>
    <w:rsid w:val="00474503"/>
    <w:rsid w:val="00475396"/>
    <w:rsid w:val="00475405"/>
    <w:rsid w:val="00475B68"/>
    <w:rsid w:val="00475E41"/>
    <w:rsid w:val="00475F28"/>
    <w:rsid w:val="00476142"/>
    <w:rsid w:val="00476DC0"/>
    <w:rsid w:val="0047784D"/>
    <w:rsid w:val="00480BBB"/>
    <w:rsid w:val="004811AF"/>
    <w:rsid w:val="00481259"/>
    <w:rsid w:val="004812C4"/>
    <w:rsid w:val="004815A7"/>
    <w:rsid w:val="00481E5E"/>
    <w:rsid w:val="0048216E"/>
    <w:rsid w:val="004824D8"/>
    <w:rsid w:val="0048294C"/>
    <w:rsid w:val="00482E91"/>
    <w:rsid w:val="00483670"/>
    <w:rsid w:val="00483CC9"/>
    <w:rsid w:val="004842AE"/>
    <w:rsid w:val="0048431B"/>
    <w:rsid w:val="0048545D"/>
    <w:rsid w:val="00485A17"/>
    <w:rsid w:val="00485A3D"/>
    <w:rsid w:val="00485E1C"/>
    <w:rsid w:val="0048744D"/>
    <w:rsid w:val="00487D4F"/>
    <w:rsid w:val="00490719"/>
    <w:rsid w:val="00490F1F"/>
    <w:rsid w:val="00490F37"/>
    <w:rsid w:val="00491377"/>
    <w:rsid w:val="00491866"/>
    <w:rsid w:val="00492F2D"/>
    <w:rsid w:val="00492F32"/>
    <w:rsid w:val="00493D5F"/>
    <w:rsid w:val="00493F6F"/>
    <w:rsid w:val="00493FD1"/>
    <w:rsid w:val="00494205"/>
    <w:rsid w:val="00494A09"/>
    <w:rsid w:val="00495237"/>
    <w:rsid w:val="0049548A"/>
    <w:rsid w:val="00495769"/>
    <w:rsid w:val="00495DE2"/>
    <w:rsid w:val="00495E76"/>
    <w:rsid w:val="00495EE1"/>
    <w:rsid w:val="00495F85"/>
    <w:rsid w:val="00496493"/>
    <w:rsid w:val="004968EB"/>
    <w:rsid w:val="00496E78"/>
    <w:rsid w:val="00497175"/>
    <w:rsid w:val="004975F6"/>
    <w:rsid w:val="004A237E"/>
    <w:rsid w:val="004A252D"/>
    <w:rsid w:val="004A28AF"/>
    <w:rsid w:val="004A2B3C"/>
    <w:rsid w:val="004A4104"/>
    <w:rsid w:val="004A471E"/>
    <w:rsid w:val="004A4A43"/>
    <w:rsid w:val="004A4E03"/>
    <w:rsid w:val="004A545D"/>
    <w:rsid w:val="004A551A"/>
    <w:rsid w:val="004A584C"/>
    <w:rsid w:val="004A5921"/>
    <w:rsid w:val="004A6B68"/>
    <w:rsid w:val="004A6D39"/>
    <w:rsid w:val="004A6E98"/>
    <w:rsid w:val="004A6F39"/>
    <w:rsid w:val="004A7963"/>
    <w:rsid w:val="004A79EB"/>
    <w:rsid w:val="004A7A13"/>
    <w:rsid w:val="004A7BD1"/>
    <w:rsid w:val="004A7E65"/>
    <w:rsid w:val="004B077C"/>
    <w:rsid w:val="004B08F6"/>
    <w:rsid w:val="004B0FB2"/>
    <w:rsid w:val="004B0FC8"/>
    <w:rsid w:val="004B1599"/>
    <w:rsid w:val="004B16FE"/>
    <w:rsid w:val="004B19CE"/>
    <w:rsid w:val="004B1BCE"/>
    <w:rsid w:val="004B2247"/>
    <w:rsid w:val="004B2315"/>
    <w:rsid w:val="004B2703"/>
    <w:rsid w:val="004B2D92"/>
    <w:rsid w:val="004B3231"/>
    <w:rsid w:val="004B336F"/>
    <w:rsid w:val="004B3A23"/>
    <w:rsid w:val="004B3D5D"/>
    <w:rsid w:val="004B64B1"/>
    <w:rsid w:val="004B655B"/>
    <w:rsid w:val="004B6B0E"/>
    <w:rsid w:val="004B70A8"/>
    <w:rsid w:val="004B70DD"/>
    <w:rsid w:val="004C01B3"/>
    <w:rsid w:val="004C034F"/>
    <w:rsid w:val="004C0DC9"/>
    <w:rsid w:val="004C0F47"/>
    <w:rsid w:val="004C14AA"/>
    <w:rsid w:val="004C1C87"/>
    <w:rsid w:val="004C1D02"/>
    <w:rsid w:val="004C2219"/>
    <w:rsid w:val="004C2261"/>
    <w:rsid w:val="004C2439"/>
    <w:rsid w:val="004C2738"/>
    <w:rsid w:val="004C2753"/>
    <w:rsid w:val="004C3B88"/>
    <w:rsid w:val="004C3E8B"/>
    <w:rsid w:val="004C4C4D"/>
    <w:rsid w:val="004C4FAC"/>
    <w:rsid w:val="004C56B9"/>
    <w:rsid w:val="004C5743"/>
    <w:rsid w:val="004C59F8"/>
    <w:rsid w:val="004C62AF"/>
    <w:rsid w:val="004C65AF"/>
    <w:rsid w:val="004C6722"/>
    <w:rsid w:val="004C68E3"/>
    <w:rsid w:val="004C6EF7"/>
    <w:rsid w:val="004C7C7A"/>
    <w:rsid w:val="004C7E78"/>
    <w:rsid w:val="004D005A"/>
    <w:rsid w:val="004D0329"/>
    <w:rsid w:val="004D0397"/>
    <w:rsid w:val="004D0828"/>
    <w:rsid w:val="004D1424"/>
    <w:rsid w:val="004D1746"/>
    <w:rsid w:val="004D188B"/>
    <w:rsid w:val="004D19D9"/>
    <w:rsid w:val="004D1A6E"/>
    <w:rsid w:val="004D1B7A"/>
    <w:rsid w:val="004D1D3E"/>
    <w:rsid w:val="004D2243"/>
    <w:rsid w:val="004D2617"/>
    <w:rsid w:val="004D27D4"/>
    <w:rsid w:val="004D29D0"/>
    <w:rsid w:val="004D32B5"/>
    <w:rsid w:val="004D4604"/>
    <w:rsid w:val="004D4689"/>
    <w:rsid w:val="004D46AA"/>
    <w:rsid w:val="004D471C"/>
    <w:rsid w:val="004D4BA5"/>
    <w:rsid w:val="004D513B"/>
    <w:rsid w:val="004D516F"/>
    <w:rsid w:val="004D5E6B"/>
    <w:rsid w:val="004D5E9F"/>
    <w:rsid w:val="004D60C9"/>
    <w:rsid w:val="004D62AD"/>
    <w:rsid w:val="004D64DE"/>
    <w:rsid w:val="004D65DC"/>
    <w:rsid w:val="004D6E42"/>
    <w:rsid w:val="004E03CF"/>
    <w:rsid w:val="004E0655"/>
    <w:rsid w:val="004E07F0"/>
    <w:rsid w:val="004E0FE9"/>
    <w:rsid w:val="004E1283"/>
    <w:rsid w:val="004E16DF"/>
    <w:rsid w:val="004E174E"/>
    <w:rsid w:val="004E1FFA"/>
    <w:rsid w:val="004E2A5C"/>
    <w:rsid w:val="004E2B90"/>
    <w:rsid w:val="004E3C56"/>
    <w:rsid w:val="004E4A5D"/>
    <w:rsid w:val="004E4EE6"/>
    <w:rsid w:val="004E5248"/>
    <w:rsid w:val="004E57C5"/>
    <w:rsid w:val="004E5B49"/>
    <w:rsid w:val="004E69D4"/>
    <w:rsid w:val="004E6E3E"/>
    <w:rsid w:val="004E76BF"/>
    <w:rsid w:val="004E7AE2"/>
    <w:rsid w:val="004F06F8"/>
    <w:rsid w:val="004F14B7"/>
    <w:rsid w:val="004F187A"/>
    <w:rsid w:val="004F1932"/>
    <w:rsid w:val="004F201E"/>
    <w:rsid w:val="004F22E7"/>
    <w:rsid w:val="004F272D"/>
    <w:rsid w:val="004F37F6"/>
    <w:rsid w:val="004F3998"/>
    <w:rsid w:val="004F39AA"/>
    <w:rsid w:val="004F3F1E"/>
    <w:rsid w:val="004F45C7"/>
    <w:rsid w:val="004F4821"/>
    <w:rsid w:val="004F4F64"/>
    <w:rsid w:val="004F54ED"/>
    <w:rsid w:val="004F5546"/>
    <w:rsid w:val="004F5819"/>
    <w:rsid w:val="004F5915"/>
    <w:rsid w:val="004F5968"/>
    <w:rsid w:val="004F6422"/>
    <w:rsid w:val="004F66A6"/>
    <w:rsid w:val="004F688D"/>
    <w:rsid w:val="004F6B57"/>
    <w:rsid w:val="004F6C66"/>
    <w:rsid w:val="00500361"/>
    <w:rsid w:val="00500834"/>
    <w:rsid w:val="005008FE"/>
    <w:rsid w:val="00500A9B"/>
    <w:rsid w:val="00500E8D"/>
    <w:rsid w:val="00501288"/>
    <w:rsid w:val="0050218D"/>
    <w:rsid w:val="0050248A"/>
    <w:rsid w:val="00502507"/>
    <w:rsid w:val="00502817"/>
    <w:rsid w:val="00502F9E"/>
    <w:rsid w:val="00503469"/>
    <w:rsid w:val="00503DD5"/>
    <w:rsid w:val="005040C5"/>
    <w:rsid w:val="005040CB"/>
    <w:rsid w:val="005045E8"/>
    <w:rsid w:val="005046F4"/>
    <w:rsid w:val="00504BA1"/>
    <w:rsid w:val="00504D69"/>
    <w:rsid w:val="00504F94"/>
    <w:rsid w:val="005056C4"/>
    <w:rsid w:val="00505BA6"/>
    <w:rsid w:val="00505C94"/>
    <w:rsid w:val="0050608C"/>
    <w:rsid w:val="005060F0"/>
    <w:rsid w:val="0050618D"/>
    <w:rsid w:val="005065EC"/>
    <w:rsid w:val="0050693C"/>
    <w:rsid w:val="00506A24"/>
    <w:rsid w:val="00507014"/>
    <w:rsid w:val="00507CD0"/>
    <w:rsid w:val="00507EBD"/>
    <w:rsid w:val="005101BE"/>
    <w:rsid w:val="0051039F"/>
    <w:rsid w:val="005105C2"/>
    <w:rsid w:val="005105DB"/>
    <w:rsid w:val="005107A3"/>
    <w:rsid w:val="00510C1E"/>
    <w:rsid w:val="005111CF"/>
    <w:rsid w:val="00511BE6"/>
    <w:rsid w:val="00511FEE"/>
    <w:rsid w:val="00512C8A"/>
    <w:rsid w:val="00512E36"/>
    <w:rsid w:val="0051327A"/>
    <w:rsid w:val="0051376E"/>
    <w:rsid w:val="0051400C"/>
    <w:rsid w:val="00514897"/>
    <w:rsid w:val="00514D26"/>
    <w:rsid w:val="0051510A"/>
    <w:rsid w:val="00515469"/>
    <w:rsid w:val="005155ED"/>
    <w:rsid w:val="00515FC0"/>
    <w:rsid w:val="005165CA"/>
    <w:rsid w:val="00516DBB"/>
    <w:rsid w:val="005171AE"/>
    <w:rsid w:val="00517293"/>
    <w:rsid w:val="00517BAC"/>
    <w:rsid w:val="00520110"/>
    <w:rsid w:val="00520A5E"/>
    <w:rsid w:val="00520A7E"/>
    <w:rsid w:val="00520E53"/>
    <w:rsid w:val="00521789"/>
    <w:rsid w:val="00521791"/>
    <w:rsid w:val="00521883"/>
    <w:rsid w:val="00521A18"/>
    <w:rsid w:val="00521D5F"/>
    <w:rsid w:val="005221E5"/>
    <w:rsid w:val="0052230F"/>
    <w:rsid w:val="00522843"/>
    <w:rsid w:val="00522AA5"/>
    <w:rsid w:val="00523731"/>
    <w:rsid w:val="0052399F"/>
    <w:rsid w:val="00524497"/>
    <w:rsid w:val="00524535"/>
    <w:rsid w:val="00525CD9"/>
    <w:rsid w:val="00525F9F"/>
    <w:rsid w:val="00525FA3"/>
    <w:rsid w:val="00526C1D"/>
    <w:rsid w:val="00527558"/>
    <w:rsid w:val="00527581"/>
    <w:rsid w:val="00527AB7"/>
    <w:rsid w:val="00527C73"/>
    <w:rsid w:val="0053005D"/>
    <w:rsid w:val="005304CC"/>
    <w:rsid w:val="0053061A"/>
    <w:rsid w:val="00530BE3"/>
    <w:rsid w:val="005314C9"/>
    <w:rsid w:val="00531630"/>
    <w:rsid w:val="005316FC"/>
    <w:rsid w:val="00531FE4"/>
    <w:rsid w:val="00532158"/>
    <w:rsid w:val="00533A70"/>
    <w:rsid w:val="00533D10"/>
    <w:rsid w:val="005354DA"/>
    <w:rsid w:val="00536294"/>
    <w:rsid w:val="00536507"/>
    <w:rsid w:val="00536B14"/>
    <w:rsid w:val="00536BCA"/>
    <w:rsid w:val="005374F5"/>
    <w:rsid w:val="005375AA"/>
    <w:rsid w:val="005379B3"/>
    <w:rsid w:val="00537F38"/>
    <w:rsid w:val="00540340"/>
    <w:rsid w:val="005404A7"/>
    <w:rsid w:val="00540632"/>
    <w:rsid w:val="00540634"/>
    <w:rsid w:val="005408EA"/>
    <w:rsid w:val="00540E7B"/>
    <w:rsid w:val="005410FB"/>
    <w:rsid w:val="00541FD7"/>
    <w:rsid w:val="005420D0"/>
    <w:rsid w:val="005421E3"/>
    <w:rsid w:val="005421FD"/>
    <w:rsid w:val="00542405"/>
    <w:rsid w:val="00542CEF"/>
    <w:rsid w:val="0054362C"/>
    <w:rsid w:val="0054470C"/>
    <w:rsid w:val="00545142"/>
    <w:rsid w:val="00545F88"/>
    <w:rsid w:val="005461CF"/>
    <w:rsid w:val="00546889"/>
    <w:rsid w:val="00547A53"/>
    <w:rsid w:val="00547E19"/>
    <w:rsid w:val="0055010E"/>
    <w:rsid w:val="005507AB"/>
    <w:rsid w:val="00550B0F"/>
    <w:rsid w:val="00550BDA"/>
    <w:rsid w:val="00550EA6"/>
    <w:rsid w:val="00551A47"/>
    <w:rsid w:val="00551C31"/>
    <w:rsid w:val="0055207D"/>
    <w:rsid w:val="005522E9"/>
    <w:rsid w:val="00552419"/>
    <w:rsid w:val="005527F5"/>
    <w:rsid w:val="00552C42"/>
    <w:rsid w:val="00552EB8"/>
    <w:rsid w:val="00553D1A"/>
    <w:rsid w:val="00553F96"/>
    <w:rsid w:val="005541C5"/>
    <w:rsid w:val="0055532C"/>
    <w:rsid w:val="00555BB7"/>
    <w:rsid w:val="00555ECF"/>
    <w:rsid w:val="00556281"/>
    <w:rsid w:val="0055628F"/>
    <w:rsid w:val="0055692C"/>
    <w:rsid w:val="00557805"/>
    <w:rsid w:val="00557D0B"/>
    <w:rsid w:val="00561013"/>
    <w:rsid w:val="005618A3"/>
    <w:rsid w:val="0056319F"/>
    <w:rsid w:val="00563FDE"/>
    <w:rsid w:val="00564539"/>
    <w:rsid w:val="00564616"/>
    <w:rsid w:val="00565550"/>
    <w:rsid w:val="00565604"/>
    <w:rsid w:val="005656C1"/>
    <w:rsid w:val="005666E5"/>
    <w:rsid w:val="005667C9"/>
    <w:rsid w:val="005668D6"/>
    <w:rsid w:val="00566BBF"/>
    <w:rsid w:val="00566F05"/>
    <w:rsid w:val="005706B7"/>
    <w:rsid w:val="0057077A"/>
    <w:rsid w:val="00570939"/>
    <w:rsid w:val="00571356"/>
    <w:rsid w:val="005716E5"/>
    <w:rsid w:val="00571D4C"/>
    <w:rsid w:val="00572274"/>
    <w:rsid w:val="00572564"/>
    <w:rsid w:val="0057260B"/>
    <w:rsid w:val="005726AD"/>
    <w:rsid w:val="00572987"/>
    <w:rsid w:val="00572C8C"/>
    <w:rsid w:val="00573409"/>
    <w:rsid w:val="00573582"/>
    <w:rsid w:val="0057361A"/>
    <w:rsid w:val="00574392"/>
    <w:rsid w:val="005744FB"/>
    <w:rsid w:val="005748DD"/>
    <w:rsid w:val="00574918"/>
    <w:rsid w:val="00575227"/>
    <w:rsid w:val="005766BF"/>
    <w:rsid w:val="00576985"/>
    <w:rsid w:val="00576D4F"/>
    <w:rsid w:val="0057718F"/>
    <w:rsid w:val="005773B3"/>
    <w:rsid w:val="005773F0"/>
    <w:rsid w:val="00577796"/>
    <w:rsid w:val="0057789F"/>
    <w:rsid w:val="00577AB5"/>
    <w:rsid w:val="00580B42"/>
    <w:rsid w:val="00581CAE"/>
    <w:rsid w:val="00581F51"/>
    <w:rsid w:val="00582355"/>
    <w:rsid w:val="00583602"/>
    <w:rsid w:val="00583632"/>
    <w:rsid w:val="0058387E"/>
    <w:rsid w:val="00583974"/>
    <w:rsid w:val="00583F41"/>
    <w:rsid w:val="00584BFF"/>
    <w:rsid w:val="005854EB"/>
    <w:rsid w:val="00585C07"/>
    <w:rsid w:val="0058623C"/>
    <w:rsid w:val="005866A6"/>
    <w:rsid w:val="005867EE"/>
    <w:rsid w:val="0058781F"/>
    <w:rsid w:val="00587844"/>
    <w:rsid w:val="005879CC"/>
    <w:rsid w:val="00590388"/>
    <w:rsid w:val="005909E6"/>
    <w:rsid w:val="00590BE0"/>
    <w:rsid w:val="00590D76"/>
    <w:rsid w:val="00590E7E"/>
    <w:rsid w:val="00591779"/>
    <w:rsid w:val="0059244C"/>
    <w:rsid w:val="0059246C"/>
    <w:rsid w:val="0059262C"/>
    <w:rsid w:val="00592960"/>
    <w:rsid w:val="00592DAD"/>
    <w:rsid w:val="005936C8"/>
    <w:rsid w:val="00593C1D"/>
    <w:rsid w:val="00593F22"/>
    <w:rsid w:val="00594FBF"/>
    <w:rsid w:val="005952EB"/>
    <w:rsid w:val="0059542B"/>
    <w:rsid w:val="005956D3"/>
    <w:rsid w:val="0059642F"/>
    <w:rsid w:val="00596822"/>
    <w:rsid w:val="00596AFE"/>
    <w:rsid w:val="00596E05"/>
    <w:rsid w:val="0059737F"/>
    <w:rsid w:val="00597969"/>
    <w:rsid w:val="005A0279"/>
    <w:rsid w:val="005A03EE"/>
    <w:rsid w:val="005A064D"/>
    <w:rsid w:val="005A114E"/>
    <w:rsid w:val="005A11BE"/>
    <w:rsid w:val="005A13A1"/>
    <w:rsid w:val="005A159D"/>
    <w:rsid w:val="005A2DA2"/>
    <w:rsid w:val="005A2DAF"/>
    <w:rsid w:val="005A30C8"/>
    <w:rsid w:val="005A35DF"/>
    <w:rsid w:val="005A3700"/>
    <w:rsid w:val="005A3936"/>
    <w:rsid w:val="005A39E5"/>
    <w:rsid w:val="005A3E56"/>
    <w:rsid w:val="005A3F92"/>
    <w:rsid w:val="005A46CD"/>
    <w:rsid w:val="005A46CF"/>
    <w:rsid w:val="005A5D73"/>
    <w:rsid w:val="005A5FF9"/>
    <w:rsid w:val="005A63F1"/>
    <w:rsid w:val="005A6458"/>
    <w:rsid w:val="005A64F5"/>
    <w:rsid w:val="005A6516"/>
    <w:rsid w:val="005A69CC"/>
    <w:rsid w:val="005A6BBE"/>
    <w:rsid w:val="005A7017"/>
    <w:rsid w:val="005A7045"/>
    <w:rsid w:val="005A72A0"/>
    <w:rsid w:val="005A7D97"/>
    <w:rsid w:val="005A7DA0"/>
    <w:rsid w:val="005A7FCA"/>
    <w:rsid w:val="005A7FCC"/>
    <w:rsid w:val="005B07A6"/>
    <w:rsid w:val="005B1556"/>
    <w:rsid w:val="005B1A78"/>
    <w:rsid w:val="005B1DF7"/>
    <w:rsid w:val="005B2F70"/>
    <w:rsid w:val="005B342E"/>
    <w:rsid w:val="005B3A05"/>
    <w:rsid w:val="005B3DD8"/>
    <w:rsid w:val="005B401B"/>
    <w:rsid w:val="005B44D4"/>
    <w:rsid w:val="005B45BF"/>
    <w:rsid w:val="005B5936"/>
    <w:rsid w:val="005B5AA6"/>
    <w:rsid w:val="005B5B1C"/>
    <w:rsid w:val="005B5C7D"/>
    <w:rsid w:val="005B5FC7"/>
    <w:rsid w:val="005B6061"/>
    <w:rsid w:val="005B6289"/>
    <w:rsid w:val="005B6907"/>
    <w:rsid w:val="005C0061"/>
    <w:rsid w:val="005C084C"/>
    <w:rsid w:val="005C08B4"/>
    <w:rsid w:val="005C0912"/>
    <w:rsid w:val="005C099A"/>
    <w:rsid w:val="005C0E53"/>
    <w:rsid w:val="005C138A"/>
    <w:rsid w:val="005C1BA1"/>
    <w:rsid w:val="005C2013"/>
    <w:rsid w:val="005C2C12"/>
    <w:rsid w:val="005C2D59"/>
    <w:rsid w:val="005C3088"/>
    <w:rsid w:val="005C39A3"/>
    <w:rsid w:val="005C3BE3"/>
    <w:rsid w:val="005C3F82"/>
    <w:rsid w:val="005C425A"/>
    <w:rsid w:val="005C432F"/>
    <w:rsid w:val="005C4B63"/>
    <w:rsid w:val="005C4B9F"/>
    <w:rsid w:val="005C4EE8"/>
    <w:rsid w:val="005C4F81"/>
    <w:rsid w:val="005C4FEC"/>
    <w:rsid w:val="005C5272"/>
    <w:rsid w:val="005C52D7"/>
    <w:rsid w:val="005C56B1"/>
    <w:rsid w:val="005C5BED"/>
    <w:rsid w:val="005C60CD"/>
    <w:rsid w:val="005C755C"/>
    <w:rsid w:val="005C774F"/>
    <w:rsid w:val="005C784B"/>
    <w:rsid w:val="005C7E00"/>
    <w:rsid w:val="005D0271"/>
    <w:rsid w:val="005D04FF"/>
    <w:rsid w:val="005D0DD6"/>
    <w:rsid w:val="005D0E2D"/>
    <w:rsid w:val="005D11C5"/>
    <w:rsid w:val="005D16BD"/>
    <w:rsid w:val="005D1A7A"/>
    <w:rsid w:val="005D1E0F"/>
    <w:rsid w:val="005D28C1"/>
    <w:rsid w:val="005D2A8F"/>
    <w:rsid w:val="005D3260"/>
    <w:rsid w:val="005D36B4"/>
    <w:rsid w:val="005D3917"/>
    <w:rsid w:val="005D39A2"/>
    <w:rsid w:val="005D39F5"/>
    <w:rsid w:val="005D4225"/>
    <w:rsid w:val="005D429D"/>
    <w:rsid w:val="005D47FF"/>
    <w:rsid w:val="005D4B64"/>
    <w:rsid w:val="005D5567"/>
    <w:rsid w:val="005D55A6"/>
    <w:rsid w:val="005D5DF4"/>
    <w:rsid w:val="005D5FAA"/>
    <w:rsid w:val="005D6B4E"/>
    <w:rsid w:val="005D6FD5"/>
    <w:rsid w:val="005D719B"/>
    <w:rsid w:val="005D73F5"/>
    <w:rsid w:val="005D76EB"/>
    <w:rsid w:val="005D79FB"/>
    <w:rsid w:val="005D7C93"/>
    <w:rsid w:val="005D7E74"/>
    <w:rsid w:val="005E02F2"/>
    <w:rsid w:val="005E0D94"/>
    <w:rsid w:val="005E0FB2"/>
    <w:rsid w:val="005E102B"/>
    <w:rsid w:val="005E112F"/>
    <w:rsid w:val="005E3050"/>
    <w:rsid w:val="005E3412"/>
    <w:rsid w:val="005E3430"/>
    <w:rsid w:val="005E353A"/>
    <w:rsid w:val="005E3698"/>
    <w:rsid w:val="005E3C76"/>
    <w:rsid w:val="005E45B8"/>
    <w:rsid w:val="005E47E6"/>
    <w:rsid w:val="005E4B71"/>
    <w:rsid w:val="005E4CB2"/>
    <w:rsid w:val="005E4DB6"/>
    <w:rsid w:val="005E550A"/>
    <w:rsid w:val="005E5876"/>
    <w:rsid w:val="005E5C84"/>
    <w:rsid w:val="005E5EB1"/>
    <w:rsid w:val="005E6746"/>
    <w:rsid w:val="005E6A22"/>
    <w:rsid w:val="005E7292"/>
    <w:rsid w:val="005E72F6"/>
    <w:rsid w:val="005E77A2"/>
    <w:rsid w:val="005F0677"/>
    <w:rsid w:val="005F116B"/>
    <w:rsid w:val="005F1C64"/>
    <w:rsid w:val="005F1DBB"/>
    <w:rsid w:val="005F220D"/>
    <w:rsid w:val="005F2233"/>
    <w:rsid w:val="005F23C6"/>
    <w:rsid w:val="005F266C"/>
    <w:rsid w:val="005F2BDD"/>
    <w:rsid w:val="005F3505"/>
    <w:rsid w:val="005F3AF6"/>
    <w:rsid w:val="005F3C0F"/>
    <w:rsid w:val="005F48E1"/>
    <w:rsid w:val="005F5951"/>
    <w:rsid w:val="005F5C47"/>
    <w:rsid w:val="005F6499"/>
    <w:rsid w:val="005F6743"/>
    <w:rsid w:val="005F6B0B"/>
    <w:rsid w:val="005F6C76"/>
    <w:rsid w:val="005F6EB4"/>
    <w:rsid w:val="005F7100"/>
    <w:rsid w:val="005F7194"/>
    <w:rsid w:val="005F7D4D"/>
    <w:rsid w:val="005F7E19"/>
    <w:rsid w:val="0060058D"/>
    <w:rsid w:val="00600A15"/>
    <w:rsid w:val="00600A41"/>
    <w:rsid w:val="00600D48"/>
    <w:rsid w:val="006010C7"/>
    <w:rsid w:val="00601B4E"/>
    <w:rsid w:val="00601D16"/>
    <w:rsid w:val="00601F5C"/>
    <w:rsid w:val="00602457"/>
    <w:rsid w:val="00603296"/>
    <w:rsid w:val="006033BF"/>
    <w:rsid w:val="0060401F"/>
    <w:rsid w:val="006044BE"/>
    <w:rsid w:val="00604F37"/>
    <w:rsid w:val="0060533A"/>
    <w:rsid w:val="0060539D"/>
    <w:rsid w:val="0060546D"/>
    <w:rsid w:val="006054BF"/>
    <w:rsid w:val="00605693"/>
    <w:rsid w:val="006056F5"/>
    <w:rsid w:val="006060E1"/>
    <w:rsid w:val="0060654C"/>
    <w:rsid w:val="00607AEE"/>
    <w:rsid w:val="00607DEE"/>
    <w:rsid w:val="00611230"/>
    <w:rsid w:val="00611890"/>
    <w:rsid w:val="00611C88"/>
    <w:rsid w:val="00613BE2"/>
    <w:rsid w:val="00613DB4"/>
    <w:rsid w:val="006141C1"/>
    <w:rsid w:val="0061463D"/>
    <w:rsid w:val="00614C67"/>
    <w:rsid w:val="006150B7"/>
    <w:rsid w:val="006154B3"/>
    <w:rsid w:val="00615761"/>
    <w:rsid w:val="00615CE6"/>
    <w:rsid w:val="00616120"/>
    <w:rsid w:val="00616921"/>
    <w:rsid w:val="00616979"/>
    <w:rsid w:val="00617F7F"/>
    <w:rsid w:val="006201C2"/>
    <w:rsid w:val="0062069B"/>
    <w:rsid w:val="00620781"/>
    <w:rsid w:val="00620A06"/>
    <w:rsid w:val="00620A76"/>
    <w:rsid w:val="00620B71"/>
    <w:rsid w:val="006217A1"/>
    <w:rsid w:val="006218D7"/>
    <w:rsid w:val="006218E4"/>
    <w:rsid w:val="006219B5"/>
    <w:rsid w:val="00621C32"/>
    <w:rsid w:val="00622683"/>
    <w:rsid w:val="00622742"/>
    <w:rsid w:val="00622B0C"/>
    <w:rsid w:val="006231C2"/>
    <w:rsid w:val="006233DC"/>
    <w:rsid w:val="006239EC"/>
    <w:rsid w:val="00623A9F"/>
    <w:rsid w:val="00623F41"/>
    <w:rsid w:val="00623F84"/>
    <w:rsid w:val="006240B4"/>
    <w:rsid w:val="00624E8D"/>
    <w:rsid w:val="00624FDB"/>
    <w:rsid w:val="006250D3"/>
    <w:rsid w:val="006252CC"/>
    <w:rsid w:val="00625653"/>
    <w:rsid w:val="0062615B"/>
    <w:rsid w:val="00626643"/>
    <w:rsid w:val="0062701D"/>
    <w:rsid w:val="00627719"/>
    <w:rsid w:val="00627B7A"/>
    <w:rsid w:val="00631570"/>
    <w:rsid w:val="00631C7C"/>
    <w:rsid w:val="006321D3"/>
    <w:rsid w:val="00632209"/>
    <w:rsid w:val="00632676"/>
    <w:rsid w:val="00632815"/>
    <w:rsid w:val="00633D63"/>
    <w:rsid w:val="00634A85"/>
    <w:rsid w:val="00634B8B"/>
    <w:rsid w:val="00634BF4"/>
    <w:rsid w:val="00634E7F"/>
    <w:rsid w:val="00635299"/>
    <w:rsid w:val="00635633"/>
    <w:rsid w:val="00635A37"/>
    <w:rsid w:val="00635A51"/>
    <w:rsid w:val="0063608D"/>
    <w:rsid w:val="006368D6"/>
    <w:rsid w:val="0063737E"/>
    <w:rsid w:val="00637B42"/>
    <w:rsid w:val="006404A5"/>
    <w:rsid w:val="0064068E"/>
    <w:rsid w:val="00640735"/>
    <w:rsid w:val="0064128D"/>
    <w:rsid w:val="006413E6"/>
    <w:rsid w:val="00641701"/>
    <w:rsid w:val="00641911"/>
    <w:rsid w:val="006419A9"/>
    <w:rsid w:val="0064219C"/>
    <w:rsid w:val="006424E1"/>
    <w:rsid w:val="0064259C"/>
    <w:rsid w:val="006426D6"/>
    <w:rsid w:val="00642B5E"/>
    <w:rsid w:val="00642E74"/>
    <w:rsid w:val="00643A9C"/>
    <w:rsid w:val="00643BEA"/>
    <w:rsid w:val="00643D1C"/>
    <w:rsid w:val="00643DBC"/>
    <w:rsid w:val="00644414"/>
    <w:rsid w:val="00644710"/>
    <w:rsid w:val="00644775"/>
    <w:rsid w:val="0064498B"/>
    <w:rsid w:val="00644E29"/>
    <w:rsid w:val="00644F4D"/>
    <w:rsid w:val="006454A4"/>
    <w:rsid w:val="006456F8"/>
    <w:rsid w:val="00645C5C"/>
    <w:rsid w:val="00645E70"/>
    <w:rsid w:val="00646112"/>
    <w:rsid w:val="00646460"/>
    <w:rsid w:val="006465DE"/>
    <w:rsid w:val="00647216"/>
    <w:rsid w:val="0064741D"/>
    <w:rsid w:val="00650026"/>
    <w:rsid w:val="006505B1"/>
    <w:rsid w:val="006507C5"/>
    <w:rsid w:val="00650977"/>
    <w:rsid w:val="00650C4C"/>
    <w:rsid w:val="00651242"/>
    <w:rsid w:val="00651E7A"/>
    <w:rsid w:val="0065205D"/>
    <w:rsid w:val="006520D4"/>
    <w:rsid w:val="006531D0"/>
    <w:rsid w:val="00654684"/>
    <w:rsid w:val="006549AF"/>
    <w:rsid w:val="006552FC"/>
    <w:rsid w:val="00655C12"/>
    <w:rsid w:val="006560B5"/>
    <w:rsid w:val="00656BAA"/>
    <w:rsid w:val="00657052"/>
    <w:rsid w:val="00657139"/>
    <w:rsid w:val="00657334"/>
    <w:rsid w:val="00657446"/>
    <w:rsid w:val="0065746C"/>
    <w:rsid w:val="00657B0F"/>
    <w:rsid w:val="00657BD0"/>
    <w:rsid w:val="00660272"/>
    <w:rsid w:val="006604D1"/>
    <w:rsid w:val="00660A02"/>
    <w:rsid w:val="0066211C"/>
    <w:rsid w:val="006627C8"/>
    <w:rsid w:val="00663068"/>
    <w:rsid w:val="006630A1"/>
    <w:rsid w:val="00663109"/>
    <w:rsid w:val="006633F9"/>
    <w:rsid w:val="006641A9"/>
    <w:rsid w:val="0066456E"/>
    <w:rsid w:val="0066534B"/>
    <w:rsid w:val="00665C20"/>
    <w:rsid w:val="00665F5E"/>
    <w:rsid w:val="00666578"/>
    <w:rsid w:val="00666895"/>
    <w:rsid w:val="006676ED"/>
    <w:rsid w:val="00667EF2"/>
    <w:rsid w:val="00670B92"/>
    <w:rsid w:val="00670E94"/>
    <w:rsid w:val="0067101F"/>
    <w:rsid w:val="0067166C"/>
    <w:rsid w:val="00671CE9"/>
    <w:rsid w:val="006723A2"/>
    <w:rsid w:val="006723BE"/>
    <w:rsid w:val="006723D6"/>
    <w:rsid w:val="006724CC"/>
    <w:rsid w:val="00672562"/>
    <w:rsid w:val="00672620"/>
    <w:rsid w:val="00672B8F"/>
    <w:rsid w:val="00673C2A"/>
    <w:rsid w:val="00673DC6"/>
    <w:rsid w:val="006748B7"/>
    <w:rsid w:val="006749C7"/>
    <w:rsid w:val="00674C8F"/>
    <w:rsid w:val="00675855"/>
    <w:rsid w:val="006758D7"/>
    <w:rsid w:val="00675D8A"/>
    <w:rsid w:val="00675DC7"/>
    <w:rsid w:val="006768F2"/>
    <w:rsid w:val="00676F67"/>
    <w:rsid w:val="0067746E"/>
    <w:rsid w:val="00677960"/>
    <w:rsid w:val="006812F2"/>
    <w:rsid w:val="00682638"/>
    <w:rsid w:val="0068274B"/>
    <w:rsid w:val="00683370"/>
    <w:rsid w:val="00683376"/>
    <w:rsid w:val="006842FA"/>
    <w:rsid w:val="0068431E"/>
    <w:rsid w:val="0068432E"/>
    <w:rsid w:val="00684AD3"/>
    <w:rsid w:val="00684B2A"/>
    <w:rsid w:val="0068596A"/>
    <w:rsid w:val="00685C50"/>
    <w:rsid w:val="0068612F"/>
    <w:rsid w:val="00686D65"/>
    <w:rsid w:val="00687344"/>
    <w:rsid w:val="00690110"/>
    <w:rsid w:val="0069102C"/>
    <w:rsid w:val="006918A9"/>
    <w:rsid w:val="006928D1"/>
    <w:rsid w:val="006929C5"/>
    <w:rsid w:val="00692E00"/>
    <w:rsid w:val="00692EC4"/>
    <w:rsid w:val="0069378D"/>
    <w:rsid w:val="0069386D"/>
    <w:rsid w:val="00693A3A"/>
    <w:rsid w:val="00693AB1"/>
    <w:rsid w:val="00693E19"/>
    <w:rsid w:val="00694508"/>
    <w:rsid w:val="00695B6C"/>
    <w:rsid w:val="006961AE"/>
    <w:rsid w:val="0069768E"/>
    <w:rsid w:val="00697719"/>
    <w:rsid w:val="006A0048"/>
    <w:rsid w:val="006A0098"/>
    <w:rsid w:val="006A0CE1"/>
    <w:rsid w:val="006A0F58"/>
    <w:rsid w:val="006A1BF9"/>
    <w:rsid w:val="006A201D"/>
    <w:rsid w:val="006A222D"/>
    <w:rsid w:val="006A2468"/>
    <w:rsid w:val="006A250D"/>
    <w:rsid w:val="006A2560"/>
    <w:rsid w:val="006A27DA"/>
    <w:rsid w:val="006A29DA"/>
    <w:rsid w:val="006A2ACD"/>
    <w:rsid w:val="006A2F63"/>
    <w:rsid w:val="006A31C2"/>
    <w:rsid w:val="006A3222"/>
    <w:rsid w:val="006A32C3"/>
    <w:rsid w:val="006A3970"/>
    <w:rsid w:val="006A39A4"/>
    <w:rsid w:val="006A3F14"/>
    <w:rsid w:val="006A4376"/>
    <w:rsid w:val="006A450A"/>
    <w:rsid w:val="006A482A"/>
    <w:rsid w:val="006A4949"/>
    <w:rsid w:val="006A5B02"/>
    <w:rsid w:val="006A6305"/>
    <w:rsid w:val="006A63B3"/>
    <w:rsid w:val="006A6748"/>
    <w:rsid w:val="006A6974"/>
    <w:rsid w:val="006A6AB7"/>
    <w:rsid w:val="006A772B"/>
    <w:rsid w:val="006B0706"/>
    <w:rsid w:val="006B0827"/>
    <w:rsid w:val="006B0E7D"/>
    <w:rsid w:val="006B146B"/>
    <w:rsid w:val="006B182C"/>
    <w:rsid w:val="006B1C35"/>
    <w:rsid w:val="006B1DFF"/>
    <w:rsid w:val="006B1FE7"/>
    <w:rsid w:val="006B206E"/>
    <w:rsid w:val="006B22D2"/>
    <w:rsid w:val="006B23D8"/>
    <w:rsid w:val="006B2495"/>
    <w:rsid w:val="006B2544"/>
    <w:rsid w:val="006B2BF6"/>
    <w:rsid w:val="006B2CA2"/>
    <w:rsid w:val="006B341B"/>
    <w:rsid w:val="006B3894"/>
    <w:rsid w:val="006B430A"/>
    <w:rsid w:val="006B4890"/>
    <w:rsid w:val="006B5229"/>
    <w:rsid w:val="006B598C"/>
    <w:rsid w:val="006B5F7F"/>
    <w:rsid w:val="006B62C3"/>
    <w:rsid w:val="006B6468"/>
    <w:rsid w:val="006B6D4E"/>
    <w:rsid w:val="006B71F2"/>
    <w:rsid w:val="006B73B6"/>
    <w:rsid w:val="006B7894"/>
    <w:rsid w:val="006B7A26"/>
    <w:rsid w:val="006B7BA9"/>
    <w:rsid w:val="006C020C"/>
    <w:rsid w:val="006C0388"/>
    <w:rsid w:val="006C06A5"/>
    <w:rsid w:val="006C0FE4"/>
    <w:rsid w:val="006C113E"/>
    <w:rsid w:val="006C1562"/>
    <w:rsid w:val="006C1B15"/>
    <w:rsid w:val="006C308C"/>
    <w:rsid w:val="006C383C"/>
    <w:rsid w:val="006C39B8"/>
    <w:rsid w:val="006C3CAB"/>
    <w:rsid w:val="006C45DB"/>
    <w:rsid w:val="006C4804"/>
    <w:rsid w:val="006C48D7"/>
    <w:rsid w:val="006C4BB4"/>
    <w:rsid w:val="006C5777"/>
    <w:rsid w:val="006C5C14"/>
    <w:rsid w:val="006C6392"/>
    <w:rsid w:val="006C6537"/>
    <w:rsid w:val="006C691D"/>
    <w:rsid w:val="006C732A"/>
    <w:rsid w:val="006C7358"/>
    <w:rsid w:val="006C7E3F"/>
    <w:rsid w:val="006D0034"/>
    <w:rsid w:val="006D017C"/>
    <w:rsid w:val="006D038D"/>
    <w:rsid w:val="006D0861"/>
    <w:rsid w:val="006D20DD"/>
    <w:rsid w:val="006D25BF"/>
    <w:rsid w:val="006D27BC"/>
    <w:rsid w:val="006D29A9"/>
    <w:rsid w:val="006D2D59"/>
    <w:rsid w:val="006D306A"/>
    <w:rsid w:val="006D3076"/>
    <w:rsid w:val="006D41A3"/>
    <w:rsid w:val="006D5166"/>
    <w:rsid w:val="006D5360"/>
    <w:rsid w:val="006D5412"/>
    <w:rsid w:val="006D5571"/>
    <w:rsid w:val="006D5838"/>
    <w:rsid w:val="006D5F61"/>
    <w:rsid w:val="006D670B"/>
    <w:rsid w:val="006D6D06"/>
    <w:rsid w:val="006D7975"/>
    <w:rsid w:val="006D7EEE"/>
    <w:rsid w:val="006E0937"/>
    <w:rsid w:val="006E0AA8"/>
    <w:rsid w:val="006E1092"/>
    <w:rsid w:val="006E1124"/>
    <w:rsid w:val="006E147C"/>
    <w:rsid w:val="006E157F"/>
    <w:rsid w:val="006E17BE"/>
    <w:rsid w:val="006E1891"/>
    <w:rsid w:val="006E195A"/>
    <w:rsid w:val="006E1BA0"/>
    <w:rsid w:val="006E1DE5"/>
    <w:rsid w:val="006E2441"/>
    <w:rsid w:val="006E2498"/>
    <w:rsid w:val="006E2A80"/>
    <w:rsid w:val="006E2D88"/>
    <w:rsid w:val="006E3A94"/>
    <w:rsid w:val="006E3BDE"/>
    <w:rsid w:val="006E3C42"/>
    <w:rsid w:val="006E4038"/>
    <w:rsid w:val="006E47AE"/>
    <w:rsid w:val="006E48FB"/>
    <w:rsid w:val="006E4BD0"/>
    <w:rsid w:val="006E6DAB"/>
    <w:rsid w:val="006E7035"/>
    <w:rsid w:val="006E70BF"/>
    <w:rsid w:val="006E72C2"/>
    <w:rsid w:val="006E7430"/>
    <w:rsid w:val="006F08C9"/>
    <w:rsid w:val="006F0ABE"/>
    <w:rsid w:val="006F1A89"/>
    <w:rsid w:val="006F1B09"/>
    <w:rsid w:val="006F1D04"/>
    <w:rsid w:val="006F23D7"/>
    <w:rsid w:val="006F35F7"/>
    <w:rsid w:val="006F3AB4"/>
    <w:rsid w:val="006F3D62"/>
    <w:rsid w:val="006F4339"/>
    <w:rsid w:val="006F4B8B"/>
    <w:rsid w:val="006F4D26"/>
    <w:rsid w:val="006F5996"/>
    <w:rsid w:val="006F5BF0"/>
    <w:rsid w:val="006F621C"/>
    <w:rsid w:val="006F6313"/>
    <w:rsid w:val="006F63E4"/>
    <w:rsid w:val="006F6798"/>
    <w:rsid w:val="006F6C44"/>
    <w:rsid w:val="006F70A5"/>
    <w:rsid w:val="006F70E4"/>
    <w:rsid w:val="006F710F"/>
    <w:rsid w:val="006F73B6"/>
    <w:rsid w:val="006F749C"/>
    <w:rsid w:val="006F781B"/>
    <w:rsid w:val="006F7C0C"/>
    <w:rsid w:val="0070068C"/>
    <w:rsid w:val="007006F0"/>
    <w:rsid w:val="00700CC5"/>
    <w:rsid w:val="0070168D"/>
    <w:rsid w:val="007016EC"/>
    <w:rsid w:val="0070204E"/>
    <w:rsid w:val="007027F5"/>
    <w:rsid w:val="007028AF"/>
    <w:rsid w:val="0070405F"/>
    <w:rsid w:val="00704373"/>
    <w:rsid w:val="007049DC"/>
    <w:rsid w:val="0070516D"/>
    <w:rsid w:val="00705865"/>
    <w:rsid w:val="00705A45"/>
    <w:rsid w:val="00705A8F"/>
    <w:rsid w:val="00705AE1"/>
    <w:rsid w:val="007065CA"/>
    <w:rsid w:val="00706DED"/>
    <w:rsid w:val="00707004"/>
    <w:rsid w:val="007071A3"/>
    <w:rsid w:val="00707332"/>
    <w:rsid w:val="00707492"/>
    <w:rsid w:val="007078AA"/>
    <w:rsid w:val="007103A3"/>
    <w:rsid w:val="00710D6B"/>
    <w:rsid w:val="00710E01"/>
    <w:rsid w:val="007114F9"/>
    <w:rsid w:val="00711EA1"/>
    <w:rsid w:val="00712017"/>
    <w:rsid w:val="007134F2"/>
    <w:rsid w:val="00713C13"/>
    <w:rsid w:val="00714087"/>
    <w:rsid w:val="007143E7"/>
    <w:rsid w:val="0071444E"/>
    <w:rsid w:val="007150E7"/>
    <w:rsid w:val="00715619"/>
    <w:rsid w:val="0071574F"/>
    <w:rsid w:val="007157B9"/>
    <w:rsid w:val="007157D0"/>
    <w:rsid w:val="00715F3B"/>
    <w:rsid w:val="00716E41"/>
    <w:rsid w:val="00716F47"/>
    <w:rsid w:val="00717625"/>
    <w:rsid w:val="00717740"/>
    <w:rsid w:val="00717834"/>
    <w:rsid w:val="00717D47"/>
    <w:rsid w:val="00720143"/>
    <w:rsid w:val="00720162"/>
    <w:rsid w:val="007201E2"/>
    <w:rsid w:val="0072039A"/>
    <w:rsid w:val="0072043C"/>
    <w:rsid w:val="007204DC"/>
    <w:rsid w:val="00720C96"/>
    <w:rsid w:val="00720F51"/>
    <w:rsid w:val="00721106"/>
    <w:rsid w:val="007212FB"/>
    <w:rsid w:val="007216DE"/>
    <w:rsid w:val="00721F25"/>
    <w:rsid w:val="00722831"/>
    <w:rsid w:val="00722C74"/>
    <w:rsid w:val="007231DB"/>
    <w:rsid w:val="00723453"/>
    <w:rsid w:val="007239B9"/>
    <w:rsid w:val="00723A0B"/>
    <w:rsid w:val="007241A1"/>
    <w:rsid w:val="00724961"/>
    <w:rsid w:val="00724974"/>
    <w:rsid w:val="00724D26"/>
    <w:rsid w:val="00725C58"/>
    <w:rsid w:val="00727152"/>
    <w:rsid w:val="00727DAB"/>
    <w:rsid w:val="00730197"/>
    <w:rsid w:val="00730B69"/>
    <w:rsid w:val="00731D0C"/>
    <w:rsid w:val="00731D4A"/>
    <w:rsid w:val="00731F91"/>
    <w:rsid w:val="007324A0"/>
    <w:rsid w:val="007324D6"/>
    <w:rsid w:val="007328EE"/>
    <w:rsid w:val="00732B9A"/>
    <w:rsid w:val="007337C9"/>
    <w:rsid w:val="00733917"/>
    <w:rsid w:val="00733B30"/>
    <w:rsid w:val="00734607"/>
    <w:rsid w:val="007349AA"/>
    <w:rsid w:val="00734F6B"/>
    <w:rsid w:val="007353AB"/>
    <w:rsid w:val="00735AF1"/>
    <w:rsid w:val="00735BA0"/>
    <w:rsid w:val="007360DA"/>
    <w:rsid w:val="007362D2"/>
    <w:rsid w:val="00736A59"/>
    <w:rsid w:val="00736D29"/>
    <w:rsid w:val="007370C9"/>
    <w:rsid w:val="00737174"/>
    <w:rsid w:val="007371B6"/>
    <w:rsid w:val="0073779F"/>
    <w:rsid w:val="007404CC"/>
    <w:rsid w:val="00740C17"/>
    <w:rsid w:val="007412B6"/>
    <w:rsid w:val="0074132D"/>
    <w:rsid w:val="00741990"/>
    <w:rsid w:val="0074251E"/>
    <w:rsid w:val="00742A4A"/>
    <w:rsid w:val="00743B6A"/>
    <w:rsid w:val="00743BCF"/>
    <w:rsid w:val="00744386"/>
    <w:rsid w:val="00744698"/>
    <w:rsid w:val="00744B0C"/>
    <w:rsid w:val="00744D8F"/>
    <w:rsid w:val="00744E74"/>
    <w:rsid w:val="00744FD9"/>
    <w:rsid w:val="0074503C"/>
    <w:rsid w:val="007453C3"/>
    <w:rsid w:val="0074564A"/>
    <w:rsid w:val="007459F5"/>
    <w:rsid w:val="00745B9B"/>
    <w:rsid w:val="00745CB2"/>
    <w:rsid w:val="00745D26"/>
    <w:rsid w:val="00745E21"/>
    <w:rsid w:val="00746114"/>
    <w:rsid w:val="007465D4"/>
    <w:rsid w:val="00746C22"/>
    <w:rsid w:val="007471C9"/>
    <w:rsid w:val="0074765E"/>
    <w:rsid w:val="00747E44"/>
    <w:rsid w:val="0075057D"/>
    <w:rsid w:val="007508B3"/>
    <w:rsid w:val="007508FA"/>
    <w:rsid w:val="00750EE1"/>
    <w:rsid w:val="00750F01"/>
    <w:rsid w:val="0075142F"/>
    <w:rsid w:val="007515DF"/>
    <w:rsid w:val="00752106"/>
    <w:rsid w:val="007538A5"/>
    <w:rsid w:val="00753C52"/>
    <w:rsid w:val="00753E0D"/>
    <w:rsid w:val="007540BE"/>
    <w:rsid w:val="00754436"/>
    <w:rsid w:val="00754BD2"/>
    <w:rsid w:val="007556D8"/>
    <w:rsid w:val="00756088"/>
    <w:rsid w:val="007564C0"/>
    <w:rsid w:val="007565D9"/>
    <w:rsid w:val="00756B9D"/>
    <w:rsid w:val="00756C45"/>
    <w:rsid w:val="00757431"/>
    <w:rsid w:val="007575A2"/>
    <w:rsid w:val="00760000"/>
    <w:rsid w:val="00760943"/>
    <w:rsid w:val="00760AA1"/>
    <w:rsid w:val="00760BC1"/>
    <w:rsid w:val="00760DA8"/>
    <w:rsid w:val="00761C8B"/>
    <w:rsid w:val="00761E28"/>
    <w:rsid w:val="00761EE1"/>
    <w:rsid w:val="00761F08"/>
    <w:rsid w:val="00763BC8"/>
    <w:rsid w:val="00763EF3"/>
    <w:rsid w:val="00764924"/>
    <w:rsid w:val="00764C37"/>
    <w:rsid w:val="00764CC9"/>
    <w:rsid w:val="00764CD9"/>
    <w:rsid w:val="00765098"/>
    <w:rsid w:val="00765416"/>
    <w:rsid w:val="0076555F"/>
    <w:rsid w:val="007665AF"/>
    <w:rsid w:val="00766C11"/>
    <w:rsid w:val="00766DBB"/>
    <w:rsid w:val="00770804"/>
    <w:rsid w:val="0077135A"/>
    <w:rsid w:val="00771693"/>
    <w:rsid w:val="00772372"/>
    <w:rsid w:val="00772BE7"/>
    <w:rsid w:val="00772DEF"/>
    <w:rsid w:val="007732A3"/>
    <w:rsid w:val="00773407"/>
    <w:rsid w:val="0077382D"/>
    <w:rsid w:val="00774109"/>
    <w:rsid w:val="007743FD"/>
    <w:rsid w:val="00776AD7"/>
    <w:rsid w:val="00776F61"/>
    <w:rsid w:val="007770C5"/>
    <w:rsid w:val="007777C8"/>
    <w:rsid w:val="00780240"/>
    <w:rsid w:val="007803C8"/>
    <w:rsid w:val="00780691"/>
    <w:rsid w:val="0078079E"/>
    <w:rsid w:val="00780D0C"/>
    <w:rsid w:val="00781AEE"/>
    <w:rsid w:val="00781CBF"/>
    <w:rsid w:val="00782368"/>
    <w:rsid w:val="00782B35"/>
    <w:rsid w:val="00782FB0"/>
    <w:rsid w:val="00783054"/>
    <w:rsid w:val="0078324A"/>
    <w:rsid w:val="0078434E"/>
    <w:rsid w:val="00784B30"/>
    <w:rsid w:val="00784E10"/>
    <w:rsid w:val="00785724"/>
    <w:rsid w:val="007862B8"/>
    <w:rsid w:val="007868B0"/>
    <w:rsid w:val="0078694A"/>
    <w:rsid w:val="00786B18"/>
    <w:rsid w:val="00787FAA"/>
    <w:rsid w:val="007902BD"/>
    <w:rsid w:val="00791D13"/>
    <w:rsid w:val="00791DC0"/>
    <w:rsid w:val="007925E3"/>
    <w:rsid w:val="007926AE"/>
    <w:rsid w:val="00792CA8"/>
    <w:rsid w:val="00793113"/>
    <w:rsid w:val="0079361F"/>
    <w:rsid w:val="00793AE3"/>
    <w:rsid w:val="00793EB3"/>
    <w:rsid w:val="007944EC"/>
    <w:rsid w:val="007947E3"/>
    <w:rsid w:val="00794C02"/>
    <w:rsid w:val="00794C9D"/>
    <w:rsid w:val="00795269"/>
    <w:rsid w:val="007954C0"/>
    <w:rsid w:val="00795545"/>
    <w:rsid w:val="007960E8"/>
    <w:rsid w:val="0079618F"/>
    <w:rsid w:val="00796528"/>
    <w:rsid w:val="00796595"/>
    <w:rsid w:val="00797162"/>
    <w:rsid w:val="007975C0"/>
    <w:rsid w:val="00797AC3"/>
    <w:rsid w:val="00797F0E"/>
    <w:rsid w:val="007A0C7B"/>
    <w:rsid w:val="007A0DE3"/>
    <w:rsid w:val="007A0F37"/>
    <w:rsid w:val="007A1234"/>
    <w:rsid w:val="007A15E9"/>
    <w:rsid w:val="007A194E"/>
    <w:rsid w:val="007A1C25"/>
    <w:rsid w:val="007A2A30"/>
    <w:rsid w:val="007A2A7D"/>
    <w:rsid w:val="007A2C77"/>
    <w:rsid w:val="007A2FEC"/>
    <w:rsid w:val="007A3594"/>
    <w:rsid w:val="007A3EA6"/>
    <w:rsid w:val="007A4144"/>
    <w:rsid w:val="007A4F8F"/>
    <w:rsid w:val="007A56F8"/>
    <w:rsid w:val="007A6415"/>
    <w:rsid w:val="007A64A1"/>
    <w:rsid w:val="007A6BEC"/>
    <w:rsid w:val="007A7321"/>
    <w:rsid w:val="007B02E9"/>
    <w:rsid w:val="007B04A8"/>
    <w:rsid w:val="007B0BB9"/>
    <w:rsid w:val="007B230E"/>
    <w:rsid w:val="007B28AC"/>
    <w:rsid w:val="007B3023"/>
    <w:rsid w:val="007B3633"/>
    <w:rsid w:val="007B386A"/>
    <w:rsid w:val="007B4027"/>
    <w:rsid w:val="007B42F3"/>
    <w:rsid w:val="007B430E"/>
    <w:rsid w:val="007B4516"/>
    <w:rsid w:val="007B46E5"/>
    <w:rsid w:val="007B4E84"/>
    <w:rsid w:val="007B4E89"/>
    <w:rsid w:val="007B4EC9"/>
    <w:rsid w:val="007B50B5"/>
    <w:rsid w:val="007B557A"/>
    <w:rsid w:val="007B5615"/>
    <w:rsid w:val="007B56A9"/>
    <w:rsid w:val="007B5FAF"/>
    <w:rsid w:val="007B6749"/>
    <w:rsid w:val="007B6951"/>
    <w:rsid w:val="007B6BE4"/>
    <w:rsid w:val="007B6CCC"/>
    <w:rsid w:val="007B704B"/>
    <w:rsid w:val="007B70C9"/>
    <w:rsid w:val="007B737C"/>
    <w:rsid w:val="007B75AA"/>
    <w:rsid w:val="007B7975"/>
    <w:rsid w:val="007C02DD"/>
    <w:rsid w:val="007C04BE"/>
    <w:rsid w:val="007C1E52"/>
    <w:rsid w:val="007C25AB"/>
    <w:rsid w:val="007C2815"/>
    <w:rsid w:val="007C2F61"/>
    <w:rsid w:val="007C3AC6"/>
    <w:rsid w:val="007C4367"/>
    <w:rsid w:val="007C4483"/>
    <w:rsid w:val="007C5051"/>
    <w:rsid w:val="007C5440"/>
    <w:rsid w:val="007C5441"/>
    <w:rsid w:val="007C545A"/>
    <w:rsid w:val="007C5F23"/>
    <w:rsid w:val="007C6292"/>
    <w:rsid w:val="007C6AB7"/>
    <w:rsid w:val="007C6AD1"/>
    <w:rsid w:val="007C701C"/>
    <w:rsid w:val="007C70C5"/>
    <w:rsid w:val="007C7A42"/>
    <w:rsid w:val="007D074A"/>
    <w:rsid w:val="007D0A71"/>
    <w:rsid w:val="007D11C2"/>
    <w:rsid w:val="007D143C"/>
    <w:rsid w:val="007D196C"/>
    <w:rsid w:val="007D1D40"/>
    <w:rsid w:val="007D230C"/>
    <w:rsid w:val="007D23B9"/>
    <w:rsid w:val="007D2883"/>
    <w:rsid w:val="007D2DD0"/>
    <w:rsid w:val="007D3221"/>
    <w:rsid w:val="007D46FC"/>
    <w:rsid w:val="007D48FE"/>
    <w:rsid w:val="007D4ACB"/>
    <w:rsid w:val="007D5176"/>
    <w:rsid w:val="007D522A"/>
    <w:rsid w:val="007D57DD"/>
    <w:rsid w:val="007D5B80"/>
    <w:rsid w:val="007D6152"/>
    <w:rsid w:val="007D6336"/>
    <w:rsid w:val="007D63DB"/>
    <w:rsid w:val="007D68D9"/>
    <w:rsid w:val="007D68DF"/>
    <w:rsid w:val="007D6B6D"/>
    <w:rsid w:val="007D70BB"/>
    <w:rsid w:val="007D724E"/>
    <w:rsid w:val="007D7257"/>
    <w:rsid w:val="007D7765"/>
    <w:rsid w:val="007E0196"/>
    <w:rsid w:val="007E0A7D"/>
    <w:rsid w:val="007E0EE7"/>
    <w:rsid w:val="007E0F3F"/>
    <w:rsid w:val="007E12CA"/>
    <w:rsid w:val="007E197E"/>
    <w:rsid w:val="007E1D68"/>
    <w:rsid w:val="007E25FE"/>
    <w:rsid w:val="007E2A51"/>
    <w:rsid w:val="007E2D8D"/>
    <w:rsid w:val="007E3532"/>
    <w:rsid w:val="007E36BF"/>
    <w:rsid w:val="007E381C"/>
    <w:rsid w:val="007E472F"/>
    <w:rsid w:val="007E48BA"/>
    <w:rsid w:val="007E4C55"/>
    <w:rsid w:val="007E52BA"/>
    <w:rsid w:val="007E5968"/>
    <w:rsid w:val="007E7371"/>
    <w:rsid w:val="007E73D0"/>
    <w:rsid w:val="007E76E6"/>
    <w:rsid w:val="007E7AD5"/>
    <w:rsid w:val="007F0487"/>
    <w:rsid w:val="007F0D0E"/>
    <w:rsid w:val="007F0D4A"/>
    <w:rsid w:val="007F1A8B"/>
    <w:rsid w:val="007F1BC9"/>
    <w:rsid w:val="007F23AB"/>
    <w:rsid w:val="007F26C7"/>
    <w:rsid w:val="007F2A5D"/>
    <w:rsid w:val="007F2A61"/>
    <w:rsid w:val="007F31DB"/>
    <w:rsid w:val="007F33CC"/>
    <w:rsid w:val="007F36F9"/>
    <w:rsid w:val="007F3865"/>
    <w:rsid w:val="007F3C0D"/>
    <w:rsid w:val="007F3FCD"/>
    <w:rsid w:val="007F429B"/>
    <w:rsid w:val="007F4AD8"/>
    <w:rsid w:val="007F4C29"/>
    <w:rsid w:val="007F4FD9"/>
    <w:rsid w:val="007F53C2"/>
    <w:rsid w:val="007F5DE0"/>
    <w:rsid w:val="007F5E34"/>
    <w:rsid w:val="007F5F33"/>
    <w:rsid w:val="007F6584"/>
    <w:rsid w:val="007F677B"/>
    <w:rsid w:val="007F6B0C"/>
    <w:rsid w:val="007F70FD"/>
    <w:rsid w:val="007F719D"/>
    <w:rsid w:val="007F77BA"/>
    <w:rsid w:val="007F7BD6"/>
    <w:rsid w:val="00800435"/>
    <w:rsid w:val="00800C3B"/>
    <w:rsid w:val="008015AE"/>
    <w:rsid w:val="00801CEE"/>
    <w:rsid w:val="00801DE5"/>
    <w:rsid w:val="00801E7E"/>
    <w:rsid w:val="00802500"/>
    <w:rsid w:val="00802859"/>
    <w:rsid w:val="00803C0A"/>
    <w:rsid w:val="00803FE0"/>
    <w:rsid w:val="008044ED"/>
    <w:rsid w:val="00804DA0"/>
    <w:rsid w:val="0080514F"/>
    <w:rsid w:val="008051B8"/>
    <w:rsid w:val="00805568"/>
    <w:rsid w:val="00805AAC"/>
    <w:rsid w:val="00805C5B"/>
    <w:rsid w:val="00805F2F"/>
    <w:rsid w:val="00806207"/>
    <w:rsid w:val="008063C5"/>
    <w:rsid w:val="0080643A"/>
    <w:rsid w:val="00806614"/>
    <w:rsid w:val="008067EF"/>
    <w:rsid w:val="00806C6D"/>
    <w:rsid w:val="00806D0F"/>
    <w:rsid w:val="00807171"/>
    <w:rsid w:val="0080733F"/>
    <w:rsid w:val="0080789A"/>
    <w:rsid w:val="00807B94"/>
    <w:rsid w:val="00810226"/>
    <w:rsid w:val="0081083B"/>
    <w:rsid w:val="00810FC9"/>
    <w:rsid w:val="0081134C"/>
    <w:rsid w:val="00811C50"/>
    <w:rsid w:val="0081201A"/>
    <w:rsid w:val="008122DD"/>
    <w:rsid w:val="0081252D"/>
    <w:rsid w:val="00812AA2"/>
    <w:rsid w:val="00812E22"/>
    <w:rsid w:val="008132DD"/>
    <w:rsid w:val="00813745"/>
    <w:rsid w:val="00813B15"/>
    <w:rsid w:val="00813F2B"/>
    <w:rsid w:val="00814050"/>
    <w:rsid w:val="0081453F"/>
    <w:rsid w:val="00814879"/>
    <w:rsid w:val="008148F3"/>
    <w:rsid w:val="00814917"/>
    <w:rsid w:val="008149A2"/>
    <w:rsid w:val="00815969"/>
    <w:rsid w:val="00815A65"/>
    <w:rsid w:val="00815CDF"/>
    <w:rsid w:val="00815D7F"/>
    <w:rsid w:val="00815D9D"/>
    <w:rsid w:val="00815F3C"/>
    <w:rsid w:val="008177D6"/>
    <w:rsid w:val="0081798F"/>
    <w:rsid w:val="008206CD"/>
    <w:rsid w:val="008213C3"/>
    <w:rsid w:val="00821AC1"/>
    <w:rsid w:val="00821DFE"/>
    <w:rsid w:val="008225CD"/>
    <w:rsid w:val="008237A9"/>
    <w:rsid w:val="00823A6D"/>
    <w:rsid w:val="00823DB7"/>
    <w:rsid w:val="00823DFB"/>
    <w:rsid w:val="0082470A"/>
    <w:rsid w:val="00824C55"/>
    <w:rsid w:val="00824D3E"/>
    <w:rsid w:val="0082530F"/>
    <w:rsid w:val="008256F7"/>
    <w:rsid w:val="00825AAA"/>
    <w:rsid w:val="00825B1A"/>
    <w:rsid w:val="00825F5E"/>
    <w:rsid w:val="008262FA"/>
    <w:rsid w:val="00826691"/>
    <w:rsid w:val="0082678B"/>
    <w:rsid w:val="008267AC"/>
    <w:rsid w:val="00830345"/>
    <w:rsid w:val="00830790"/>
    <w:rsid w:val="00830E9D"/>
    <w:rsid w:val="00831462"/>
    <w:rsid w:val="00832534"/>
    <w:rsid w:val="00832AA7"/>
    <w:rsid w:val="00832C47"/>
    <w:rsid w:val="00832CFD"/>
    <w:rsid w:val="00832D0C"/>
    <w:rsid w:val="00833058"/>
    <w:rsid w:val="0083317E"/>
    <w:rsid w:val="008337AC"/>
    <w:rsid w:val="0083397E"/>
    <w:rsid w:val="00833E30"/>
    <w:rsid w:val="00834372"/>
    <w:rsid w:val="0083458E"/>
    <w:rsid w:val="0083474D"/>
    <w:rsid w:val="00835E80"/>
    <w:rsid w:val="00836550"/>
    <w:rsid w:val="008368BD"/>
    <w:rsid w:val="008368BE"/>
    <w:rsid w:val="008369AC"/>
    <w:rsid w:val="0083778A"/>
    <w:rsid w:val="00837790"/>
    <w:rsid w:val="008406FE"/>
    <w:rsid w:val="00840FB0"/>
    <w:rsid w:val="008415D4"/>
    <w:rsid w:val="008415F6"/>
    <w:rsid w:val="00841AEA"/>
    <w:rsid w:val="008425EA"/>
    <w:rsid w:val="008426F4"/>
    <w:rsid w:val="008434B9"/>
    <w:rsid w:val="0084375C"/>
    <w:rsid w:val="00843AC7"/>
    <w:rsid w:val="00844140"/>
    <w:rsid w:val="0084422B"/>
    <w:rsid w:val="00844AB5"/>
    <w:rsid w:val="00844C70"/>
    <w:rsid w:val="008453FB"/>
    <w:rsid w:val="0084586E"/>
    <w:rsid w:val="00845926"/>
    <w:rsid w:val="00845B70"/>
    <w:rsid w:val="00845C20"/>
    <w:rsid w:val="00846C89"/>
    <w:rsid w:val="00846E83"/>
    <w:rsid w:val="008470E1"/>
    <w:rsid w:val="008500DD"/>
    <w:rsid w:val="00850129"/>
    <w:rsid w:val="00850240"/>
    <w:rsid w:val="0085065B"/>
    <w:rsid w:val="00851850"/>
    <w:rsid w:val="00851A71"/>
    <w:rsid w:val="00851F80"/>
    <w:rsid w:val="008520FA"/>
    <w:rsid w:val="00852355"/>
    <w:rsid w:val="0085264F"/>
    <w:rsid w:val="00852BF4"/>
    <w:rsid w:val="00852EFD"/>
    <w:rsid w:val="0085314D"/>
    <w:rsid w:val="00853790"/>
    <w:rsid w:val="00853989"/>
    <w:rsid w:val="00853E70"/>
    <w:rsid w:val="008542AF"/>
    <w:rsid w:val="008549E5"/>
    <w:rsid w:val="00854A6F"/>
    <w:rsid w:val="00854CCD"/>
    <w:rsid w:val="00855543"/>
    <w:rsid w:val="008555D4"/>
    <w:rsid w:val="0085698D"/>
    <w:rsid w:val="00857125"/>
    <w:rsid w:val="0085769A"/>
    <w:rsid w:val="00857EA6"/>
    <w:rsid w:val="00860167"/>
    <w:rsid w:val="0086045E"/>
    <w:rsid w:val="00860F5E"/>
    <w:rsid w:val="0086105C"/>
    <w:rsid w:val="00861D95"/>
    <w:rsid w:val="00861E96"/>
    <w:rsid w:val="00862054"/>
    <w:rsid w:val="00862BC0"/>
    <w:rsid w:val="00862D97"/>
    <w:rsid w:val="00863013"/>
    <w:rsid w:val="0086327D"/>
    <w:rsid w:val="00863404"/>
    <w:rsid w:val="00863500"/>
    <w:rsid w:val="00864BE8"/>
    <w:rsid w:val="00864C07"/>
    <w:rsid w:val="00864C50"/>
    <w:rsid w:val="00865435"/>
    <w:rsid w:val="008658E4"/>
    <w:rsid w:val="00865A1A"/>
    <w:rsid w:val="008672FF"/>
    <w:rsid w:val="00867812"/>
    <w:rsid w:val="00867FBD"/>
    <w:rsid w:val="008700F9"/>
    <w:rsid w:val="00870662"/>
    <w:rsid w:val="00870774"/>
    <w:rsid w:val="00871144"/>
    <w:rsid w:val="008713D2"/>
    <w:rsid w:val="00871CF0"/>
    <w:rsid w:val="00871E1E"/>
    <w:rsid w:val="00871E63"/>
    <w:rsid w:val="00871F82"/>
    <w:rsid w:val="00872613"/>
    <w:rsid w:val="00873240"/>
    <w:rsid w:val="00873603"/>
    <w:rsid w:val="00873AD2"/>
    <w:rsid w:val="00873BAF"/>
    <w:rsid w:val="00874E98"/>
    <w:rsid w:val="00874F12"/>
    <w:rsid w:val="00874FE2"/>
    <w:rsid w:val="008763AE"/>
    <w:rsid w:val="00876872"/>
    <w:rsid w:val="00876B36"/>
    <w:rsid w:val="00876E6D"/>
    <w:rsid w:val="008770A4"/>
    <w:rsid w:val="00877E0E"/>
    <w:rsid w:val="008803EB"/>
    <w:rsid w:val="008806E4"/>
    <w:rsid w:val="008807B8"/>
    <w:rsid w:val="0088084B"/>
    <w:rsid w:val="00880C3A"/>
    <w:rsid w:val="00880C5C"/>
    <w:rsid w:val="008812FB"/>
    <w:rsid w:val="00881716"/>
    <w:rsid w:val="00881EE2"/>
    <w:rsid w:val="00882347"/>
    <w:rsid w:val="008828A4"/>
    <w:rsid w:val="00882A2F"/>
    <w:rsid w:val="00882B89"/>
    <w:rsid w:val="00883139"/>
    <w:rsid w:val="008831E2"/>
    <w:rsid w:val="00883DBD"/>
    <w:rsid w:val="00883EEA"/>
    <w:rsid w:val="00884232"/>
    <w:rsid w:val="0088466C"/>
    <w:rsid w:val="008846E4"/>
    <w:rsid w:val="0088490E"/>
    <w:rsid w:val="00884987"/>
    <w:rsid w:val="00885205"/>
    <w:rsid w:val="008865C9"/>
    <w:rsid w:val="0088671D"/>
    <w:rsid w:val="0088685B"/>
    <w:rsid w:val="00886AAE"/>
    <w:rsid w:val="00886D64"/>
    <w:rsid w:val="00886F5F"/>
    <w:rsid w:val="00887108"/>
    <w:rsid w:val="00887174"/>
    <w:rsid w:val="00887705"/>
    <w:rsid w:val="0088798A"/>
    <w:rsid w:val="00887B9E"/>
    <w:rsid w:val="00887C53"/>
    <w:rsid w:val="00887DE3"/>
    <w:rsid w:val="008900FD"/>
    <w:rsid w:val="0089032F"/>
    <w:rsid w:val="00891173"/>
    <w:rsid w:val="0089147C"/>
    <w:rsid w:val="008914F4"/>
    <w:rsid w:val="00891867"/>
    <w:rsid w:val="00891FD7"/>
    <w:rsid w:val="008925B3"/>
    <w:rsid w:val="0089275E"/>
    <w:rsid w:val="00892970"/>
    <w:rsid w:val="00892A4B"/>
    <w:rsid w:val="00893055"/>
    <w:rsid w:val="0089320A"/>
    <w:rsid w:val="00893454"/>
    <w:rsid w:val="00894911"/>
    <w:rsid w:val="00895637"/>
    <w:rsid w:val="00895DD1"/>
    <w:rsid w:val="00896787"/>
    <w:rsid w:val="0089722B"/>
    <w:rsid w:val="00897744"/>
    <w:rsid w:val="00897A32"/>
    <w:rsid w:val="008A0277"/>
    <w:rsid w:val="008A0775"/>
    <w:rsid w:val="008A0AB1"/>
    <w:rsid w:val="008A0AFC"/>
    <w:rsid w:val="008A0F7C"/>
    <w:rsid w:val="008A158F"/>
    <w:rsid w:val="008A173A"/>
    <w:rsid w:val="008A197E"/>
    <w:rsid w:val="008A1BFF"/>
    <w:rsid w:val="008A1D23"/>
    <w:rsid w:val="008A1EE4"/>
    <w:rsid w:val="008A2337"/>
    <w:rsid w:val="008A272B"/>
    <w:rsid w:val="008A2B20"/>
    <w:rsid w:val="008A30BA"/>
    <w:rsid w:val="008A30D5"/>
    <w:rsid w:val="008A316B"/>
    <w:rsid w:val="008A3347"/>
    <w:rsid w:val="008A371C"/>
    <w:rsid w:val="008A38C7"/>
    <w:rsid w:val="008A3961"/>
    <w:rsid w:val="008A4688"/>
    <w:rsid w:val="008A5800"/>
    <w:rsid w:val="008A58E9"/>
    <w:rsid w:val="008A596D"/>
    <w:rsid w:val="008A59CF"/>
    <w:rsid w:val="008A7397"/>
    <w:rsid w:val="008A7F55"/>
    <w:rsid w:val="008B057A"/>
    <w:rsid w:val="008B0748"/>
    <w:rsid w:val="008B07AD"/>
    <w:rsid w:val="008B0B7B"/>
    <w:rsid w:val="008B0FBF"/>
    <w:rsid w:val="008B1170"/>
    <w:rsid w:val="008B14FC"/>
    <w:rsid w:val="008B1903"/>
    <w:rsid w:val="008B2016"/>
    <w:rsid w:val="008B387D"/>
    <w:rsid w:val="008B3B3B"/>
    <w:rsid w:val="008B3DB0"/>
    <w:rsid w:val="008B4C43"/>
    <w:rsid w:val="008B517D"/>
    <w:rsid w:val="008B51C4"/>
    <w:rsid w:val="008B55F0"/>
    <w:rsid w:val="008B57D7"/>
    <w:rsid w:val="008B5944"/>
    <w:rsid w:val="008B5F2E"/>
    <w:rsid w:val="008B5F77"/>
    <w:rsid w:val="008B65F7"/>
    <w:rsid w:val="008B68A5"/>
    <w:rsid w:val="008B6C85"/>
    <w:rsid w:val="008B79C0"/>
    <w:rsid w:val="008C1400"/>
    <w:rsid w:val="008C1A31"/>
    <w:rsid w:val="008C1BDF"/>
    <w:rsid w:val="008C1F03"/>
    <w:rsid w:val="008C2090"/>
    <w:rsid w:val="008C27C3"/>
    <w:rsid w:val="008C2D34"/>
    <w:rsid w:val="008C33B6"/>
    <w:rsid w:val="008C3723"/>
    <w:rsid w:val="008C3A60"/>
    <w:rsid w:val="008C3BAF"/>
    <w:rsid w:val="008C3DC3"/>
    <w:rsid w:val="008C3EC0"/>
    <w:rsid w:val="008C4E3B"/>
    <w:rsid w:val="008C51EA"/>
    <w:rsid w:val="008C57C7"/>
    <w:rsid w:val="008C5805"/>
    <w:rsid w:val="008C5C4E"/>
    <w:rsid w:val="008C6A90"/>
    <w:rsid w:val="008C6D12"/>
    <w:rsid w:val="008C6DCD"/>
    <w:rsid w:val="008C6EBE"/>
    <w:rsid w:val="008C7E27"/>
    <w:rsid w:val="008D0094"/>
    <w:rsid w:val="008D09BF"/>
    <w:rsid w:val="008D0F2B"/>
    <w:rsid w:val="008D1146"/>
    <w:rsid w:val="008D1204"/>
    <w:rsid w:val="008D1795"/>
    <w:rsid w:val="008D1AF9"/>
    <w:rsid w:val="008D2155"/>
    <w:rsid w:val="008D24B5"/>
    <w:rsid w:val="008D26BC"/>
    <w:rsid w:val="008D2C40"/>
    <w:rsid w:val="008D31A3"/>
    <w:rsid w:val="008D35AA"/>
    <w:rsid w:val="008D3EB8"/>
    <w:rsid w:val="008D5636"/>
    <w:rsid w:val="008D565A"/>
    <w:rsid w:val="008D5AEB"/>
    <w:rsid w:val="008D630B"/>
    <w:rsid w:val="008D6565"/>
    <w:rsid w:val="008D7498"/>
    <w:rsid w:val="008D760E"/>
    <w:rsid w:val="008E0324"/>
    <w:rsid w:val="008E0673"/>
    <w:rsid w:val="008E0EB9"/>
    <w:rsid w:val="008E0FDF"/>
    <w:rsid w:val="008E1BC0"/>
    <w:rsid w:val="008E2331"/>
    <w:rsid w:val="008E2352"/>
    <w:rsid w:val="008E2536"/>
    <w:rsid w:val="008E2716"/>
    <w:rsid w:val="008E281B"/>
    <w:rsid w:val="008E2D3E"/>
    <w:rsid w:val="008E2E8F"/>
    <w:rsid w:val="008E3FB5"/>
    <w:rsid w:val="008E4365"/>
    <w:rsid w:val="008E45A9"/>
    <w:rsid w:val="008E45F0"/>
    <w:rsid w:val="008E53C9"/>
    <w:rsid w:val="008E53CA"/>
    <w:rsid w:val="008E5AAF"/>
    <w:rsid w:val="008E6189"/>
    <w:rsid w:val="008E6342"/>
    <w:rsid w:val="008E6527"/>
    <w:rsid w:val="008E6B39"/>
    <w:rsid w:val="008E6F10"/>
    <w:rsid w:val="008E6F5B"/>
    <w:rsid w:val="008E7233"/>
    <w:rsid w:val="008E7295"/>
    <w:rsid w:val="008F03C7"/>
    <w:rsid w:val="008F0427"/>
    <w:rsid w:val="008F0778"/>
    <w:rsid w:val="008F07B8"/>
    <w:rsid w:val="008F07E6"/>
    <w:rsid w:val="008F0AF6"/>
    <w:rsid w:val="008F0F6E"/>
    <w:rsid w:val="008F125A"/>
    <w:rsid w:val="008F1BE9"/>
    <w:rsid w:val="008F21D2"/>
    <w:rsid w:val="008F25B8"/>
    <w:rsid w:val="008F2761"/>
    <w:rsid w:val="008F3157"/>
    <w:rsid w:val="008F3581"/>
    <w:rsid w:val="008F4F3A"/>
    <w:rsid w:val="008F53A6"/>
    <w:rsid w:val="008F56D7"/>
    <w:rsid w:val="008F57BA"/>
    <w:rsid w:val="008F5A1B"/>
    <w:rsid w:val="008F5DC4"/>
    <w:rsid w:val="008F6972"/>
    <w:rsid w:val="008F6A2A"/>
    <w:rsid w:val="008F6AA7"/>
    <w:rsid w:val="00900D44"/>
    <w:rsid w:val="00900D92"/>
    <w:rsid w:val="00900DE5"/>
    <w:rsid w:val="0090108B"/>
    <w:rsid w:val="009015BD"/>
    <w:rsid w:val="00902048"/>
    <w:rsid w:val="00902137"/>
    <w:rsid w:val="00902643"/>
    <w:rsid w:val="00903286"/>
    <w:rsid w:val="009039B7"/>
    <w:rsid w:val="00903BCD"/>
    <w:rsid w:val="00903CDE"/>
    <w:rsid w:val="00903E55"/>
    <w:rsid w:val="00904240"/>
    <w:rsid w:val="00904306"/>
    <w:rsid w:val="009048AD"/>
    <w:rsid w:val="00904C20"/>
    <w:rsid w:val="0090526C"/>
    <w:rsid w:val="00905389"/>
    <w:rsid w:val="00905841"/>
    <w:rsid w:val="00905CAA"/>
    <w:rsid w:val="00906A19"/>
    <w:rsid w:val="009079D5"/>
    <w:rsid w:val="00907F69"/>
    <w:rsid w:val="00910312"/>
    <w:rsid w:val="00910317"/>
    <w:rsid w:val="009103D5"/>
    <w:rsid w:val="0091101B"/>
    <w:rsid w:val="00911BF1"/>
    <w:rsid w:val="009121E8"/>
    <w:rsid w:val="009124E5"/>
    <w:rsid w:val="00912654"/>
    <w:rsid w:val="00912DB9"/>
    <w:rsid w:val="00912EEA"/>
    <w:rsid w:val="009137E5"/>
    <w:rsid w:val="00916075"/>
    <w:rsid w:val="00916808"/>
    <w:rsid w:val="0091715E"/>
    <w:rsid w:val="009172F8"/>
    <w:rsid w:val="009177BF"/>
    <w:rsid w:val="00917E39"/>
    <w:rsid w:val="00920457"/>
    <w:rsid w:val="00920523"/>
    <w:rsid w:val="00920BD9"/>
    <w:rsid w:val="00920F1B"/>
    <w:rsid w:val="009215B7"/>
    <w:rsid w:val="00921738"/>
    <w:rsid w:val="00921B6E"/>
    <w:rsid w:val="00921D54"/>
    <w:rsid w:val="0092268E"/>
    <w:rsid w:val="00922886"/>
    <w:rsid w:val="00922B41"/>
    <w:rsid w:val="00922DB0"/>
    <w:rsid w:val="00922FC1"/>
    <w:rsid w:val="00922FEA"/>
    <w:rsid w:val="009230D0"/>
    <w:rsid w:val="0092374B"/>
    <w:rsid w:val="009244FA"/>
    <w:rsid w:val="00924596"/>
    <w:rsid w:val="00924C16"/>
    <w:rsid w:val="00924EEB"/>
    <w:rsid w:val="009250F1"/>
    <w:rsid w:val="00925420"/>
    <w:rsid w:val="009260D1"/>
    <w:rsid w:val="00926B29"/>
    <w:rsid w:val="0092791B"/>
    <w:rsid w:val="00930A0A"/>
    <w:rsid w:val="0093159B"/>
    <w:rsid w:val="00932ADE"/>
    <w:rsid w:val="009334D2"/>
    <w:rsid w:val="00933560"/>
    <w:rsid w:val="00933757"/>
    <w:rsid w:val="0093419A"/>
    <w:rsid w:val="0093441C"/>
    <w:rsid w:val="00934431"/>
    <w:rsid w:val="00934B39"/>
    <w:rsid w:val="00934DDD"/>
    <w:rsid w:val="0093590E"/>
    <w:rsid w:val="00936A72"/>
    <w:rsid w:val="00936C7A"/>
    <w:rsid w:val="00937333"/>
    <w:rsid w:val="0093764C"/>
    <w:rsid w:val="00940E56"/>
    <w:rsid w:val="009427C4"/>
    <w:rsid w:val="009427CD"/>
    <w:rsid w:val="00942BAB"/>
    <w:rsid w:val="00943471"/>
    <w:rsid w:val="009434E9"/>
    <w:rsid w:val="009439BC"/>
    <w:rsid w:val="00943BE2"/>
    <w:rsid w:val="00943D07"/>
    <w:rsid w:val="0094421D"/>
    <w:rsid w:val="009447BE"/>
    <w:rsid w:val="00945319"/>
    <w:rsid w:val="00945446"/>
    <w:rsid w:val="0094599B"/>
    <w:rsid w:val="00945AF1"/>
    <w:rsid w:val="00945B54"/>
    <w:rsid w:val="009461F1"/>
    <w:rsid w:val="009468A1"/>
    <w:rsid w:val="00946B46"/>
    <w:rsid w:val="00946E36"/>
    <w:rsid w:val="00946E89"/>
    <w:rsid w:val="009476C2"/>
    <w:rsid w:val="00950286"/>
    <w:rsid w:val="00950623"/>
    <w:rsid w:val="0095086D"/>
    <w:rsid w:val="00950E12"/>
    <w:rsid w:val="00950E62"/>
    <w:rsid w:val="009510F1"/>
    <w:rsid w:val="00951B5F"/>
    <w:rsid w:val="00951B94"/>
    <w:rsid w:val="00951BC0"/>
    <w:rsid w:val="00951EF9"/>
    <w:rsid w:val="00952264"/>
    <w:rsid w:val="00952721"/>
    <w:rsid w:val="00953202"/>
    <w:rsid w:val="00953665"/>
    <w:rsid w:val="00953D93"/>
    <w:rsid w:val="00954043"/>
    <w:rsid w:val="00954749"/>
    <w:rsid w:val="00954DB5"/>
    <w:rsid w:val="00955410"/>
    <w:rsid w:val="009555FA"/>
    <w:rsid w:val="00955F6E"/>
    <w:rsid w:val="00956BE7"/>
    <w:rsid w:val="00956E78"/>
    <w:rsid w:val="009575B1"/>
    <w:rsid w:val="0095789C"/>
    <w:rsid w:val="00957A15"/>
    <w:rsid w:val="00960109"/>
    <w:rsid w:val="0096021F"/>
    <w:rsid w:val="0096047C"/>
    <w:rsid w:val="00960E40"/>
    <w:rsid w:val="00961884"/>
    <w:rsid w:val="00961AD2"/>
    <w:rsid w:val="00961F51"/>
    <w:rsid w:val="0096232B"/>
    <w:rsid w:val="009625DE"/>
    <w:rsid w:val="00962895"/>
    <w:rsid w:val="00962903"/>
    <w:rsid w:val="009630C8"/>
    <w:rsid w:val="00963617"/>
    <w:rsid w:val="00963801"/>
    <w:rsid w:val="00963EB8"/>
    <w:rsid w:val="00963FA1"/>
    <w:rsid w:val="00964387"/>
    <w:rsid w:val="009643AD"/>
    <w:rsid w:val="00965384"/>
    <w:rsid w:val="00965C18"/>
    <w:rsid w:val="00965E6C"/>
    <w:rsid w:val="009664FE"/>
    <w:rsid w:val="00966DB4"/>
    <w:rsid w:val="009676DA"/>
    <w:rsid w:val="009679BA"/>
    <w:rsid w:val="00967CE7"/>
    <w:rsid w:val="009706E9"/>
    <w:rsid w:val="009706F2"/>
    <w:rsid w:val="00971C7B"/>
    <w:rsid w:val="009720E4"/>
    <w:rsid w:val="0097255A"/>
    <w:rsid w:val="00972773"/>
    <w:rsid w:val="0097348C"/>
    <w:rsid w:val="00973555"/>
    <w:rsid w:val="009737FB"/>
    <w:rsid w:val="009749A9"/>
    <w:rsid w:val="00974BC8"/>
    <w:rsid w:val="00975467"/>
    <w:rsid w:val="00975525"/>
    <w:rsid w:val="0097584A"/>
    <w:rsid w:val="00977308"/>
    <w:rsid w:val="009777AD"/>
    <w:rsid w:val="00977A3D"/>
    <w:rsid w:val="00977ABC"/>
    <w:rsid w:val="00980AA5"/>
    <w:rsid w:val="00980CFE"/>
    <w:rsid w:val="00981306"/>
    <w:rsid w:val="0098163E"/>
    <w:rsid w:val="009819B9"/>
    <w:rsid w:val="00981BA7"/>
    <w:rsid w:val="009827CF"/>
    <w:rsid w:val="0098323D"/>
    <w:rsid w:val="009836C0"/>
    <w:rsid w:val="0098469A"/>
    <w:rsid w:val="009847D6"/>
    <w:rsid w:val="009850A3"/>
    <w:rsid w:val="00985227"/>
    <w:rsid w:val="00985867"/>
    <w:rsid w:val="00985B2B"/>
    <w:rsid w:val="0098690E"/>
    <w:rsid w:val="00986B4F"/>
    <w:rsid w:val="00986D67"/>
    <w:rsid w:val="0098747B"/>
    <w:rsid w:val="009900C3"/>
    <w:rsid w:val="009902DF"/>
    <w:rsid w:val="00990EF5"/>
    <w:rsid w:val="0099112D"/>
    <w:rsid w:val="009913E5"/>
    <w:rsid w:val="0099144D"/>
    <w:rsid w:val="009914CF"/>
    <w:rsid w:val="0099154D"/>
    <w:rsid w:val="00991910"/>
    <w:rsid w:val="009922B4"/>
    <w:rsid w:val="00992486"/>
    <w:rsid w:val="009924BE"/>
    <w:rsid w:val="009924D8"/>
    <w:rsid w:val="00992556"/>
    <w:rsid w:val="00992625"/>
    <w:rsid w:val="00992921"/>
    <w:rsid w:val="00992B61"/>
    <w:rsid w:val="009939BD"/>
    <w:rsid w:val="00993A83"/>
    <w:rsid w:val="00993DE1"/>
    <w:rsid w:val="00994780"/>
    <w:rsid w:val="00994F7C"/>
    <w:rsid w:val="0099516B"/>
    <w:rsid w:val="009951F5"/>
    <w:rsid w:val="00995666"/>
    <w:rsid w:val="00995782"/>
    <w:rsid w:val="0099582C"/>
    <w:rsid w:val="00995D4D"/>
    <w:rsid w:val="009968AD"/>
    <w:rsid w:val="00996EC1"/>
    <w:rsid w:val="00997CAD"/>
    <w:rsid w:val="009A05B6"/>
    <w:rsid w:val="009A13DA"/>
    <w:rsid w:val="009A1B74"/>
    <w:rsid w:val="009A1C75"/>
    <w:rsid w:val="009A1EDB"/>
    <w:rsid w:val="009A2373"/>
    <w:rsid w:val="009A246A"/>
    <w:rsid w:val="009A2B19"/>
    <w:rsid w:val="009A2DEE"/>
    <w:rsid w:val="009A2EB6"/>
    <w:rsid w:val="009A3BFD"/>
    <w:rsid w:val="009A43EE"/>
    <w:rsid w:val="009A48E4"/>
    <w:rsid w:val="009A5236"/>
    <w:rsid w:val="009A5B56"/>
    <w:rsid w:val="009A5BD6"/>
    <w:rsid w:val="009A61B0"/>
    <w:rsid w:val="009A671B"/>
    <w:rsid w:val="009A6A45"/>
    <w:rsid w:val="009A6A52"/>
    <w:rsid w:val="009A6CFF"/>
    <w:rsid w:val="009A72E3"/>
    <w:rsid w:val="009B0866"/>
    <w:rsid w:val="009B0C9C"/>
    <w:rsid w:val="009B146F"/>
    <w:rsid w:val="009B1899"/>
    <w:rsid w:val="009B18A5"/>
    <w:rsid w:val="009B375D"/>
    <w:rsid w:val="009B4720"/>
    <w:rsid w:val="009B4D75"/>
    <w:rsid w:val="009B7EB2"/>
    <w:rsid w:val="009C03BE"/>
    <w:rsid w:val="009C0DBB"/>
    <w:rsid w:val="009C0E19"/>
    <w:rsid w:val="009C1125"/>
    <w:rsid w:val="009C298A"/>
    <w:rsid w:val="009C2A20"/>
    <w:rsid w:val="009C2B41"/>
    <w:rsid w:val="009C2B66"/>
    <w:rsid w:val="009C2EBC"/>
    <w:rsid w:val="009C3674"/>
    <w:rsid w:val="009C46A4"/>
    <w:rsid w:val="009C4B36"/>
    <w:rsid w:val="009C4CB0"/>
    <w:rsid w:val="009C4E9E"/>
    <w:rsid w:val="009C5153"/>
    <w:rsid w:val="009C541F"/>
    <w:rsid w:val="009C71EF"/>
    <w:rsid w:val="009C75D1"/>
    <w:rsid w:val="009C7FA1"/>
    <w:rsid w:val="009D09CF"/>
    <w:rsid w:val="009D0B40"/>
    <w:rsid w:val="009D0C9D"/>
    <w:rsid w:val="009D154C"/>
    <w:rsid w:val="009D1800"/>
    <w:rsid w:val="009D1CBC"/>
    <w:rsid w:val="009D205E"/>
    <w:rsid w:val="009D2798"/>
    <w:rsid w:val="009D35D6"/>
    <w:rsid w:val="009D3632"/>
    <w:rsid w:val="009D4219"/>
    <w:rsid w:val="009D490A"/>
    <w:rsid w:val="009D49D0"/>
    <w:rsid w:val="009D4B16"/>
    <w:rsid w:val="009D5B13"/>
    <w:rsid w:val="009D60AE"/>
    <w:rsid w:val="009D63C0"/>
    <w:rsid w:val="009D6D7F"/>
    <w:rsid w:val="009D7754"/>
    <w:rsid w:val="009D7AD3"/>
    <w:rsid w:val="009D7B84"/>
    <w:rsid w:val="009D7CA1"/>
    <w:rsid w:val="009E02AE"/>
    <w:rsid w:val="009E0422"/>
    <w:rsid w:val="009E0436"/>
    <w:rsid w:val="009E0A5B"/>
    <w:rsid w:val="009E0EB1"/>
    <w:rsid w:val="009E189E"/>
    <w:rsid w:val="009E1DD8"/>
    <w:rsid w:val="009E2695"/>
    <w:rsid w:val="009E272E"/>
    <w:rsid w:val="009E2799"/>
    <w:rsid w:val="009E2F33"/>
    <w:rsid w:val="009E2FFB"/>
    <w:rsid w:val="009E3072"/>
    <w:rsid w:val="009E3ED5"/>
    <w:rsid w:val="009E3F0D"/>
    <w:rsid w:val="009E415E"/>
    <w:rsid w:val="009E4238"/>
    <w:rsid w:val="009E4905"/>
    <w:rsid w:val="009E50A0"/>
    <w:rsid w:val="009E5855"/>
    <w:rsid w:val="009E5A7F"/>
    <w:rsid w:val="009E5B97"/>
    <w:rsid w:val="009E5ED5"/>
    <w:rsid w:val="009E5F45"/>
    <w:rsid w:val="009E62DE"/>
    <w:rsid w:val="009E69D9"/>
    <w:rsid w:val="009E6D45"/>
    <w:rsid w:val="009E6DAC"/>
    <w:rsid w:val="009E6E2D"/>
    <w:rsid w:val="009E7008"/>
    <w:rsid w:val="009E7714"/>
    <w:rsid w:val="009E7FDA"/>
    <w:rsid w:val="009F03CB"/>
    <w:rsid w:val="009F0412"/>
    <w:rsid w:val="009F099C"/>
    <w:rsid w:val="009F0C10"/>
    <w:rsid w:val="009F16AE"/>
    <w:rsid w:val="009F215D"/>
    <w:rsid w:val="009F2199"/>
    <w:rsid w:val="009F2324"/>
    <w:rsid w:val="009F29AD"/>
    <w:rsid w:val="009F2B77"/>
    <w:rsid w:val="009F2CE3"/>
    <w:rsid w:val="009F2F83"/>
    <w:rsid w:val="009F3110"/>
    <w:rsid w:val="009F31ED"/>
    <w:rsid w:val="009F366E"/>
    <w:rsid w:val="009F36E0"/>
    <w:rsid w:val="009F387C"/>
    <w:rsid w:val="009F45BD"/>
    <w:rsid w:val="009F4A14"/>
    <w:rsid w:val="009F4BE7"/>
    <w:rsid w:val="009F4FC6"/>
    <w:rsid w:val="009F5020"/>
    <w:rsid w:val="009F549D"/>
    <w:rsid w:val="009F5D4A"/>
    <w:rsid w:val="009F5EB1"/>
    <w:rsid w:val="009F6D65"/>
    <w:rsid w:val="009F73AE"/>
    <w:rsid w:val="009F73C7"/>
    <w:rsid w:val="009F743C"/>
    <w:rsid w:val="009F74F7"/>
    <w:rsid w:val="009F75F4"/>
    <w:rsid w:val="009F7762"/>
    <w:rsid w:val="009F79A2"/>
    <w:rsid w:val="009F79C8"/>
    <w:rsid w:val="009F7C94"/>
    <w:rsid w:val="009F7DCA"/>
    <w:rsid w:val="009F7F37"/>
    <w:rsid w:val="00A001F1"/>
    <w:rsid w:val="00A00283"/>
    <w:rsid w:val="00A009BC"/>
    <w:rsid w:val="00A011A9"/>
    <w:rsid w:val="00A01AFF"/>
    <w:rsid w:val="00A01EAD"/>
    <w:rsid w:val="00A0257D"/>
    <w:rsid w:val="00A02F0E"/>
    <w:rsid w:val="00A0332A"/>
    <w:rsid w:val="00A03F92"/>
    <w:rsid w:val="00A047C7"/>
    <w:rsid w:val="00A05A8E"/>
    <w:rsid w:val="00A061DC"/>
    <w:rsid w:val="00A065FB"/>
    <w:rsid w:val="00A06BDB"/>
    <w:rsid w:val="00A06D6D"/>
    <w:rsid w:val="00A0742E"/>
    <w:rsid w:val="00A07768"/>
    <w:rsid w:val="00A07CEF"/>
    <w:rsid w:val="00A07DA7"/>
    <w:rsid w:val="00A07F02"/>
    <w:rsid w:val="00A105FD"/>
    <w:rsid w:val="00A11294"/>
    <w:rsid w:val="00A11808"/>
    <w:rsid w:val="00A11862"/>
    <w:rsid w:val="00A11A0B"/>
    <w:rsid w:val="00A121A5"/>
    <w:rsid w:val="00A12D50"/>
    <w:rsid w:val="00A12E7C"/>
    <w:rsid w:val="00A12FC1"/>
    <w:rsid w:val="00A13005"/>
    <w:rsid w:val="00A13363"/>
    <w:rsid w:val="00A133B6"/>
    <w:rsid w:val="00A13500"/>
    <w:rsid w:val="00A137C3"/>
    <w:rsid w:val="00A139F4"/>
    <w:rsid w:val="00A13E96"/>
    <w:rsid w:val="00A14200"/>
    <w:rsid w:val="00A14391"/>
    <w:rsid w:val="00A143BC"/>
    <w:rsid w:val="00A15C37"/>
    <w:rsid w:val="00A15C86"/>
    <w:rsid w:val="00A15C8C"/>
    <w:rsid w:val="00A15DEE"/>
    <w:rsid w:val="00A15E21"/>
    <w:rsid w:val="00A20375"/>
    <w:rsid w:val="00A20770"/>
    <w:rsid w:val="00A2083C"/>
    <w:rsid w:val="00A20D54"/>
    <w:rsid w:val="00A213DE"/>
    <w:rsid w:val="00A21799"/>
    <w:rsid w:val="00A21B62"/>
    <w:rsid w:val="00A226F4"/>
    <w:rsid w:val="00A22CE2"/>
    <w:rsid w:val="00A230E8"/>
    <w:rsid w:val="00A231B2"/>
    <w:rsid w:val="00A23457"/>
    <w:rsid w:val="00A23DA3"/>
    <w:rsid w:val="00A23E2A"/>
    <w:rsid w:val="00A23EBA"/>
    <w:rsid w:val="00A24253"/>
    <w:rsid w:val="00A2468F"/>
    <w:rsid w:val="00A2496C"/>
    <w:rsid w:val="00A24FA7"/>
    <w:rsid w:val="00A25224"/>
    <w:rsid w:val="00A25447"/>
    <w:rsid w:val="00A25A47"/>
    <w:rsid w:val="00A25B8B"/>
    <w:rsid w:val="00A25E27"/>
    <w:rsid w:val="00A26719"/>
    <w:rsid w:val="00A26A8C"/>
    <w:rsid w:val="00A2777C"/>
    <w:rsid w:val="00A27982"/>
    <w:rsid w:val="00A30314"/>
    <w:rsid w:val="00A3074D"/>
    <w:rsid w:val="00A30B2C"/>
    <w:rsid w:val="00A314E8"/>
    <w:rsid w:val="00A32A2D"/>
    <w:rsid w:val="00A32ABF"/>
    <w:rsid w:val="00A32CBA"/>
    <w:rsid w:val="00A33477"/>
    <w:rsid w:val="00A33529"/>
    <w:rsid w:val="00A34191"/>
    <w:rsid w:val="00A343C4"/>
    <w:rsid w:val="00A34D8A"/>
    <w:rsid w:val="00A35C61"/>
    <w:rsid w:val="00A35FB9"/>
    <w:rsid w:val="00A36689"/>
    <w:rsid w:val="00A370AB"/>
    <w:rsid w:val="00A37569"/>
    <w:rsid w:val="00A40013"/>
    <w:rsid w:val="00A403A1"/>
    <w:rsid w:val="00A40B2B"/>
    <w:rsid w:val="00A40D27"/>
    <w:rsid w:val="00A41CA9"/>
    <w:rsid w:val="00A42153"/>
    <w:rsid w:val="00A42198"/>
    <w:rsid w:val="00A42279"/>
    <w:rsid w:val="00A42DFE"/>
    <w:rsid w:val="00A43951"/>
    <w:rsid w:val="00A43AF7"/>
    <w:rsid w:val="00A44286"/>
    <w:rsid w:val="00A44833"/>
    <w:rsid w:val="00A448F1"/>
    <w:rsid w:val="00A44B67"/>
    <w:rsid w:val="00A44E25"/>
    <w:rsid w:val="00A45772"/>
    <w:rsid w:val="00A463B5"/>
    <w:rsid w:val="00A464A0"/>
    <w:rsid w:val="00A47296"/>
    <w:rsid w:val="00A50019"/>
    <w:rsid w:val="00A50407"/>
    <w:rsid w:val="00A50463"/>
    <w:rsid w:val="00A51467"/>
    <w:rsid w:val="00A51772"/>
    <w:rsid w:val="00A51B07"/>
    <w:rsid w:val="00A51FFA"/>
    <w:rsid w:val="00A529A4"/>
    <w:rsid w:val="00A52A55"/>
    <w:rsid w:val="00A53521"/>
    <w:rsid w:val="00A537D7"/>
    <w:rsid w:val="00A539BA"/>
    <w:rsid w:val="00A53A37"/>
    <w:rsid w:val="00A53C93"/>
    <w:rsid w:val="00A53D42"/>
    <w:rsid w:val="00A542C0"/>
    <w:rsid w:val="00A54A2D"/>
    <w:rsid w:val="00A551BA"/>
    <w:rsid w:val="00A5564D"/>
    <w:rsid w:val="00A55F99"/>
    <w:rsid w:val="00A56A29"/>
    <w:rsid w:val="00A56A2E"/>
    <w:rsid w:val="00A56FCB"/>
    <w:rsid w:val="00A570AC"/>
    <w:rsid w:val="00A57160"/>
    <w:rsid w:val="00A57208"/>
    <w:rsid w:val="00A57268"/>
    <w:rsid w:val="00A57E14"/>
    <w:rsid w:val="00A606FC"/>
    <w:rsid w:val="00A60C2F"/>
    <w:rsid w:val="00A610D0"/>
    <w:rsid w:val="00A611CE"/>
    <w:rsid w:val="00A61218"/>
    <w:rsid w:val="00A6178B"/>
    <w:rsid w:val="00A617DF"/>
    <w:rsid w:val="00A61A35"/>
    <w:rsid w:val="00A621A3"/>
    <w:rsid w:val="00A621FB"/>
    <w:rsid w:val="00A623C7"/>
    <w:rsid w:val="00A62E67"/>
    <w:rsid w:val="00A63091"/>
    <w:rsid w:val="00A63670"/>
    <w:rsid w:val="00A6370C"/>
    <w:rsid w:val="00A640CB"/>
    <w:rsid w:val="00A645AD"/>
    <w:rsid w:val="00A64FC6"/>
    <w:rsid w:val="00A650FE"/>
    <w:rsid w:val="00A65139"/>
    <w:rsid w:val="00A65715"/>
    <w:rsid w:val="00A66419"/>
    <w:rsid w:val="00A66CB3"/>
    <w:rsid w:val="00A6723B"/>
    <w:rsid w:val="00A677A6"/>
    <w:rsid w:val="00A6792D"/>
    <w:rsid w:val="00A67A4F"/>
    <w:rsid w:val="00A67B27"/>
    <w:rsid w:val="00A67DA9"/>
    <w:rsid w:val="00A67F9B"/>
    <w:rsid w:val="00A70490"/>
    <w:rsid w:val="00A712C4"/>
    <w:rsid w:val="00A7181A"/>
    <w:rsid w:val="00A71B6A"/>
    <w:rsid w:val="00A71D25"/>
    <w:rsid w:val="00A73415"/>
    <w:rsid w:val="00A735D9"/>
    <w:rsid w:val="00A738AB"/>
    <w:rsid w:val="00A73AB3"/>
    <w:rsid w:val="00A741DC"/>
    <w:rsid w:val="00A7478B"/>
    <w:rsid w:val="00A7483A"/>
    <w:rsid w:val="00A74A94"/>
    <w:rsid w:val="00A7559F"/>
    <w:rsid w:val="00A75ACC"/>
    <w:rsid w:val="00A75B34"/>
    <w:rsid w:val="00A76042"/>
    <w:rsid w:val="00A7643A"/>
    <w:rsid w:val="00A779AC"/>
    <w:rsid w:val="00A779B7"/>
    <w:rsid w:val="00A77EA5"/>
    <w:rsid w:val="00A8035B"/>
    <w:rsid w:val="00A80546"/>
    <w:rsid w:val="00A80B45"/>
    <w:rsid w:val="00A8155C"/>
    <w:rsid w:val="00A8192A"/>
    <w:rsid w:val="00A81FBA"/>
    <w:rsid w:val="00A82125"/>
    <w:rsid w:val="00A8248B"/>
    <w:rsid w:val="00A8251A"/>
    <w:rsid w:val="00A826A2"/>
    <w:rsid w:val="00A8366E"/>
    <w:rsid w:val="00A84DD1"/>
    <w:rsid w:val="00A84FA7"/>
    <w:rsid w:val="00A85277"/>
    <w:rsid w:val="00A8532B"/>
    <w:rsid w:val="00A85362"/>
    <w:rsid w:val="00A85C8E"/>
    <w:rsid w:val="00A85D2E"/>
    <w:rsid w:val="00A871E3"/>
    <w:rsid w:val="00A87241"/>
    <w:rsid w:val="00A874B5"/>
    <w:rsid w:val="00A875C5"/>
    <w:rsid w:val="00A876F8"/>
    <w:rsid w:val="00A877D4"/>
    <w:rsid w:val="00A879F6"/>
    <w:rsid w:val="00A87A78"/>
    <w:rsid w:val="00A87CB5"/>
    <w:rsid w:val="00A87F33"/>
    <w:rsid w:val="00A9088B"/>
    <w:rsid w:val="00A9182D"/>
    <w:rsid w:val="00A91D63"/>
    <w:rsid w:val="00A92286"/>
    <w:rsid w:val="00A92DBF"/>
    <w:rsid w:val="00A92F83"/>
    <w:rsid w:val="00A936C9"/>
    <w:rsid w:val="00A939CD"/>
    <w:rsid w:val="00A93C98"/>
    <w:rsid w:val="00A93DB0"/>
    <w:rsid w:val="00A93DC8"/>
    <w:rsid w:val="00A93F61"/>
    <w:rsid w:val="00A952E1"/>
    <w:rsid w:val="00A96459"/>
    <w:rsid w:val="00A9689F"/>
    <w:rsid w:val="00A96DF3"/>
    <w:rsid w:val="00A973BD"/>
    <w:rsid w:val="00A97DEF"/>
    <w:rsid w:val="00AA0979"/>
    <w:rsid w:val="00AA0B1D"/>
    <w:rsid w:val="00AA0BAD"/>
    <w:rsid w:val="00AA0DBC"/>
    <w:rsid w:val="00AA0FF2"/>
    <w:rsid w:val="00AA0FF5"/>
    <w:rsid w:val="00AA1447"/>
    <w:rsid w:val="00AA1AFF"/>
    <w:rsid w:val="00AA201A"/>
    <w:rsid w:val="00AA2159"/>
    <w:rsid w:val="00AA2446"/>
    <w:rsid w:val="00AA2506"/>
    <w:rsid w:val="00AA2867"/>
    <w:rsid w:val="00AA2B43"/>
    <w:rsid w:val="00AA37DA"/>
    <w:rsid w:val="00AA3A18"/>
    <w:rsid w:val="00AA3CC6"/>
    <w:rsid w:val="00AA4415"/>
    <w:rsid w:val="00AA45A7"/>
    <w:rsid w:val="00AA47DC"/>
    <w:rsid w:val="00AA4BBF"/>
    <w:rsid w:val="00AA4DFE"/>
    <w:rsid w:val="00AA5426"/>
    <w:rsid w:val="00AA7EC8"/>
    <w:rsid w:val="00AB03A4"/>
    <w:rsid w:val="00AB053F"/>
    <w:rsid w:val="00AB0ED0"/>
    <w:rsid w:val="00AB1666"/>
    <w:rsid w:val="00AB1E5B"/>
    <w:rsid w:val="00AB1F9F"/>
    <w:rsid w:val="00AB29DD"/>
    <w:rsid w:val="00AB2ACD"/>
    <w:rsid w:val="00AB2C3A"/>
    <w:rsid w:val="00AB2CFB"/>
    <w:rsid w:val="00AB33A5"/>
    <w:rsid w:val="00AB3942"/>
    <w:rsid w:val="00AB3FC8"/>
    <w:rsid w:val="00AB409F"/>
    <w:rsid w:val="00AB4774"/>
    <w:rsid w:val="00AB4788"/>
    <w:rsid w:val="00AB50E6"/>
    <w:rsid w:val="00AB545D"/>
    <w:rsid w:val="00AB5773"/>
    <w:rsid w:val="00AB66B6"/>
    <w:rsid w:val="00AB7197"/>
    <w:rsid w:val="00AB7DD2"/>
    <w:rsid w:val="00AB7E40"/>
    <w:rsid w:val="00AC071B"/>
    <w:rsid w:val="00AC1232"/>
    <w:rsid w:val="00AC20BC"/>
    <w:rsid w:val="00AC21A7"/>
    <w:rsid w:val="00AC248A"/>
    <w:rsid w:val="00AC292F"/>
    <w:rsid w:val="00AC2C05"/>
    <w:rsid w:val="00AC2C43"/>
    <w:rsid w:val="00AC2F4A"/>
    <w:rsid w:val="00AC36D5"/>
    <w:rsid w:val="00AC37ED"/>
    <w:rsid w:val="00AC3812"/>
    <w:rsid w:val="00AC3986"/>
    <w:rsid w:val="00AC3ABD"/>
    <w:rsid w:val="00AC3C42"/>
    <w:rsid w:val="00AC4103"/>
    <w:rsid w:val="00AC4231"/>
    <w:rsid w:val="00AC4CE3"/>
    <w:rsid w:val="00AC51D1"/>
    <w:rsid w:val="00AC5326"/>
    <w:rsid w:val="00AC5834"/>
    <w:rsid w:val="00AC586D"/>
    <w:rsid w:val="00AC58DE"/>
    <w:rsid w:val="00AC5EB5"/>
    <w:rsid w:val="00AC5FBB"/>
    <w:rsid w:val="00AC643E"/>
    <w:rsid w:val="00AC668E"/>
    <w:rsid w:val="00AC684A"/>
    <w:rsid w:val="00AC6A1D"/>
    <w:rsid w:val="00AC74B4"/>
    <w:rsid w:val="00AC7689"/>
    <w:rsid w:val="00AC7A75"/>
    <w:rsid w:val="00AC7E34"/>
    <w:rsid w:val="00AC7E8F"/>
    <w:rsid w:val="00AD0040"/>
    <w:rsid w:val="00AD0352"/>
    <w:rsid w:val="00AD042B"/>
    <w:rsid w:val="00AD073F"/>
    <w:rsid w:val="00AD0760"/>
    <w:rsid w:val="00AD0B29"/>
    <w:rsid w:val="00AD128D"/>
    <w:rsid w:val="00AD12E3"/>
    <w:rsid w:val="00AD12E5"/>
    <w:rsid w:val="00AD16D9"/>
    <w:rsid w:val="00AD1DAB"/>
    <w:rsid w:val="00AD23D6"/>
    <w:rsid w:val="00AD26AC"/>
    <w:rsid w:val="00AD29F3"/>
    <w:rsid w:val="00AD3487"/>
    <w:rsid w:val="00AD34C7"/>
    <w:rsid w:val="00AD3527"/>
    <w:rsid w:val="00AD383E"/>
    <w:rsid w:val="00AD38BE"/>
    <w:rsid w:val="00AD3A38"/>
    <w:rsid w:val="00AD4297"/>
    <w:rsid w:val="00AD4657"/>
    <w:rsid w:val="00AD4F3B"/>
    <w:rsid w:val="00AD5129"/>
    <w:rsid w:val="00AD5175"/>
    <w:rsid w:val="00AD5254"/>
    <w:rsid w:val="00AD67C3"/>
    <w:rsid w:val="00AD6991"/>
    <w:rsid w:val="00AD7437"/>
    <w:rsid w:val="00AD75E5"/>
    <w:rsid w:val="00AE03AA"/>
    <w:rsid w:val="00AE06C9"/>
    <w:rsid w:val="00AE0A95"/>
    <w:rsid w:val="00AE1064"/>
    <w:rsid w:val="00AE16C9"/>
    <w:rsid w:val="00AE16F7"/>
    <w:rsid w:val="00AE18B3"/>
    <w:rsid w:val="00AE1926"/>
    <w:rsid w:val="00AE1A31"/>
    <w:rsid w:val="00AE1C91"/>
    <w:rsid w:val="00AE227F"/>
    <w:rsid w:val="00AE2D39"/>
    <w:rsid w:val="00AE2FF7"/>
    <w:rsid w:val="00AE3279"/>
    <w:rsid w:val="00AE333B"/>
    <w:rsid w:val="00AE34D8"/>
    <w:rsid w:val="00AE381D"/>
    <w:rsid w:val="00AE3E14"/>
    <w:rsid w:val="00AE42E2"/>
    <w:rsid w:val="00AE42E5"/>
    <w:rsid w:val="00AE4479"/>
    <w:rsid w:val="00AE46C0"/>
    <w:rsid w:val="00AE46C2"/>
    <w:rsid w:val="00AE4BDF"/>
    <w:rsid w:val="00AE5099"/>
    <w:rsid w:val="00AE540F"/>
    <w:rsid w:val="00AE5646"/>
    <w:rsid w:val="00AE5756"/>
    <w:rsid w:val="00AE5928"/>
    <w:rsid w:val="00AE595F"/>
    <w:rsid w:val="00AE5BAA"/>
    <w:rsid w:val="00AE6987"/>
    <w:rsid w:val="00AE750E"/>
    <w:rsid w:val="00AE78D0"/>
    <w:rsid w:val="00AE7B84"/>
    <w:rsid w:val="00AE7DFB"/>
    <w:rsid w:val="00AF0028"/>
    <w:rsid w:val="00AF0744"/>
    <w:rsid w:val="00AF0881"/>
    <w:rsid w:val="00AF1D26"/>
    <w:rsid w:val="00AF2385"/>
    <w:rsid w:val="00AF2388"/>
    <w:rsid w:val="00AF291E"/>
    <w:rsid w:val="00AF2C20"/>
    <w:rsid w:val="00AF2D2C"/>
    <w:rsid w:val="00AF2EFF"/>
    <w:rsid w:val="00AF3696"/>
    <w:rsid w:val="00AF3C01"/>
    <w:rsid w:val="00AF453E"/>
    <w:rsid w:val="00AF4D01"/>
    <w:rsid w:val="00AF5035"/>
    <w:rsid w:val="00AF54AA"/>
    <w:rsid w:val="00AF64F0"/>
    <w:rsid w:val="00AF6BBA"/>
    <w:rsid w:val="00AF7823"/>
    <w:rsid w:val="00AF7BAA"/>
    <w:rsid w:val="00AF7EFD"/>
    <w:rsid w:val="00B0007A"/>
    <w:rsid w:val="00B00222"/>
    <w:rsid w:val="00B009DA"/>
    <w:rsid w:val="00B00DFA"/>
    <w:rsid w:val="00B0111E"/>
    <w:rsid w:val="00B01441"/>
    <w:rsid w:val="00B01574"/>
    <w:rsid w:val="00B0172F"/>
    <w:rsid w:val="00B01A89"/>
    <w:rsid w:val="00B01F5F"/>
    <w:rsid w:val="00B023DA"/>
    <w:rsid w:val="00B025EC"/>
    <w:rsid w:val="00B02CA7"/>
    <w:rsid w:val="00B03BB4"/>
    <w:rsid w:val="00B03D50"/>
    <w:rsid w:val="00B0454A"/>
    <w:rsid w:val="00B05121"/>
    <w:rsid w:val="00B05528"/>
    <w:rsid w:val="00B05E11"/>
    <w:rsid w:val="00B05F41"/>
    <w:rsid w:val="00B05F7C"/>
    <w:rsid w:val="00B061CC"/>
    <w:rsid w:val="00B067EE"/>
    <w:rsid w:val="00B070AF"/>
    <w:rsid w:val="00B07DD0"/>
    <w:rsid w:val="00B07FD3"/>
    <w:rsid w:val="00B10443"/>
    <w:rsid w:val="00B10757"/>
    <w:rsid w:val="00B10E47"/>
    <w:rsid w:val="00B11809"/>
    <w:rsid w:val="00B11A9C"/>
    <w:rsid w:val="00B124DB"/>
    <w:rsid w:val="00B12F60"/>
    <w:rsid w:val="00B131CE"/>
    <w:rsid w:val="00B13236"/>
    <w:rsid w:val="00B137E7"/>
    <w:rsid w:val="00B1382C"/>
    <w:rsid w:val="00B13B90"/>
    <w:rsid w:val="00B13F3D"/>
    <w:rsid w:val="00B13F4E"/>
    <w:rsid w:val="00B14E27"/>
    <w:rsid w:val="00B14EFD"/>
    <w:rsid w:val="00B14F26"/>
    <w:rsid w:val="00B15308"/>
    <w:rsid w:val="00B159FD"/>
    <w:rsid w:val="00B15EA2"/>
    <w:rsid w:val="00B161CB"/>
    <w:rsid w:val="00B17057"/>
    <w:rsid w:val="00B1795A"/>
    <w:rsid w:val="00B20052"/>
    <w:rsid w:val="00B2010A"/>
    <w:rsid w:val="00B20EBD"/>
    <w:rsid w:val="00B20FCD"/>
    <w:rsid w:val="00B210BF"/>
    <w:rsid w:val="00B21AD4"/>
    <w:rsid w:val="00B21C13"/>
    <w:rsid w:val="00B21C6E"/>
    <w:rsid w:val="00B22E70"/>
    <w:rsid w:val="00B22EE7"/>
    <w:rsid w:val="00B23172"/>
    <w:rsid w:val="00B237DD"/>
    <w:rsid w:val="00B23B74"/>
    <w:rsid w:val="00B23FA1"/>
    <w:rsid w:val="00B24217"/>
    <w:rsid w:val="00B243A0"/>
    <w:rsid w:val="00B248D8"/>
    <w:rsid w:val="00B24A4F"/>
    <w:rsid w:val="00B24B35"/>
    <w:rsid w:val="00B24CF3"/>
    <w:rsid w:val="00B25589"/>
    <w:rsid w:val="00B25F30"/>
    <w:rsid w:val="00B25F89"/>
    <w:rsid w:val="00B2618A"/>
    <w:rsid w:val="00B26E7B"/>
    <w:rsid w:val="00B27120"/>
    <w:rsid w:val="00B271B3"/>
    <w:rsid w:val="00B27CF6"/>
    <w:rsid w:val="00B307DE"/>
    <w:rsid w:val="00B309B8"/>
    <w:rsid w:val="00B317AE"/>
    <w:rsid w:val="00B31968"/>
    <w:rsid w:val="00B31AF0"/>
    <w:rsid w:val="00B31F66"/>
    <w:rsid w:val="00B328F6"/>
    <w:rsid w:val="00B32E09"/>
    <w:rsid w:val="00B33086"/>
    <w:rsid w:val="00B33623"/>
    <w:rsid w:val="00B33B11"/>
    <w:rsid w:val="00B33DE9"/>
    <w:rsid w:val="00B34010"/>
    <w:rsid w:val="00B340A5"/>
    <w:rsid w:val="00B340CF"/>
    <w:rsid w:val="00B34BD6"/>
    <w:rsid w:val="00B34D6C"/>
    <w:rsid w:val="00B34EC9"/>
    <w:rsid w:val="00B356F9"/>
    <w:rsid w:val="00B36E28"/>
    <w:rsid w:val="00B37058"/>
    <w:rsid w:val="00B370FE"/>
    <w:rsid w:val="00B37E0C"/>
    <w:rsid w:val="00B406C9"/>
    <w:rsid w:val="00B40C95"/>
    <w:rsid w:val="00B40F4D"/>
    <w:rsid w:val="00B40FD8"/>
    <w:rsid w:val="00B41488"/>
    <w:rsid w:val="00B41959"/>
    <w:rsid w:val="00B41FEC"/>
    <w:rsid w:val="00B4269A"/>
    <w:rsid w:val="00B42AFF"/>
    <w:rsid w:val="00B42B62"/>
    <w:rsid w:val="00B42E0A"/>
    <w:rsid w:val="00B4305D"/>
    <w:rsid w:val="00B431BD"/>
    <w:rsid w:val="00B43785"/>
    <w:rsid w:val="00B43A7F"/>
    <w:rsid w:val="00B43AD6"/>
    <w:rsid w:val="00B43CA5"/>
    <w:rsid w:val="00B440B7"/>
    <w:rsid w:val="00B44776"/>
    <w:rsid w:val="00B45831"/>
    <w:rsid w:val="00B4596E"/>
    <w:rsid w:val="00B45C82"/>
    <w:rsid w:val="00B45DF8"/>
    <w:rsid w:val="00B46852"/>
    <w:rsid w:val="00B46935"/>
    <w:rsid w:val="00B47787"/>
    <w:rsid w:val="00B47BCE"/>
    <w:rsid w:val="00B50431"/>
    <w:rsid w:val="00B50B72"/>
    <w:rsid w:val="00B51141"/>
    <w:rsid w:val="00B5171A"/>
    <w:rsid w:val="00B51799"/>
    <w:rsid w:val="00B52189"/>
    <w:rsid w:val="00B5230D"/>
    <w:rsid w:val="00B525A3"/>
    <w:rsid w:val="00B529A2"/>
    <w:rsid w:val="00B52B12"/>
    <w:rsid w:val="00B52B58"/>
    <w:rsid w:val="00B5362D"/>
    <w:rsid w:val="00B53D18"/>
    <w:rsid w:val="00B544C5"/>
    <w:rsid w:val="00B544FB"/>
    <w:rsid w:val="00B54774"/>
    <w:rsid w:val="00B54D18"/>
    <w:rsid w:val="00B55369"/>
    <w:rsid w:val="00B55474"/>
    <w:rsid w:val="00B5549F"/>
    <w:rsid w:val="00B55CC6"/>
    <w:rsid w:val="00B55D57"/>
    <w:rsid w:val="00B55DA5"/>
    <w:rsid w:val="00B55ED3"/>
    <w:rsid w:val="00B561F4"/>
    <w:rsid w:val="00B575CF"/>
    <w:rsid w:val="00B57649"/>
    <w:rsid w:val="00B60BC5"/>
    <w:rsid w:val="00B61546"/>
    <w:rsid w:val="00B617DD"/>
    <w:rsid w:val="00B6250A"/>
    <w:rsid w:val="00B62890"/>
    <w:rsid w:val="00B62E1C"/>
    <w:rsid w:val="00B62F5D"/>
    <w:rsid w:val="00B63EE0"/>
    <w:rsid w:val="00B64A19"/>
    <w:rsid w:val="00B657B0"/>
    <w:rsid w:val="00B66468"/>
    <w:rsid w:val="00B667F0"/>
    <w:rsid w:val="00B66CC8"/>
    <w:rsid w:val="00B66E53"/>
    <w:rsid w:val="00B679D7"/>
    <w:rsid w:val="00B67ECE"/>
    <w:rsid w:val="00B67FDB"/>
    <w:rsid w:val="00B710DE"/>
    <w:rsid w:val="00B718FC"/>
    <w:rsid w:val="00B71A9A"/>
    <w:rsid w:val="00B71ED9"/>
    <w:rsid w:val="00B71FC2"/>
    <w:rsid w:val="00B72339"/>
    <w:rsid w:val="00B7235D"/>
    <w:rsid w:val="00B724FC"/>
    <w:rsid w:val="00B72D37"/>
    <w:rsid w:val="00B736BF"/>
    <w:rsid w:val="00B73C4A"/>
    <w:rsid w:val="00B73C63"/>
    <w:rsid w:val="00B7409A"/>
    <w:rsid w:val="00B74E03"/>
    <w:rsid w:val="00B75344"/>
    <w:rsid w:val="00B75586"/>
    <w:rsid w:val="00B75B07"/>
    <w:rsid w:val="00B75CC5"/>
    <w:rsid w:val="00B760CD"/>
    <w:rsid w:val="00B76185"/>
    <w:rsid w:val="00B762F9"/>
    <w:rsid w:val="00B76679"/>
    <w:rsid w:val="00B7774E"/>
    <w:rsid w:val="00B779B8"/>
    <w:rsid w:val="00B77A0F"/>
    <w:rsid w:val="00B80408"/>
    <w:rsid w:val="00B804A1"/>
    <w:rsid w:val="00B80BEE"/>
    <w:rsid w:val="00B815B1"/>
    <w:rsid w:val="00B815E6"/>
    <w:rsid w:val="00B83BF7"/>
    <w:rsid w:val="00B83E72"/>
    <w:rsid w:val="00B84490"/>
    <w:rsid w:val="00B84C3D"/>
    <w:rsid w:val="00B84EF2"/>
    <w:rsid w:val="00B8535B"/>
    <w:rsid w:val="00B85475"/>
    <w:rsid w:val="00B86493"/>
    <w:rsid w:val="00B867E9"/>
    <w:rsid w:val="00B8692A"/>
    <w:rsid w:val="00B86D57"/>
    <w:rsid w:val="00B86DA1"/>
    <w:rsid w:val="00B86DBB"/>
    <w:rsid w:val="00B86FA4"/>
    <w:rsid w:val="00B87586"/>
    <w:rsid w:val="00B87B1A"/>
    <w:rsid w:val="00B87CEC"/>
    <w:rsid w:val="00B90199"/>
    <w:rsid w:val="00B904A6"/>
    <w:rsid w:val="00B90EAC"/>
    <w:rsid w:val="00B91A23"/>
    <w:rsid w:val="00B91D00"/>
    <w:rsid w:val="00B91D38"/>
    <w:rsid w:val="00B92F03"/>
    <w:rsid w:val="00B932F2"/>
    <w:rsid w:val="00B93C83"/>
    <w:rsid w:val="00B93D5E"/>
    <w:rsid w:val="00B93E07"/>
    <w:rsid w:val="00B944D5"/>
    <w:rsid w:val="00B9495B"/>
    <w:rsid w:val="00B94FBB"/>
    <w:rsid w:val="00B95089"/>
    <w:rsid w:val="00B952C9"/>
    <w:rsid w:val="00B95D03"/>
    <w:rsid w:val="00B95E93"/>
    <w:rsid w:val="00B96D39"/>
    <w:rsid w:val="00B974ED"/>
    <w:rsid w:val="00B97B51"/>
    <w:rsid w:val="00B97BDA"/>
    <w:rsid w:val="00B97DCF"/>
    <w:rsid w:val="00BA09AC"/>
    <w:rsid w:val="00BA0EA1"/>
    <w:rsid w:val="00BA1008"/>
    <w:rsid w:val="00BA1492"/>
    <w:rsid w:val="00BA162E"/>
    <w:rsid w:val="00BA17EE"/>
    <w:rsid w:val="00BA268B"/>
    <w:rsid w:val="00BA29BE"/>
    <w:rsid w:val="00BA2D70"/>
    <w:rsid w:val="00BA337B"/>
    <w:rsid w:val="00BA37A7"/>
    <w:rsid w:val="00BA3A0B"/>
    <w:rsid w:val="00BA3AAF"/>
    <w:rsid w:val="00BA42C1"/>
    <w:rsid w:val="00BA45CB"/>
    <w:rsid w:val="00BA4E1A"/>
    <w:rsid w:val="00BA4F7B"/>
    <w:rsid w:val="00BA50E2"/>
    <w:rsid w:val="00BA63C5"/>
    <w:rsid w:val="00BA6858"/>
    <w:rsid w:val="00BA6D05"/>
    <w:rsid w:val="00BA7F20"/>
    <w:rsid w:val="00BB0957"/>
    <w:rsid w:val="00BB09A3"/>
    <w:rsid w:val="00BB0C12"/>
    <w:rsid w:val="00BB0EA0"/>
    <w:rsid w:val="00BB154D"/>
    <w:rsid w:val="00BB1572"/>
    <w:rsid w:val="00BB1B1C"/>
    <w:rsid w:val="00BB1BBA"/>
    <w:rsid w:val="00BB1E7C"/>
    <w:rsid w:val="00BB2156"/>
    <w:rsid w:val="00BB22B6"/>
    <w:rsid w:val="00BB24D7"/>
    <w:rsid w:val="00BB259A"/>
    <w:rsid w:val="00BB2758"/>
    <w:rsid w:val="00BB29D2"/>
    <w:rsid w:val="00BB2E1A"/>
    <w:rsid w:val="00BB3132"/>
    <w:rsid w:val="00BB385B"/>
    <w:rsid w:val="00BB4119"/>
    <w:rsid w:val="00BB4BB3"/>
    <w:rsid w:val="00BB4C13"/>
    <w:rsid w:val="00BB4EE0"/>
    <w:rsid w:val="00BB5AB4"/>
    <w:rsid w:val="00BB5DE6"/>
    <w:rsid w:val="00BB604C"/>
    <w:rsid w:val="00BB62BA"/>
    <w:rsid w:val="00BB6532"/>
    <w:rsid w:val="00BB664F"/>
    <w:rsid w:val="00BB67F6"/>
    <w:rsid w:val="00BB6D59"/>
    <w:rsid w:val="00BB766B"/>
    <w:rsid w:val="00BB7949"/>
    <w:rsid w:val="00BC0372"/>
    <w:rsid w:val="00BC0506"/>
    <w:rsid w:val="00BC07CF"/>
    <w:rsid w:val="00BC1AE6"/>
    <w:rsid w:val="00BC2478"/>
    <w:rsid w:val="00BC2727"/>
    <w:rsid w:val="00BC2946"/>
    <w:rsid w:val="00BC2B49"/>
    <w:rsid w:val="00BC308A"/>
    <w:rsid w:val="00BC333F"/>
    <w:rsid w:val="00BC48BD"/>
    <w:rsid w:val="00BC4E42"/>
    <w:rsid w:val="00BC5E66"/>
    <w:rsid w:val="00BC603D"/>
    <w:rsid w:val="00BC6282"/>
    <w:rsid w:val="00BC63CE"/>
    <w:rsid w:val="00BC6461"/>
    <w:rsid w:val="00BC6693"/>
    <w:rsid w:val="00BD1039"/>
    <w:rsid w:val="00BD1264"/>
    <w:rsid w:val="00BD18BF"/>
    <w:rsid w:val="00BD1BF5"/>
    <w:rsid w:val="00BD1DA5"/>
    <w:rsid w:val="00BD278C"/>
    <w:rsid w:val="00BD283A"/>
    <w:rsid w:val="00BD2FAE"/>
    <w:rsid w:val="00BD30A2"/>
    <w:rsid w:val="00BD349E"/>
    <w:rsid w:val="00BD37CC"/>
    <w:rsid w:val="00BD37D8"/>
    <w:rsid w:val="00BD3DCC"/>
    <w:rsid w:val="00BD3E2B"/>
    <w:rsid w:val="00BD3EC2"/>
    <w:rsid w:val="00BD4893"/>
    <w:rsid w:val="00BD4E78"/>
    <w:rsid w:val="00BD58C0"/>
    <w:rsid w:val="00BD5B47"/>
    <w:rsid w:val="00BD5BB7"/>
    <w:rsid w:val="00BD5D13"/>
    <w:rsid w:val="00BD62DA"/>
    <w:rsid w:val="00BD64D5"/>
    <w:rsid w:val="00BD6529"/>
    <w:rsid w:val="00BD674A"/>
    <w:rsid w:val="00BD68FD"/>
    <w:rsid w:val="00BD695C"/>
    <w:rsid w:val="00BD6BA9"/>
    <w:rsid w:val="00BD72AF"/>
    <w:rsid w:val="00BD780D"/>
    <w:rsid w:val="00BD7BCE"/>
    <w:rsid w:val="00BE0425"/>
    <w:rsid w:val="00BE108B"/>
    <w:rsid w:val="00BE1853"/>
    <w:rsid w:val="00BE21D7"/>
    <w:rsid w:val="00BE232A"/>
    <w:rsid w:val="00BE26EE"/>
    <w:rsid w:val="00BE2D66"/>
    <w:rsid w:val="00BE3C70"/>
    <w:rsid w:val="00BE3F2E"/>
    <w:rsid w:val="00BE3F4C"/>
    <w:rsid w:val="00BE4486"/>
    <w:rsid w:val="00BE4983"/>
    <w:rsid w:val="00BE4A80"/>
    <w:rsid w:val="00BE4B33"/>
    <w:rsid w:val="00BE4F8F"/>
    <w:rsid w:val="00BE500F"/>
    <w:rsid w:val="00BE5D1F"/>
    <w:rsid w:val="00BE5E89"/>
    <w:rsid w:val="00BE6341"/>
    <w:rsid w:val="00BE6C61"/>
    <w:rsid w:val="00BE6D72"/>
    <w:rsid w:val="00BE6EB2"/>
    <w:rsid w:val="00BE7028"/>
    <w:rsid w:val="00BE7157"/>
    <w:rsid w:val="00BE7341"/>
    <w:rsid w:val="00BE77D6"/>
    <w:rsid w:val="00BE7895"/>
    <w:rsid w:val="00BE791A"/>
    <w:rsid w:val="00BF0638"/>
    <w:rsid w:val="00BF098F"/>
    <w:rsid w:val="00BF0D0A"/>
    <w:rsid w:val="00BF116C"/>
    <w:rsid w:val="00BF1469"/>
    <w:rsid w:val="00BF1B93"/>
    <w:rsid w:val="00BF1BF0"/>
    <w:rsid w:val="00BF1E52"/>
    <w:rsid w:val="00BF1FE1"/>
    <w:rsid w:val="00BF239B"/>
    <w:rsid w:val="00BF23FF"/>
    <w:rsid w:val="00BF277D"/>
    <w:rsid w:val="00BF27F5"/>
    <w:rsid w:val="00BF2DC8"/>
    <w:rsid w:val="00BF33BD"/>
    <w:rsid w:val="00BF33E9"/>
    <w:rsid w:val="00BF3AB0"/>
    <w:rsid w:val="00BF3F08"/>
    <w:rsid w:val="00BF4030"/>
    <w:rsid w:val="00BF49F3"/>
    <w:rsid w:val="00BF4C92"/>
    <w:rsid w:val="00BF4CAE"/>
    <w:rsid w:val="00BF6871"/>
    <w:rsid w:val="00BF69A4"/>
    <w:rsid w:val="00BF6C80"/>
    <w:rsid w:val="00BF7011"/>
    <w:rsid w:val="00BF724F"/>
    <w:rsid w:val="00C00020"/>
    <w:rsid w:val="00C00291"/>
    <w:rsid w:val="00C00307"/>
    <w:rsid w:val="00C00784"/>
    <w:rsid w:val="00C008B6"/>
    <w:rsid w:val="00C00B58"/>
    <w:rsid w:val="00C017E8"/>
    <w:rsid w:val="00C01A59"/>
    <w:rsid w:val="00C01B9E"/>
    <w:rsid w:val="00C01BB4"/>
    <w:rsid w:val="00C01DAB"/>
    <w:rsid w:val="00C0204B"/>
    <w:rsid w:val="00C021CC"/>
    <w:rsid w:val="00C0233B"/>
    <w:rsid w:val="00C023FF"/>
    <w:rsid w:val="00C02408"/>
    <w:rsid w:val="00C02889"/>
    <w:rsid w:val="00C0364F"/>
    <w:rsid w:val="00C0445D"/>
    <w:rsid w:val="00C04DCF"/>
    <w:rsid w:val="00C04E4E"/>
    <w:rsid w:val="00C054C4"/>
    <w:rsid w:val="00C05C9D"/>
    <w:rsid w:val="00C05E7B"/>
    <w:rsid w:val="00C06740"/>
    <w:rsid w:val="00C0680A"/>
    <w:rsid w:val="00C06BF5"/>
    <w:rsid w:val="00C06CF9"/>
    <w:rsid w:val="00C0735C"/>
    <w:rsid w:val="00C10498"/>
    <w:rsid w:val="00C10A22"/>
    <w:rsid w:val="00C10A8C"/>
    <w:rsid w:val="00C10C1B"/>
    <w:rsid w:val="00C10CC1"/>
    <w:rsid w:val="00C10D13"/>
    <w:rsid w:val="00C10F8E"/>
    <w:rsid w:val="00C11400"/>
    <w:rsid w:val="00C11668"/>
    <w:rsid w:val="00C1170A"/>
    <w:rsid w:val="00C11753"/>
    <w:rsid w:val="00C1199B"/>
    <w:rsid w:val="00C11D14"/>
    <w:rsid w:val="00C11E5E"/>
    <w:rsid w:val="00C11ECE"/>
    <w:rsid w:val="00C12236"/>
    <w:rsid w:val="00C12547"/>
    <w:rsid w:val="00C126BC"/>
    <w:rsid w:val="00C12F2B"/>
    <w:rsid w:val="00C1339D"/>
    <w:rsid w:val="00C137B4"/>
    <w:rsid w:val="00C1393B"/>
    <w:rsid w:val="00C13996"/>
    <w:rsid w:val="00C143E2"/>
    <w:rsid w:val="00C14446"/>
    <w:rsid w:val="00C154E7"/>
    <w:rsid w:val="00C15763"/>
    <w:rsid w:val="00C15C02"/>
    <w:rsid w:val="00C15F48"/>
    <w:rsid w:val="00C1613A"/>
    <w:rsid w:val="00C16985"/>
    <w:rsid w:val="00C16D65"/>
    <w:rsid w:val="00C16E8F"/>
    <w:rsid w:val="00C16F27"/>
    <w:rsid w:val="00C16F84"/>
    <w:rsid w:val="00C17E97"/>
    <w:rsid w:val="00C20100"/>
    <w:rsid w:val="00C2025E"/>
    <w:rsid w:val="00C21163"/>
    <w:rsid w:val="00C21177"/>
    <w:rsid w:val="00C214AD"/>
    <w:rsid w:val="00C21AC9"/>
    <w:rsid w:val="00C22158"/>
    <w:rsid w:val="00C2282F"/>
    <w:rsid w:val="00C23872"/>
    <w:rsid w:val="00C23A58"/>
    <w:rsid w:val="00C23EB3"/>
    <w:rsid w:val="00C245C3"/>
    <w:rsid w:val="00C2475C"/>
    <w:rsid w:val="00C247EE"/>
    <w:rsid w:val="00C24B78"/>
    <w:rsid w:val="00C25500"/>
    <w:rsid w:val="00C259F1"/>
    <w:rsid w:val="00C26591"/>
    <w:rsid w:val="00C26685"/>
    <w:rsid w:val="00C269F2"/>
    <w:rsid w:val="00C30FDA"/>
    <w:rsid w:val="00C31731"/>
    <w:rsid w:val="00C33582"/>
    <w:rsid w:val="00C3412C"/>
    <w:rsid w:val="00C34266"/>
    <w:rsid w:val="00C34670"/>
    <w:rsid w:val="00C34CBE"/>
    <w:rsid w:val="00C34EE6"/>
    <w:rsid w:val="00C352D3"/>
    <w:rsid w:val="00C35379"/>
    <w:rsid w:val="00C355CD"/>
    <w:rsid w:val="00C35DDC"/>
    <w:rsid w:val="00C363F9"/>
    <w:rsid w:val="00C36505"/>
    <w:rsid w:val="00C366AA"/>
    <w:rsid w:val="00C367BB"/>
    <w:rsid w:val="00C36A76"/>
    <w:rsid w:val="00C36C00"/>
    <w:rsid w:val="00C36F76"/>
    <w:rsid w:val="00C3790F"/>
    <w:rsid w:val="00C37A3B"/>
    <w:rsid w:val="00C37E81"/>
    <w:rsid w:val="00C37FBE"/>
    <w:rsid w:val="00C40337"/>
    <w:rsid w:val="00C40FF6"/>
    <w:rsid w:val="00C41539"/>
    <w:rsid w:val="00C41622"/>
    <w:rsid w:val="00C41B14"/>
    <w:rsid w:val="00C42303"/>
    <w:rsid w:val="00C4287B"/>
    <w:rsid w:val="00C43B55"/>
    <w:rsid w:val="00C43DE1"/>
    <w:rsid w:val="00C44BDE"/>
    <w:rsid w:val="00C45437"/>
    <w:rsid w:val="00C45918"/>
    <w:rsid w:val="00C45BB2"/>
    <w:rsid w:val="00C45FDF"/>
    <w:rsid w:val="00C467B8"/>
    <w:rsid w:val="00C470FD"/>
    <w:rsid w:val="00C47257"/>
    <w:rsid w:val="00C47849"/>
    <w:rsid w:val="00C47930"/>
    <w:rsid w:val="00C47C28"/>
    <w:rsid w:val="00C47FF8"/>
    <w:rsid w:val="00C500C7"/>
    <w:rsid w:val="00C504D2"/>
    <w:rsid w:val="00C50C19"/>
    <w:rsid w:val="00C5126B"/>
    <w:rsid w:val="00C513CC"/>
    <w:rsid w:val="00C513FE"/>
    <w:rsid w:val="00C514D3"/>
    <w:rsid w:val="00C5186E"/>
    <w:rsid w:val="00C51BBA"/>
    <w:rsid w:val="00C528BE"/>
    <w:rsid w:val="00C52D47"/>
    <w:rsid w:val="00C53C8F"/>
    <w:rsid w:val="00C53D6C"/>
    <w:rsid w:val="00C540CD"/>
    <w:rsid w:val="00C54A07"/>
    <w:rsid w:val="00C54C14"/>
    <w:rsid w:val="00C54F97"/>
    <w:rsid w:val="00C55DC0"/>
    <w:rsid w:val="00C55ECD"/>
    <w:rsid w:val="00C56221"/>
    <w:rsid w:val="00C56A40"/>
    <w:rsid w:val="00C57428"/>
    <w:rsid w:val="00C577FC"/>
    <w:rsid w:val="00C57830"/>
    <w:rsid w:val="00C57A15"/>
    <w:rsid w:val="00C57A4D"/>
    <w:rsid w:val="00C57C9A"/>
    <w:rsid w:val="00C60E30"/>
    <w:rsid w:val="00C60E73"/>
    <w:rsid w:val="00C60ED9"/>
    <w:rsid w:val="00C60F3C"/>
    <w:rsid w:val="00C61053"/>
    <w:rsid w:val="00C6119D"/>
    <w:rsid w:val="00C6166D"/>
    <w:rsid w:val="00C61EA1"/>
    <w:rsid w:val="00C6207F"/>
    <w:rsid w:val="00C621CC"/>
    <w:rsid w:val="00C6220F"/>
    <w:rsid w:val="00C622C2"/>
    <w:rsid w:val="00C6239D"/>
    <w:rsid w:val="00C623D0"/>
    <w:rsid w:val="00C62913"/>
    <w:rsid w:val="00C62D71"/>
    <w:rsid w:val="00C62E87"/>
    <w:rsid w:val="00C62F06"/>
    <w:rsid w:val="00C63831"/>
    <w:rsid w:val="00C63D8C"/>
    <w:rsid w:val="00C64323"/>
    <w:rsid w:val="00C64ABD"/>
    <w:rsid w:val="00C653A1"/>
    <w:rsid w:val="00C65A9B"/>
    <w:rsid w:val="00C65C9F"/>
    <w:rsid w:val="00C66251"/>
    <w:rsid w:val="00C670C1"/>
    <w:rsid w:val="00C6761A"/>
    <w:rsid w:val="00C6781F"/>
    <w:rsid w:val="00C67FB8"/>
    <w:rsid w:val="00C70899"/>
    <w:rsid w:val="00C70922"/>
    <w:rsid w:val="00C70980"/>
    <w:rsid w:val="00C709C3"/>
    <w:rsid w:val="00C70B25"/>
    <w:rsid w:val="00C719B9"/>
    <w:rsid w:val="00C71D30"/>
    <w:rsid w:val="00C72326"/>
    <w:rsid w:val="00C7239A"/>
    <w:rsid w:val="00C73142"/>
    <w:rsid w:val="00C732B3"/>
    <w:rsid w:val="00C736D4"/>
    <w:rsid w:val="00C73DB6"/>
    <w:rsid w:val="00C73FEB"/>
    <w:rsid w:val="00C7418B"/>
    <w:rsid w:val="00C7494D"/>
    <w:rsid w:val="00C74BB9"/>
    <w:rsid w:val="00C74BD7"/>
    <w:rsid w:val="00C74CB6"/>
    <w:rsid w:val="00C7511C"/>
    <w:rsid w:val="00C7523A"/>
    <w:rsid w:val="00C75643"/>
    <w:rsid w:val="00C76036"/>
    <w:rsid w:val="00C760B2"/>
    <w:rsid w:val="00C775A5"/>
    <w:rsid w:val="00C77937"/>
    <w:rsid w:val="00C779D0"/>
    <w:rsid w:val="00C80797"/>
    <w:rsid w:val="00C809BE"/>
    <w:rsid w:val="00C81962"/>
    <w:rsid w:val="00C81A21"/>
    <w:rsid w:val="00C81BBA"/>
    <w:rsid w:val="00C82910"/>
    <w:rsid w:val="00C82C5D"/>
    <w:rsid w:val="00C82C68"/>
    <w:rsid w:val="00C82E9E"/>
    <w:rsid w:val="00C82EFD"/>
    <w:rsid w:val="00C8312B"/>
    <w:rsid w:val="00C83611"/>
    <w:rsid w:val="00C8391C"/>
    <w:rsid w:val="00C85249"/>
    <w:rsid w:val="00C853D8"/>
    <w:rsid w:val="00C85680"/>
    <w:rsid w:val="00C85773"/>
    <w:rsid w:val="00C85AAB"/>
    <w:rsid w:val="00C85BD5"/>
    <w:rsid w:val="00C86A93"/>
    <w:rsid w:val="00C86EF8"/>
    <w:rsid w:val="00C8733C"/>
    <w:rsid w:val="00C87503"/>
    <w:rsid w:val="00C87569"/>
    <w:rsid w:val="00C87FED"/>
    <w:rsid w:val="00C917C2"/>
    <w:rsid w:val="00C92DD5"/>
    <w:rsid w:val="00C93329"/>
    <w:rsid w:val="00C943E0"/>
    <w:rsid w:val="00C9507B"/>
    <w:rsid w:val="00C952E4"/>
    <w:rsid w:val="00C95B5E"/>
    <w:rsid w:val="00C95F93"/>
    <w:rsid w:val="00C9615A"/>
    <w:rsid w:val="00C96163"/>
    <w:rsid w:val="00C96C08"/>
    <w:rsid w:val="00C96C6D"/>
    <w:rsid w:val="00C97135"/>
    <w:rsid w:val="00C976B1"/>
    <w:rsid w:val="00C97817"/>
    <w:rsid w:val="00C97A1E"/>
    <w:rsid w:val="00C97BF2"/>
    <w:rsid w:val="00C97D32"/>
    <w:rsid w:val="00CA0355"/>
    <w:rsid w:val="00CA091E"/>
    <w:rsid w:val="00CA1A50"/>
    <w:rsid w:val="00CA1B66"/>
    <w:rsid w:val="00CA22A8"/>
    <w:rsid w:val="00CA24A3"/>
    <w:rsid w:val="00CA2DFD"/>
    <w:rsid w:val="00CA4574"/>
    <w:rsid w:val="00CA47AF"/>
    <w:rsid w:val="00CA4A65"/>
    <w:rsid w:val="00CA5B5A"/>
    <w:rsid w:val="00CA65DB"/>
    <w:rsid w:val="00CA6D13"/>
    <w:rsid w:val="00CA72E2"/>
    <w:rsid w:val="00CB026A"/>
    <w:rsid w:val="00CB0EA4"/>
    <w:rsid w:val="00CB11E9"/>
    <w:rsid w:val="00CB182C"/>
    <w:rsid w:val="00CB2786"/>
    <w:rsid w:val="00CB2962"/>
    <w:rsid w:val="00CB2A17"/>
    <w:rsid w:val="00CB3720"/>
    <w:rsid w:val="00CB40BB"/>
    <w:rsid w:val="00CB41BE"/>
    <w:rsid w:val="00CB4309"/>
    <w:rsid w:val="00CB455E"/>
    <w:rsid w:val="00CB4CCB"/>
    <w:rsid w:val="00CB50D0"/>
    <w:rsid w:val="00CB55B6"/>
    <w:rsid w:val="00CB64FA"/>
    <w:rsid w:val="00CB6531"/>
    <w:rsid w:val="00CB728C"/>
    <w:rsid w:val="00CB72A1"/>
    <w:rsid w:val="00CB758A"/>
    <w:rsid w:val="00CB7610"/>
    <w:rsid w:val="00CB7789"/>
    <w:rsid w:val="00CC058F"/>
    <w:rsid w:val="00CC12B0"/>
    <w:rsid w:val="00CC1458"/>
    <w:rsid w:val="00CC150A"/>
    <w:rsid w:val="00CC1847"/>
    <w:rsid w:val="00CC1A6E"/>
    <w:rsid w:val="00CC1AFE"/>
    <w:rsid w:val="00CC2459"/>
    <w:rsid w:val="00CC295B"/>
    <w:rsid w:val="00CC34AA"/>
    <w:rsid w:val="00CC3CAC"/>
    <w:rsid w:val="00CC3EC1"/>
    <w:rsid w:val="00CC3FC0"/>
    <w:rsid w:val="00CC4912"/>
    <w:rsid w:val="00CC496A"/>
    <w:rsid w:val="00CC4D28"/>
    <w:rsid w:val="00CC4FA2"/>
    <w:rsid w:val="00CC5C6B"/>
    <w:rsid w:val="00CC5C79"/>
    <w:rsid w:val="00CC6EFA"/>
    <w:rsid w:val="00CC708C"/>
    <w:rsid w:val="00CC70C8"/>
    <w:rsid w:val="00CC720A"/>
    <w:rsid w:val="00CC76E9"/>
    <w:rsid w:val="00CD0285"/>
    <w:rsid w:val="00CD089B"/>
    <w:rsid w:val="00CD0B55"/>
    <w:rsid w:val="00CD177C"/>
    <w:rsid w:val="00CD1985"/>
    <w:rsid w:val="00CD1A07"/>
    <w:rsid w:val="00CD2ED1"/>
    <w:rsid w:val="00CD3078"/>
    <w:rsid w:val="00CD3F38"/>
    <w:rsid w:val="00CD41A9"/>
    <w:rsid w:val="00CD4233"/>
    <w:rsid w:val="00CD4A28"/>
    <w:rsid w:val="00CD4E9F"/>
    <w:rsid w:val="00CD50E1"/>
    <w:rsid w:val="00CD53A5"/>
    <w:rsid w:val="00CD55A0"/>
    <w:rsid w:val="00CD589F"/>
    <w:rsid w:val="00CD5A46"/>
    <w:rsid w:val="00CD5B7D"/>
    <w:rsid w:val="00CD5BD0"/>
    <w:rsid w:val="00CD6A93"/>
    <w:rsid w:val="00CD75AF"/>
    <w:rsid w:val="00CD7695"/>
    <w:rsid w:val="00CD7794"/>
    <w:rsid w:val="00CD7DA5"/>
    <w:rsid w:val="00CE02CA"/>
    <w:rsid w:val="00CE07A5"/>
    <w:rsid w:val="00CE0861"/>
    <w:rsid w:val="00CE0873"/>
    <w:rsid w:val="00CE0CD9"/>
    <w:rsid w:val="00CE0D2F"/>
    <w:rsid w:val="00CE168A"/>
    <w:rsid w:val="00CE194E"/>
    <w:rsid w:val="00CE1BA2"/>
    <w:rsid w:val="00CE24F5"/>
    <w:rsid w:val="00CE28A4"/>
    <w:rsid w:val="00CE2C94"/>
    <w:rsid w:val="00CE2DA7"/>
    <w:rsid w:val="00CE31B7"/>
    <w:rsid w:val="00CE31B8"/>
    <w:rsid w:val="00CE48F0"/>
    <w:rsid w:val="00CE4B70"/>
    <w:rsid w:val="00CE4B95"/>
    <w:rsid w:val="00CE4E65"/>
    <w:rsid w:val="00CE531E"/>
    <w:rsid w:val="00CE54FD"/>
    <w:rsid w:val="00CE57A3"/>
    <w:rsid w:val="00CE582D"/>
    <w:rsid w:val="00CE5B6A"/>
    <w:rsid w:val="00CE5B97"/>
    <w:rsid w:val="00CE5C6D"/>
    <w:rsid w:val="00CE6B07"/>
    <w:rsid w:val="00CE71C6"/>
    <w:rsid w:val="00CE727F"/>
    <w:rsid w:val="00CE7680"/>
    <w:rsid w:val="00CE76EB"/>
    <w:rsid w:val="00CE7816"/>
    <w:rsid w:val="00CE7870"/>
    <w:rsid w:val="00CF0B2F"/>
    <w:rsid w:val="00CF0CD5"/>
    <w:rsid w:val="00CF1A14"/>
    <w:rsid w:val="00CF1D2E"/>
    <w:rsid w:val="00CF2948"/>
    <w:rsid w:val="00CF2A17"/>
    <w:rsid w:val="00CF32C7"/>
    <w:rsid w:val="00CF38A9"/>
    <w:rsid w:val="00CF40D5"/>
    <w:rsid w:val="00CF5640"/>
    <w:rsid w:val="00CF57AC"/>
    <w:rsid w:val="00CF57D9"/>
    <w:rsid w:val="00CF5986"/>
    <w:rsid w:val="00CF5C2B"/>
    <w:rsid w:val="00CF5C3C"/>
    <w:rsid w:val="00CF678D"/>
    <w:rsid w:val="00CF7DB9"/>
    <w:rsid w:val="00D001B9"/>
    <w:rsid w:val="00D0169A"/>
    <w:rsid w:val="00D01BE7"/>
    <w:rsid w:val="00D01EC3"/>
    <w:rsid w:val="00D01F73"/>
    <w:rsid w:val="00D01FBA"/>
    <w:rsid w:val="00D02373"/>
    <w:rsid w:val="00D02532"/>
    <w:rsid w:val="00D02E2B"/>
    <w:rsid w:val="00D03078"/>
    <w:rsid w:val="00D03525"/>
    <w:rsid w:val="00D0359A"/>
    <w:rsid w:val="00D03B7F"/>
    <w:rsid w:val="00D03C75"/>
    <w:rsid w:val="00D03C9A"/>
    <w:rsid w:val="00D040E3"/>
    <w:rsid w:val="00D041D4"/>
    <w:rsid w:val="00D045AE"/>
    <w:rsid w:val="00D054DF"/>
    <w:rsid w:val="00D05ABE"/>
    <w:rsid w:val="00D05B94"/>
    <w:rsid w:val="00D0604C"/>
    <w:rsid w:val="00D06641"/>
    <w:rsid w:val="00D066B6"/>
    <w:rsid w:val="00D06881"/>
    <w:rsid w:val="00D06D04"/>
    <w:rsid w:val="00D07170"/>
    <w:rsid w:val="00D077EF"/>
    <w:rsid w:val="00D07853"/>
    <w:rsid w:val="00D079F1"/>
    <w:rsid w:val="00D101B7"/>
    <w:rsid w:val="00D101F3"/>
    <w:rsid w:val="00D105E0"/>
    <w:rsid w:val="00D10665"/>
    <w:rsid w:val="00D10D04"/>
    <w:rsid w:val="00D10D2C"/>
    <w:rsid w:val="00D10E27"/>
    <w:rsid w:val="00D1127D"/>
    <w:rsid w:val="00D1134A"/>
    <w:rsid w:val="00D11610"/>
    <w:rsid w:val="00D11AF6"/>
    <w:rsid w:val="00D11D11"/>
    <w:rsid w:val="00D12EFD"/>
    <w:rsid w:val="00D151B0"/>
    <w:rsid w:val="00D15231"/>
    <w:rsid w:val="00D1555C"/>
    <w:rsid w:val="00D156D3"/>
    <w:rsid w:val="00D15C2F"/>
    <w:rsid w:val="00D15F39"/>
    <w:rsid w:val="00D16186"/>
    <w:rsid w:val="00D16284"/>
    <w:rsid w:val="00D163A8"/>
    <w:rsid w:val="00D1673F"/>
    <w:rsid w:val="00D16C49"/>
    <w:rsid w:val="00D16D39"/>
    <w:rsid w:val="00D16E29"/>
    <w:rsid w:val="00D16FD6"/>
    <w:rsid w:val="00D173B8"/>
    <w:rsid w:val="00D17E13"/>
    <w:rsid w:val="00D20449"/>
    <w:rsid w:val="00D208B9"/>
    <w:rsid w:val="00D210BD"/>
    <w:rsid w:val="00D2113F"/>
    <w:rsid w:val="00D211B9"/>
    <w:rsid w:val="00D21687"/>
    <w:rsid w:val="00D21910"/>
    <w:rsid w:val="00D21A05"/>
    <w:rsid w:val="00D21B27"/>
    <w:rsid w:val="00D22332"/>
    <w:rsid w:val="00D2256D"/>
    <w:rsid w:val="00D227E7"/>
    <w:rsid w:val="00D23372"/>
    <w:rsid w:val="00D23C0A"/>
    <w:rsid w:val="00D24246"/>
    <w:rsid w:val="00D246CF"/>
    <w:rsid w:val="00D25731"/>
    <w:rsid w:val="00D26429"/>
    <w:rsid w:val="00D26707"/>
    <w:rsid w:val="00D26998"/>
    <w:rsid w:val="00D26DCD"/>
    <w:rsid w:val="00D26E27"/>
    <w:rsid w:val="00D2755C"/>
    <w:rsid w:val="00D30055"/>
    <w:rsid w:val="00D3079D"/>
    <w:rsid w:val="00D31F08"/>
    <w:rsid w:val="00D329A4"/>
    <w:rsid w:val="00D33182"/>
    <w:rsid w:val="00D332E0"/>
    <w:rsid w:val="00D33502"/>
    <w:rsid w:val="00D339A5"/>
    <w:rsid w:val="00D33A4F"/>
    <w:rsid w:val="00D33EFD"/>
    <w:rsid w:val="00D34092"/>
    <w:rsid w:val="00D343D8"/>
    <w:rsid w:val="00D349EF"/>
    <w:rsid w:val="00D35459"/>
    <w:rsid w:val="00D354C5"/>
    <w:rsid w:val="00D35A65"/>
    <w:rsid w:val="00D35A6E"/>
    <w:rsid w:val="00D35CFD"/>
    <w:rsid w:val="00D35E28"/>
    <w:rsid w:val="00D360FB"/>
    <w:rsid w:val="00D3617D"/>
    <w:rsid w:val="00D36DCA"/>
    <w:rsid w:val="00D36F2D"/>
    <w:rsid w:val="00D376AF"/>
    <w:rsid w:val="00D378BD"/>
    <w:rsid w:val="00D3794D"/>
    <w:rsid w:val="00D37A14"/>
    <w:rsid w:val="00D37F4C"/>
    <w:rsid w:val="00D40247"/>
    <w:rsid w:val="00D405EF"/>
    <w:rsid w:val="00D409FC"/>
    <w:rsid w:val="00D40DFC"/>
    <w:rsid w:val="00D4136D"/>
    <w:rsid w:val="00D41422"/>
    <w:rsid w:val="00D4152C"/>
    <w:rsid w:val="00D41702"/>
    <w:rsid w:val="00D41D34"/>
    <w:rsid w:val="00D42F53"/>
    <w:rsid w:val="00D4317D"/>
    <w:rsid w:val="00D434F3"/>
    <w:rsid w:val="00D43F17"/>
    <w:rsid w:val="00D44AE2"/>
    <w:rsid w:val="00D4539A"/>
    <w:rsid w:val="00D458F6"/>
    <w:rsid w:val="00D45EBB"/>
    <w:rsid w:val="00D46412"/>
    <w:rsid w:val="00D46FCD"/>
    <w:rsid w:val="00D474E6"/>
    <w:rsid w:val="00D47FE4"/>
    <w:rsid w:val="00D50330"/>
    <w:rsid w:val="00D504A8"/>
    <w:rsid w:val="00D50615"/>
    <w:rsid w:val="00D50B5F"/>
    <w:rsid w:val="00D510F2"/>
    <w:rsid w:val="00D51128"/>
    <w:rsid w:val="00D51279"/>
    <w:rsid w:val="00D512D5"/>
    <w:rsid w:val="00D5146E"/>
    <w:rsid w:val="00D51B53"/>
    <w:rsid w:val="00D51E50"/>
    <w:rsid w:val="00D52795"/>
    <w:rsid w:val="00D5325C"/>
    <w:rsid w:val="00D532F9"/>
    <w:rsid w:val="00D53307"/>
    <w:rsid w:val="00D53570"/>
    <w:rsid w:val="00D535FF"/>
    <w:rsid w:val="00D53812"/>
    <w:rsid w:val="00D53902"/>
    <w:rsid w:val="00D53AA0"/>
    <w:rsid w:val="00D546F4"/>
    <w:rsid w:val="00D54D85"/>
    <w:rsid w:val="00D55205"/>
    <w:rsid w:val="00D55503"/>
    <w:rsid w:val="00D56041"/>
    <w:rsid w:val="00D56588"/>
    <w:rsid w:val="00D56731"/>
    <w:rsid w:val="00D57522"/>
    <w:rsid w:val="00D57C71"/>
    <w:rsid w:val="00D6002B"/>
    <w:rsid w:val="00D60EBF"/>
    <w:rsid w:val="00D613CE"/>
    <w:rsid w:val="00D61491"/>
    <w:rsid w:val="00D61724"/>
    <w:rsid w:val="00D61F79"/>
    <w:rsid w:val="00D621A8"/>
    <w:rsid w:val="00D62B78"/>
    <w:rsid w:val="00D63406"/>
    <w:rsid w:val="00D63F91"/>
    <w:rsid w:val="00D64CB7"/>
    <w:rsid w:val="00D64CD7"/>
    <w:rsid w:val="00D658AD"/>
    <w:rsid w:val="00D65FF5"/>
    <w:rsid w:val="00D66636"/>
    <w:rsid w:val="00D66ABE"/>
    <w:rsid w:val="00D67490"/>
    <w:rsid w:val="00D67629"/>
    <w:rsid w:val="00D700CE"/>
    <w:rsid w:val="00D710A2"/>
    <w:rsid w:val="00D716C9"/>
    <w:rsid w:val="00D716E7"/>
    <w:rsid w:val="00D71D46"/>
    <w:rsid w:val="00D72D05"/>
    <w:rsid w:val="00D72D26"/>
    <w:rsid w:val="00D72F4F"/>
    <w:rsid w:val="00D72FB5"/>
    <w:rsid w:val="00D7322B"/>
    <w:rsid w:val="00D737DB"/>
    <w:rsid w:val="00D7385B"/>
    <w:rsid w:val="00D739B7"/>
    <w:rsid w:val="00D74025"/>
    <w:rsid w:val="00D7417D"/>
    <w:rsid w:val="00D747F3"/>
    <w:rsid w:val="00D74926"/>
    <w:rsid w:val="00D74E5E"/>
    <w:rsid w:val="00D74EEC"/>
    <w:rsid w:val="00D7508E"/>
    <w:rsid w:val="00D75397"/>
    <w:rsid w:val="00D7656C"/>
    <w:rsid w:val="00D771D4"/>
    <w:rsid w:val="00D77332"/>
    <w:rsid w:val="00D7735A"/>
    <w:rsid w:val="00D77495"/>
    <w:rsid w:val="00D775A9"/>
    <w:rsid w:val="00D776EC"/>
    <w:rsid w:val="00D7789F"/>
    <w:rsid w:val="00D77ABF"/>
    <w:rsid w:val="00D77E79"/>
    <w:rsid w:val="00D80040"/>
    <w:rsid w:val="00D806A8"/>
    <w:rsid w:val="00D80BE5"/>
    <w:rsid w:val="00D80F23"/>
    <w:rsid w:val="00D8172C"/>
    <w:rsid w:val="00D82BA2"/>
    <w:rsid w:val="00D830D8"/>
    <w:rsid w:val="00D83748"/>
    <w:rsid w:val="00D83D74"/>
    <w:rsid w:val="00D84150"/>
    <w:rsid w:val="00D842E9"/>
    <w:rsid w:val="00D846BE"/>
    <w:rsid w:val="00D84BCD"/>
    <w:rsid w:val="00D85334"/>
    <w:rsid w:val="00D85AD2"/>
    <w:rsid w:val="00D85C4B"/>
    <w:rsid w:val="00D862FC"/>
    <w:rsid w:val="00D86377"/>
    <w:rsid w:val="00D863A7"/>
    <w:rsid w:val="00D872D8"/>
    <w:rsid w:val="00D873E6"/>
    <w:rsid w:val="00D8764E"/>
    <w:rsid w:val="00D876A4"/>
    <w:rsid w:val="00D87A0C"/>
    <w:rsid w:val="00D87A8C"/>
    <w:rsid w:val="00D87B34"/>
    <w:rsid w:val="00D87B88"/>
    <w:rsid w:val="00D87C04"/>
    <w:rsid w:val="00D9064C"/>
    <w:rsid w:val="00D909A4"/>
    <w:rsid w:val="00D90C5C"/>
    <w:rsid w:val="00D9110B"/>
    <w:rsid w:val="00D91548"/>
    <w:rsid w:val="00D9180E"/>
    <w:rsid w:val="00D91CEB"/>
    <w:rsid w:val="00D91EDD"/>
    <w:rsid w:val="00D91FEF"/>
    <w:rsid w:val="00D9214B"/>
    <w:rsid w:val="00D928B8"/>
    <w:rsid w:val="00D92A12"/>
    <w:rsid w:val="00D9374E"/>
    <w:rsid w:val="00D93957"/>
    <w:rsid w:val="00D93A67"/>
    <w:rsid w:val="00D946DA"/>
    <w:rsid w:val="00D949D5"/>
    <w:rsid w:val="00D94B05"/>
    <w:rsid w:val="00D94B49"/>
    <w:rsid w:val="00D9510C"/>
    <w:rsid w:val="00D95546"/>
    <w:rsid w:val="00D95D16"/>
    <w:rsid w:val="00D963C7"/>
    <w:rsid w:val="00D965A7"/>
    <w:rsid w:val="00D96A80"/>
    <w:rsid w:val="00D96C6F"/>
    <w:rsid w:val="00D973A0"/>
    <w:rsid w:val="00D9751D"/>
    <w:rsid w:val="00D97547"/>
    <w:rsid w:val="00D97F9A"/>
    <w:rsid w:val="00DA010B"/>
    <w:rsid w:val="00DA01DA"/>
    <w:rsid w:val="00DA05F2"/>
    <w:rsid w:val="00DA0BBB"/>
    <w:rsid w:val="00DA0F4B"/>
    <w:rsid w:val="00DA1067"/>
    <w:rsid w:val="00DA145F"/>
    <w:rsid w:val="00DA1A3C"/>
    <w:rsid w:val="00DA1FFD"/>
    <w:rsid w:val="00DA24A1"/>
    <w:rsid w:val="00DA35A2"/>
    <w:rsid w:val="00DA3844"/>
    <w:rsid w:val="00DA3A94"/>
    <w:rsid w:val="00DA3EB1"/>
    <w:rsid w:val="00DA438B"/>
    <w:rsid w:val="00DA462B"/>
    <w:rsid w:val="00DA468C"/>
    <w:rsid w:val="00DA4AA0"/>
    <w:rsid w:val="00DA54DE"/>
    <w:rsid w:val="00DA6530"/>
    <w:rsid w:val="00DA6788"/>
    <w:rsid w:val="00DA6A87"/>
    <w:rsid w:val="00DA6E15"/>
    <w:rsid w:val="00DA72D6"/>
    <w:rsid w:val="00DA74F4"/>
    <w:rsid w:val="00DA74F8"/>
    <w:rsid w:val="00DA798E"/>
    <w:rsid w:val="00DA7BB1"/>
    <w:rsid w:val="00DA7BC8"/>
    <w:rsid w:val="00DB0531"/>
    <w:rsid w:val="00DB0BE1"/>
    <w:rsid w:val="00DB1186"/>
    <w:rsid w:val="00DB1E6B"/>
    <w:rsid w:val="00DB1F39"/>
    <w:rsid w:val="00DB2B1E"/>
    <w:rsid w:val="00DB2C8B"/>
    <w:rsid w:val="00DB38EB"/>
    <w:rsid w:val="00DB393C"/>
    <w:rsid w:val="00DB4063"/>
    <w:rsid w:val="00DB440F"/>
    <w:rsid w:val="00DB47AF"/>
    <w:rsid w:val="00DB4C1A"/>
    <w:rsid w:val="00DB5430"/>
    <w:rsid w:val="00DB54AB"/>
    <w:rsid w:val="00DB62CF"/>
    <w:rsid w:val="00DB692F"/>
    <w:rsid w:val="00DB69DF"/>
    <w:rsid w:val="00DB6EB0"/>
    <w:rsid w:val="00DB726C"/>
    <w:rsid w:val="00DB73D5"/>
    <w:rsid w:val="00DC0645"/>
    <w:rsid w:val="00DC0987"/>
    <w:rsid w:val="00DC0B10"/>
    <w:rsid w:val="00DC0C42"/>
    <w:rsid w:val="00DC161A"/>
    <w:rsid w:val="00DC1F58"/>
    <w:rsid w:val="00DC2F07"/>
    <w:rsid w:val="00DC3026"/>
    <w:rsid w:val="00DC30D5"/>
    <w:rsid w:val="00DC3270"/>
    <w:rsid w:val="00DC3419"/>
    <w:rsid w:val="00DC37F6"/>
    <w:rsid w:val="00DC3B58"/>
    <w:rsid w:val="00DC47BE"/>
    <w:rsid w:val="00DC4B9C"/>
    <w:rsid w:val="00DC50B3"/>
    <w:rsid w:val="00DC528D"/>
    <w:rsid w:val="00DC55AB"/>
    <w:rsid w:val="00DC56A8"/>
    <w:rsid w:val="00DC5AFA"/>
    <w:rsid w:val="00DC5C98"/>
    <w:rsid w:val="00DC609A"/>
    <w:rsid w:val="00DC6AD5"/>
    <w:rsid w:val="00DC6FB6"/>
    <w:rsid w:val="00DC770D"/>
    <w:rsid w:val="00DC7D40"/>
    <w:rsid w:val="00DD00D9"/>
    <w:rsid w:val="00DD0A63"/>
    <w:rsid w:val="00DD2058"/>
    <w:rsid w:val="00DD217A"/>
    <w:rsid w:val="00DD25AB"/>
    <w:rsid w:val="00DD2D1D"/>
    <w:rsid w:val="00DD3637"/>
    <w:rsid w:val="00DD3D53"/>
    <w:rsid w:val="00DD3DF7"/>
    <w:rsid w:val="00DD45DE"/>
    <w:rsid w:val="00DD478A"/>
    <w:rsid w:val="00DD4B44"/>
    <w:rsid w:val="00DD4B6C"/>
    <w:rsid w:val="00DD4D60"/>
    <w:rsid w:val="00DD4DC1"/>
    <w:rsid w:val="00DD503A"/>
    <w:rsid w:val="00DD508A"/>
    <w:rsid w:val="00DD526F"/>
    <w:rsid w:val="00DD55AA"/>
    <w:rsid w:val="00DD5CDF"/>
    <w:rsid w:val="00DD6B6C"/>
    <w:rsid w:val="00DD6BC4"/>
    <w:rsid w:val="00DD73C3"/>
    <w:rsid w:val="00DD740D"/>
    <w:rsid w:val="00DD77B2"/>
    <w:rsid w:val="00DD77E6"/>
    <w:rsid w:val="00DD78EB"/>
    <w:rsid w:val="00DD7C55"/>
    <w:rsid w:val="00DE03E2"/>
    <w:rsid w:val="00DE0DE2"/>
    <w:rsid w:val="00DE249A"/>
    <w:rsid w:val="00DE2636"/>
    <w:rsid w:val="00DE2B27"/>
    <w:rsid w:val="00DE362A"/>
    <w:rsid w:val="00DE3EB3"/>
    <w:rsid w:val="00DE3F44"/>
    <w:rsid w:val="00DE4000"/>
    <w:rsid w:val="00DE41A9"/>
    <w:rsid w:val="00DE4459"/>
    <w:rsid w:val="00DE4A84"/>
    <w:rsid w:val="00DE513D"/>
    <w:rsid w:val="00DE5303"/>
    <w:rsid w:val="00DE5CBF"/>
    <w:rsid w:val="00DE6A39"/>
    <w:rsid w:val="00DE70CA"/>
    <w:rsid w:val="00DE7998"/>
    <w:rsid w:val="00DE7DEA"/>
    <w:rsid w:val="00DE7E3A"/>
    <w:rsid w:val="00DE7FA1"/>
    <w:rsid w:val="00DE7FFE"/>
    <w:rsid w:val="00DF000E"/>
    <w:rsid w:val="00DF00C6"/>
    <w:rsid w:val="00DF02E1"/>
    <w:rsid w:val="00DF0636"/>
    <w:rsid w:val="00DF12ED"/>
    <w:rsid w:val="00DF1322"/>
    <w:rsid w:val="00DF133E"/>
    <w:rsid w:val="00DF1937"/>
    <w:rsid w:val="00DF1B28"/>
    <w:rsid w:val="00DF1CA0"/>
    <w:rsid w:val="00DF2049"/>
    <w:rsid w:val="00DF23AE"/>
    <w:rsid w:val="00DF2908"/>
    <w:rsid w:val="00DF2B9C"/>
    <w:rsid w:val="00DF3186"/>
    <w:rsid w:val="00DF33F0"/>
    <w:rsid w:val="00DF36D2"/>
    <w:rsid w:val="00DF4147"/>
    <w:rsid w:val="00DF4285"/>
    <w:rsid w:val="00DF4304"/>
    <w:rsid w:val="00DF4A32"/>
    <w:rsid w:val="00DF4A89"/>
    <w:rsid w:val="00DF4C0B"/>
    <w:rsid w:val="00DF5789"/>
    <w:rsid w:val="00DF5949"/>
    <w:rsid w:val="00DF5985"/>
    <w:rsid w:val="00DF59E2"/>
    <w:rsid w:val="00DF5AE2"/>
    <w:rsid w:val="00DF5E7E"/>
    <w:rsid w:val="00DF5EEE"/>
    <w:rsid w:val="00DF6485"/>
    <w:rsid w:val="00DF6CCA"/>
    <w:rsid w:val="00DF714E"/>
    <w:rsid w:val="00DF7A22"/>
    <w:rsid w:val="00DF7A53"/>
    <w:rsid w:val="00E00212"/>
    <w:rsid w:val="00E013B1"/>
    <w:rsid w:val="00E018A9"/>
    <w:rsid w:val="00E019C1"/>
    <w:rsid w:val="00E020F8"/>
    <w:rsid w:val="00E02F99"/>
    <w:rsid w:val="00E03290"/>
    <w:rsid w:val="00E03431"/>
    <w:rsid w:val="00E03A44"/>
    <w:rsid w:val="00E03B81"/>
    <w:rsid w:val="00E042E9"/>
    <w:rsid w:val="00E0448D"/>
    <w:rsid w:val="00E0453F"/>
    <w:rsid w:val="00E047A0"/>
    <w:rsid w:val="00E0492F"/>
    <w:rsid w:val="00E06162"/>
    <w:rsid w:val="00E066D6"/>
    <w:rsid w:val="00E06831"/>
    <w:rsid w:val="00E07B1C"/>
    <w:rsid w:val="00E102DF"/>
    <w:rsid w:val="00E1050E"/>
    <w:rsid w:val="00E10A0C"/>
    <w:rsid w:val="00E113AE"/>
    <w:rsid w:val="00E11425"/>
    <w:rsid w:val="00E119B8"/>
    <w:rsid w:val="00E11ACC"/>
    <w:rsid w:val="00E11C5B"/>
    <w:rsid w:val="00E11E7E"/>
    <w:rsid w:val="00E124C9"/>
    <w:rsid w:val="00E126E8"/>
    <w:rsid w:val="00E129AE"/>
    <w:rsid w:val="00E13A4D"/>
    <w:rsid w:val="00E13BB5"/>
    <w:rsid w:val="00E13C8E"/>
    <w:rsid w:val="00E13CAC"/>
    <w:rsid w:val="00E13DDF"/>
    <w:rsid w:val="00E13FF3"/>
    <w:rsid w:val="00E141CC"/>
    <w:rsid w:val="00E14726"/>
    <w:rsid w:val="00E148D0"/>
    <w:rsid w:val="00E14A75"/>
    <w:rsid w:val="00E14B82"/>
    <w:rsid w:val="00E15041"/>
    <w:rsid w:val="00E1511B"/>
    <w:rsid w:val="00E15152"/>
    <w:rsid w:val="00E15A3A"/>
    <w:rsid w:val="00E161B2"/>
    <w:rsid w:val="00E161B6"/>
    <w:rsid w:val="00E165D4"/>
    <w:rsid w:val="00E16888"/>
    <w:rsid w:val="00E1699F"/>
    <w:rsid w:val="00E16BD2"/>
    <w:rsid w:val="00E16C46"/>
    <w:rsid w:val="00E171AA"/>
    <w:rsid w:val="00E174B6"/>
    <w:rsid w:val="00E17B5D"/>
    <w:rsid w:val="00E20355"/>
    <w:rsid w:val="00E20D95"/>
    <w:rsid w:val="00E20EDF"/>
    <w:rsid w:val="00E214AC"/>
    <w:rsid w:val="00E215B1"/>
    <w:rsid w:val="00E217EB"/>
    <w:rsid w:val="00E21A39"/>
    <w:rsid w:val="00E221F0"/>
    <w:rsid w:val="00E22222"/>
    <w:rsid w:val="00E22C41"/>
    <w:rsid w:val="00E22CC6"/>
    <w:rsid w:val="00E23311"/>
    <w:rsid w:val="00E243C8"/>
    <w:rsid w:val="00E2443A"/>
    <w:rsid w:val="00E245BC"/>
    <w:rsid w:val="00E24908"/>
    <w:rsid w:val="00E24B85"/>
    <w:rsid w:val="00E24C6D"/>
    <w:rsid w:val="00E24D8A"/>
    <w:rsid w:val="00E254F3"/>
    <w:rsid w:val="00E255E2"/>
    <w:rsid w:val="00E256EE"/>
    <w:rsid w:val="00E25A48"/>
    <w:rsid w:val="00E25CEA"/>
    <w:rsid w:val="00E2603D"/>
    <w:rsid w:val="00E26248"/>
    <w:rsid w:val="00E2656A"/>
    <w:rsid w:val="00E26ADD"/>
    <w:rsid w:val="00E26C82"/>
    <w:rsid w:val="00E27606"/>
    <w:rsid w:val="00E27765"/>
    <w:rsid w:val="00E27DAF"/>
    <w:rsid w:val="00E3009E"/>
    <w:rsid w:val="00E301F1"/>
    <w:rsid w:val="00E304D3"/>
    <w:rsid w:val="00E3070D"/>
    <w:rsid w:val="00E307DE"/>
    <w:rsid w:val="00E30844"/>
    <w:rsid w:val="00E31966"/>
    <w:rsid w:val="00E31D04"/>
    <w:rsid w:val="00E31F39"/>
    <w:rsid w:val="00E320FD"/>
    <w:rsid w:val="00E3257C"/>
    <w:rsid w:val="00E331D4"/>
    <w:rsid w:val="00E334CA"/>
    <w:rsid w:val="00E33502"/>
    <w:rsid w:val="00E3370E"/>
    <w:rsid w:val="00E33807"/>
    <w:rsid w:val="00E34423"/>
    <w:rsid w:val="00E34C83"/>
    <w:rsid w:val="00E352F1"/>
    <w:rsid w:val="00E35CF9"/>
    <w:rsid w:val="00E35ED9"/>
    <w:rsid w:val="00E36564"/>
    <w:rsid w:val="00E36A0B"/>
    <w:rsid w:val="00E36D85"/>
    <w:rsid w:val="00E36FF2"/>
    <w:rsid w:val="00E37EAD"/>
    <w:rsid w:val="00E37FE1"/>
    <w:rsid w:val="00E404E3"/>
    <w:rsid w:val="00E40600"/>
    <w:rsid w:val="00E406F7"/>
    <w:rsid w:val="00E41149"/>
    <w:rsid w:val="00E41346"/>
    <w:rsid w:val="00E41735"/>
    <w:rsid w:val="00E41B61"/>
    <w:rsid w:val="00E42225"/>
    <w:rsid w:val="00E426E9"/>
    <w:rsid w:val="00E427B0"/>
    <w:rsid w:val="00E43302"/>
    <w:rsid w:val="00E43381"/>
    <w:rsid w:val="00E43A57"/>
    <w:rsid w:val="00E43FB3"/>
    <w:rsid w:val="00E4448F"/>
    <w:rsid w:val="00E44B2B"/>
    <w:rsid w:val="00E44ECA"/>
    <w:rsid w:val="00E44EF4"/>
    <w:rsid w:val="00E44F01"/>
    <w:rsid w:val="00E450F8"/>
    <w:rsid w:val="00E458F7"/>
    <w:rsid w:val="00E46ABB"/>
    <w:rsid w:val="00E46ECB"/>
    <w:rsid w:val="00E4718D"/>
    <w:rsid w:val="00E47A8E"/>
    <w:rsid w:val="00E5098F"/>
    <w:rsid w:val="00E50DA4"/>
    <w:rsid w:val="00E511C9"/>
    <w:rsid w:val="00E51BB7"/>
    <w:rsid w:val="00E51EBB"/>
    <w:rsid w:val="00E51F6E"/>
    <w:rsid w:val="00E52087"/>
    <w:rsid w:val="00E52A6A"/>
    <w:rsid w:val="00E52E03"/>
    <w:rsid w:val="00E530F6"/>
    <w:rsid w:val="00E5399B"/>
    <w:rsid w:val="00E53BA7"/>
    <w:rsid w:val="00E53EC2"/>
    <w:rsid w:val="00E54108"/>
    <w:rsid w:val="00E546C0"/>
    <w:rsid w:val="00E5504D"/>
    <w:rsid w:val="00E56710"/>
    <w:rsid w:val="00E5699B"/>
    <w:rsid w:val="00E57747"/>
    <w:rsid w:val="00E57ED1"/>
    <w:rsid w:val="00E6037B"/>
    <w:rsid w:val="00E60382"/>
    <w:rsid w:val="00E6076F"/>
    <w:rsid w:val="00E60AF2"/>
    <w:rsid w:val="00E60C1A"/>
    <w:rsid w:val="00E60CCE"/>
    <w:rsid w:val="00E61062"/>
    <w:rsid w:val="00E612A4"/>
    <w:rsid w:val="00E61549"/>
    <w:rsid w:val="00E61AFD"/>
    <w:rsid w:val="00E61F79"/>
    <w:rsid w:val="00E61FE0"/>
    <w:rsid w:val="00E6243B"/>
    <w:rsid w:val="00E62535"/>
    <w:rsid w:val="00E63740"/>
    <w:rsid w:val="00E6399E"/>
    <w:rsid w:val="00E63AD7"/>
    <w:rsid w:val="00E63CCA"/>
    <w:rsid w:val="00E63E65"/>
    <w:rsid w:val="00E64E32"/>
    <w:rsid w:val="00E64F8A"/>
    <w:rsid w:val="00E651B3"/>
    <w:rsid w:val="00E6562D"/>
    <w:rsid w:val="00E65951"/>
    <w:rsid w:val="00E65AB3"/>
    <w:rsid w:val="00E65C17"/>
    <w:rsid w:val="00E65CF5"/>
    <w:rsid w:val="00E66061"/>
    <w:rsid w:val="00E668FE"/>
    <w:rsid w:val="00E66BAB"/>
    <w:rsid w:val="00E66E73"/>
    <w:rsid w:val="00E67306"/>
    <w:rsid w:val="00E6751E"/>
    <w:rsid w:val="00E675B7"/>
    <w:rsid w:val="00E67ABA"/>
    <w:rsid w:val="00E702E2"/>
    <w:rsid w:val="00E7126F"/>
    <w:rsid w:val="00E714C9"/>
    <w:rsid w:val="00E719C0"/>
    <w:rsid w:val="00E7208C"/>
    <w:rsid w:val="00E7286D"/>
    <w:rsid w:val="00E72F50"/>
    <w:rsid w:val="00E735D2"/>
    <w:rsid w:val="00E73D13"/>
    <w:rsid w:val="00E74760"/>
    <w:rsid w:val="00E74AE5"/>
    <w:rsid w:val="00E74CEF"/>
    <w:rsid w:val="00E74D4E"/>
    <w:rsid w:val="00E75219"/>
    <w:rsid w:val="00E758A9"/>
    <w:rsid w:val="00E75D84"/>
    <w:rsid w:val="00E75E71"/>
    <w:rsid w:val="00E76030"/>
    <w:rsid w:val="00E764B7"/>
    <w:rsid w:val="00E770BA"/>
    <w:rsid w:val="00E776F5"/>
    <w:rsid w:val="00E77C2C"/>
    <w:rsid w:val="00E77D71"/>
    <w:rsid w:val="00E77EFE"/>
    <w:rsid w:val="00E802DB"/>
    <w:rsid w:val="00E8042D"/>
    <w:rsid w:val="00E80740"/>
    <w:rsid w:val="00E8079C"/>
    <w:rsid w:val="00E808E7"/>
    <w:rsid w:val="00E810D4"/>
    <w:rsid w:val="00E81501"/>
    <w:rsid w:val="00E81521"/>
    <w:rsid w:val="00E81675"/>
    <w:rsid w:val="00E817AD"/>
    <w:rsid w:val="00E81824"/>
    <w:rsid w:val="00E81F1C"/>
    <w:rsid w:val="00E82D9D"/>
    <w:rsid w:val="00E8395F"/>
    <w:rsid w:val="00E83AEF"/>
    <w:rsid w:val="00E83EAB"/>
    <w:rsid w:val="00E84751"/>
    <w:rsid w:val="00E84D0F"/>
    <w:rsid w:val="00E84E9F"/>
    <w:rsid w:val="00E85B9C"/>
    <w:rsid w:val="00E85E2F"/>
    <w:rsid w:val="00E85E46"/>
    <w:rsid w:val="00E865F7"/>
    <w:rsid w:val="00E870D8"/>
    <w:rsid w:val="00E87732"/>
    <w:rsid w:val="00E87B7B"/>
    <w:rsid w:val="00E90F8E"/>
    <w:rsid w:val="00E91197"/>
    <w:rsid w:val="00E912A1"/>
    <w:rsid w:val="00E912EB"/>
    <w:rsid w:val="00E91BAD"/>
    <w:rsid w:val="00E92039"/>
    <w:rsid w:val="00E92C3A"/>
    <w:rsid w:val="00E92EF7"/>
    <w:rsid w:val="00E939C7"/>
    <w:rsid w:val="00E9409C"/>
    <w:rsid w:val="00E951E9"/>
    <w:rsid w:val="00E956B1"/>
    <w:rsid w:val="00E9574D"/>
    <w:rsid w:val="00E95ACE"/>
    <w:rsid w:val="00E95B3F"/>
    <w:rsid w:val="00E95C75"/>
    <w:rsid w:val="00E9610A"/>
    <w:rsid w:val="00E9690F"/>
    <w:rsid w:val="00E96AC2"/>
    <w:rsid w:val="00E96B0A"/>
    <w:rsid w:val="00E96C60"/>
    <w:rsid w:val="00E96C6F"/>
    <w:rsid w:val="00E96D13"/>
    <w:rsid w:val="00E9744F"/>
    <w:rsid w:val="00E975F2"/>
    <w:rsid w:val="00E9770D"/>
    <w:rsid w:val="00E979A0"/>
    <w:rsid w:val="00E97A14"/>
    <w:rsid w:val="00E97CD8"/>
    <w:rsid w:val="00E97E73"/>
    <w:rsid w:val="00EA0452"/>
    <w:rsid w:val="00EA06A9"/>
    <w:rsid w:val="00EA095D"/>
    <w:rsid w:val="00EA11B9"/>
    <w:rsid w:val="00EA1443"/>
    <w:rsid w:val="00EA29D6"/>
    <w:rsid w:val="00EA3065"/>
    <w:rsid w:val="00EA32CC"/>
    <w:rsid w:val="00EA3899"/>
    <w:rsid w:val="00EA417E"/>
    <w:rsid w:val="00EA4505"/>
    <w:rsid w:val="00EA4A29"/>
    <w:rsid w:val="00EA4C01"/>
    <w:rsid w:val="00EA4E71"/>
    <w:rsid w:val="00EA555B"/>
    <w:rsid w:val="00EA632D"/>
    <w:rsid w:val="00EA6A79"/>
    <w:rsid w:val="00EA6B44"/>
    <w:rsid w:val="00EA6BA2"/>
    <w:rsid w:val="00EA6D68"/>
    <w:rsid w:val="00EA7F09"/>
    <w:rsid w:val="00EB0344"/>
    <w:rsid w:val="00EB0D94"/>
    <w:rsid w:val="00EB0E05"/>
    <w:rsid w:val="00EB11F9"/>
    <w:rsid w:val="00EB13C5"/>
    <w:rsid w:val="00EB2223"/>
    <w:rsid w:val="00EB24DF"/>
    <w:rsid w:val="00EB29D4"/>
    <w:rsid w:val="00EB2AF0"/>
    <w:rsid w:val="00EB2B63"/>
    <w:rsid w:val="00EB3132"/>
    <w:rsid w:val="00EB33B0"/>
    <w:rsid w:val="00EB33D1"/>
    <w:rsid w:val="00EB3525"/>
    <w:rsid w:val="00EB3D24"/>
    <w:rsid w:val="00EB492B"/>
    <w:rsid w:val="00EB4D81"/>
    <w:rsid w:val="00EB5033"/>
    <w:rsid w:val="00EB50E1"/>
    <w:rsid w:val="00EB5B36"/>
    <w:rsid w:val="00EB6CF8"/>
    <w:rsid w:val="00EB6FC5"/>
    <w:rsid w:val="00EB70F3"/>
    <w:rsid w:val="00EB72A1"/>
    <w:rsid w:val="00EB7449"/>
    <w:rsid w:val="00EB7496"/>
    <w:rsid w:val="00EB75E6"/>
    <w:rsid w:val="00EB7DBE"/>
    <w:rsid w:val="00EC0011"/>
    <w:rsid w:val="00EC04A8"/>
    <w:rsid w:val="00EC0879"/>
    <w:rsid w:val="00EC0EA8"/>
    <w:rsid w:val="00EC0F36"/>
    <w:rsid w:val="00EC1FF2"/>
    <w:rsid w:val="00EC232D"/>
    <w:rsid w:val="00EC238F"/>
    <w:rsid w:val="00EC26AB"/>
    <w:rsid w:val="00EC26B7"/>
    <w:rsid w:val="00EC2780"/>
    <w:rsid w:val="00EC2B53"/>
    <w:rsid w:val="00EC2E11"/>
    <w:rsid w:val="00EC3633"/>
    <w:rsid w:val="00EC36B9"/>
    <w:rsid w:val="00EC4350"/>
    <w:rsid w:val="00EC5201"/>
    <w:rsid w:val="00EC5247"/>
    <w:rsid w:val="00EC59CF"/>
    <w:rsid w:val="00EC5F96"/>
    <w:rsid w:val="00EC6421"/>
    <w:rsid w:val="00EC6B5C"/>
    <w:rsid w:val="00EC6E24"/>
    <w:rsid w:val="00EC6FFA"/>
    <w:rsid w:val="00EC7157"/>
    <w:rsid w:val="00EC71F3"/>
    <w:rsid w:val="00EC7400"/>
    <w:rsid w:val="00EC7729"/>
    <w:rsid w:val="00EC799E"/>
    <w:rsid w:val="00ED0382"/>
    <w:rsid w:val="00ED1A0D"/>
    <w:rsid w:val="00ED1C7E"/>
    <w:rsid w:val="00ED1FF3"/>
    <w:rsid w:val="00ED2877"/>
    <w:rsid w:val="00ED28BD"/>
    <w:rsid w:val="00ED2E1E"/>
    <w:rsid w:val="00ED3010"/>
    <w:rsid w:val="00ED3438"/>
    <w:rsid w:val="00ED34E5"/>
    <w:rsid w:val="00ED3560"/>
    <w:rsid w:val="00ED35AE"/>
    <w:rsid w:val="00ED3B5E"/>
    <w:rsid w:val="00ED421D"/>
    <w:rsid w:val="00ED4509"/>
    <w:rsid w:val="00ED4C86"/>
    <w:rsid w:val="00ED4D23"/>
    <w:rsid w:val="00ED5268"/>
    <w:rsid w:val="00ED5A46"/>
    <w:rsid w:val="00ED5D1E"/>
    <w:rsid w:val="00ED60F9"/>
    <w:rsid w:val="00ED6436"/>
    <w:rsid w:val="00ED657C"/>
    <w:rsid w:val="00ED6A0E"/>
    <w:rsid w:val="00ED6C1E"/>
    <w:rsid w:val="00ED74C4"/>
    <w:rsid w:val="00ED795C"/>
    <w:rsid w:val="00EE0A32"/>
    <w:rsid w:val="00EE0C38"/>
    <w:rsid w:val="00EE1998"/>
    <w:rsid w:val="00EE1A9D"/>
    <w:rsid w:val="00EE1D62"/>
    <w:rsid w:val="00EE1E03"/>
    <w:rsid w:val="00EE208E"/>
    <w:rsid w:val="00EE274C"/>
    <w:rsid w:val="00EE2A3D"/>
    <w:rsid w:val="00EE2F63"/>
    <w:rsid w:val="00EE358F"/>
    <w:rsid w:val="00EE3E84"/>
    <w:rsid w:val="00EE4068"/>
    <w:rsid w:val="00EE46E8"/>
    <w:rsid w:val="00EE6B5C"/>
    <w:rsid w:val="00EE756C"/>
    <w:rsid w:val="00EE7B9F"/>
    <w:rsid w:val="00EE7CA3"/>
    <w:rsid w:val="00EE7E0E"/>
    <w:rsid w:val="00EF0090"/>
    <w:rsid w:val="00EF1023"/>
    <w:rsid w:val="00EF1231"/>
    <w:rsid w:val="00EF1400"/>
    <w:rsid w:val="00EF167E"/>
    <w:rsid w:val="00EF185A"/>
    <w:rsid w:val="00EF1E51"/>
    <w:rsid w:val="00EF209C"/>
    <w:rsid w:val="00EF25C5"/>
    <w:rsid w:val="00EF26A4"/>
    <w:rsid w:val="00EF2B78"/>
    <w:rsid w:val="00EF2C35"/>
    <w:rsid w:val="00EF2EE4"/>
    <w:rsid w:val="00EF3BD2"/>
    <w:rsid w:val="00EF442A"/>
    <w:rsid w:val="00EF47F5"/>
    <w:rsid w:val="00EF4A3F"/>
    <w:rsid w:val="00EF4A72"/>
    <w:rsid w:val="00EF4B6C"/>
    <w:rsid w:val="00EF4F6E"/>
    <w:rsid w:val="00EF5169"/>
    <w:rsid w:val="00EF53E2"/>
    <w:rsid w:val="00EF556D"/>
    <w:rsid w:val="00EF5AA6"/>
    <w:rsid w:val="00EF6227"/>
    <w:rsid w:val="00EF6353"/>
    <w:rsid w:val="00EF648C"/>
    <w:rsid w:val="00EF6C29"/>
    <w:rsid w:val="00EF6C54"/>
    <w:rsid w:val="00EF6FAE"/>
    <w:rsid w:val="00EF724B"/>
    <w:rsid w:val="00EF7405"/>
    <w:rsid w:val="00EF76E5"/>
    <w:rsid w:val="00EF771B"/>
    <w:rsid w:val="00EF7F15"/>
    <w:rsid w:val="00F00207"/>
    <w:rsid w:val="00F00BE5"/>
    <w:rsid w:val="00F00F27"/>
    <w:rsid w:val="00F0183B"/>
    <w:rsid w:val="00F01BA1"/>
    <w:rsid w:val="00F01C53"/>
    <w:rsid w:val="00F02202"/>
    <w:rsid w:val="00F022DE"/>
    <w:rsid w:val="00F02C7F"/>
    <w:rsid w:val="00F0306F"/>
    <w:rsid w:val="00F0408E"/>
    <w:rsid w:val="00F047E6"/>
    <w:rsid w:val="00F04B45"/>
    <w:rsid w:val="00F04E35"/>
    <w:rsid w:val="00F060CF"/>
    <w:rsid w:val="00F061EF"/>
    <w:rsid w:val="00F063DE"/>
    <w:rsid w:val="00F06D03"/>
    <w:rsid w:val="00F06DB4"/>
    <w:rsid w:val="00F06DBB"/>
    <w:rsid w:val="00F06E36"/>
    <w:rsid w:val="00F07C9B"/>
    <w:rsid w:val="00F07EC8"/>
    <w:rsid w:val="00F07F00"/>
    <w:rsid w:val="00F101E0"/>
    <w:rsid w:val="00F10593"/>
    <w:rsid w:val="00F109D7"/>
    <w:rsid w:val="00F10F5D"/>
    <w:rsid w:val="00F11177"/>
    <w:rsid w:val="00F112EC"/>
    <w:rsid w:val="00F12550"/>
    <w:rsid w:val="00F12FF4"/>
    <w:rsid w:val="00F136CA"/>
    <w:rsid w:val="00F13E9E"/>
    <w:rsid w:val="00F143B0"/>
    <w:rsid w:val="00F1453B"/>
    <w:rsid w:val="00F150AC"/>
    <w:rsid w:val="00F150D2"/>
    <w:rsid w:val="00F1546E"/>
    <w:rsid w:val="00F1589B"/>
    <w:rsid w:val="00F16744"/>
    <w:rsid w:val="00F16F49"/>
    <w:rsid w:val="00F16F8E"/>
    <w:rsid w:val="00F17138"/>
    <w:rsid w:val="00F17204"/>
    <w:rsid w:val="00F17726"/>
    <w:rsid w:val="00F1773A"/>
    <w:rsid w:val="00F20EC5"/>
    <w:rsid w:val="00F21106"/>
    <w:rsid w:val="00F213E1"/>
    <w:rsid w:val="00F21D96"/>
    <w:rsid w:val="00F220AD"/>
    <w:rsid w:val="00F2210A"/>
    <w:rsid w:val="00F224B8"/>
    <w:rsid w:val="00F2252F"/>
    <w:rsid w:val="00F2295E"/>
    <w:rsid w:val="00F22E21"/>
    <w:rsid w:val="00F24251"/>
    <w:rsid w:val="00F24844"/>
    <w:rsid w:val="00F24B3C"/>
    <w:rsid w:val="00F24FFC"/>
    <w:rsid w:val="00F2558A"/>
    <w:rsid w:val="00F255B4"/>
    <w:rsid w:val="00F25A0F"/>
    <w:rsid w:val="00F25BD0"/>
    <w:rsid w:val="00F2664F"/>
    <w:rsid w:val="00F268A7"/>
    <w:rsid w:val="00F268D4"/>
    <w:rsid w:val="00F26AD0"/>
    <w:rsid w:val="00F26B0B"/>
    <w:rsid w:val="00F26D11"/>
    <w:rsid w:val="00F26D34"/>
    <w:rsid w:val="00F26D67"/>
    <w:rsid w:val="00F276A4"/>
    <w:rsid w:val="00F2798D"/>
    <w:rsid w:val="00F27B61"/>
    <w:rsid w:val="00F27D53"/>
    <w:rsid w:val="00F27E73"/>
    <w:rsid w:val="00F300C8"/>
    <w:rsid w:val="00F30670"/>
    <w:rsid w:val="00F3074E"/>
    <w:rsid w:val="00F30D82"/>
    <w:rsid w:val="00F30F3E"/>
    <w:rsid w:val="00F31147"/>
    <w:rsid w:val="00F31649"/>
    <w:rsid w:val="00F323EE"/>
    <w:rsid w:val="00F3350A"/>
    <w:rsid w:val="00F335F5"/>
    <w:rsid w:val="00F33C8A"/>
    <w:rsid w:val="00F33CB0"/>
    <w:rsid w:val="00F349BE"/>
    <w:rsid w:val="00F34C56"/>
    <w:rsid w:val="00F34EC2"/>
    <w:rsid w:val="00F35063"/>
    <w:rsid w:val="00F358CD"/>
    <w:rsid w:val="00F35919"/>
    <w:rsid w:val="00F3621D"/>
    <w:rsid w:val="00F36CB9"/>
    <w:rsid w:val="00F36CEF"/>
    <w:rsid w:val="00F36F03"/>
    <w:rsid w:val="00F37B5F"/>
    <w:rsid w:val="00F37BD5"/>
    <w:rsid w:val="00F4014B"/>
    <w:rsid w:val="00F40215"/>
    <w:rsid w:val="00F40269"/>
    <w:rsid w:val="00F404C0"/>
    <w:rsid w:val="00F408C9"/>
    <w:rsid w:val="00F40EA3"/>
    <w:rsid w:val="00F4158F"/>
    <w:rsid w:val="00F41AEC"/>
    <w:rsid w:val="00F41B34"/>
    <w:rsid w:val="00F41BB5"/>
    <w:rsid w:val="00F41E8C"/>
    <w:rsid w:val="00F4309C"/>
    <w:rsid w:val="00F43133"/>
    <w:rsid w:val="00F43135"/>
    <w:rsid w:val="00F43155"/>
    <w:rsid w:val="00F43862"/>
    <w:rsid w:val="00F44121"/>
    <w:rsid w:val="00F447F9"/>
    <w:rsid w:val="00F4563C"/>
    <w:rsid w:val="00F45D77"/>
    <w:rsid w:val="00F46410"/>
    <w:rsid w:val="00F4756E"/>
    <w:rsid w:val="00F47674"/>
    <w:rsid w:val="00F4776F"/>
    <w:rsid w:val="00F508FD"/>
    <w:rsid w:val="00F509E9"/>
    <w:rsid w:val="00F51062"/>
    <w:rsid w:val="00F51E6A"/>
    <w:rsid w:val="00F52339"/>
    <w:rsid w:val="00F525A0"/>
    <w:rsid w:val="00F528C4"/>
    <w:rsid w:val="00F52A2B"/>
    <w:rsid w:val="00F52A4C"/>
    <w:rsid w:val="00F52E42"/>
    <w:rsid w:val="00F533F7"/>
    <w:rsid w:val="00F53AEC"/>
    <w:rsid w:val="00F53BB2"/>
    <w:rsid w:val="00F53F0C"/>
    <w:rsid w:val="00F5438F"/>
    <w:rsid w:val="00F544BB"/>
    <w:rsid w:val="00F5458B"/>
    <w:rsid w:val="00F5509B"/>
    <w:rsid w:val="00F5597C"/>
    <w:rsid w:val="00F56334"/>
    <w:rsid w:val="00F567F1"/>
    <w:rsid w:val="00F568C6"/>
    <w:rsid w:val="00F57206"/>
    <w:rsid w:val="00F60004"/>
    <w:rsid w:val="00F6020C"/>
    <w:rsid w:val="00F60D55"/>
    <w:rsid w:val="00F6149A"/>
    <w:rsid w:val="00F61524"/>
    <w:rsid w:val="00F616A9"/>
    <w:rsid w:val="00F61C2C"/>
    <w:rsid w:val="00F623CB"/>
    <w:rsid w:val="00F6280F"/>
    <w:rsid w:val="00F62BB8"/>
    <w:rsid w:val="00F638AE"/>
    <w:rsid w:val="00F63BE2"/>
    <w:rsid w:val="00F63D33"/>
    <w:rsid w:val="00F64012"/>
    <w:rsid w:val="00F641CF"/>
    <w:rsid w:val="00F64275"/>
    <w:rsid w:val="00F64542"/>
    <w:rsid w:val="00F64652"/>
    <w:rsid w:val="00F64BCF"/>
    <w:rsid w:val="00F65459"/>
    <w:rsid w:val="00F6558C"/>
    <w:rsid w:val="00F664A4"/>
    <w:rsid w:val="00F665A0"/>
    <w:rsid w:val="00F666E6"/>
    <w:rsid w:val="00F667D0"/>
    <w:rsid w:val="00F6695C"/>
    <w:rsid w:val="00F66D52"/>
    <w:rsid w:val="00F671D0"/>
    <w:rsid w:val="00F67223"/>
    <w:rsid w:val="00F672D9"/>
    <w:rsid w:val="00F67442"/>
    <w:rsid w:val="00F67BD9"/>
    <w:rsid w:val="00F67CA3"/>
    <w:rsid w:val="00F67DC4"/>
    <w:rsid w:val="00F67E20"/>
    <w:rsid w:val="00F704FC"/>
    <w:rsid w:val="00F705FE"/>
    <w:rsid w:val="00F70792"/>
    <w:rsid w:val="00F70962"/>
    <w:rsid w:val="00F70F5C"/>
    <w:rsid w:val="00F7280D"/>
    <w:rsid w:val="00F72F48"/>
    <w:rsid w:val="00F731A4"/>
    <w:rsid w:val="00F731B4"/>
    <w:rsid w:val="00F732A9"/>
    <w:rsid w:val="00F73338"/>
    <w:rsid w:val="00F73782"/>
    <w:rsid w:val="00F738C4"/>
    <w:rsid w:val="00F739B4"/>
    <w:rsid w:val="00F73BFD"/>
    <w:rsid w:val="00F741B0"/>
    <w:rsid w:val="00F7451F"/>
    <w:rsid w:val="00F74566"/>
    <w:rsid w:val="00F74D36"/>
    <w:rsid w:val="00F7517F"/>
    <w:rsid w:val="00F752E4"/>
    <w:rsid w:val="00F757F4"/>
    <w:rsid w:val="00F75A7A"/>
    <w:rsid w:val="00F75B7C"/>
    <w:rsid w:val="00F76965"/>
    <w:rsid w:val="00F769E8"/>
    <w:rsid w:val="00F771D3"/>
    <w:rsid w:val="00F77589"/>
    <w:rsid w:val="00F775AE"/>
    <w:rsid w:val="00F7768E"/>
    <w:rsid w:val="00F778B1"/>
    <w:rsid w:val="00F779DA"/>
    <w:rsid w:val="00F77E08"/>
    <w:rsid w:val="00F8032F"/>
    <w:rsid w:val="00F80570"/>
    <w:rsid w:val="00F807C3"/>
    <w:rsid w:val="00F80A0F"/>
    <w:rsid w:val="00F80C1F"/>
    <w:rsid w:val="00F81423"/>
    <w:rsid w:val="00F81B62"/>
    <w:rsid w:val="00F81E9F"/>
    <w:rsid w:val="00F82460"/>
    <w:rsid w:val="00F82696"/>
    <w:rsid w:val="00F8371C"/>
    <w:rsid w:val="00F83812"/>
    <w:rsid w:val="00F8389E"/>
    <w:rsid w:val="00F83A64"/>
    <w:rsid w:val="00F83B1F"/>
    <w:rsid w:val="00F83B39"/>
    <w:rsid w:val="00F83BA9"/>
    <w:rsid w:val="00F845C8"/>
    <w:rsid w:val="00F84E85"/>
    <w:rsid w:val="00F85086"/>
    <w:rsid w:val="00F852A9"/>
    <w:rsid w:val="00F85537"/>
    <w:rsid w:val="00F86090"/>
    <w:rsid w:val="00F86804"/>
    <w:rsid w:val="00F86C3E"/>
    <w:rsid w:val="00F8764C"/>
    <w:rsid w:val="00F87C9B"/>
    <w:rsid w:val="00F87EBE"/>
    <w:rsid w:val="00F902BD"/>
    <w:rsid w:val="00F904BC"/>
    <w:rsid w:val="00F90AC2"/>
    <w:rsid w:val="00F918A8"/>
    <w:rsid w:val="00F91D19"/>
    <w:rsid w:val="00F91EB0"/>
    <w:rsid w:val="00F9220A"/>
    <w:rsid w:val="00F9296B"/>
    <w:rsid w:val="00F929C3"/>
    <w:rsid w:val="00F92AA5"/>
    <w:rsid w:val="00F937A5"/>
    <w:rsid w:val="00F93971"/>
    <w:rsid w:val="00F940B9"/>
    <w:rsid w:val="00F940F8"/>
    <w:rsid w:val="00F941CB"/>
    <w:rsid w:val="00F942BE"/>
    <w:rsid w:val="00F9492E"/>
    <w:rsid w:val="00F94A6A"/>
    <w:rsid w:val="00F94F57"/>
    <w:rsid w:val="00F952AC"/>
    <w:rsid w:val="00F95975"/>
    <w:rsid w:val="00F95CA9"/>
    <w:rsid w:val="00F968D6"/>
    <w:rsid w:val="00F970C8"/>
    <w:rsid w:val="00F97903"/>
    <w:rsid w:val="00F97AA8"/>
    <w:rsid w:val="00F97CCF"/>
    <w:rsid w:val="00FA09C3"/>
    <w:rsid w:val="00FA1142"/>
    <w:rsid w:val="00FA13A5"/>
    <w:rsid w:val="00FA15D4"/>
    <w:rsid w:val="00FA19DB"/>
    <w:rsid w:val="00FA1EEA"/>
    <w:rsid w:val="00FA205F"/>
    <w:rsid w:val="00FA220C"/>
    <w:rsid w:val="00FA25DA"/>
    <w:rsid w:val="00FA30A0"/>
    <w:rsid w:val="00FA4B94"/>
    <w:rsid w:val="00FA550D"/>
    <w:rsid w:val="00FA55B0"/>
    <w:rsid w:val="00FA5891"/>
    <w:rsid w:val="00FA59D9"/>
    <w:rsid w:val="00FA6BF0"/>
    <w:rsid w:val="00FA6C70"/>
    <w:rsid w:val="00FB07B0"/>
    <w:rsid w:val="00FB1794"/>
    <w:rsid w:val="00FB1BC7"/>
    <w:rsid w:val="00FB1BFC"/>
    <w:rsid w:val="00FB21F7"/>
    <w:rsid w:val="00FB249C"/>
    <w:rsid w:val="00FB2CA2"/>
    <w:rsid w:val="00FB320D"/>
    <w:rsid w:val="00FB32C5"/>
    <w:rsid w:val="00FB35CF"/>
    <w:rsid w:val="00FB376C"/>
    <w:rsid w:val="00FB3839"/>
    <w:rsid w:val="00FB3C57"/>
    <w:rsid w:val="00FB3EE6"/>
    <w:rsid w:val="00FB41CA"/>
    <w:rsid w:val="00FB4439"/>
    <w:rsid w:val="00FB503C"/>
    <w:rsid w:val="00FB584A"/>
    <w:rsid w:val="00FB591A"/>
    <w:rsid w:val="00FB5ABD"/>
    <w:rsid w:val="00FB5EF7"/>
    <w:rsid w:val="00FB6E68"/>
    <w:rsid w:val="00FB7551"/>
    <w:rsid w:val="00FC03A7"/>
    <w:rsid w:val="00FC0AF4"/>
    <w:rsid w:val="00FC12E1"/>
    <w:rsid w:val="00FC14DB"/>
    <w:rsid w:val="00FC289C"/>
    <w:rsid w:val="00FC29D4"/>
    <w:rsid w:val="00FC2A44"/>
    <w:rsid w:val="00FC2AFD"/>
    <w:rsid w:val="00FC3026"/>
    <w:rsid w:val="00FC3A23"/>
    <w:rsid w:val="00FC3A3A"/>
    <w:rsid w:val="00FC3B60"/>
    <w:rsid w:val="00FC3EF1"/>
    <w:rsid w:val="00FC45E0"/>
    <w:rsid w:val="00FC509B"/>
    <w:rsid w:val="00FC5977"/>
    <w:rsid w:val="00FC62D9"/>
    <w:rsid w:val="00FC67AD"/>
    <w:rsid w:val="00FC6D0F"/>
    <w:rsid w:val="00FC797A"/>
    <w:rsid w:val="00FD00ED"/>
    <w:rsid w:val="00FD03EE"/>
    <w:rsid w:val="00FD05CB"/>
    <w:rsid w:val="00FD0A6B"/>
    <w:rsid w:val="00FD0C67"/>
    <w:rsid w:val="00FD11C2"/>
    <w:rsid w:val="00FD1252"/>
    <w:rsid w:val="00FD1471"/>
    <w:rsid w:val="00FD16B4"/>
    <w:rsid w:val="00FD26AD"/>
    <w:rsid w:val="00FD2881"/>
    <w:rsid w:val="00FD291C"/>
    <w:rsid w:val="00FD294B"/>
    <w:rsid w:val="00FD2CBD"/>
    <w:rsid w:val="00FD37C3"/>
    <w:rsid w:val="00FD3B7D"/>
    <w:rsid w:val="00FD4BC2"/>
    <w:rsid w:val="00FD4C26"/>
    <w:rsid w:val="00FD4F9B"/>
    <w:rsid w:val="00FD6796"/>
    <w:rsid w:val="00FD6AA1"/>
    <w:rsid w:val="00FD6C57"/>
    <w:rsid w:val="00FD70B0"/>
    <w:rsid w:val="00FD7333"/>
    <w:rsid w:val="00FD74E6"/>
    <w:rsid w:val="00FD750B"/>
    <w:rsid w:val="00FD77B1"/>
    <w:rsid w:val="00FD78C4"/>
    <w:rsid w:val="00FD7E3F"/>
    <w:rsid w:val="00FE085F"/>
    <w:rsid w:val="00FE155A"/>
    <w:rsid w:val="00FE1B79"/>
    <w:rsid w:val="00FE21F7"/>
    <w:rsid w:val="00FE4CE8"/>
    <w:rsid w:val="00FE4DF5"/>
    <w:rsid w:val="00FE4FB4"/>
    <w:rsid w:val="00FE50D7"/>
    <w:rsid w:val="00FE5BE5"/>
    <w:rsid w:val="00FE64D1"/>
    <w:rsid w:val="00FE6984"/>
    <w:rsid w:val="00FE6ED4"/>
    <w:rsid w:val="00FE7866"/>
    <w:rsid w:val="00FE7D5B"/>
    <w:rsid w:val="00FE7E5C"/>
    <w:rsid w:val="00FF0920"/>
    <w:rsid w:val="00FF0E97"/>
    <w:rsid w:val="00FF121D"/>
    <w:rsid w:val="00FF1A0D"/>
    <w:rsid w:val="00FF1E06"/>
    <w:rsid w:val="00FF21BB"/>
    <w:rsid w:val="00FF282B"/>
    <w:rsid w:val="00FF3838"/>
    <w:rsid w:val="00FF3A0F"/>
    <w:rsid w:val="00FF3CD7"/>
    <w:rsid w:val="00FF403F"/>
    <w:rsid w:val="00FF4758"/>
    <w:rsid w:val="00FF4CF9"/>
    <w:rsid w:val="00FF4E58"/>
    <w:rsid w:val="00FF4F33"/>
    <w:rsid w:val="00FF4F4D"/>
    <w:rsid w:val="00FF588A"/>
    <w:rsid w:val="00FF62B7"/>
    <w:rsid w:val="00FF7138"/>
    <w:rsid w:val="00FF74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62323E6"/>
  <w15:chartTrackingRefBased/>
  <w15:docId w15:val="{88A7AA02-A2D2-EC47-8CDA-191A5626A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3C2"/>
    <w:rPr>
      <w:rFonts w:ascii="Times New Roman" w:eastAsia="Times New Roman" w:hAnsi="Times New Roman" w:cs="Times New Roman"/>
    </w:rPr>
  </w:style>
  <w:style w:type="paragraph" w:styleId="Heading1">
    <w:name w:val="heading 1"/>
    <w:basedOn w:val="Normal"/>
    <w:next w:val="Normal"/>
    <w:link w:val="Heading1Char"/>
    <w:uiPriority w:val="9"/>
    <w:qFormat/>
    <w:rsid w:val="00791D13"/>
    <w:pPr>
      <w:keepNext/>
      <w:keepLines/>
      <w:spacing w:before="240" w:beforeAutospacing="1" w:after="100" w:afterAutospacing="1" w:line="480" w:lineRule="auto"/>
      <w:ind w:firstLine="720"/>
      <w:jc w:val="both"/>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91D13"/>
    <w:pPr>
      <w:keepNext/>
      <w:keepLines/>
      <w:spacing w:before="40" w:beforeAutospacing="1" w:afterAutospacing="1" w:line="480" w:lineRule="auto"/>
      <w:ind w:firstLine="720"/>
      <w:jc w:val="both"/>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91D13"/>
    <w:pPr>
      <w:keepNext/>
      <w:keepLines/>
      <w:spacing w:before="40" w:beforeAutospacing="1" w:afterAutospacing="1" w:line="480" w:lineRule="auto"/>
      <w:ind w:firstLine="720"/>
      <w:jc w:val="both"/>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91D13"/>
    <w:pPr>
      <w:keepNext/>
      <w:keepLines/>
      <w:spacing w:before="40" w:beforeAutospacing="1" w:after="100" w:afterAutospacing="1" w:line="480" w:lineRule="auto"/>
      <w:ind w:firstLine="720"/>
      <w:jc w:val="both"/>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238C4"/>
    <w:pPr>
      <w:autoSpaceDE w:val="0"/>
      <w:autoSpaceDN w:val="0"/>
      <w:adjustRightInd w:val="0"/>
    </w:pPr>
    <w:rPr>
      <w:rFonts w:ascii="Times New Roman" w:hAnsi="Times New Roman" w:cs="Times New Roman"/>
      <w:color w:val="000000"/>
    </w:rPr>
  </w:style>
  <w:style w:type="paragraph" w:styleId="Footer">
    <w:name w:val="footer"/>
    <w:basedOn w:val="Normal"/>
    <w:link w:val="FooterChar"/>
    <w:uiPriority w:val="99"/>
    <w:unhideWhenUsed/>
    <w:rsid w:val="00274D42"/>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274D42"/>
  </w:style>
  <w:style w:type="character" w:styleId="PageNumber">
    <w:name w:val="page number"/>
    <w:basedOn w:val="DefaultParagraphFont"/>
    <w:uiPriority w:val="99"/>
    <w:semiHidden/>
    <w:unhideWhenUsed/>
    <w:rsid w:val="00274D42"/>
  </w:style>
  <w:style w:type="paragraph" w:styleId="Header">
    <w:name w:val="header"/>
    <w:basedOn w:val="Normal"/>
    <w:link w:val="HeaderChar"/>
    <w:uiPriority w:val="99"/>
    <w:unhideWhenUsed/>
    <w:rsid w:val="00C736D4"/>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C736D4"/>
  </w:style>
  <w:style w:type="character" w:customStyle="1" w:styleId="Heading1Char">
    <w:name w:val="Heading 1 Char"/>
    <w:basedOn w:val="DefaultParagraphFont"/>
    <w:link w:val="Heading1"/>
    <w:uiPriority w:val="9"/>
    <w:rsid w:val="00791D1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91D1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91D13"/>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791D13"/>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791D13"/>
    <w:pPr>
      <w:spacing w:before="100" w:beforeAutospacing="1" w:after="100" w:afterAutospacing="1" w:line="480" w:lineRule="auto"/>
      <w:ind w:firstLine="720"/>
      <w:jc w:val="both"/>
    </w:pPr>
  </w:style>
  <w:style w:type="paragraph" w:styleId="Bibliography">
    <w:name w:val="Bibliography"/>
    <w:basedOn w:val="Normal"/>
    <w:next w:val="Normal"/>
    <w:uiPriority w:val="37"/>
    <w:unhideWhenUsed/>
    <w:rsid w:val="00791D13"/>
    <w:pPr>
      <w:tabs>
        <w:tab w:val="left" w:pos="380"/>
        <w:tab w:val="left" w:pos="500"/>
      </w:tabs>
      <w:spacing w:before="100" w:beforeAutospacing="1" w:afterAutospacing="1" w:line="480" w:lineRule="auto"/>
      <w:ind w:left="504" w:hanging="504"/>
      <w:jc w:val="both"/>
    </w:pPr>
    <w:rPr>
      <w:rFonts w:asciiTheme="minorHAnsi" w:eastAsiaTheme="minorHAnsi" w:hAnsiTheme="minorHAnsi" w:cstheme="minorBidi"/>
    </w:rPr>
  </w:style>
  <w:style w:type="table" w:styleId="TableGrid">
    <w:name w:val="Table Grid"/>
    <w:basedOn w:val="TableNormal"/>
    <w:uiPriority w:val="39"/>
    <w:rsid w:val="00791D13"/>
    <w:pPr>
      <w:spacing w:before="100" w:beforeAutospacing="1" w:after="100" w:afterAutospacing="1" w:line="48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3">
    <w:name w:val="Grid Table 1 Light Accent 3"/>
    <w:basedOn w:val="TableNormal"/>
    <w:uiPriority w:val="46"/>
    <w:rsid w:val="00791D13"/>
    <w:pPr>
      <w:spacing w:before="100" w:beforeAutospacing="1" w:after="100" w:afterAutospacing="1" w:line="480" w:lineRule="auto"/>
      <w:ind w:firstLine="720"/>
      <w:jc w:val="both"/>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91D13"/>
    <w:pPr>
      <w:spacing w:before="100" w:beforeAutospacing="1" w:after="100" w:afterAutospacing="1" w:line="480" w:lineRule="auto"/>
      <w:ind w:firstLine="720"/>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791D13"/>
    <w:pPr>
      <w:spacing w:before="100" w:beforeAutospacing="1" w:after="100" w:afterAutospacing="1" w:line="480" w:lineRule="auto"/>
      <w:ind w:firstLine="720"/>
      <w:jc w:val="both"/>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791D13"/>
    <w:rPr>
      <w:sz w:val="16"/>
      <w:szCs w:val="16"/>
    </w:rPr>
  </w:style>
  <w:style w:type="paragraph" w:styleId="CommentText">
    <w:name w:val="annotation text"/>
    <w:basedOn w:val="Normal"/>
    <w:link w:val="CommentTextChar"/>
    <w:uiPriority w:val="99"/>
    <w:unhideWhenUsed/>
    <w:rsid w:val="00791D13"/>
    <w:pPr>
      <w:spacing w:before="100" w:beforeAutospacing="1" w:after="100" w:afterAutospacing="1" w:line="480" w:lineRule="auto"/>
      <w:ind w:firstLine="720"/>
      <w:jc w:val="both"/>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791D13"/>
    <w:rPr>
      <w:sz w:val="20"/>
      <w:szCs w:val="20"/>
    </w:rPr>
  </w:style>
  <w:style w:type="paragraph" w:styleId="CommentSubject">
    <w:name w:val="annotation subject"/>
    <w:basedOn w:val="CommentText"/>
    <w:next w:val="CommentText"/>
    <w:link w:val="CommentSubjectChar"/>
    <w:uiPriority w:val="99"/>
    <w:semiHidden/>
    <w:unhideWhenUsed/>
    <w:rsid w:val="00791D13"/>
    <w:rPr>
      <w:b/>
      <w:bCs/>
    </w:rPr>
  </w:style>
  <w:style w:type="character" w:customStyle="1" w:styleId="CommentSubjectChar">
    <w:name w:val="Comment Subject Char"/>
    <w:basedOn w:val="CommentTextChar"/>
    <w:link w:val="CommentSubject"/>
    <w:uiPriority w:val="99"/>
    <w:semiHidden/>
    <w:rsid w:val="00791D13"/>
    <w:rPr>
      <w:b/>
      <w:bCs/>
      <w:sz w:val="20"/>
      <w:szCs w:val="20"/>
    </w:rPr>
  </w:style>
  <w:style w:type="table" w:styleId="PlainTable3">
    <w:name w:val="Plain Table 3"/>
    <w:basedOn w:val="TableNormal"/>
    <w:uiPriority w:val="43"/>
    <w:rsid w:val="00791D13"/>
    <w:pPr>
      <w:spacing w:before="100" w:beforeAutospacing="1" w:after="100" w:afterAutospacing="1" w:line="480" w:lineRule="auto"/>
      <w:ind w:firstLine="720"/>
      <w:jc w:val="both"/>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arkedcontent">
    <w:name w:val="markedcontent"/>
    <w:basedOn w:val="DefaultParagraphFont"/>
    <w:rsid w:val="00791D13"/>
  </w:style>
  <w:style w:type="character" w:styleId="Hyperlink">
    <w:name w:val="Hyperlink"/>
    <w:basedOn w:val="DefaultParagraphFont"/>
    <w:uiPriority w:val="99"/>
    <w:unhideWhenUsed/>
    <w:rsid w:val="00791D13"/>
    <w:rPr>
      <w:color w:val="0563C1" w:themeColor="hyperlink"/>
      <w:u w:val="single"/>
    </w:rPr>
  </w:style>
  <w:style w:type="character" w:styleId="UnresolvedMention">
    <w:name w:val="Unresolved Mention"/>
    <w:basedOn w:val="DefaultParagraphFont"/>
    <w:uiPriority w:val="99"/>
    <w:semiHidden/>
    <w:unhideWhenUsed/>
    <w:rsid w:val="00791D13"/>
    <w:rPr>
      <w:color w:val="605E5C"/>
      <w:shd w:val="clear" w:color="auto" w:fill="E1DFDD"/>
    </w:rPr>
  </w:style>
  <w:style w:type="character" w:styleId="FollowedHyperlink">
    <w:name w:val="FollowedHyperlink"/>
    <w:basedOn w:val="DefaultParagraphFont"/>
    <w:uiPriority w:val="99"/>
    <w:semiHidden/>
    <w:unhideWhenUsed/>
    <w:rsid w:val="00791D13"/>
    <w:rPr>
      <w:color w:val="954F72" w:themeColor="followedHyperlink"/>
      <w:u w:val="single"/>
    </w:rPr>
  </w:style>
  <w:style w:type="paragraph" w:styleId="ListParagraph">
    <w:name w:val="List Paragraph"/>
    <w:basedOn w:val="Normal"/>
    <w:uiPriority w:val="34"/>
    <w:qFormat/>
    <w:rsid w:val="00791D13"/>
    <w:pPr>
      <w:spacing w:before="100" w:beforeAutospacing="1" w:after="100" w:afterAutospacing="1" w:line="480" w:lineRule="auto"/>
      <w:ind w:left="720" w:firstLine="720"/>
      <w:contextualSpacing/>
      <w:jc w:val="both"/>
    </w:pPr>
  </w:style>
  <w:style w:type="paragraph" w:styleId="TOCHeading">
    <w:name w:val="TOC Heading"/>
    <w:basedOn w:val="Heading1"/>
    <w:next w:val="Normal"/>
    <w:uiPriority w:val="39"/>
    <w:unhideWhenUsed/>
    <w:qFormat/>
    <w:rsid w:val="00791D13"/>
    <w:pPr>
      <w:spacing w:before="480" w:line="276" w:lineRule="auto"/>
      <w:outlineLvl w:val="9"/>
    </w:pPr>
    <w:rPr>
      <w:b/>
      <w:bCs/>
      <w:sz w:val="28"/>
      <w:szCs w:val="28"/>
    </w:rPr>
  </w:style>
  <w:style w:type="paragraph" w:styleId="TOC1">
    <w:name w:val="toc 1"/>
    <w:basedOn w:val="Normal"/>
    <w:next w:val="Normal"/>
    <w:autoRedefine/>
    <w:uiPriority w:val="39"/>
    <w:unhideWhenUsed/>
    <w:rsid w:val="00791D13"/>
    <w:pPr>
      <w:spacing w:before="120"/>
    </w:pPr>
    <w:rPr>
      <w:rFonts w:asciiTheme="minorHAnsi" w:eastAsiaTheme="minorHAnsi" w:hAnsiTheme="minorHAnsi" w:cstheme="minorHAnsi"/>
      <w:b/>
      <w:bCs/>
      <w:i/>
      <w:iCs/>
    </w:rPr>
  </w:style>
  <w:style w:type="paragraph" w:styleId="TOC2">
    <w:name w:val="toc 2"/>
    <w:basedOn w:val="Normal"/>
    <w:next w:val="Normal"/>
    <w:autoRedefine/>
    <w:uiPriority w:val="39"/>
    <w:unhideWhenUsed/>
    <w:rsid w:val="00791D13"/>
    <w:pPr>
      <w:spacing w:before="120"/>
      <w:ind w:left="240"/>
    </w:pPr>
    <w:rPr>
      <w:rFonts w:asciiTheme="minorHAnsi" w:eastAsiaTheme="minorHAnsi" w:hAnsiTheme="minorHAnsi" w:cstheme="minorHAnsi"/>
      <w:b/>
      <w:bCs/>
      <w:sz w:val="22"/>
      <w:szCs w:val="22"/>
    </w:rPr>
  </w:style>
  <w:style w:type="paragraph" w:styleId="TOC3">
    <w:name w:val="toc 3"/>
    <w:basedOn w:val="Normal"/>
    <w:next w:val="Normal"/>
    <w:autoRedefine/>
    <w:uiPriority w:val="39"/>
    <w:unhideWhenUsed/>
    <w:rsid w:val="00791D13"/>
    <w:pPr>
      <w:ind w:left="480"/>
    </w:pPr>
    <w:rPr>
      <w:rFonts w:asciiTheme="minorHAnsi" w:eastAsiaTheme="minorHAnsi" w:hAnsiTheme="minorHAnsi" w:cstheme="minorHAnsi"/>
      <w:sz w:val="20"/>
      <w:szCs w:val="20"/>
    </w:rPr>
  </w:style>
  <w:style w:type="paragraph" w:styleId="TOC4">
    <w:name w:val="toc 4"/>
    <w:basedOn w:val="Normal"/>
    <w:next w:val="Normal"/>
    <w:autoRedefine/>
    <w:uiPriority w:val="39"/>
    <w:unhideWhenUsed/>
    <w:rsid w:val="00791D13"/>
    <w:pPr>
      <w:ind w:left="720"/>
    </w:pPr>
    <w:rPr>
      <w:rFonts w:asciiTheme="minorHAnsi" w:eastAsiaTheme="minorHAnsi" w:hAnsiTheme="minorHAnsi" w:cstheme="minorHAnsi"/>
      <w:sz w:val="20"/>
      <w:szCs w:val="20"/>
    </w:rPr>
  </w:style>
  <w:style w:type="paragraph" w:styleId="TOC5">
    <w:name w:val="toc 5"/>
    <w:basedOn w:val="Normal"/>
    <w:next w:val="Normal"/>
    <w:autoRedefine/>
    <w:uiPriority w:val="39"/>
    <w:unhideWhenUsed/>
    <w:rsid w:val="00791D13"/>
    <w:pPr>
      <w:ind w:left="960"/>
    </w:pPr>
    <w:rPr>
      <w:rFonts w:asciiTheme="minorHAnsi" w:eastAsiaTheme="minorHAnsi" w:hAnsiTheme="minorHAnsi" w:cstheme="minorHAnsi"/>
      <w:sz w:val="20"/>
      <w:szCs w:val="20"/>
    </w:rPr>
  </w:style>
  <w:style w:type="paragraph" w:styleId="TOC6">
    <w:name w:val="toc 6"/>
    <w:basedOn w:val="Normal"/>
    <w:next w:val="Normal"/>
    <w:autoRedefine/>
    <w:uiPriority w:val="39"/>
    <w:unhideWhenUsed/>
    <w:rsid w:val="00791D13"/>
    <w:pPr>
      <w:ind w:left="1200"/>
    </w:pPr>
    <w:rPr>
      <w:rFonts w:asciiTheme="minorHAnsi" w:eastAsiaTheme="minorHAnsi" w:hAnsiTheme="minorHAnsi" w:cstheme="minorHAnsi"/>
      <w:sz w:val="20"/>
      <w:szCs w:val="20"/>
    </w:rPr>
  </w:style>
  <w:style w:type="paragraph" w:styleId="TOC7">
    <w:name w:val="toc 7"/>
    <w:basedOn w:val="Normal"/>
    <w:next w:val="Normal"/>
    <w:autoRedefine/>
    <w:uiPriority w:val="39"/>
    <w:unhideWhenUsed/>
    <w:rsid w:val="00791D13"/>
    <w:pPr>
      <w:ind w:left="1440"/>
    </w:pPr>
    <w:rPr>
      <w:rFonts w:asciiTheme="minorHAnsi" w:eastAsiaTheme="minorHAnsi" w:hAnsiTheme="minorHAnsi" w:cstheme="minorHAnsi"/>
      <w:sz w:val="20"/>
      <w:szCs w:val="20"/>
    </w:rPr>
  </w:style>
  <w:style w:type="paragraph" w:styleId="TOC8">
    <w:name w:val="toc 8"/>
    <w:basedOn w:val="Normal"/>
    <w:next w:val="Normal"/>
    <w:autoRedefine/>
    <w:uiPriority w:val="39"/>
    <w:unhideWhenUsed/>
    <w:rsid w:val="00791D13"/>
    <w:pPr>
      <w:ind w:left="1680"/>
    </w:pPr>
    <w:rPr>
      <w:rFonts w:asciiTheme="minorHAnsi" w:eastAsiaTheme="minorHAnsi" w:hAnsiTheme="minorHAnsi" w:cstheme="minorHAnsi"/>
      <w:sz w:val="20"/>
      <w:szCs w:val="20"/>
    </w:rPr>
  </w:style>
  <w:style w:type="paragraph" w:styleId="TOC9">
    <w:name w:val="toc 9"/>
    <w:basedOn w:val="Normal"/>
    <w:next w:val="Normal"/>
    <w:autoRedefine/>
    <w:uiPriority w:val="39"/>
    <w:unhideWhenUsed/>
    <w:rsid w:val="00791D13"/>
    <w:pPr>
      <w:ind w:left="1920"/>
    </w:pPr>
    <w:rPr>
      <w:rFonts w:asciiTheme="minorHAnsi" w:eastAsiaTheme="minorHAnsi" w:hAnsiTheme="minorHAnsi" w:cstheme="minorHAnsi"/>
      <w:sz w:val="20"/>
      <w:szCs w:val="20"/>
    </w:rPr>
  </w:style>
  <w:style w:type="character" w:styleId="Strong">
    <w:name w:val="Strong"/>
    <w:basedOn w:val="DefaultParagraphFont"/>
    <w:uiPriority w:val="22"/>
    <w:qFormat/>
    <w:rsid w:val="00791D13"/>
    <w:rPr>
      <w:b/>
      <w:bCs/>
    </w:rPr>
  </w:style>
  <w:style w:type="character" w:customStyle="1" w:styleId="fs6">
    <w:name w:val="fs6"/>
    <w:basedOn w:val="DefaultParagraphFont"/>
    <w:rsid w:val="00791D13"/>
  </w:style>
  <w:style w:type="character" w:customStyle="1" w:styleId="v0">
    <w:name w:val="v0"/>
    <w:basedOn w:val="DefaultParagraphFont"/>
    <w:rsid w:val="00791D13"/>
  </w:style>
  <w:style w:type="character" w:customStyle="1" w:styleId="ff5">
    <w:name w:val="ff5"/>
    <w:basedOn w:val="DefaultParagraphFont"/>
    <w:rsid w:val="00791D13"/>
  </w:style>
  <w:style w:type="character" w:customStyle="1" w:styleId="ff3">
    <w:name w:val="ff3"/>
    <w:basedOn w:val="DefaultParagraphFont"/>
    <w:rsid w:val="00791D13"/>
  </w:style>
  <w:style w:type="table" w:styleId="PlainTable1">
    <w:name w:val="Plain Table 1"/>
    <w:basedOn w:val="TableNormal"/>
    <w:uiPriority w:val="41"/>
    <w:rsid w:val="00791D13"/>
    <w:pPr>
      <w:spacing w:before="100" w:beforeAutospacing="1" w:after="100" w:afterAutospacing="1" w:line="480" w:lineRule="auto"/>
      <w:ind w:firstLine="720"/>
      <w:jc w:val="both"/>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791D13"/>
    <w:pPr>
      <w:spacing w:before="100" w:beforeAutospacing="1" w:after="100" w:afterAutospacing="1" w:line="480" w:lineRule="auto"/>
      <w:ind w:firstLine="720"/>
      <w:jc w:val="both"/>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791D13"/>
    <w:pPr>
      <w:spacing w:before="100" w:beforeAutospacing="1" w:after="100" w:afterAutospacing="1" w:line="480" w:lineRule="auto"/>
      <w:ind w:firstLine="720"/>
      <w:jc w:val="both"/>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Accent3">
    <w:name w:val="Grid Table 6 Colorful Accent 3"/>
    <w:basedOn w:val="TableNormal"/>
    <w:uiPriority w:val="51"/>
    <w:rsid w:val="00791D13"/>
    <w:pPr>
      <w:spacing w:before="100" w:beforeAutospacing="1" w:after="100" w:afterAutospacing="1" w:line="480" w:lineRule="auto"/>
      <w:ind w:firstLine="720"/>
      <w:jc w:val="both"/>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
    <w:name w:val="Grid Table 2"/>
    <w:basedOn w:val="TableNormal"/>
    <w:uiPriority w:val="47"/>
    <w:rsid w:val="00791D13"/>
    <w:pPr>
      <w:spacing w:before="100" w:beforeAutospacing="1" w:after="100" w:afterAutospacing="1" w:line="480" w:lineRule="auto"/>
      <w:ind w:firstLine="720"/>
      <w:jc w:val="both"/>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791D13"/>
    <w:rPr>
      <w:color w:val="808080"/>
    </w:rPr>
  </w:style>
  <w:style w:type="paragraph" w:styleId="Caption">
    <w:name w:val="caption"/>
    <w:basedOn w:val="Normal"/>
    <w:next w:val="Normal"/>
    <w:uiPriority w:val="35"/>
    <w:unhideWhenUsed/>
    <w:qFormat/>
    <w:rsid w:val="0031153F"/>
    <w:pPr>
      <w:spacing w:after="200"/>
    </w:pPr>
    <w:rPr>
      <w:rFonts w:asciiTheme="minorHAnsi" w:eastAsiaTheme="minorHAnsi" w:hAnsiTheme="minorHAnsi" w:cstheme="minorBidi"/>
      <w:i/>
      <w:iCs/>
      <w:color w:val="44546A" w:themeColor="text2"/>
      <w:sz w:val="18"/>
      <w:szCs w:val="18"/>
    </w:rPr>
  </w:style>
  <w:style w:type="character" w:customStyle="1" w:styleId="hgkelc">
    <w:name w:val="hgkelc"/>
    <w:basedOn w:val="DefaultParagraphFont"/>
    <w:rsid w:val="00166944"/>
  </w:style>
  <w:style w:type="paragraph" w:customStyle="1" w:styleId="Tpico5">
    <w:name w:val="Tópico 5"/>
    <w:basedOn w:val="Normal"/>
    <w:link w:val="Tpico5Char"/>
    <w:qFormat/>
    <w:rsid w:val="00C12F2B"/>
    <w:pPr>
      <w:spacing w:line="360" w:lineRule="auto"/>
    </w:pPr>
    <w:rPr>
      <w:u w:val="single"/>
    </w:rPr>
  </w:style>
  <w:style w:type="character" w:customStyle="1" w:styleId="Tpico5Char">
    <w:name w:val="Tópico 5 Char"/>
    <w:link w:val="Tpico5"/>
    <w:rsid w:val="00C12F2B"/>
    <w:rPr>
      <w:rFonts w:ascii="Times New Roman" w:eastAsia="Times New Roman" w:hAnsi="Times New Roman" w:cs="Times New Roman"/>
      <w:u w:val="single"/>
    </w:rPr>
  </w:style>
  <w:style w:type="paragraph" w:styleId="NoSpacing">
    <w:name w:val="No Spacing"/>
    <w:uiPriority w:val="1"/>
    <w:qFormat/>
    <w:rsid w:val="00285A31"/>
    <w:rPr>
      <w:sz w:val="22"/>
      <w:szCs w:val="22"/>
      <w:lang w:val="pt-BR"/>
    </w:rPr>
  </w:style>
  <w:style w:type="character" w:customStyle="1" w:styleId="lrzxr">
    <w:name w:val="lrzxr"/>
    <w:basedOn w:val="DefaultParagraphFont"/>
    <w:rsid w:val="00323CED"/>
  </w:style>
  <w:style w:type="paragraph" w:styleId="Revision">
    <w:name w:val="Revision"/>
    <w:hidden/>
    <w:uiPriority w:val="99"/>
    <w:semiHidden/>
    <w:rsid w:val="002649BA"/>
  </w:style>
  <w:style w:type="paragraph" w:styleId="TableofFigures">
    <w:name w:val="table of figures"/>
    <w:basedOn w:val="Normal"/>
    <w:next w:val="Normal"/>
    <w:uiPriority w:val="99"/>
    <w:unhideWhenUsed/>
    <w:rsid w:val="00AB7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93831">
      <w:bodyDiv w:val="1"/>
      <w:marLeft w:val="0"/>
      <w:marRight w:val="0"/>
      <w:marTop w:val="0"/>
      <w:marBottom w:val="0"/>
      <w:divBdr>
        <w:top w:val="none" w:sz="0" w:space="0" w:color="auto"/>
        <w:left w:val="none" w:sz="0" w:space="0" w:color="auto"/>
        <w:bottom w:val="none" w:sz="0" w:space="0" w:color="auto"/>
        <w:right w:val="none" w:sz="0" w:space="0" w:color="auto"/>
      </w:divBdr>
    </w:div>
    <w:div w:id="429857292">
      <w:bodyDiv w:val="1"/>
      <w:marLeft w:val="0"/>
      <w:marRight w:val="0"/>
      <w:marTop w:val="0"/>
      <w:marBottom w:val="0"/>
      <w:divBdr>
        <w:top w:val="none" w:sz="0" w:space="0" w:color="auto"/>
        <w:left w:val="none" w:sz="0" w:space="0" w:color="auto"/>
        <w:bottom w:val="none" w:sz="0" w:space="0" w:color="auto"/>
        <w:right w:val="none" w:sz="0" w:space="0" w:color="auto"/>
      </w:divBdr>
      <w:divsChild>
        <w:div w:id="1113524148">
          <w:marLeft w:val="0"/>
          <w:marRight w:val="0"/>
          <w:marTop w:val="0"/>
          <w:marBottom w:val="0"/>
          <w:divBdr>
            <w:top w:val="none" w:sz="0" w:space="0" w:color="auto"/>
            <w:left w:val="none" w:sz="0" w:space="0" w:color="auto"/>
            <w:bottom w:val="none" w:sz="0" w:space="0" w:color="auto"/>
            <w:right w:val="none" w:sz="0" w:space="0" w:color="auto"/>
          </w:divBdr>
          <w:divsChild>
            <w:div w:id="1344282461">
              <w:marLeft w:val="0"/>
              <w:marRight w:val="0"/>
              <w:marTop w:val="0"/>
              <w:marBottom w:val="0"/>
              <w:divBdr>
                <w:top w:val="none" w:sz="0" w:space="0" w:color="auto"/>
                <w:left w:val="none" w:sz="0" w:space="0" w:color="auto"/>
                <w:bottom w:val="none" w:sz="0" w:space="0" w:color="auto"/>
                <w:right w:val="none" w:sz="0" w:space="0" w:color="auto"/>
              </w:divBdr>
              <w:divsChild>
                <w:div w:id="85165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800570">
      <w:bodyDiv w:val="1"/>
      <w:marLeft w:val="0"/>
      <w:marRight w:val="0"/>
      <w:marTop w:val="0"/>
      <w:marBottom w:val="0"/>
      <w:divBdr>
        <w:top w:val="none" w:sz="0" w:space="0" w:color="auto"/>
        <w:left w:val="none" w:sz="0" w:space="0" w:color="auto"/>
        <w:bottom w:val="none" w:sz="0" w:space="0" w:color="auto"/>
        <w:right w:val="none" w:sz="0" w:space="0" w:color="auto"/>
      </w:divBdr>
    </w:div>
    <w:div w:id="687683375">
      <w:bodyDiv w:val="1"/>
      <w:marLeft w:val="0"/>
      <w:marRight w:val="0"/>
      <w:marTop w:val="0"/>
      <w:marBottom w:val="0"/>
      <w:divBdr>
        <w:top w:val="none" w:sz="0" w:space="0" w:color="auto"/>
        <w:left w:val="none" w:sz="0" w:space="0" w:color="auto"/>
        <w:bottom w:val="none" w:sz="0" w:space="0" w:color="auto"/>
        <w:right w:val="none" w:sz="0" w:space="0" w:color="auto"/>
      </w:divBdr>
    </w:div>
    <w:div w:id="807281583">
      <w:bodyDiv w:val="1"/>
      <w:marLeft w:val="0"/>
      <w:marRight w:val="0"/>
      <w:marTop w:val="0"/>
      <w:marBottom w:val="0"/>
      <w:divBdr>
        <w:top w:val="none" w:sz="0" w:space="0" w:color="auto"/>
        <w:left w:val="none" w:sz="0" w:space="0" w:color="auto"/>
        <w:bottom w:val="none" w:sz="0" w:space="0" w:color="auto"/>
        <w:right w:val="none" w:sz="0" w:space="0" w:color="auto"/>
      </w:divBdr>
      <w:divsChild>
        <w:div w:id="1071731269">
          <w:marLeft w:val="0"/>
          <w:marRight w:val="0"/>
          <w:marTop w:val="0"/>
          <w:marBottom w:val="0"/>
          <w:divBdr>
            <w:top w:val="none" w:sz="0" w:space="0" w:color="auto"/>
            <w:left w:val="none" w:sz="0" w:space="0" w:color="auto"/>
            <w:bottom w:val="none" w:sz="0" w:space="0" w:color="auto"/>
            <w:right w:val="none" w:sz="0" w:space="0" w:color="auto"/>
          </w:divBdr>
          <w:divsChild>
            <w:div w:id="62988642">
              <w:marLeft w:val="0"/>
              <w:marRight w:val="0"/>
              <w:marTop w:val="0"/>
              <w:marBottom w:val="0"/>
              <w:divBdr>
                <w:top w:val="none" w:sz="0" w:space="0" w:color="auto"/>
                <w:left w:val="none" w:sz="0" w:space="0" w:color="auto"/>
                <w:bottom w:val="none" w:sz="0" w:space="0" w:color="auto"/>
                <w:right w:val="none" w:sz="0" w:space="0" w:color="auto"/>
              </w:divBdr>
              <w:divsChild>
                <w:div w:id="18972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945584">
      <w:bodyDiv w:val="1"/>
      <w:marLeft w:val="0"/>
      <w:marRight w:val="0"/>
      <w:marTop w:val="0"/>
      <w:marBottom w:val="0"/>
      <w:divBdr>
        <w:top w:val="none" w:sz="0" w:space="0" w:color="auto"/>
        <w:left w:val="none" w:sz="0" w:space="0" w:color="auto"/>
        <w:bottom w:val="none" w:sz="0" w:space="0" w:color="auto"/>
        <w:right w:val="none" w:sz="0" w:space="0" w:color="auto"/>
      </w:divBdr>
    </w:div>
    <w:div w:id="1165048225">
      <w:bodyDiv w:val="1"/>
      <w:marLeft w:val="0"/>
      <w:marRight w:val="0"/>
      <w:marTop w:val="0"/>
      <w:marBottom w:val="0"/>
      <w:divBdr>
        <w:top w:val="none" w:sz="0" w:space="0" w:color="auto"/>
        <w:left w:val="none" w:sz="0" w:space="0" w:color="auto"/>
        <w:bottom w:val="none" w:sz="0" w:space="0" w:color="auto"/>
        <w:right w:val="none" w:sz="0" w:space="0" w:color="auto"/>
      </w:divBdr>
    </w:div>
    <w:div w:id="1207177937">
      <w:bodyDiv w:val="1"/>
      <w:marLeft w:val="0"/>
      <w:marRight w:val="0"/>
      <w:marTop w:val="0"/>
      <w:marBottom w:val="0"/>
      <w:divBdr>
        <w:top w:val="none" w:sz="0" w:space="0" w:color="auto"/>
        <w:left w:val="none" w:sz="0" w:space="0" w:color="auto"/>
        <w:bottom w:val="none" w:sz="0" w:space="0" w:color="auto"/>
        <w:right w:val="none" w:sz="0" w:space="0" w:color="auto"/>
      </w:divBdr>
      <w:divsChild>
        <w:div w:id="1388529360">
          <w:marLeft w:val="475"/>
          <w:marRight w:val="0"/>
          <w:marTop w:val="82"/>
          <w:marBottom w:val="120"/>
          <w:divBdr>
            <w:top w:val="none" w:sz="0" w:space="0" w:color="auto"/>
            <w:left w:val="none" w:sz="0" w:space="0" w:color="auto"/>
            <w:bottom w:val="none" w:sz="0" w:space="0" w:color="auto"/>
            <w:right w:val="none" w:sz="0" w:space="0" w:color="auto"/>
          </w:divBdr>
        </w:div>
        <w:div w:id="1246963049">
          <w:marLeft w:val="475"/>
          <w:marRight w:val="0"/>
          <w:marTop w:val="82"/>
          <w:marBottom w:val="120"/>
          <w:divBdr>
            <w:top w:val="none" w:sz="0" w:space="0" w:color="auto"/>
            <w:left w:val="none" w:sz="0" w:space="0" w:color="auto"/>
            <w:bottom w:val="none" w:sz="0" w:space="0" w:color="auto"/>
            <w:right w:val="none" w:sz="0" w:space="0" w:color="auto"/>
          </w:divBdr>
        </w:div>
        <w:div w:id="1686244430">
          <w:marLeft w:val="475"/>
          <w:marRight w:val="0"/>
          <w:marTop w:val="82"/>
          <w:marBottom w:val="120"/>
          <w:divBdr>
            <w:top w:val="none" w:sz="0" w:space="0" w:color="auto"/>
            <w:left w:val="none" w:sz="0" w:space="0" w:color="auto"/>
            <w:bottom w:val="none" w:sz="0" w:space="0" w:color="auto"/>
            <w:right w:val="none" w:sz="0" w:space="0" w:color="auto"/>
          </w:divBdr>
        </w:div>
        <w:div w:id="1480150955">
          <w:marLeft w:val="475"/>
          <w:marRight w:val="0"/>
          <w:marTop w:val="82"/>
          <w:marBottom w:val="120"/>
          <w:divBdr>
            <w:top w:val="none" w:sz="0" w:space="0" w:color="auto"/>
            <w:left w:val="none" w:sz="0" w:space="0" w:color="auto"/>
            <w:bottom w:val="none" w:sz="0" w:space="0" w:color="auto"/>
            <w:right w:val="none" w:sz="0" w:space="0" w:color="auto"/>
          </w:divBdr>
        </w:div>
        <w:div w:id="436145828">
          <w:marLeft w:val="475"/>
          <w:marRight w:val="0"/>
          <w:marTop w:val="82"/>
          <w:marBottom w:val="120"/>
          <w:divBdr>
            <w:top w:val="none" w:sz="0" w:space="0" w:color="auto"/>
            <w:left w:val="none" w:sz="0" w:space="0" w:color="auto"/>
            <w:bottom w:val="none" w:sz="0" w:space="0" w:color="auto"/>
            <w:right w:val="none" w:sz="0" w:space="0" w:color="auto"/>
          </w:divBdr>
        </w:div>
      </w:divsChild>
    </w:div>
    <w:div w:id="1217660652">
      <w:bodyDiv w:val="1"/>
      <w:marLeft w:val="0"/>
      <w:marRight w:val="0"/>
      <w:marTop w:val="0"/>
      <w:marBottom w:val="0"/>
      <w:divBdr>
        <w:top w:val="none" w:sz="0" w:space="0" w:color="auto"/>
        <w:left w:val="none" w:sz="0" w:space="0" w:color="auto"/>
        <w:bottom w:val="none" w:sz="0" w:space="0" w:color="auto"/>
        <w:right w:val="none" w:sz="0" w:space="0" w:color="auto"/>
      </w:divBdr>
    </w:div>
    <w:div w:id="1456406532">
      <w:bodyDiv w:val="1"/>
      <w:marLeft w:val="0"/>
      <w:marRight w:val="0"/>
      <w:marTop w:val="0"/>
      <w:marBottom w:val="0"/>
      <w:divBdr>
        <w:top w:val="none" w:sz="0" w:space="0" w:color="auto"/>
        <w:left w:val="none" w:sz="0" w:space="0" w:color="auto"/>
        <w:bottom w:val="none" w:sz="0" w:space="0" w:color="auto"/>
        <w:right w:val="none" w:sz="0" w:space="0" w:color="auto"/>
      </w:divBdr>
    </w:div>
    <w:div w:id="1622225381">
      <w:bodyDiv w:val="1"/>
      <w:marLeft w:val="0"/>
      <w:marRight w:val="0"/>
      <w:marTop w:val="0"/>
      <w:marBottom w:val="0"/>
      <w:divBdr>
        <w:top w:val="none" w:sz="0" w:space="0" w:color="auto"/>
        <w:left w:val="none" w:sz="0" w:space="0" w:color="auto"/>
        <w:bottom w:val="none" w:sz="0" w:space="0" w:color="auto"/>
        <w:right w:val="none" w:sz="0" w:space="0" w:color="auto"/>
      </w:divBdr>
    </w:div>
    <w:div w:id="1872524746">
      <w:bodyDiv w:val="1"/>
      <w:marLeft w:val="0"/>
      <w:marRight w:val="0"/>
      <w:marTop w:val="0"/>
      <w:marBottom w:val="0"/>
      <w:divBdr>
        <w:top w:val="none" w:sz="0" w:space="0" w:color="auto"/>
        <w:left w:val="none" w:sz="0" w:space="0" w:color="auto"/>
        <w:bottom w:val="none" w:sz="0" w:space="0" w:color="auto"/>
        <w:right w:val="none" w:sz="0" w:space="0" w:color="auto"/>
      </w:divBdr>
    </w:div>
    <w:div w:id="1949501136">
      <w:bodyDiv w:val="1"/>
      <w:marLeft w:val="0"/>
      <w:marRight w:val="0"/>
      <w:marTop w:val="0"/>
      <w:marBottom w:val="0"/>
      <w:divBdr>
        <w:top w:val="none" w:sz="0" w:space="0" w:color="auto"/>
        <w:left w:val="none" w:sz="0" w:space="0" w:color="auto"/>
        <w:bottom w:val="none" w:sz="0" w:space="0" w:color="auto"/>
        <w:right w:val="none" w:sz="0" w:space="0" w:color="auto"/>
      </w:divBdr>
    </w:div>
    <w:div w:id="2002418062">
      <w:bodyDiv w:val="1"/>
      <w:marLeft w:val="0"/>
      <w:marRight w:val="0"/>
      <w:marTop w:val="0"/>
      <w:marBottom w:val="0"/>
      <w:divBdr>
        <w:top w:val="none" w:sz="0" w:space="0" w:color="auto"/>
        <w:left w:val="none" w:sz="0" w:space="0" w:color="auto"/>
        <w:bottom w:val="none" w:sz="0" w:space="0" w:color="auto"/>
        <w:right w:val="none" w:sz="0" w:space="0" w:color="auto"/>
      </w:divBdr>
    </w:div>
    <w:div w:id="205792656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hyperlink" Target="https://www.rcsb.org/search?q=citation.rcsb_authors:Dedman,%20J.R." TargetMode="External"/><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7.png"/><Relationship Id="rId68" Type="http://schemas.openxmlformats.org/officeDocument/2006/relationships/image" Target="media/image52.png"/><Relationship Id="rId84" Type="http://schemas.openxmlformats.org/officeDocument/2006/relationships/image" Target="media/image68.png"/><Relationship Id="rId89" Type="http://schemas.openxmlformats.org/officeDocument/2006/relationships/image" Target="media/image72.png"/><Relationship Id="rId16" Type="http://schemas.openxmlformats.org/officeDocument/2006/relationships/image" Target="media/image6.png"/><Relationship Id="rId107" Type="http://schemas.openxmlformats.org/officeDocument/2006/relationships/fontTable" Target="fontTable.xml"/><Relationship Id="rId11" Type="http://schemas.openxmlformats.org/officeDocument/2006/relationships/image" Target="media/image1.png"/><Relationship Id="rId32" Type="http://schemas.openxmlformats.org/officeDocument/2006/relationships/image" Target="media/image17.png"/><Relationship Id="rId37" Type="http://schemas.openxmlformats.org/officeDocument/2006/relationships/image" Target="media/image22.jpeg"/><Relationship Id="rId53" Type="http://schemas.openxmlformats.org/officeDocument/2006/relationships/image" Target="media/image38.png"/><Relationship Id="rId58" Type="http://schemas.openxmlformats.org/officeDocument/2006/relationships/image" Target="media/image42.png"/><Relationship Id="rId74" Type="http://schemas.openxmlformats.org/officeDocument/2006/relationships/image" Target="media/image58.png"/><Relationship Id="rId79" Type="http://schemas.openxmlformats.org/officeDocument/2006/relationships/image" Target="media/image63.png"/><Relationship Id="rId102" Type="http://schemas.openxmlformats.org/officeDocument/2006/relationships/image" Target="media/image85.png"/><Relationship Id="rId5" Type="http://schemas.openxmlformats.org/officeDocument/2006/relationships/webSettings" Target="webSettings.xml"/><Relationship Id="rId90" Type="http://schemas.openxmlformats.org/officeDocument/2006/relationships/image" Target="media/image73.png"/><Relationship Id="rId95" Type="http://schemas.openxmlformats.org/officeDocument/2006/relationships/image" Target="media/image78.png"/><Relationship Id="rId22" Type="http://schemas.openxmlformats.org/officeDocument/2006/relationships/hyperlink" Target="https://www.rcsb.org/search?q=citation.rcsb_authors:Seaton,%20B.A." TargetMode="External"/><Relationship Id="rId27" Type="http://schemas.openxmlformats.org/officeDocument/2006/relationships/image" Target="media/image12.pn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8.png"/><Relationship Id="rId69" Type="http://schemas.openxmlformats.org/officeDocument/2006/relationships/image" Target="media/image53.png"/><Relationship Id="rId80" Type="http://schemas.openxmlformats.org/officeDocument/2006/relationships/image" Target="media/image64.png"/><Relationship Id="rId85" Type="http://schemas.microsoft.com/office/2007/relationships/hdphoto" Target="media/hdphoto1.wdp"/><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18.png"/><Relationship Id="rId38" Type="http://schemas.openxmlformats.org/officeDocument/2006/relationships/image" Target="media/image23.png"/><Relationship Id="rId59" Type="http://schemas.openxmlformats.org/officeDocument/2006/relationships/image" Target="media/image43.png"/><Relationship Id="rId103" Type="http://schemas.openxmlformats.org/officeDocument/2006/relationships/image" Target="media/image86.jpg"/><Relationship Id="rId108" Type="http://schemas.openxmlformats.org/officeDocument/2006/relationships/theme" Target="theme/theme1.xml"/><Relationship Id="rId20" Type="http://schemas.openxmlformats.org/officeDocument/2006/relationships/hyperlink" Target="https://www.rcsb.org/search?q=citation.rcsb_authors:Concha,%20N.O." TargetMode="External"/><Relationship Id="rId41" Type="http://schemas.openxmlformats.org/officeDocument/2006/relationships/image" Target="media/image26.png"/><Relationship Id="rId54" Type="http://schemas.openxmlformats.org/officeDocument/2006/relationships/oleObject" Target="embeddings/oleObject1.bin"/><Relationship Id="rId62" Type="http://schemas.openxmlformats.org/officeDocument/2006/relationships/image" Target="media/image46.png"/><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image" Target="media/image67.png"/><Relationship Id="rId88" Type="http://schemas.openxmlformats.org/officeDocument/2006/relationships/image" Target="media/image71.png"/><Relationship Id="rId91" Type="http://schemas.openxmlformats.org/officeDocument/2006/relationships/image" Target="media/image74.png"/><Relationship Id="rId96" Type="http://schemas.openxmlformats.org/officeDocument/2006/relationships/image" Target="media/image7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doi.org/10.2210/pdb1A8A/pdb" TargetMode="External"/><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1.png"/><Relationship Id="rId106" Type="http://schemas.openxmlformats.org/officeDocument/2006/relationships/image" Target="media/image89.png"/><Relationship Id="rId10" Type="http://schemas.openxmlformats.org/officeDocument/2006/relationships/footer" Target="footer3.xml"/><Relationship Id="rId31" Type="http://schemas.openxmlformats.org/officeDocument/2006/relationships/image" Target="media/image16.png"/><Relationship Id="rId44" Type="http://schemas.openxmlformats.org/officeDocument/2006/relationships/image" Target="media/image29.jpeg"/><Relationship Id="rId52" Type="http://schemas.openxmlformats.org/officeDocument/2006/relationships/image" Target="media/image37.png"/><Relationship Id="rId60" Type="http://schemas.openxmlformats.org/officeDocument/2006/relationships/image" Target="media/image44.png"/><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png"/><Relationship Id="rId86" Type="http://schemas.openxmlformats.org/officeDocument/2006/relationships/image" Target="media/image69.png"/><Relationship Id="rId94" Type="http://schemas.openxmlformats.org/officeDocument/2006/relationships/image" Target="media/image77.png"/><Relationship Id="rId99" Type="http://schemas.openxmlformats.org/officeDocument/2006/relationships/image" Target="media/image82.png"/><Relationship Id="rId101" Type="http://schemas.openxmlformats.org/officeDocument/2006/relationships/image" Target="media/image84.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image" Target="media/image35.png"/><Relationship Id="rId55" Type="http://schemas.openxmlformats.org/officeDocument/2006/relationships/image" Target="media/image39.jpg"/><Relationship Id="rId76" Type="http://schemas.openxmlformats.org/officeDocument/2006/relationships/image" Target="media/image60.png"/><Relationship Id="rId97" Type="http://schemas.openxmlformats.org/officeDocument/2006/relationships/image" Target="media/image80.png"/><Relationship Id="rId104" Type="http://schemas.openxmlformats.org/officeDocument/2006/relationships/image" Target="media/image87.png"/><Relationship Id="rId7" Type="http://schemas.openxmlformats.org/officeDocument/2006/relationships/endnotes" Target="endnotes.xml"/><Relationship Id="rId71" Type="http://schemas.openxmlformats.org/officeDocument/2006/relationships/image" Target="media/image55.png"/><Relationship Id="rId92" Type="http://schemas.openxmlformats.org/officeDocument/2006/relationships/image" Target="media/image75.png"/><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5.png"/><Relationship Id="rId45" Type="http://schemas.openxmlformats.org/officeDocument/2006/relationships/image" Target="media/image30.png"/><Relationship Id="rId66" Type="http://schemas.openxmlformats.org/officeDocument/2006/relationships/image" Target="media/image50.png"/><Relationship Id="rId87" Type="http://schemas.openxmlformats.org/officeDocument/2006/relationships/image" Target="media/image70.png"/><Relationship Id="rId61" Type="http://schemas.openxmlformats.org/officeDocument/2006/relationships/image" Target="media/image45.png"/><Relationship Id="rId82" Type="http://schemas.openxmlformats.org/officeDocument/2006/relationships/image" Target="media/image66.png"/><Relationship Id="rId19" Type="http://schemas.openxmlformats.org/officeDocument/2006/relationships/hyperlink" Target="http://www.rcsb.org/" TargetMode="External"/><Relationship Id="rId14" Type="http://schemas.openxmlformats.org/officeDocument/2006/relationships/image" Target="media/image4.png"/><Relationship Id="rId30" Type="http://schemas.openxmlformats.org/officeDocument/2006/relationships/image" Target="media/image15.png"/><Relationship Id="rId35" Type="http://schemas.openxmlformats.org/officeDocument/2006/relationships/image" Target="media/image20.png"/><Relationship Id="rId56" Type="http://schemas.openxmlformats.org/officeDocument/2006/relationships/image" Target="media/image40.png"/><Relationship Id="rId77" Type="http://schemas.openxmlformats.org/officeDocument/2006/relationships/image" Target="media/image61.png"/><Relationship Id="rId100" Type="http://schemas.openxmlformats.org/officeDocument/2006/relationships/image" Target="media/image83.png"/><Relationship Id="rId105" Type="http://schemas.openxmlformats.org/officeDocument/2006/relationships/image" Target="media/image88.png"/><Relationship Id="rId8" Type="http://schemas.openxmlformats.org/officeDocument/2006/relationships/footer" Target="footer1.xml"/><Relationship Id="rId51" Type="http://schemas.openxmlformats.org/officeDocument/2006/relationships/image" Target="media/image36.png"/><Relationship Id="rId72" Type="http://schemas.openxmlformats.org/officeDocument/2006/relationships/image" Target="media/image56.png"/><Relationship Id="rId93" Type="http://schemas.openxmlformats.org/officeDocument/2006/relationships/image" Target="media/image76.png"/><Relationship Id="rId98" Type="http://schemas.openxmlformats.org/officeDocument/2006/relationships/image" Target="media/image81.png"/><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image" Target="media/image31.png"/><Relationship Id="rId67" Type="http://schemas.openxmlformats.org/officeDocument/2006/relationships/image" Target="media/image5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15289E-23D8-844A-A2CF-ED26BDF4928D}">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1E984-0222-9C4B-BFCF-F2F85253D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292</Pages>
  <Words>182105</Words>
  <Characters>1038003</Characters>
  <Application>Microsoft Office Word</Application>
  <DocSecurity>0</DocSecurity>
  <Lines>8650</Lines>
  <Paragraphs>2435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1217673</CharactersWithSpaces>
  <SharedDoc>false</SharedDoc>
  <HyperlinkBase/>
  <HLinks>
    <vt:vector size="516" baseType="variant">
      <vt:variant>
        <vt:i4>3342383</vt:i4>
      </vt:variant>
      <vt:variant>
        <vt:i4>681</vt:i4>
      </vt:variant>
      <vt:variant>
        <vt:i4>0</vt:i4>
      </vt:variant>
      <vt:variant>
        <vt:i4>5</vt:i4>
      </vt:variant>
      <vt:variant>
        <vt:lpwstr>http://doi.org/10.2210/pdb1A8A/pdb</vt:lpwstr>
      </vt:variant>
      <vt:variant>
        <vt:lpwstr/>
      </vt:variant>
      <vt:variant>
        <vt:i4>6029430</vt:i4>
      </vt:variant>
      <vt:variant>
        <vt:i4>675</vt:i4>
      </vt:variant>
      <vt:variant>
        <vt:i4>0</vt:i4>
      </vt:variant>
      <vt:variant>
        <vt:i4>5</vt:i4>
      </vt:variant>
      <vt:variant>
        <vt:lpwstr>https://www.rcsb.org/search?q=citation.rcsb_authors:Seaton,%20B.A.</vt:lpwstr>
      </vt:variant>
      <vt:variant>
        <vt:lpwstr/>
      </vt:variant>
      <vt:variant>
        <vt:i4>4522097</vt:i4>
      </vt:variant>
      <vt:variant>
        <vt:i4>672</vt:i4>
      </vt:variant>
      <vt:variant>
        <vt:i4>0</vt:i4>
      </vt:variant>
      <vt:variant>
        <vt:i4>5</vt:i4>
      </vt:variant>
      <vt:variant>
        <vt:lpwstr>https://www.rcsb.org/search?q=citation.rcsb_authors:Dedman,%20J.R.</vt:lpwstr>
      </vt:variant>
      <vt:variant>
        <vt:lpwstr/>
      </vt:variant>
      <vt:variant>
        <vt:i4>5505077</vt:i4>
      </vt:variant>
      <vt:variant>
        <vt:i4>669</vt:i4>
      </vt:variant>
      <vt:variant>
        <vt:i4>0</vt:i4>
      </vt:variant>
      <vt:variant>
        <vt:i4>5</vt:i4>
      </vt:variant>
      <vt:variant>
        <vt:lpwstr>https://www.rcsb.org/search?q=citation.rcsb_authors:Kaetzel,%20M.A.</vt:lpwstr>
      </vt:variant>
      <vt:variant>
        <vt:lpwstr/>
      </vt:variant>
      <vt:variant>
        <vt:i4>5111916</vt:i4>
      </vt:variant>
      <vt:variant>
        <vt:i4>666</vt:i4>
      </vt:variant>
      <vt:variant>
        <vt:i4>0</vt:i4>
      </vt:variant>
      <vt:variant>
        <vt:i4>5</vt:i4>
      </vt:variant>
      <vt:variant>
        <vt:lpwstr>https://www.rcsb.org/search?q=citation.rcsb_authors:Concha,%20N.O.</vt:lpwstr>
      </vt:variant>
      <vt:variant>
        <vt:lpwstr/>
      </vt:variant>
      <vt:variant>
        <vt:i4>5242914</vt:i4>
      </vt:variant>
      <vt:variant>
        <vt:i4>663</vt:i4>
      </vt:variant>
      <vt:variant>
        <vt:i4>0</vt:i4>
      </vt:variant>
      <vt:variant>
        <vt:i4>5</vt:i4>
      </vt:variant>
      <vt:variant>
        <vt:lpwstr>https://www.rcsb.org/search?q=citation.rcsb_authors:Swairjo,%20M.A.</vt:lpwstr>
      </vt:variant>
      <vt:variant>
        <vt:lpwstr/>
      </vt:variant>
      <vt:variant>
        <vt:i4>5832793</vt:i4>
      </vt:variant>
      <vt:variant>
        <vt:i4>660</vt:i4>
      </vt:variant>
      <vt:variant>
        <vt:i4>0</vt:i4>
      </vt:variant>
      <vt:variant>
        <vt:i4>5</vt:i4>
      </vt:variant>
      <vt:variant>
        <vt:lpwstr>http://www.rcsb.org/</vt:lpwstr>
      </vt:variant>
      <vt:variant>
        <vt:lpwstr/>
      </vt:variant>
      <vt:variant>
        <vt:i4>1769524</vt:i4>
      </vt:variant>
      <vt:variant>
        <vt:i4>470</vt:i4>
      </vt:variant>
      <vt:variant>
        <vt:i4>0</vt:i4>
      </vt:variant>
      <vt:variant>
        <vt:i4>5</vt:i4>
      </vt:variant>
      <vt:variant>
        <vt:lpwstr/>
      </vt:variant>
      <vt:variant>
        <vt:lpwstr>_Toc116813260</vt:lpwstr>
      </vt:variant>
      <vt:variant>
        <vt:i4>1572916</vt:i4>
      </vt:variant>
      <vt:variant>
        <vt:i4>464</vt:i4>
      </vt:variant>
      <vt:variant>
        <vt:i4>0</vt:i4>
      </vt:variant>
      <vt:variant>
        <vt:i4>5</vt:i4>
      </vt:variant>
      <vt:variant>
        <vt:lpwstr/>
      </vt:variant>
      <vt:variant>
        <vt:lpwstr>_Toc116813259</vt:lpwstr>
      </vt:variant>
      <vt:variant>
        <vt:i4>1572916</vt:i4>
      </vt:variant>
      <vt:variant>
        <vt:i4>458</vt:i4>
      </vt:variant>
      <vt:variant>
        <vt:i4>0</vt:i4>
      </vt:variant>
      <vt:variant>
        <vt:i4>5</vt:i4>
      </vt:variant>
      <vt:variant>
        <vt:lpwstr/>
      </vt:variant>
      <vt:variant>
        <vt:lpwstr>_Toc116813258</vt:lpwstr>
      </vt:variant>
      <vt:variant>
        <vt:i4>1572916</vt:i4>
      </vt:variant>
      <vt:variant>
        <vt:i4>452</vt:i4>
      </vt:variant>
      <vt:variant>
        <vt:i4>0</vt:i4>
      </vt:variant>
      <vt:variant>
        <vt:i4>5</vt:i4>
      </vt:variant>
      <vt:variant>
        <vt:lpwstr/>
      </vt:variant>
      <vt:variant>
        <vt:lpwstr>_Toc116813257</vt:lpwstr>
      </vt:variant>
      <vt:variant>
        <vt:i4>1572916</vt:i4>
      </vt:variant>
      <vt:variant>
        <vt:i4>446</vt:i4>
      </vt:variant>
      <vt:variant>
        <vt:i4>0</vt:i4>
      </vt:variant>
      <vt:variant>
        <vt:i4>5</vt:i4>
      </vt:variant>
      <vt:variant>
        <vt:lpwstr/>
      </vt:variant>
      <vt:variant>
        <vt:lpwstr>_Toc116813256</vt:lpwstr>
      </vt:variant>
      <vt:variant>
        <vt:i4>1572916</vt:i4>
      </vt:variant>
      <vt:variant>
        <vt:i4>440</vt:i4>
      </vt:variant>
      <vt:variant>
        <vt:i4>0</vt:i4>
      </vt:variant>
      <vt:variant>
        <vt:i4>5</vt:i4>
      </vt:variant>
      <vt:variant>
        <vt:lpwstr/>
      </vt:variant>
      <vt:variant>
        <vt:lpwstr>_Toc116813255</vt:lpwstr>
      </vt:variant>
      <vt:variant>
        <vt:i4>1572916</vt:i4>
      </vt:variant>
      <vt:variant>
        <vt:i4>434</vt:i4>
      </vt:variant>
      <vt:variant>
        <vt:i4>0</vt:i4>
      </vt:variant>
      <vt:variant>
        <vt:i4>5</vt:i4>
      </vt:variant>
      <vt:variant>
        <vt:lpwstr/>
      </vt:variant>
      <vt:variant>
        <vt:lpwstr>_Toc116813254</vt:lpwstr>
      </vt:variant>
      <vt:variant>
        <vt:i4>1572916</vt:i4>
      </vt:variant>
      <vt:variant>
        <vt:i4>428</vt:i4>
      </vt:variant>
      <vt:variant>
        <vt:i4>0</vt:i4>
      </vt:variant>
      <vt:variant>
        <vt:i4>5</vt:i4>
      </vt:variant>
      <vt:variant>
        <vt:lpwstr/>
      </vt:variant>
      <vt:variant>
        <vt:lpwstr>_Toc116813253</vt:lpwstr>
      </vt:variant>
      <vt:variant>
        <vt:i4>1572916</vt:i4>
      </vt:variant>
      <vt:variant>
        <vt:i4>422</vt:i4>
      </vt:variant>
      <vt:variant>
        <vt:i4>0</vt:i4>
      </vt:variant>
      <vt:variant>
        <vt:i4>5</vt:i4>
      </vt:variant>
      <vt:variant>
        <vt:lpwstr/>
      </vt:variant>
      <vt:variant>
        <vt:lpwstr>_Toc116813252</vt:lpwstr>
      </vt:variant>
      <vt:variant>
        <vt:i4>1572916</vt:i4>
      </vt:variant>
      <vt:variant>
        <vt:i4>416</vt:i4>
      </vt:variant>
      <vt:variant>
        <vt:i4>0</vt:i4>
      </vt:variant>
      <vt:variant>
        <vt:i4>5</vt:i4>
      </vt:variant>
      <vt:variant>
        <vt:lpwstr/>
      </vt:variant>
      <vt:variant>
        <vt:lpwstr>_Toc116813251</vt:lpwstr>
      </vt:variant>
      <vt:variant>
        <vt:i4>1572916</vt:i4>
      </vt:variant>
      <vt:variant>
        <vt:i4>410</vt:i4>
      </vt:variant>
      <vt:variant>
        <vt:i4>0</vt:i4>
      </vt:variant>
      <vt:variant>
        <vt:i4>5</vt:i4>
      </vt:variant>
      <vt:variant>
        <vt:lpwstr/>
      </vt:variant>
      <vt:variant>
        <vt:lpwstr>_Toc116813250</vt:lpwstr>
      </vt:variant>
      <vt:variant>
        <vt:i4>1638452</vt:i4>
      </vt:variant>
      <vt:variant>
        <vt:i4>404</vt:i4>
      </vt:variant>
      <vt:variant>
        <vt:i4>0</vt:i4>
      </vt:variant>
      <vt:variant>
        <vt:i4>5</vt:i4>
      </vt:variant>
      <vt:variant>
        <vt:lpwstr/>
      </vt:variant>
      <vt:variant>
        <vt:lpwstr>_Toc116813249</vt:lpwstr>
      </vt:variant>
      <vt:variant>
        <vt:i4>1638452</vt:i4>
      </vt:variant>
      <vt:variant>
        <vt:i4>398</vt:i4>
      </vt:variant>
      <vt:variant>
        <vt:i4>0</vt:i4>
      </vt:variant>
      <vt:variant>
        <vt:i4>5</vt:i4>
      </vt:variant>
      <vt:variant>
        <vt:lpwstr/>
      </vt:variant>
      <vt:variant>
        <vt:lpwstr>_Toc116813248</vt:lpwstr>
      </vt:variant>
      <vt:variant>
        <vt:i4>1638452</vt:i4>
      </vt:variant>
      <vt:variant>
        <vt:i4>392</vt:i4>
      </vt:variant>
      <vt:variant>
        <vt:i4>0</vt:i4>
      </vt:variant>
      <vt:variant>
        <vt:i4>5</vt:i4>
      </vt:variant>
      <vt:variant>
        <vt:lpwstr/>
      </vt:variant>
      <vt:variant>
        <vt:lpwstr>_Toc116813247</vt:lpwstr>
      </vt:variant>
      <vt:variant>
        <vt:i4>1638452</vt:i4>
      </vt:variant>
      <vt:variant>
        <vt:i4>386</vt:i4>
      </vt:variant>
      <vt:variant>
        <vt:i4>0</vt:i4>
      </vt:variant>
      <vt:variant>
        <vt:i4>5</vt:i4>
      </vt:variant>
      <vt:variant>
        <vt:lpwstr/>
      </vt:variant>
      <vt:variant>
        <vt:lpwstr>_Toc116813246</vt:lpwstr>
      </vt:variant>
      <vt:variant>
        <vt:i4>1638452</vt:i4>
      </vt:variant>
      <vt:variant>
        <vt:i4>380</vt:i4>
      </vt:variant>
      <vt:variant>
        <vt:i4>0</vt:i4>
      </vt:variant>
      <vt:variant>
        <vt:i4>5</vt:i4>
      </vt:variant>
      <vt:variant>
        <vt:lpwstr/>
      </vt:variant>
      <vt:variant>
        <vt:lpwstr>_Toc116813245</vt:lpwstr>
      </vt:variant>
      <vt:variant>
        <vt:i4>1638452</vt:i4>
      </vt:variant>
      <vt:variant>
        <vt:i4>374</vt:i4>
      </vt:variant>
      <vt:variant>
        <vt:i4>0</vt:i4>
      </vt:variant>
      <vt:variant>
        <vt:i4>5</vt:i4>
      </vt:variant>
      <vt:variant>
        <vt:lpwstr/>
      </vt:variant>
      <vt:variant>
        <vt:lpwstr>_Toc116813244</vt:lpwstr>
      </vt:variant>
      <vt:variant>
        <vt:i4>1638452</vt:i4>
      </vt:variant>
      <vt:variant>
        <vt:i4>368</vt:i4>
      </vt:variant>
      <vt:variant>
        <vt:i4>0</vt:i4>
      </vt:variant>
      <vt:variant>
        <vt:i4>5</vt:i4>
      </vt:variant>
      <vt:variant>
        <vt:lpwstr/>
      </vt:variant>
      <vt:variant>
        <vt:lpwstr>_Toc116813243</vt:lpwstr>
      </vt:variant>
      <vt:variant>
        <vt:i4>1638452</vt:i4>
      </vt:variant>
      <vt:variant>
        <vt:i4>362</vt:i4>
      </vt:variant>
      <vt:variant>
        <vt:i4>0</vt:i4>
      </vt:variant>
      <vt:variant>
        <vt:i4>5</vt:i4>
      </vt:variant>
      <vt:variant>
        <vt:lpwstr/>
      </vt:variant>
      <vt:variant>
        <vt:lpwstr>_Toc116813242</vt:lpwstr>
      </vt:variant>
      <vt:variant>
        <vt:i4>1638452</vt:i4>
      </vt:variant>
      <vt:variant>
        <vt:i4>356</vt:i4>
      </vt:variant>
      <vt:variant>
        <vt:i4>0</vt:i4>
      </vt:variant>
      <vt:variant>
        <vt:i4>5</vt:i4>
      </vt:variant>
      <vt:variant>
        <vt:lpwstr/>
      </vt:variant>
      <vt:variant>
        <vt:lpwstr>_Toc116813241</vt:lpwstr>
      </vt:variant>
      <vt:variant>
        <vt:i4>1638452</vt:i4>
      </vt:variant>
      <vt:variant>
        <vt:i4>350</vt:i4>
      </vt:variant>
      <vt:variant>
        <vt:i4>0</vt:i4>
      </vt:variant>
      <vt:variant>
        <vt:i4>5</vt:i4>
      </vt:variant>
      <vt:variant>
        <vt:lpwstr/>
      </vt:variant>
      <vt:variant>
        <vt:lpwstr>_Toc116813240</vt:lpwstr>
      </vt:variant>
      <vt:variant>
        <vt:i4>1966132</vt:i4>
      </vt:variant>
      <vt:variant>
        <vt:i4>344</vt:i4>
      </vt:variant>
      <vt:variant>
        <vt:i4>0</vt:i4>
      </vt:variant>
      <vt:variant>
        <vt:i4>5</vt:i4>
      </vt:variant>
      <vt:variant>
        <vt:lpwstr/>
      </vt:variant>
      <vt:variant>
        <vt:lpwstr>_Toc116813239</vt:lpwstr>
      </vt:variant>
      <vt:variant>
        <vt:i4>1966132</vt:i4>
      </vt:variant>
      <vt:variant>
        <vt:i4>338</vt:i4>
      </vt:variant>
      <vt:variant>
        <vt:i4>0</vt:i4>
      </vt:variant>
      <vt:variant>
        <vt:i4>5</vt:i4>
      </vt:variant>
      <vt:variant>
        <vt:lpwstr/>
      </vt:variant>
      <vt:variant>
        <vt:lpwstr>_Toc116813238</vt:lpwstr>
      </vt:variant>
      <vt:variant>
        <vt:i4>1966132</vt:i4>
      </vt:variant>
      <vt:variant>
        <vt:i4>332</vt:i4>
      </vt:variant>
      <vt:variant>
        <vt:i4>0</vt:i4>
      </vt:variant>
      <vt:variant>
        <vt:i4>5</vt:i4>
      </vt:variant>
      <vt:variant>
        <vt:lpwstr/>
      </vt:variant>
      <vt:variant>
        <vt:lpwstr>_Toc116813237</vt:lpwstr>
      </vt:variant>
      <vt:variant>
        <vt:i4>1966132</vt:i4>
      </vt:variant>
      <vt:variant>
        <vt:i4>326</vt:i4>
      </vt:variant>
      <vt:variant>
        <vt:i4>0</vt:i4>
      </vt:variant>
      <vt:variant>
        <vt:i4>5</vt:i4>
      </vt:variant>
      <vt:variant>
        <vt:lpwstr/>
      </vt:variant>
      <vt:variant>
        <vt:lpwstr>_Toc116813236</vt:lpwstr>
      </vt:variant>
      <vt:variant>
        <vt:i4>1966132</vt:i4>
      </vt:variant>
      <vt:variant>
        <vt:i4>320</vt:i4>
      </vt:variant>
      <vt:variant>
        <vt:i4>0</vt:i4>
      </vt:variant>
      <vt:variant>
        <vt:i4>5</vt:i4>
      </vt:variant>
      <vt:variant>
        <vt:lpwstr/>
      </vt:variant>
      <vt:variant>
        <vt:lpwstr>_Toc116813235</vt:lpwstr>
      </vt:variant>
      <vt:variant>
        <vt:i4>1966132</vt:i4>
      </vt:variant>
      <vt:variant>
        <vt:i4>314</vt:i4>
      </vt:variant>
      <vt:variant>
        <vt:i4>0</vt:i4>
      </vt:variant>
      <vt:variant>
        <vt:i4>5</vt:i4>
      </vt:variant>
      <vt:variant>
        <vt:lpwstr/>
      </vt:variant>
      <vt:variant>
        <vt:lpwstr>_Toc116813234</vt:lpwstr>
      </vt:variant>
      <vt:variant>
        <vt:i4>1966132</vt:i4>
      </vt:variant>
      <vt:variant>
        <vt:i4>308</vt:i4>
      </vt:variant>
      <vt:variant>
        <vt:i4>0</vt:i4>
      </vt:variant>
      <vt:variant>
        <vt:i4>5</vt:i4>
      </vt:variant>
      <vt:variant>
        <vt:lpwstr/>
      </vt:variant>
      <vt:variant>
        <vt:lpwstr>_Toc116813233</vt:lpwstr>
      </vt:variant>
      <vt:variant>
        <vt:i4>1966132</vt:i4>
      </vt:variant>
      <vt:variant>
        <vt:i4>302</vt:i4>
      </vt:variant>
      <vt:variant>
        <vt:i4>0</vt:i4>
      </vt:variant>
      <vt:variant>
        <vt:i4>5</vt:i4>
      </vt:variant>
      <vt:variant>
        <vt:lpwstr/>
      </vt:variant>
      <vt:variant>
        <vt:lpwstr>_Toc116813232</vt:lpwstr>
      </vt:variant>
      <vt:variant>
        <vt:i4>1966132</vt:i4>
      </vt:variant>
      <vt:variant>
        <vt:i4>296</vt:i4>
      </vt:variant>
      <vt:variant>
        <vt:i4>0</vt:i4>
      </vt:variant>
      <vt:variant>
        <vt:i4>5</vt:i4>
      </vt:variant>
      <vt:variant>
        <vt:lpwstr/>
      </vt:variant>
      <vt:variant>
        <vt:lpwstr>_Toc116813231</vt:lpwstr>
      </vt:variant>
      <vt:variant>
        <vt:i4>1966132</vt:i4>
      </vt:variant>
      <vt:variant>
        <vt:i4>290</vt:i4>
      </vt:variant>
      <vt:variant>
        <vt:i4>0</vt:i4>
      </vt:variant>
      <vt:variant>
        <vt:i4>5</vt:i4>
      </vt:variant>
      <vt:variant>
        <vt:lpwstr/>
      </vt:variant>
      <vt:variant>
        <vt:lpwstr>_Toc116813230</vt:lpwstr>
      </vt:variant>
      <vt:variant>
        <vt:i4>2031668</vt:i4>
      </vt:variant>
      <vt:variant>
        <vt:i4>284</vt:i4>
      </vt:variant>
      <vt:variant>
        <vt:i4>0</vt:i4>
      </vt:variant>
      <vt:variant>
        <vt:i4>5</vt:i4>
      </vt:variant>
      <vt:variant>
        <vt:lpwstr/>
      </vt:variant>
      <vt:variant>
        <vt:lpwstr>_Toc116813229</vt:lpwstr>
      </vt:variant>
      <vt:variant>
        <vt:i4>2031668</vt:i4>
      </vt:variant>
      <vt:variant>
        <vt:i4>278</vt:i4>
      </vt:variant>
      <vt:variant>
        <vt:i4>0</vt:i4>
      </vt:variant>
      <vt:variant>
        <vt:i4>5</vt:i4>
      </vt:variant>
      <vt:variant>
        <vt:lpwstr/>
      </vt:variant>
      <vt:variant>
        <vt:lpwstr>_Toc116813228</vt:lpwstr>
      </vt:variant>
      <vt:variant>
        <vt:i4>2031668</vt:i4>
      </vt:variant>
      <vt:variant>
        <vt:i4>272</vt:i4>
      </vt:variant>
      <vt:variant>
        <vt:i4>0</vt:i4>
      </vt:variant>
      <vt:variant>
        <vt:i4>5</vt:i4>
      </vt:variant>
      <vt:variant>
        <vt:lpwstr/>
      </vt:variant>
      <vt:variant>
        <vt:lpwstr>_Toc116813227</vt:lpwstr>
      </vt:variant>
      <vt:variant>
        <vt:i4>2031668</vt:i4>
      </vt:variant>
      <vt:variant>
        <vt:i4>266</vt:i4>
      </vt:variant>
      <vt:variant>
        <vt:i4>0</vt:i4>
      </vt:variant>
      <vt:variant>
        <vt:i4>5</vt:i4>
      </vt:variant>
      <vt:variant>
        <vt:lpwstr/>
      </vt:variant>
      <vt:variant>
        <vt:lpwstr>_Toc116813226</vt:lpwstr>
      </vt:variant>
      <vt:variant>
        <vt:i4>2031668</vt:i4>
      </vt:variant>
      <vt:variant>
        <vt:i4>260</vt:i4>
      </vt:variant>
      <vt:variant>
        <vt:i4>0</vt:i4>
      </vt:variant>
      <vt:variant>
        <vt:i4>5</vt:i4>
      </vt:variant>
      <vt:variant>
        <vt:lpwstr/>
      </vt:variant>
      <vt:variant>
        <vt:lpwstr>_Toc116813225</vt:lpwstr>
      </vt:variant>
      <vt:variant>
        <vt:i4>2031668</vt:i4>
      </vt:variant>
      <vt:variant>
        <vt:i4>254</vt:i4>
      </vt:variant>
      <vt:variant>
        <vt:i4>0</vt:i4>
      </vt:variant>
      <vt:variant>
        <vt:i4>5</vt:i4>
      </vt:variant>
      <vt:variant>
        <vt:lpwstr/>
      </vt:variant>
      <vt:variant>
        <vt:lpwstr>_Toc116813224</vt:lpwstr>
      </vt:variant>
      <vt:variant>
        <vt:i4>2031668</vt:i4>
      </vt:variant>
      <vt:variant>
        <vt:i4>248</vt:i4>
      </vt:variant>
      <vt:variant>
        <vt:i4>0</vt:i4>
      </vt:variant>
      <vt:variant>
        <vt:i4>5</vt:i4>
      </vt:variant>
      <vt:variant>
        <vt:lpwstr/>
      </vt:variant>
      <vt:variant>
        <vt:lpwstr>_Toc116813223</vt:lpwstr>
      </vt:variant>
      <vt:variant>
        <vt:i4>2031668</vt:i4>
      </vt:variant>
      <vt:variant>
        <vt:i4>242</vt:i4>
      </vt:variant>
      <vt:variant>
        <vt:i4>0</vt:i4>
      </vt:variant>
      <vt:variant>
        <vt:i4>5</vt:i4>
      </vt:variant>
      <vt:variant>
        <vt:lpwstr/>
      </vt:variant>
      <vt:variant>
        <vt:lpwstr>_Toc116813222</vt:lpwstr>
      </vt:variant>
      <vt:variant>
        <vt:i4>2031668</vt:i4>
      </vt:variant>
      <vt:variant>
        <vt:i4>236</vt:i4>
      </vt:variant>
      <vt:variant>
        <vt:i4>0</vt:i4>
      </vt:variant>
      <vt:variant>
        <vt:i4>5</vt:i4>
      </vt:variant>
      <vt:variant>
        <vt:lpwstr/>
      </vt:variant>
      <vt:variant>
        <vt:lpwstr>_Toc116813221</vt:lpwstr>
      </vt:variant>
      <vt:variant>
        <vt:i4>2031668</vt:i4>
      </vt:variant>
      <vt:variant>
        <vt:i4>230</vt:i4>
      </vt:variant>
      <vt:variant>
        <vt:i4>0</vt:i4>
      </vt:variant>
      <vt:variant>
        <vt:i4>5</vt:i4>
      </vt:variant>
      <vt:variant>
        <vt:lpwstr/>
      </vt:variant>
      <vt:variant>
        <vt:lpwstr>_Toc116813220</vt:lpwstr>
      </vt:variant>
      <vt:variant>
        <vt:i4>1835060</vt:i4>
      </vt:variant>
      <vt:variant>
        <vt:i4>224</vt:i4>
      </vt:variant>
      <vt:variant>
        <vt:i4>0</vt:i4>
      </vt:variant>
      <vt:variant>
        <vt:i4>5</vt:i4>
      </vt:variant>
      <vt:variant>
        <vt:lpwstr/>
      </vt:variant>
      <vt:variant>
        <vt:lpwstr>_Toc116813219</vt:lpwstr>
      </vt:variant>
      <vt:variant>
        <vt:i4>1835060</vt:i4>
      </vt:variant>
      <vt:variant>
        <vt:i4>218</vt:i4>
      </vt:variant>
      <vt:variant>
        <vt:i4>0</vt:i4>
      </vt:variant>
      <vt:variant>
        <vt:i4>5</vt:i4>
      </vt:variant>
      <vt:variant>
        <vt:lpwstr/>
      </vt:variant>
      <vt:variant>
        <vt:lpwstr>_Toc116813218</vt:lpwstr>
      </vt:variant>
      <vt:variant>
        <vt:i4>1835060</vt:i4>
      </vt:variant>
      <vt:variant>
        <vt:i4>212</vt:i4>
      </vt:variant>
      <vt:variant>
        <vt:i4>0</vt:i4>
      </vt:variant>
      <vt:variant>
        <vt:i4>5</vt:i4>
      </vt:variant>
      <vt:variant>
        <vt:lpwstr/>
      </vt:variant>
      <vt:variant>
        <vt:lpwstr>_Toc116813217</vt:lpwstr>
      </vt:variant>
      <vt:variant>
        <vt:i4>1835060</vt:i4>
      </vt:variant>
      <vt:variant>
        <vt:i4>206</vt:i4>
      </vt:variant>
      <vt:variant>
        <vt:i4>0</vt:i4>
      </vt:variant>
      <vt:variant>
        <vt:i4>5</vt:i4>
      </vt:variant>
      <vt:variant>
        <vt:lpwstr/>
      </vt:variant>
      <vt:variant>
        <vt:lpwstr>_Toc116813216</vt:lpwstr>
      </vt:variant>
      <vt:variant>
        <vt:i4>1835060</vt:i4>
      </vt:variant>
      <vt:variant>
        <vt:i4>200</vt:i4>
      </vt:variant>
      <vt:variant>
        <vt:i4>0</vt:i4>
      </vt:variant>
      <vt:variant>
        <vt:i4>5</vt:i4>
      </vt:variant>
      <vt:variant>
        <vt:lpwstr/>
      </vt:variant>
      <vt:variant>
        <vt:lpwstr>_Toc116813215</vt:lpwstr>
      </vt:variant>
      <vt:variant>
        <vt:i4>1835060</vt:i4>
      </vt:variant>
      <vt:variant>
        <vt:i4>194</vt:i4>
      </vt:variant>
      <vt:variant>
        <vt:i4>0</vt:i4>
      </vt:variant>
      <vt:variant>
        <vt:i4>5</vt:i4>
      </vt:variant>
      <vt:variant>
        <vt:lpwstr/>
      </vt:variant>
      <vt:variant>
        <vt:lpwstr>_Toc116813214</vt:lpwstr>
      </vt:variant>
      <vt:variant>
        <vt:i4>1835060</vt:i4>
      </vt:variant>
      <vt:variant>
        <vt:i4>188</vt:i4>
      </vt:variant>
      <vt:variant>
        <vt:i4>0</vt:i4>
      </vt:variant>
      <vt:variant>
        <vt:i4>5</vt:i4>
      </vt:variant>
      <vt:variant>
        <vt:lpwstr/>
      </vt:variant>
      <vt:variant>
        <vt:lpwstr>_Toc116813213</vt:lpwstr>
      </vt:variant>
      <vt:variant>
        <vt:i4>1835060</vt:i4>
      </vt:variant>
      <vt:variant>
        <vt:i4>182</vt:i4>
      </vt:variant>
      <vt:variant>
        <vt:i4>0</vt:i4>
      </vt:variant>
      <vt:variant>
        <vt:i4>5</vt:i4>
      </vt:variant>
      <vt:variant>
        <vt:lpwstr/>
      </vt:variant>
      <vt:variant>
        <vt:lpwstr>_Toc116813212</vt:lpwstr>
      </vt:variant>
      <vt:variant>
        <vt:i4>1835060</vt:i4>
      </vt:variant>
      <vt:variant>
        <vt:i4>176</vt:i4>
      </vt:variant>
      <vt:variant>
        <vt:i4>0</vt:i4>
      </vt:variant>
      <vt:variant>
        <vt:i4>5</vt:i4>
      </vt:variant>
      <vt:variant>
        <vt:lpwstr/>
      </vt:variant>
      <vt:variant>
        <vt:lpwstr>_Toc116813211</vt:lpwstr>
      </vt:variant>
      <vt:variant>
        <vt:i4>1835060</vt:i4>
      </vt:variant>
      <vt:variant>
        <vt:i4>170</vt:i4>
      </vt:variant>
      <vt:variant>
        <vt:i4>0</vt:i4>
      </vt:variant>
      <vt:variant>
        <vt:i4>5</vt:i4>
      </vt:variant>
      <vt:variant>
        <vt:lpwstr/>
      </vt:variant>
      <vt:variant>
        <vt:lpwstr>_Toc116813210</vt:lpwstr>
      </vt:variant>
      <vt:variant>
        <vt:i4>1900596</vt:i4>
      </vt:variant>
      <vt:variant>
        <vt:i4>164</vt:i4>
      </vt:variant>
      <vt:variant>
        <vt:i4>0</vt:i4>
      </vt:variant>
      <vt:variant>
        <vt:i4>5</vt:i4>
      </vt:variant>
      <vt:variant>
        <vt:lpwstr/>
      </vt:variant>
      <vt:variant>
        <vt:lpwstr>_Toc116813209</vt:lpwstr>
      </vt:variant>
      <vt:variant>
        <vt:i4>1900596</vt:i4>
      </vt:variant>
      <vt:variant>
        <vt:i4>158</vt:i4>
      </vt:variant>
      <vt:variant>
        <vt:i4>0</vt:i4>
      </vt:variant>
      <vt:variant>
        <vt:i4>5</vt:i4>
      </vt:variant>
      <vt:variant>
        <vt:lpwstr/>
      </vt:variant>
      <vt:variant>
        <vt:lpwstr>_Toc116813208</vt:lpwstr>
      </vt:variant>
      <vt:variant>
        <vt:i4>1900596</vt:i4>
      </vt:variant>
      <vt:variant>
        <vt:i4>152</vt:i4>
      </vt:variant>
      <vt:variant>
        <vt:i4>0</vt:i4>
      </vt:variant>
      <vt:variant>
        <vt:i4>5</vt:i4>
      </vt:variant>
      <vt:variant>
        <vt:lpwstr/>
      </vt:variant>
      <vt:variant>
        <vt:lpwstr>_Toc116813207</vt:lpwstr>
      </vt:variant>
      <vt:variant>
        <vt:i4>1900596</vt:i4>
      </vt:variant>
      <vt:variant>
        <vt:i4>146</vt:i4>
      </vt:variant>
      <vt:variant>
        <vt:i4>0</vt:i4>
      </vt:variant>
      <vt:variant>
        <vt:i4>5</vt:i4>
      </vt:variant>
      <vt:variant>
        <vt:lpwstr/>
      </vt:variant>
      <vt:variant>
        <vt:lpwstr>_Toc116813206</vt:lpwstr>
      </vt:variant>
      <vt:variant>
        <vt:i4>1900596</vt:i4>
      </vt:variant>
      <vt:variant>
        <vt:i4>140</vt:i4>
      </vt:variant>
      <vt:variant>
        <vt:i4>0</vt:i4>
      </vt:variant>
      <vt:variant>
        <vt:i4>5</vt:i4>
      </vt:variant>
      <vt:variant>
        <vt:lpwstr/>
      </vt:variant>
      <vt:variant>
        <vt:lpwstr>_Toc116813205</vt:lpwstr>
      </vt:variant>
      <vt:variant>
        <vt:i4>1900596</vt:i4>
      </vt:variant>
      <vt:variant>
        <vt:i4>134</vt:i4>
      </vt:variant>
      <vt:variant>
        <vt:i4>0</vt:i4>
      </vt:variant>
      <vt:variant>
        <vt:i4>5</vt:i4>
      </vt:variant>
      <vt:variant>
        <vt:lpwstr/>
      </vt:variant>
      <vt:variant>
        <vt:lpwstr>_Toc116813204</vt:lpwstr>
      </vt:variant>
      <vt:variant>
        <vt:i4>1900596</vt:i4>
      </vt:variant>
      <vt:variant>
        <vt:i4>128</vt:i4>
      </vt:variant>
      <vt:variant>
        <vt:i4>0</vt:i4>
      </vt:variant>
      <vt:variant>
        <vt:i4>5</vt:i4>
      </vt:variant>
      <vt:variant>
        <vt:lpwstr/>
      </vt:variant>
      <vt:variant>
        <vt:lpwstr>_Toc116813203</vt:lpwstr>
      </vt:variant>
      <vt:variant>
        <vt:i4>1900596</vt:i4>
      </vt:variant>
      <vt:variant>
        <vt:i4>122</vt:i4>
      </vt:variant>
      <vt:variant>
        <vt:i4>0</vt:i4>
      </vt:variant>
      <vt:variant>
        <vt:i4>5</vt:i4>
      </vt:variant>
      <vt:variant>
        <vt:lpwstr/>
      </vt:variant>
      <vt:variant>
        <vt:lpwstr>_Toc116813202</vt:lpwstr>
      </vt:variant>
      <vt:variant>
        <vt:i4>1900596</vt:i4>
      </vt:variant>
      <vt:variant>
        <vt:i4>116</vt:i4>
      </vt:variant>
      <vt:variant>
        <vt:i4>0</vt:i4>
      </vt:variant>
      <vt:variant>
        <vt:i4>5</vt:i4>
      </vt:variant>
      <vt:variant>
        <vt:lpwstr/>
      </vt:variant>
      <vt:variant>
        <vt:lpwstr>_Toc116813201</vt:lpwstr>
      </vt:variant>
      <vt:variant>
        <vt:i4>1900596</vt:i4>
      </vt:variant>
      <vt:variant>
        <vt:i4>110</vt:i4>
      </vt:variant>
      <vt:variant>
        <vt:i4>0</vt:i4>
      </vt:variant>
      <vt:variant>
        <vt:i4>5</vt:i4>
      </vt:variant>
      <vt:variant>
        <vt:lpwstr/>
      </vt:variant>
      <vt:variant>
        <vt:lpwstr>_Toc116813200</vt:lpwstr>
      </vt:variant>
      <vt:variant>
        <vt:i4>1310775</vt:i4>
      </vt:variant>
      <vt:variant>
        <vt:i4>104</vt:i4>
      </vt:variant>
      <vt:variant>
        <vt:i4>0</vt:i4>
      </vt:variant>
      <vt:variant>
        <vt:i4>5</vt:i4>
      </vt:variant>
      <vt:variant>
        <vt:lpwstr/>
      </vt:variant>
      <vt:variant>
        <vt:lpwstr>_Toc116813199</vt:lpwstr>
      </vt:variant>
      <vt:variant>
        <vt:i4>1310775</vt:i4>
      </vt:variant>
      <vt:variant>
        <vt:i4>98</vt:i4>
      </vt:variant>
      <vt:variant>
        <vt:i4>0</vt:i4>
      </vt:variant>
      <vt:variant>
        <vt:i4>5</vt:i4>
      </vt:variant>
      <vt:variant>
        <vt:lpwstr/>
      </vt:variant>
      <vt:variant>
        <vt:lpwstr>_Toc116813198</vt:lpwstr>
      </vt:variant>
      <vt:variant>
        <vt:i4>1310775</vt:i4>
      </vt:variant>
      <vt:variant>
        <vt:i4>92</vt:i4>
      </vt:variant>
      <vt:variant>
        <vt:i4>0</vt:i4>
      </vt:variant>
      <vt:variant>
        <vt:i4>5</vt:i4>
      </vt:variant>
      <vt:variant>
        <vt:lpwstr/>
      </vt:variant>
      <vt:variant>
        <vt:lpwstr>_Toc116813197</vt:lpwstr>
      </vt:variant>
      <vt:variant>
        <vt:i4>1310775</vt:i4>
      </vt:variant>
      <vt:variant>
        <vt:i4>86</vt:i4>
      </vt:variant>
      <vt:variant>
        <vt:i4>0</vt:i4>
      </vt:variant>
      <vt:variant>
        <vt:i4>5</vt:i4>
      </vt:variant>
      <vt:variant>
        <vt:lpwstr/>
      </vt:variant>
      <vt:variant>
        <vt:lpwstr>_Toc116813196</vt:lpwstr>
      </vt:variant>
      <vt:variant>
        <vt:i4>1310775</vt:i4>
      </vt:variant>
      <vt:variant>
        <vt:i4>80</vt:i4>
      </vt:variant>
      <vt:variant>
        <vt:i4>0</vt:i4>
      </vt:variant>
      <vt:variant>
        <vt:i4>5</vt:i4>
      </vt:variant>
      <vt:variant>
        <vt:lpwstr/>
      </vt:variant>
      <vt:variant>
        <vt:lpwstr>_Toc116813195</vt:lpwstr>
      </vt:variant>
      <vt:variant>
        <vt:i4>1310775</vt:i4>
      </vt:variant>
      <vt:variant>
        <vt:i4>74</vt:i4>
      </vt:variant>
      <vt:variant>
        <vt:i4>0</vt:i4>
      </vt:variant>
      <vt:variant>
        <vt:i4>5</vt:i4>
      </vt:variant>
      <vt:variant>
        <vt:lpwstr/>
      </vt:variant>
      <vt:variant>
        <vt:lpwstr>_Toc116813194</vt:lpwstr>
      </vt:variant>
      <vt:variant>
        <vt:i4>1310775</vt:i4>
      </vt:variant>
      <vt:variant>
        <vt:i4>68</vt:i4>
      </vt:variant>
      <vt:variant>
        <vt:i4>0</vt:i4>
      </vt:variant>
      <vt:variant>
        <vt:i4>5</vt:i4>
      </vt:variant>
      <vt:variant>
        <vt:lpwstr/>
      </vt:variant>
      <vt:variant>
        <vt:lpwstr>_Toc116813193</vt:lpwstr>
      </vt:variant>
      <vt:variant>
        <vt:i4>1310775</vt:i4>
      </vt:variant>
      <vt:variant>
        <vt:i4>62</vt:i4>
      </vt:variant>
      <vt:variant>
        <vt:i4>0</vt:i4>
      </vt:variant>
      <vt:variant>
        <vt:i4>5</vt:i4>
      </vt:variant>
      <vt:variant>
        <vt:lpwstr/>
      </vt:variant>
      <vt:variant>
        <vt:lpwstr>_Toc116813192</vt:lpwstr>
      </vt:variant>
      <vt:variant>
        <vt:i4>1310775</vt:i4>
      </vt:variant>
      <vt:variant>
        <vt:i4>56</vt:i4>
      </vt:variant>
      <vt:variant>
        <vt:i4>0</vt:i4>
      </vt:variant>
      <vt:variant>
        <vt:i4>5</vt:i4>
      </vt:variant>
      <vt:variant>
        <vt:lpwstr/>
      </vt:variant>
      <vt:variant>
        <vt:lpwstr>_Toc116813191</vt:lpwstr>
      </vt:variant>
      <vt:variant>
        <vt:i4>1310775</vt:i4>
      </vt:variant>
      <vt:variant>
        <vt:i4>50</vt:i4>
      </vt:variant>
      <vt:variant>
        <vt:i4>0</vt:i4>
      </vt:variant>
      <vt:variant>
        <vt:i4>5</vt:i4>
      </vt:variant>
      <vt:variant>
        <vt:lpwstr/>
      </vt:variant>
      <vt:variant>
        <vt:lpwstr>_Toc116813190</vt:lpwstr>
      </vt:variant>
      <vt:variant>
        <vt:i4>1376311</vt:i4>
      </vt:variant>
      <vt:variant>
        <vt:i4>44</vt:i4>
      </vt:variant>
      <vt:variant>
        <vt:i4>0</vt:i4>
      </vt:variant>
      <vt:variant>
        <vt:i4>5</vt:i4>
      </vt:variant>
      <vt:variant>
        <vt:lpwstr/>
      </vt:variant>
      <vt:variant>
        <vt:lpwstr>_Toc116813189</vt:lpwstr>
      </vt:variant>
      <vt:variant>
        <vt:i4>1376311</vt:i4>
      </vt:variant>
      <vt:variant>
        <vt:i4>38</vt:i4>
      </vt:variant>
      <vt:variant>
        <vt:i4>0</vt:i4>
      </vt:variant>
      <vt:variant>
        <vt:i4>5</vt:i4>
      </vt:variant>
      <vt:variant>
        <vt:lpwstr/>
      </vt:variant>
      <vt:variant>
        <vt:lpwstr>_Toc116813188</vt:lpwstr>
      </vt:variant>
      <vt:variant>
        <vt:i4>1376311</vt:i4>
      </vt:variant>
      <vt:variant>
        <vt:i4>32</vt:i4>
      </vt:variant>
      <vt:variant>
        <vt:i4>0</vt:i4>
      </vt:variant>
      <vt:variant>
        <vt:i4>5</vt:i4>
      </vt:variant>
      <vt:variant>
        <vt:lpwstr/>
      </vt:variant>
      <vt:variant>
        <vt:lpwstr>_Toc116813187</vt:lpwstr>
      </vt:variant>
      <vt:variant>
        <vt:i4>1376311</vt:i4>
      </vt:variant>
      <vt:variant>
        <vt:i4>26</vt:i4>
      </vt:variant>
      <vt:variant>
        <vt:i4>0</vt:i4>
      </vt:variant>
      <vt:variant>
        <vt:i4>5</vt:i4>
      </vt:variant>
      <vt:variant>
        <vt:lpwstr/>
      </vt:variant>
      <vt:variant>
        <vt:lpwstr>_Toc116813186</vt:lpwstr>
      </vt:variant>
      <vt:variant>
        <vt:i4>1376311</vt:i4>
      </vt:variant>
      <vt:variant>
        <vt:i4>20</vt:i4>
      </vt:variant>
      <vt:variant>
        <vt:i4>0</vt:i4>
      </vt:variant>
      <vt:variant>
        <vt:i4>5</vt:i4>
      </vt:variant>
      <vt:variant>
        <vt:lpwstr/>
      </vt:variant>
      <vt:variant>
        <vt:lpwstr>_Toc116813185</vt:lpwstr>
      </vt:variant>
      <vt:variant>
        <vt:i4>1376311</vt:i4>
      </vt:variant>
      <vt:variant>
        <vt:i4>14</vt:i4>
      </vt:variant>
      <vt:variant>
        <vt:i4>0</vt:i4>
      </vt:variant>
      <vt:variant>
        <vt:i4>5</vt:i4>
      </vt:variant>
      <vt:variant>
        <vt:lpwstr/>
      </vt:variant>
      <vt:variant>
        <vt:lpwstr>_Toc116813184</vt:lpwstr>
      </vt:variant>
      <vt:variant>
        <vt:i4>1376311</vt:i4>
      </vt:variant>
      <vt:variant>
        <vt:i4>8</vt:i4>
      </vt:variant>
      <vt:variant>
        <vt:i4>0</vt:i4>
      </vt:variant>
      <vt:variant>
        <vt:i4>5</vt:i4>
      </vt:variant>
      <vt:variant>
        <vt:lpwstr/>
      </vt:variant>
      <vt:variant>
        <vt:lpwstr>_Toc116813183</vt:lpwstr>
      </vt:variant>
      <vt:variant>
        <vt:i4>1376311</vt:i4>
      </vt:variant>
      <vt:variant>
        <vt:i4>2</vt:i4>
      </vt:variant>
      <vt:variant>
        <vt:i4>0</vt:i4>
      </vt:variant>
      <vt:variant>
        <vt:i4>5</vt:i4>
      </vt:variant>
      <vt:variant>
        <vt:lpwstr/>
      </vt:variant>
      <vt:variant>
        <vt:lpwstr>_Toc116813182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Nogueira Furtado E Faria, Gabriela</dc:creator>
  <cp:keywords/>
  <dc:description/>
  <cp:lastModifiedBy>Nogueira Furtado E Faria, Gabriela</cp:lastModifiedBy>
  <cp:revision>2</cp:revision>
  <cp:lastPrinted>2022-12-06T17:15:00Z</cp:lastPrinted>
  <dcterms:created xsi:type="dcterms:W3CDTF">2022-12-09T19:59:00Z</dcterms:created>
  <dcterms:modified xsi:type="dcterms:W3CDTF">2022-12-09T19:59:00Z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id="a7Mi7BUu"/&gt;&lt;style id="http://www.zotero.org/styles/nature" hasBibliography="1" bibliographyStyleHasBeenSet="1"/&gt;&lt;prefs&gt;&lt;pref name="fieldType" value="Field"/&gt;&lt;pref name="delayCitationUpdates" valu</vt:lpwstr>
  </property>
  <property fmtid="{D5CDD505-2E9C-101B-9397-08002B2CF9AE}" pid="3" name="ZOTERO_PREF_2">
    <vt:lpwstr>e="true"/&gt;&lt;pref name="dontAskDelayCitationUpdates" value="true"/&gt;&lt;/prefs&gt;&lt;/data&gt;</vt:lpwstr>
  </property>
</Properties>
</file>