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628C97" w14:textId="77777777" w:rsidR="005E38DF" w:rsidRDefault="005E38DF" w:rsidP="005E38DF">
      <w:pPr>
        <w:jc w:val="center"/>
        <w:rPr>
          <w:rFonts w:ascii="Times New Roman" w:hAnsi="Times New Roman" w:cs="Times New Roman"/>
        </w:rPr>
      </w:pPr>
      <w:r>
        <w:rPr>
          <w:rFonts w:ascii="Times New Roman" w:hAnsi="Times New Roman" w:cs="Times New Roman"/>
        </w:rPr>
        <w:t>UNIVERSITY OF OKLAHOMA</w:t>
      </w:r>
    </w:p>
    <w:p w14:paraId="3FB85964" w14:textId="77777777" w:rsidR="005E38DF" w:rsidRDefault="005E38DF" w:rsidP="005E38DF">
      <w:pPr>
        <w:jc w:val="center"/>
        <w:rPr>
          <w:rFonts w:ascii="Times New Roman" w:hAnsi="Times New Roman" w:cs="Times New Roman"/>
        </w:rPr>
      </w:pPr>
    </w:p>
    <w:p w14:paraId="1E4A37AF" w14:textId="77777777" w:rsidR="005E38DF" w:rsidRPr="00065E56" w:rsidRDefault="005E38DF" w:rsidP="005E38DF">
      <w:pPr>
        <w:jc w:val="center"/>
        <w:rPr>
          <w:rFonts w:ascii="Times New Roman" w:hAnsi="Times New Roman" w:cs="Times New Roman"/>
        </w:rPr>
      </w:pPr>
      <w:r>
        <w:rPr>
          <w:rFonts w:ascii="Times New Roman" w:hAnsi="Times New Roman" w:cs="Times New Roman"/>
        </w:rPr>
        <w:t>GRADUATE COLLEGE</w:t>
      </w:r>
    </w:p>
    <w:p w14:paraId="2046ECB3" w14:textId="77777777" w:rsidR="005E38DF" w:rsidRPr="00065E56" w:rsidRDefault="005E38DF" w:rsidP="005E38DF">
      <w:pPr>
        <w:rPr>
          <w:rFonts w:ascii="Times New Roman" w:hAnsi="Times New Roman" w:cs="Times New Roman"/>
        </w:rPr>
      </w:pPr>
    </w:p>
    <w:p w14:paraId="5BF34460" w14:textId="77777777" w:rsidR="005E38DF" w:rsidRPr="00065E56" w:rsidRDefault="005E38DF" w:rsidP="005E38DF">
      <w:pPr>
        <w:rPr>
          <w:rFonts w:ascii="Times New Roman" w:hAnsi="Times New Roman" w:cs="Times New Roman"/>
        </w:rPr>
      </w:pPr>
    </w:p>
    <w:p w14:paraId="1E92FD4E" w14:textId="77777777" w:rsidR="005E38DF" w:rsidRPr="00065E56" w:rsidRDefault="005E38DF" w:rsidP="005E38DF">
      <w:pPr>
        <w:rPr>
          <w:rFonts w:ascii="Times New Roman" w:hAnsi="Times New Roman" w:cs="Times New Roman"/>
        </w:rPr>
      </w:pPr>
    </w:p>
    <w:p w14:paraId="080C586E" w14:textId="77777777" w:rsidR="005E38DF" w:rsidRPr="00065E56" w:rsidRDefault="005E38DF" w:rsidP="005E38DF">
      <w:pPr>
        <w:rPr>
          <w:rFonts w:ascii="Times New Roman" w:hAnsi="Times New Roman" w:cs="Times New Roman"/>
        </w:rPr>
      </w:pPr>
    </w:p>
    <w:p w14:paraId="5CA92530" w14:textId="77777777" w:rsidR="005E38DF" w:rsidRPr="00065E56" w:rsidRDefault="005E38DF" w:rsidP="005E38DF">
      <w:pPr>
        <w:rPr>
          <w:rFonts w:ascii="Times New Roman" w:hAnsi="Times New Roman" w:cs="Times New Roman"/>
        </w:rPr>
      </w:pPr>
    </w:p>
    <w:p w14:paraId="6004893D" w14:textId="77777777" w:rsidR="005E38DF" w:rsidRPr="00065E56" w:rsidRDefault="005E38DF" w:rsidP="005E38DF">
      <w:pPr>
        <w:rPr>
          <w:rFonts w:ascii="Times New Roman" w:hAnsi="Times New Roman" w:cs="Times New Roman"/>
        </w:rPr>
      </w:pPr>
    </w:p>
    <w:p w14:paraId="2911CB18" w14:textId="77777777" w:rsidR="005E38DF" w:rsidRPr="00065E56" w:rsidRDefault="005E38DF" w:rsidP="005E38DF">
      <w:pPr>
        <w:rPr>
          <w:rFonts w:ascii="Times New Roman" w:hAnsi="Times New Roman" w:cs="Times New Roman"/>
        </w:rPr>
      </w:pPr>
    </w:p>
    <w:p w14:paraId="2AA91AB5" w14:textId="77777777" w:rsidR="005E38DF" w:rsidRPr="00065E56" w:rsidRDefault="005E38DF" w:rsidP="005E38DF">
      <w:pPr>
        <w:rPr>
          <w:rFonts w:ascii="Times New Roman" w:hAnsi="Times New Roman" w:cs="Times New Roman"/>
        </w:rPr>
      </w:pPr>
    </w:p>
    <w:p w14:paraId="34725411" w14:textId="77777777" w:rsidR="005E38DF" w:rsidRPr="00065E56" w:rsidRDefault="005E38DF" w:rsidP="005E38DF">
      <w:pPr>
        <w:rPr>
          <w:rFonts w:ascii="Times New Roman" w:hAnsi="Times New Roman" w:cs="Times New Roman"/>
        </w:rPr>
      </w:pPr>
    </w:p>
    <w:p w14:paraId="210FE080" w14:textId="77777777" w:rsidR="005E38DF" w:rsidRPr="00065E56" w:rsidRDefault="005E38DF" w:rsidP="005E38DF">
      <w:pPr>
        <w:rPr>
          <w:rFonts w:ascii="Times New Roman" w:hAnsi="Times New Roman" w:cs="Times New Roman"/>
        </w:rPr>
      </w:pPr>
    </w:p>
    <w:p w14:paraId="79245D8C" w14:textId="77777777" w:rsidR="005E38DF" w:rsidRPr="004D034F" w:rsidRDefault="005E38DF" w:rsidP="005E38DF">
      <w:pPr>
        <w:jc w:val="center"/>
        <w:rPr>
          <w:rFonts w:ascii="Times New Roman" w:hAnsi="Times New Roman" w:cs="Times New Roman"/>
        </w:rPr>
      </w:pPr>
      <w:r w:rsidRPr="004D034F">
        <w:rPr>
          <w:rFonts w:ascii="Times New Roman" w:hAnsi="Times New Roman" w:cs="Times New Roman"/>
        </w:rPr>
        <w:t xml:space="preserve">CLINICAL ANATOMY REMOTE LEARNING: </w:t>
      </w:r>
    </w:p>
    <w:p w14:paraId="0325B5E7" w14:textId="77777777" w:rsidR="005E38DF" w:rsidRPr="004D034F" w:rsidRDefault="005E38DF" w:rsidP="005E38DF">
      <w:pPr>
        <w:jc w:val="center"/>
        <w:rPr>
          <w:rFonts w:ascii="Times New Roman" w:hAnsi="Times New Roman" w:cs="Times New Roman"/>
        </w:rPr>
      </w:pPr>
      <w:r w:rsidRPr="004D034F">
        <w:rPr>
          <w:rFonts w:ascii="Times New Roman" w:hAnsi="Times New Roman" w:cs="Times New Roman"/>
        </w:rPr>
        <w:t>A MULTIMETHOD STUDY OF ACTUAL AND PERCEIVED ANATOMICAL KNOWLEDGE</w:t>
      </w:r>
    </w:p>
    <w:p w14:paraId="58C02413" w14:textId="77777777" w:rsidR="005E38DF" w:rsidRDefault="005E38DF" w:rsidP="005E38DF">
      <w:pPr>
        <w:jc w:val="center"/>
        <w:rPr>
          <w:rFonts w:ascii="Times New Roman" w:hAnsi="Times New Roman" w:cs="Times New Roman"/>
          <w:b/>
          <w:bCs/>
        </w:rPr>
      </w:pPr>
    </w:p>
    <w:p w14:paraId="5E34DFD8" w14:textId="77777777" w:rsidR="005E38DF" w:rsidRDefault="005E38DF" w:rsidP="005E38DF">
      <w:pPr>
        <w:jc w:val="center"/>
        <w:rPr>
          <w:rFonts w:ascii="Times New Roman" w:hAnsi="Times New Roman" w:cs="Times New Roman"/>
          <w:b/>
          <w:bCs/>
        </w:rPr>
      </w:pPr>
    </w:p>
    <w:p w14:paraId="2D7C4460" w14:textId="1FF5D759" w:rsidR="005E38DF" w:rsidRDefault="005E38DF" w:rsidP="005E38DF">
      <w:pPr>
        <w:jc w:val="center"/>
        <w:rPr>
          <w:rFonts w:ascii="Times New Roman" w:hAnsi="Times New Roman" w:cs="Times New Roman"/>
          <w:b/>
          <w:bCs/>
        </w:rPr>
      </w:pPr>
    </w:p>
    <w:p w14:paraId="35533AFD" w14:textId="550AC497" w:rsidR="005E38DF" w:rsidRDefault="005E38DF" w:rsidP="005E38DF">
      <w:pPr>
        <w:jc w:val="center"/>
        <w:rPr>
          <w:rFonts w:ascii="Times New Roman" w:hAnsi="Times New Roman" w:cs="Times New Roman"/>
          <w:b/>
          <w:bCs/>
        </w:rPr>
      </w:pPr>
    </w:p>
    <w:p w14:paraId="1924B60A" w14:textId="306867AA" w:rsidR="005E38DF" w:rsidRDefault="005E38DF" w:rsidP="005E38DF">
      <w:pPr>
        <w:jc w:val="center"/>
        <w:rPr>
          <w:rFonts w:ascii="Times New Roman" w:hAnsi="Times New Roman" w:cs="Times New Roman"/>
          <w:b/>
          <w:bCs/>
        </w:rPr>
      </w:pPr>
    </w:p>
    <w:p w14:paraId="305DA9EB" w14:textId="77777777" w:rsidR="005E38DF" w:rsidRDefault="005E38DF" w:rsidP="005E38DF">
      <w:pPr>
        <w:jc w:val="center"/>
        <w:rPr>
          <w:rFonts w:ascii="Times New Roman" w:hAnsi="Times New Roman" w:cs="Times New Roman"/>
          <w:b/>
          <w:bCs/>
        </w:rPr>
      </w:pPr>
    </w:p>
    <w:p w14:paraId="1357E7BA" w14:textId="77777777" w:rsidR="005E38DF" w:rsidRDefault="005E38DF" w:rsidP="005E38DF">
      <w:pPr>
        <w:jc w:val="center"/>
        <w:rPr>
          <w:rFonts w:ascii="Times New Roman" w:hAnsi="Times New Roman" w:cs="Times New Roman"/>
          <w:b/>
          <w:bCs/>
        </w:rPr>
      </w:pPr>
    </w:p>
    <w:p w14:paraId="2E617DAC" w14:textId="553CB535" w:rsidR="005E38DF" w:rsidRPr="004D034F" w:rsidRDefault="005E38DF" w:rsidP="005E38DF">
      <w:pPr>
        <w:jc w:val="center"/>
        <w:rPr>
          <w:rFonts w:ascii="Times New Roman" w:hAnsi="Times New Roman" w:cs="Times New Roman"/>
        </w:rPr>
      </w:pPr>
      <w:r w:rsidRPr="004D034F">
        <w:rPr>
          <w:rFonts w:ascii="Times New Roman" w:hAnsi="Times New Roman" w:cs="Times New Roman"/>
        </w:rPr>
        <w:t xml:space="preserve">A </w:t>
      </w:r>
      <w:r w:rsidR="004D034F">
        <w:rPr>
          <w:rFonts w:ascii="Times New Roman" w:hAnsi="Times New Roman" w:cs="Times New Roman"/>
        </w:rPr>
        <w:t>DISSERTATION</w:t>
      </w:r>
    </w:p>
    <w:p w14:paraId="6D1F04AD" w14:textId="77777777" w:rsidR="005E38DF" w:rsidRPr="004D034F" w:rsidRDefault="005E38DF" w:rsidP="005E38DF">
      <w:pPr>
        <w:jc w:val="center"/>
        <w:rPr>
          <w:rFonts w:ascii="Times New Roman" w:hAnsi="Times New Roman" w:cs="Times New Roman"/>
        </w:rPr>
      </w:pPr>
    </w:p>
    <w:p w14:paraId="5A034ED7" w14:textId="77777777" w:rsidR="005E38DF" w:rsidRPr="004D034F" w:rsidRDefault="005E38DF" w:rsidP="005E38DF">
      <w:pPr>
        <w:jc w:val="center"/>
        <w:rPr>
          <w:rFonts w:ascii="Times New Roman" w:hAnsi="Times New Roman" w:cs="Times New Roman"/>
        </w:rPr>
      </w:pPr>
      <w:r w:rsidRPr="004D034F">
        <w:rPr>
          <w:rFonts w:ascii="Times New Roman" w:hAnsi="Times New Roman" w:cs="Times New Roman"/>
        </w:rPr>
        <w:t>SUBMITTED TO THE GRADUATE FACULTY</w:t>
      </w:r>
    </w:p>
    <w:p w14:paraId="4BF480D2" w14:textId="77777777" w:rsidR="005E38DF" w:rsidRPr="004D034F" w:rsidRDefault="005E38DF" w:rsidP="005E38DF">
      <w:pPr>
        <w:jc w:val="center"/>
        <w:rPr>
          <w:rFonts w:ascii="Times New Roman" w:hAnsi="Times New Roman" w:cs="Times New Roman"/>
        </w:rPr>
      </w:pPr>
    </w:p>
    <w:p w14:paraId="7DFED5A5" w14:textId="77777777" w:rsidR="005E38DF" w:rsidRPr="004D034F" w:rsidRDefault="005E38DF" w:rsidP="005E38DF">
      <w:pPr>
        <w:jc w:val="center"/>
        <w:rPr>
          <w:rFonts w:ascii="Times New Roman" w:hAnsi="Times New Roman" w:cs="Times New Roman"/>
        </w:rPr>
      </w:pPr>
      <w:r w:rsidRPr="004D034F">
        <w:rPr>
          <w:rFonts w:ascii="Times New Roman" w:hAnsi="Times New Roman" w:cs="Times New Roman"/>
        </w:rPr>
        <w:t>in partial fulfillment of the requirements for the</w:t>
      </w:r>
    </w:p>
    <w:p w14:paraId="34572795" w14:textId="77777777" w:rsidR="005E38DF" w:rsidRPr="004D034F" w:rsidRDefault="005E38DF" w:rsidP="005E38DF">
      <w:pPr>
        <w:jc w:val="center"/>
        <w:rPr>
          <w:rFonts w:ascii="Times New Roman" w:hAnsi="Times New Roman" w:cs="Times New Roman"/>
        </w:rPr>
      </w:pPr>
    </w:p>
    <w:p w14:paraId="0E9656B9" w14:textId="77777777" w:rsidR="005E38DF" w:rsidRPr="004D034F" w:rsidRDefault="005E38DF" w:rsidP="005E38DF">
      <w:pPr>
        <w:jc w:val="center"/>
        <w:rPr>
          <w:rFonts w:ascii="Times New Roman" w:hAnsi="Times New Roman" w:cs="Times New Roman"/>
        </w:rPr>
      </w:pPr>
      <w:r w:rsidRPr="004D034F">
        <w:rPr>
          <w:rFonts w:ascii="Times New Roman" w:hAnsi="Times New Roman" w:cs="Times New Roman"/>
        </w:rPr>
        <w:t>degree of</w:t>
      </w:r>
    </w:p>
    <w:p w14:paraId="3889B7A5" w14:textId="77777777" w:rsidR="005E38DF" w:rsidRPr="004D034F" w:rsidRDefault="005E38DF" w:rsidP="005E38DF">
      <w:pPr>
        <w:jc w:val="center"/>
        <w:rPr>
          <w:rFonts w:ascii="Times New Roman" w:hAnsi="Times New Roman" w:cs="Times New Roman"/>
        </w:rPr>
      </w:pPr>
    </w:p>
    <w:p w14:paraId="165716E0" w14:textId="77777777" w:rsidR="005E38DF" w:rsidRPr="004D034F" w:rsidRDefault="005E38DF" w:rsidP="005E38DF">
      <w:pPr>
        <w:jc w:val="center"/>
        <w:rPr>
          <w:rFonts w:ascii="Times New Roman" w:hAnsi="Times New Roman" w:cs="Times New Roman"/>
        </w:rPr>
      </w:pPr>
      <w:r w:rsidRPr="004D034F">
        <w:rPr>
          <w:rFonts w:ascii="Times New Roman" w:hAnsi="Times New Roman" w:cs="Times New Roman"/>
        </w:rPr>
        <w:t>Doctor of Philosophy</w:t>
      </w:r>
    </w:p>
    <w:p w14:paraId="2615525D" w14:textId="77777777" w:rsidR="005E38DF" w:rsidRDefault="005E38DF" w:rsidP="005E38DF">
      <w:pPr>
        <w:jc w:val="center"/>
        <w:rPr>
          <w:rFonts w:ascii="Times New Roman" w:hAnsi="Times New Roman" w:cs="Times New Roman"/>
          <w:b/>
          <w:bCs/>
        </w:rPr>
      </w:pPr>
    </w:p>
    <w:p w14:paraId="1B057C19" w14:textId="144C68F3" w:rsidR="005E38DF" w:rsidRDefault="005E38DF" w:rsidP="005E38DF">
      <w:pPr>
        <w:jc w:val="center"/>
        <w:rPr>
          <w:rFonts w:ascii="Times New Roman" w:hAnsi="Times New Roman" w:cs="Times New Roman"/>
          <w:b/>
          <w:bCs/>
        </w:rPr>
      </w:pPr>
    </w:p>
    <w:p w14:paraId="5262FE2E" w14:textId="3ABE04A0" w:rsidR="005E38DF" w:rsidRDefault="005E38DF" w:rsidP="005E38DF">
      <w:pPr>
        <w:jc w:val="center"/>
        <w:rPr>
          <w:rFonts w:ascii="Times New Roman" w:hAnsi="Times New Roman" w:cs="Times New Roman"/>
          <w:b/>
          <w:bCs/>
        </w:rPr>
      </w:pPr>
    </w:p>
    <w:p w14:paraId="26C446C4" w14:textId="52DBA278" w:rsidR="005E38DF" w:rsidRDefault="005E38DF" w:rsidP="005E38DF">
      <w:pPr>
        <w:jc w:val="center"/>
        <w:rPr>
          <w:rFonts w:ascii="Times New Roman" w:hAnsi="Times New Roman" w:cs="Times New Roman"/>
          <w:b/>
          <w:bCs/>
        </w:rPr>
      </w:pPr>
    </w:p>
    <w:p w14:paraId="4EF4CA8E" w14:textId="200B982F" w:rsidR="005E38DF" w:rsidRDefault="005E38DF" w:rsidP="005E38DF">
      <w:pPr>
        <w:jc w:val="center"/>
        <w:rPr>
          <w:rFonts w:ascii="Times New Roman" w:hAnsi="Times New Roman" w:cs="Times New Roman"/>
          <w:b/>
          <w:bCs/>
        </w:rPr>
      </w:pPr>
    </w:p>
    <w:p w14:paraId="77D9FA71" w14:textId="77777777" w:rsidR="005E38DF" w:rsidRDefault="005E38DF" w:rsidP="005E38DF">
      <w:pPr>
        <w:jc w:val="center"/>
        <w:rPr>
          <w:rFonts w:ascii="Times New Roman" w:hAnsi="Times New Roman" w:cs="Times New Roman"/>
          <w:b/>
          <w:bCs/>
        </w:rPr>
      </w:pPr>
    </w:p>
    <w:p w14:paraId="3C769B68" w14:textId="77777777" w:rsidR="005E38DF" w:rsidRDefault="005E38DF" w:rsidP="005E38DF">
      <w:pPr>
        <w:jc w:val="center"/>
        <w:rPr>
          <w:rFonts w:ascii="Times New Roman" w:hAnsi="Times New Roman" w:cs="Times New Roman"/>
          <w:b/>
          <w:bCs/>
        </w:rPr>
      </w:pPr>
    </w:p>
    <w:p w14:paraId="2D34B3D5" w14:textId="77777777" w:rsidR="005E38DF" w:rsidRPr="00867921" w:rsidRDefault="005E38DF" w:rsidP="005E38DF">
      <w:pPr>
        <w:jc w:val="center"/>
        <w:rPr>
          <w:rFonts w:ascii="Times New Roman" w:hAnsi="Times New Roman" w:cs="Times New Roman"/>
        </w:rPr>
      </w:pPr>
      <w:r w:rsidRPr="00867921">
        <w:rPr>
          <w:rFonts w:ascii="Times New Roman" w:hAnsi="Times New Roman" w:cs="Times New Roman"/>
        </w:rPr>
        <w:t>By</w:t>
      </w:r>
    </w:p>
    <w:p w14:paraId="59E3BE0E" w14:textId="77777777" w:rsidR="005E38DF" w:rsidRPr="00065E56" w:rsidRDefault="005E38DF" w:rsidP="005E38DF">
      <w:pPr>
        <w:jc w:val="center"/>
        <w:rPr>
          <w:rFonts w:ascii="Times New Roman" w:hAnsi="Times New Roman" w:cs="Times New Roman"/>
          <w:b/>
          <w:bCs/>
        </w:rPr>
      </w:pPr>
    </w:p>
    <w:p w14:paraId="10FF0A76" w14:textId="77777777" w:rsidR="005E38DF" w:rsidRPr="00065E56" w:rsidRDefault="005E38DF" w:rsidP="005E38DF">
      <w:pPr>
        <w:jc w:val="center"/>
        <w:rPr>
          <w:rFonts w:ascii="Times New Roman" w:hAnsi="Times New Roman" w:cs="Times New Roman"/>
        </w:rPr>
      </w:pPr>
      <w:r w:rsidRPr="00065E56">
        <w:rPr>
          <w:rFonts w:ascii="Times New Roman" w:hAnsi="Times New Roman" w:cs="Times New Roman"/>
        </w:rPr>
        <w:t>S</w:t>
      </w:r>
      <w:r>
        <w:rPr>
          <w:rFonts w:ascii="Times New Roman" w:hAnsi="Times New Roman" w:cs="Times New Roman"/>
        </w:rPr>
        <w:t>HELLEY</w:t>
      </w:r>
      <w:r w:rsidRPr="00065E56">
        <w:rPr>
          <w:rFonts w:ascii="Times New Roman" w:hAnsi="Times New Roman" w:cs="Times New Roman"/>
        </w:rPr>
        <w:t xml:space="preserve"> H</w:t>
      </w:r>
      <w:r>
        <w:rPr>
          <w:rFonts w:ascii="Times New Roman" w:hAnsi="Times New Roman" w:cs="Times New Roman"/>
        </w:rPr>
        <w:t>UNTER</w:t>
      </w:r>
      <w:r w:rsidRPr="00065E56">
        <w:rPr>
          <w:rFonts w:ascii="Times New Roman" w:hAnsi="Times New Roman" w:cs="Times New Roman"/>
        </w:rPr>
        <w:t>, M.S.</w:t>
      </w:r>
    </w:p>
    <w:p w14:paraId="23410F82" w14:textId="41784C09" w:rsidR="005E38DF" w:rsidRPr="00065E56" w:rsidRDefault="005E38DF" w:rsidP="005E38DF">
      <w:pPr>
        <w:jc w:val="center"/>
        <w:rPr>
          <w:rFonts w:ascii="Times New Roman" w:hAnsi="Times New Roman" w:cs="Times New Roman"/>
        </w:rPr>
      </w:pPr>
      <w:r>
        <w:rPr>
          <w:rFonts w:ascii="Times New Roman" w:hAnsi="Times New Roman" w:cs="Times New Roman"/>
        </w:rPr>
        <w:t>Norman, O</w:t>
      </w:r>
      <w:r w:rsidR="004D034F">
        <w:rPr>
          <w:rFonts w:ascii="Times New Roman" w:hAnsi="Times New Roman" w:cs="Times New Roman"/>
        </w:rPr>
        <w:t>klahoma</w:t>
      </w:r>
    </w:p>
    <w:p w14:paraId="11FCC260" w14:textId="77777777" w:rsidR="005E38DF" w:rsidRPr="00065E56" w:rsidRDefault="005E38DF" w:rsidP="005E38DF">
      <w:pPr>
        <w:jc w:val="center"/>
        <w:rPr>
          <w:rFonts w:ascii="Times New Roman" w:hAnsi="Times New Roman" w:cs="Times New Roman"/>
        </w:rPr>
      </w:pPr>
      <w:r w:rsidRPr="00065E56">
        <w:rPr>
          <w:rFonts w:ascii="Times New Roman" w:hAnsi="Times New Roman" w:cs="Times New Roman"/>
        </w:rPr>
        <w:t>2021</w:t>
      </w:r>
    </w:p>
    <w:p w14:paraId="28B98FAE" w14:textId="77777777" w:rsidR="005E38DF" w:rsidRPr="00065E56" w:rsidRDefault="005E38DF" w:rsidP="005E38DF">
      <w:pPr>
        <w:jc w:val="center"/>
        <w:rPr>
          <w:rFonts w:ascii="Times New Roman" w:hAnsi="Times New Roman" w:cs="Times New Roman"/>
        </w:rPr>
      </w:pPr>
    </w:p>
    <w:p w14:paraId="71C9BF87" w14:textId="77777777" w:rsidR="005E38DF" w:rsidRPr="00065E56" w:rsidRDefault="005E38DF" w:rsidP="005E38DF">
      <w:pPr>
        <w:rPr>
          <w:rFonts w:ascii="Times New Roman" w:hAnsi="Times New Roman" w:cs="Times New Roman"/>
        </w:rPr>
      </w:pPr>
    </w:p>
    <w:p w14:paraId="63C59C85" w14:textId="77777777" w:rsidR="005E38DF" w:rsidRPr="00065E56" w:rsidRDefault="005E38DF" w:rsidP="005E38DF">
      <w:pPr>
        <w:rPr>
          <w:rFonts w:ascii="Times New Roman" w:hAnsi="Times New Roman" w:cs="Times New Roman"/>
        </w:rPr>
      </w:pPr>
    </w:p>
    <w:p w14:paraId="2F128B89" w14:textId="77777777" w:rsidR="005E38DF" w:rsidRPr="00065E56" w:rsidRDefault="005E38DF" w:rsidP="005E38DF">
      <w:pPr>
        <w:rPr>
          <w:rFonts w:ascii="Times New Roman" w:hAnsi="Times New Roman" w:cs="Times New Roman"/>
        </w:rPr>
      </w:pPr>
    </w:p>
    <w:p w14:paraId="757FCBDA" w14:textId="77777777" w:rsidR="005E38DF" w:rsidRPr="00065E56" w:rsidRDefault="005E38DF" w:rsidP="005E38DF">
      <w:pPr>
        <w:rPr>
          <w:rFonts w:ascii="Times New Roman" w:hAnsi="Times New Roman" w:cs="Times New Roman"/>
        </w:rPr>
      </w:pPr>
    </w:p>
    <w:p w14:paraId="42BC562B" w14:textId="77777777" w:rsidR="005E38DF" w:rsidRPr="00065E56" w:rsidRDefault="005E38DF" w:rsidP="005E38DF">
      <w:pPr>
        <w:rPr>
          <w:rFonts w:ascii="Times New Roman" w:hAnsi="Times New Roman" w:cs="Times New Roman"/>
        </w:rPr>
      </w:pPr>
    </w:p>
    <w:p w14:paraId="4E427FB8" w14:textId="77777777" w:rsidR="005E38DF" w:rsidRPr="00065E56" w:rsidRDefault="005E38DF" w:rsidP="005E38DF">
      <w:pPr>
        <w:rPr>
          <w:rFonts w:ascii="Times New Roman" w:hAnsi="Times New Roman" w:cs="Times New Roman"/>
        </w:rPr>
      </w:pPr>
    </w:p>
    <w:p w14:paraId="682A9659" w14:textId="77777777" w:rsidR="005E38DF" w:rsidRPr="00065E56" w:rsidRDefault="005E38DF" w:rsidP="005E38DF">
      <w:pPr>
        <w:rPr>
          <w:rFonts w:ascii="Times New Roman" w:hAnsi="Times New Roman" w:cs="Times New Roman"/>
        </w:rPr>
      </w:pPr>
    </w:p>
    <w:p w14:paraId="44D6D2BC" w14:textId="77777777" w:rsidR="005E38DF" w:rsidRPr="00065E56" w:rsidRDefault="005E38DF" w:rsidP="005E38DF">
      <w:pPr>
        <w:rPr>
          <w:rFonts w:ascii="Times New Roman" w:hAnsi="Times New Roman" w:cs="Times New Roman"/>
        </w:rPr>
      </w:pPr>
    </w:p>
    <w:p w14:paraId="005F608D" w14:textId="77777777" w:rsidR="005E38DF" w:rsidRPr="004D034F" w:rsidRDefault="005E38DF" w:rsidP="005E38DF">
      <w:pPr>
        <w:jc w:val="center"/>
        <w:rPr>
          <w:rFonts w:ascii="Times New Roman" w:hAnsi="Times New Roman" w:cs="Times New Roman"/>
        </w:rPr>
      </w:pPr>
      <w:r w:rsidRPr="004D034F">
        <w:rPr>
          <w:rFonts w:ascii="Times New Roman" w:hAnsi="Times New Roman" w:cs="Times New Roman"/>
        </w:rPr>
        <w:t xml:space="preserve">CLINICAL ANATOMY REMOTE LEARNING: </w:t>
      </w:r>
    </w:p>
    <w:p w14:paraId="6607A410" w14:textId="77777777" w:rsidR="005E38DF" w:rsidRPr="004D034F" w:rsidRDefault="005E38DF" w:rsidP="005E38DF">
      <w:pPr>
        <w:jc w:val="center"/>
        <w:rPr>
          <w:rFonts w:ascii="Times New Roman" w:hAnsi="Times New Roman" w:cs="Times New Roman"/>
        </w:rPr>
      </w:pPr>
      <w:r w:rsidRPr="004D034F">
        <w:rPr>
          <w:rFonts w:ascii="Times New Roman" w:hAnsi="Times New Roman" w:cs="Times New Roman"/>
        </w:rPr>
        <w:t>A MULTIMETHOD STUDY OF ACTUAL AND PERCEIVED ANATOMICAL KNOWLEDGE</w:t>
      </w:r>
    </w:p>
    <w:p w14:paraId="4E2DE569" w14:textId="77777777" w:rsidR="005E38DF" w:rsidRDefault="005E38DF" w:rsidP="005E38DF">
      <w:pPr>
        <w:jc w:val="center"/>
        <w:rPr>
          <w:rFonts w:ascii="Times New Roman" w:hAnsi="Times New Roman" w:cs="Times New Roman"/>
        </w:rPr>
      </w:pPr>
    </w:p>
    <w:p w14:paraId="51C6CF13" w14:textId="77777777" w:rsidR="005E38DF" w:rsidRDefault="005E38DF" w:rsidP="005E38DF">
      <w:pPr>
        <w:jc w:val="center"/>
        <w:rPr>
          <w:rFonts w:ascii="Times New Roman" w:hAnsi="Times New Roman" w:cs="Times New Roman"/>
        </w:rPr>
      </w:pPr>
    </w:p>
    <w:p w14:paraId="5302F540" w14:textId="77777777" w:rsidR="005E38DF" w:rsidRDefault="005E38DF" w:rsidP="005E38DF">
      <w:pPr>
        <w:jc w:val="center"/>
        <w:rPr>
          <w:rFonts w:ascii="Times New Roman" w:hAnsi="Times New Roman" w:cs="Times New Roman"/>
        </w:rPr>
      </w:pPr>
    </w:p>
    <w:p w14:paraId="338780ED" w14:textId="613CE3C2" w:rsidR="005E38DF" w:rsidRDefault="005E38DF" w:rsidP="005E38DF">
      <w:pPr>
        <w:jc w:val="center"/>
        <w:rPr>
          <w:rFonts w:ascii="Times New Roman" w:hAnsi="Times New Roman" w:cs="Times New Roman"/>
        </w:rPr>
      </w:pPr>
      <w:r>
        <w:rPr>
          <w:rFonts w:ascii="Times New Roman" w:hAnsi="Times New Roman" w:cs="Times New Roman"/>
        </w:rPr>
        <w:t>A D</w:t>
      </w:r>
      <w:r w:rsidR="004D034F">
        <w:rPr>
          <w:rFonts w:ascii="Times New Roman" w:hAnsi="Times New Roman" w:cs="Times New Roman"/>
        </w:rPr>
        <w:t>ISSERTATION</w:t>
      </w:r>
      <w:r>
        <w:rPr>
          <w:rFonts w:ascii="Times New Roman" w:hAnsi="Times New Roman" w:cs="Times New Roman"/>
        </w:rPr>
        <w:t xml:space="preserve"> APPROVED FOR THE</w:t>
      </w:r>
    </w:p>
    <w:p w14:paraId="7069D46B" w14:textId="77777777" w:rsidR="005E38DF" w:rsidRDefault="005E38DF" w:rsidP="005E38DF">
      <w:pPr>
        <w:jc w:val="center"/>
        <w:rPr>
          <w:rFonts w:ascii="Times New Roman" w:hAnsi="Times New Roman" w:cs="Times New Roman"/>
        </w:rPr>
      </w:pPr>
      <w:r>
        <w:rPr>
          <w:rFonts w:ascii="Times New Roman" w:hAnsi="Times New Roman" w:cs="Times New Roman"/>
        </w:rPr>
        <w:t>DEPARTMENT OF INSTRUCTIONAL LEADERSHIP AND ACADEMIC CURRICULUM</w:t>
      </w:r>
    </w:p>
    <w:p w14:paraId="27070249" w14:textId="77777777" w:rsidR="005E38DF" w:rsidRDefault="005E38DF" w:rsidP="005E38DF">
      <w:pPr>
        <w:jc w:val="center"/>
        <w:rPr>
          <w:rFonts w:ascii="Times New Roman" w:hAnsi="Times New Roman" w:cs="Times New Roman"/>
        </w:rPr>
      </w:pPr>
    </w:p>
    <w:p w14:paraId="52EF7645" w14:textId="77777777" w:rsidR="005E38DF" w:rsidRDefault="005E38DF" w:rsidP="005E38DF">
      <w:pPr>
        <w:jc w:val="center"/>
        <w:rPr>
          <w:rFonts w:ascii="Times New Roman" w:hAnsi="Times New Roman" w:cs="Times New Roman"/>
        </w:rPr>
      </w:pPr>
    </w:p>
    <w:p w14:paraId="47992768" w14:textId="77777777" w:rsidR="005E38DF" w:rsidRDefault="005E38DF" w:rsidP="005E38DF">
      <w:pPr>
        <w:jc w:val="center"/>
        <w:rPr>
          <w:rFonts w:ascii="Times New Roman" w:hAnsi="Times New Roman" w:cs="Times New Roman"/>
        </w:rPr>
      </w:pPr>
    </w:p>
    <w:p w14:paraId="5989A1AA" w14:textId="77777777" w:rsidR="005E38DF" w:rsidRDefault="005E38DF" w:rsidP="005E38DF">
      <w:pPr>
        <w:jc w:val="center"/>
        <w:rPr>
          <w:rFonts w:ascii="Times New Roman" w:hAnsi="Times New Roman" w:cs="Times New Roman"/>
        </w:rPr>
      </w:pPr>
    </w:p>
    <w:p w14:paraId="100BCB48" w14:textId="77777777" w:rsidR="005E38DF" w:rsidRDefault="005E38DF" w:rsidP="005E38DF">
      <w:pPr>
        <w:jc w:val="center"/>
        <w:rPr>
          <w:rFonts w:ascii="Times New Roman" w:hAnsi="Times New Roman" w:cs="Times New Roman"/>
        </w:rPr>
      </w:pPr>
    </w:p>
    <w:p w14:paraId="2F823870" w14:textId="77777777" w:rsidR="005E38DF" w:rsidRDefault="005E38DF" w:rsidP="005E38DF">
      <w:pPr>
        <w:jc w:val="center"/>
        <w:rPr>
          <w:rFonts w:ascii="Times New Roman" w:hAnsi="Times New Roman" w:cs="Times New Roman"/>
        </w:rPr>
      </w:pPr>
    </w:p>
    <w:p w14:paraId="31BBEBC4" w14:textId="77777777" w:rsidR="005E38DF" w:rsidRDefault="005E38DF" w:rsidP="005E38DF">
      <w:pPr>
        <w:jc w:val="center"/>
        <w:rPr>
          <w:rFonts w:ascii="Times New Roman" w:hAnsi="Times New Roman" w:cs="Times New Roman"/>
        </w:rPr>
      </w:pPr>
    </w:p>
    <w:p w14:paraId="11509832" w14:textId="77777777" w:rsidR="005E38DF" w:rsidRDefault="005E38DF" w:rsidP="005E38DF">
      <w:pPr>
        <w:jc w:val="center"/>
        <w:rPr>
          <w:rFonts w:ascii="Times New Roman" w:hAnsi="Times New Roman" w:cs="Times New Roman"/>
        </w:rPr>
      </w:pPr>
    </w:p>
    <w:p w14:paraId="5BEB6F68" w14:textId="77777777" w:rsidR="005E38DF" w:rsidRDefault="005E38DF" w:rsidP="005E38DF">
      <w:pPr>
        <w:jc w:val="center"/>
        <w:rPr>
          <w:rFonts w:ascii="Times New Roman" w:hAnsi="Times New Roman" w:cs="Times New Roman"/>
        </w:rPr>
      </w:pPr>
    </w:p>
    <w:p w14:paraId="721DE04A" w14:textId="77777777" w:rsidR="005E38DF" w:rsidRDefault="005E38DF" w:rsidP="005E38DF">
      <w:pPr>
        <w:jc w:val="center"/>
        <w:rPr>
          <w:rFonts w:ascii="Times New Roman" w:hAnsi="Times New Roman" w:cs="Times New Roman"/>
        </w:rPr>
      </w:pPr>
    </w:p>
    <w:p w14:paraId="7F326C38" w14:textId="77777777" w:rsidR="005E38DF" w:rsidRDefault="005E38DF" w:rsidP="005E38DF">
      <w:pPr>
        <w:jc w:val="center"/>
        <w:rPr>
          <w:rFonts w:ascii="Times New Roman" w:hAnsi="Times New Roman" w:cs="Times New Roman"/>
        </w:rPr>
      </w:pPr>
    </w:p>
    <w:p w14:paraId="4C6E8B91" w14:textId="77777777" w:rsidR="005E38DF" w:rsidRDefault="005E38DF" w:rsidP="005E38DF">
      <w:pPr>
        <w:jc w:val="center"/>
        <w:rPr>
          <w:rFonts w:ascii="Times New Roman" w:hAnsi="Times New Roman" w:cs="Times New Roman"/>
        </w:rPr>
      </w:pPr>
    </w:p>
    <w:p w14:paraId="47ED10D1" w14:textId="77777777" w:rsidR="005E38DF" w:rsidRDefault="005E38DF" w:rsidP="005E38DF">
      <w:pPr>
        <w:jc w:val="center"/>
        <w:rPr>
          <w:rFonts w:ascii="Times New Roman" w:hAnsi="Times New Roman" w:cs="Times New Roman"/>
        </w:rPr>
      </w:pPr>
    </w:p>
    <w:p w14:paraId="6CAB0547" w14:textId="77777777" w:rsidR="005E38DF" w:rsidRDefault="005E38DF" w:rsidP="005E38DF">
      <w:pPr>
        <w:jc w:val="center"/>
        <w:rPr>
          <w:rFonts w:ascii="Times New Roman" w:hAnsi="Times New Roman" w:cs="Times New Roman"/>
        </w:rPr>
      </w:pPr>
    </w:p>
    <w:p w14:paraId="77F66F73" w14:textId="77777777" w:rsidR="005E38DF" w:rsidRDefault="005E38DF" w:rsidP="005E38DF">
      <w:pPr>
        <w:jc w:val="center"/>
        <w:rPr>
          <w:rFonts w:ascii="Times New Roman" w:hAnsi="Times New Roman" w:cs="Times New Roman"/>
        </w:rPr>
      </w:pPr>
    </w:p>
    <w:p w14:paraId="441E75F4" w14:textId="75785A26" w:rsidR="005E38DF" w:rsidRDefault="005E38DF" w:rsidP="005E38DF">
      <w:pPr>
        <w:jc w:val="cente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BY</w:t>
      </w:r>
      <w:r w:rsidR="004D034F">
        <w:rPr>
          <w:rFonts w:ascii="Times New Roman" w:hAnsi="Times New Roman" w:cs="Times New Roman"/>
        </w:rPr>
        <w:t xml:space="preserve"> THE COMMITTEE CONSISTING OF</w:t>
      </w:r>
    </w:p>
    <w:p w14:paraId="5F9FF020" w14:textId="77777777" w:rsidR="005E38DF" w:rsidRDefault="005E38DF" w:rsidP="005E38DF">
      <w:pPr>
        <w:jc w:val="center"/>
        <w:rPr>
          <w:rFonts w:ascii="Times New Roman" w:hAnsi="Times New Roman" w:cs="Times New Roman"/>
        </w:rPr>
      </w:pPr>
    </w:p>
    <w:p w14:paraId="7846E3CA" w14:textId="77777777" w:rsidR="004D034F" w:rsidRDefault="004D034F" w:rsidP="005E38DF">
      <w:pPr>
        <w:jc w:val="right"/>
        <w:rPr>
          <w:rFonts w:ascii="Times New Roman" w:hAnsi="Times New Roman" w:cs="Times New Roman"/>
        </w:rPr>
      </w:pPr>
    </w:p>
    <w:p w14:paraId="06F42847" w14:textId="77777777" w:rsidR="004D034F" w:rsidRDefault="004D034F" w:rsidP="005E38DF">
      <w:pPr>
        <w:jc w:val="right"/>
        <w:rPr>
          <w:rFonts w:ascii="Times New Roman" w:hAnsi="Times New Roman" w:cs="Times New Roman"/>
        </w:rPr>
      </w:pPr>
    </w:p>
    <w:p w14:paraId="7B88AB46" w14:textId="77777777" w:rsidR="004D034F" w:rsidRDefault="004D034F" w:rsidP="005E38DF">
      <w:pPr>
        <w:jc w:val="right"/>
        <w:rPr>
          <w:rFonts w:ascii="Times New Roman" w:hAnsi="Times New Roman" w:cs="Times New Roman"/>
        </w:rPr>
      </w:pPr>
    </w:p>
    <w:p w14:paraId="68EE22D7" w14:textId="77777777" w:rsidR="004D034F" w:rsidRDefault="004D034F" w:rsidP="005E38DF">
      <w:pPr>
        <w:jc w:val="right"/>
        <w:rPr>
          <w:rFonts w:ascii="Times New Roman" w:hAnsi="Times New Roman" w:cs="Times New Roman"/>
        </w:rPr>
      </w:pPr>
    </w:p>
    <w:p w14:paraId="3E8FED67" w14:textId="77777777" w:rsidR="004D034F" w:rsidRDefault="004D034F" w:rsidP="005E38DF">
      <w:pPr>
        <w:jc w:val="right"/>
        <w:rPr>
          <w:rFonts w:ascii="Times New Roman" w:hAnsi="Times New Roman" w:cs="Times New Roman"/>
        </w:rPr>
      </w:pPr>
    </w:p>
    <w:p w14:paraId="4B584276" w14:textId="77777777" w:rsidR="004D034F" w:rsidRDefault="004D034F" w:rsidP="005E38DF">
      <w:pPr>
        <w:jc w:val="right"/>
        <w:rPr>
          <w:rFonts w:ascii="Times New Roman" w:hAnsi="Times New Roman" w:cs="Times New Roman"/>
        </w:rPr>
      </w:pPr>
      <w:r>
        <w:rPr>
          <w:rFonts w:ascii="Times New Roman" w:hAnsi="Times New Roman" w:cs="Times New Roman"/>
        </w:rPr>
        <w:t xml:space="preserve">Dr. </w:t>
      </w:r>
      <w:r w:rsidR="005E38DF">
        <w:rPr>
          <w:rFonts w:ascii="Times New Roman" w:hAnsi="Times New Roman" w:cs="Times New Roman"/>
        </w:rPr>
        <w:t>Stacy Reeder,</w:t>
      </w:r>
      <w:r w:rsidR="00867921">
        <w:rPr>
          <w:rFonts w:ascii="Times New Roman" w:hAnsi="Times New Roman" w:cs="Times New Roman"/>
        </w:rPr>
        <w:t xml:space="preserve"> </w:t>
      </w:r>
      <w:r w:rsidR="005E38DF">
        <w:rPr>
          <w:rFonts w:ascii="Times New Roman" w:hAnsi="Times New Roman" w:cs="Times New Roman"/>
        </w:rPr>
        <w:t>Chair</w:t>
      </w:r>
    </w:p>
    <w:p w14:paraId="3A78690C" w14:textId="77777777" w:rsidR="004D034F" w:rsidRDefault="004D034F" w:rsidP="004D034F">
      <w:pPr>
        <w:jc w:val="right"/>
        <w:rPr>
          <w:rFonts w:ascii="Times New Roman" w:hAnsi="Times New Roman" w:cs="Times New Roman"/>
        </w:rPr>
      </w:pPr>
    </w:p>
    <w:p w14:paraId="4B215993" w14:textId="55B5CCA3" w:rsidR="005E38DF" w:rsidRDefault="004D034F" w:rsidP="004D034F">
      <w:pPr>
        <w:jc w:val="right"/>
        <w:rPr>
          <w:rFonts w:ascii="Times New Roman" w:hAnsi="Times New Roman" w:cs="Times New Roman"/>
        </w:rPr>
      </w:pPr>
      <w:r>
        <w:rPr>
          <w:rFonts w:ascii="Times New Roman" w:hAnsi="Times New Roman" w:cs="Times New Roman"/>
        </w:rPr>
        <w:t xml:space="preserve">Dr. </w:t>
      </w:r>
      <w:r w:rsidR="005E38DF">
        <w:rPr>
          <w:rFonts w:ascii="Times New Roman" w:hAnsi="Times New Roman" w:cs="Times New Roman"/>
        </w:rPr>
        <w:t>Nancy Halliday,</w:t>
      </w:r>
      <w:r>
        <w:rPr>
          <w:rFonts w:ascii="Times New Roman" w:hAnsi="Times New Roman" w:cs="Times New Roman"/>
        </w:rPr>
        <w:t xml:space="preserve"> </w:t>
      </w:r>
      <w:r w:rsidR="005E38DF">
        <w:rPr>
          <w:rFonts w:ascii="Times New Roman" w:hAnsi="Times New Roman" w:cs="Times New Roman"/>
        </w:rPr>
        <w:t>Co-Chair</w:t>
      </w:r>
    </w:p>
    <w:p w14:paraId="0647A968" w14:textId="77777777" w:rsidR="004D034F" w:rsidRDefault="004D034F" w:rsidP="005E38DF">
      <w:pPr>
        <w:jc w:val="right"/>
        <w:rPr>
          <w:rFonts w:ascii="Times New Roman" w:hAnsi="Times New Roman" w:cs="Times New Roman"/>
        </w:rPr>
      </w:pPr>
    </w:p>
    <w:p w14:paraId="597633FE" w14:textId="46D220F8" w:rsidR="005E38DF" w:rsidRDefault="004D034F" w:rsidP="005E38DF">
      <w:pPr>
        <w:jc w:val="right"/>
        <w:rPr>
          <w:rFonts w:ascii="Times New Roman" w:hAnsi="Times New Roman" w:cs="Times New Roman"/>
        </w:rPr>
      </w:pPr>
      <w:r>
        <w:rPr>
          <w:rFonts w:ascii="Times New Roman" w:hAnsi="Times New Roman" w:cs="Times New Roman"/>
        </w:rPr>
        <w:t xml:space="preserve">Dr. </w:t>
      </w:r>
      <w:r w:rsidR="005E38DF">
        <w:rPr>
          <w:rFonts w:ascii="Times New Roman" w:hAnsi="Times New Roman" w:cs="Times New Roman"/>
        </w:rPr>
        <w:t>Ji Hong</w:t>
      </w:r>
    </w:p>
    <w:p w14:paraId="40AA6881" w14:textId="77777777" w:rsidR="004D034F" w:rsidRDefault="004D034F" w:rsidP="005E38DF">
      <w:pPr>
        <w:jc w:val="right"/>
        <w:rPr>
          <w:rFonts w:ascii="Times New Roman" w:hAnsi="Times New Roman" w:cs="Times New Roman"/>
        </w:rPr>
      </w:pPr>
    </w:p>
    <w:p w14:paraId="26B57E14" w14:textId="701DC20D" w:rsidR="005E38DF" w:rsidRDefault="004D034F" w:rsidP="005E38DF">
      <w:pPr>
        <w:jc w:val="right"/>
        <w:rPr>
          <w:rFonts w:ascii="Times New Roman" w:hAnsi="Times New Roman" w:cs="Times New Roman"/>
        </w:rPr>
      </w:pPr>
      <w:r>
        <w:rPr>
          <w:rFonts w:ascii="Times New Roman" w:hAnsi="Times New Roman" w:cs="Times New Roman"/>
        </w:rPr>
        <w:t xml:space="preserve">Dr. </w:t>
      </w:r>
      <w:r w:rsidR="005E38DF">
        <w:rPr>
          <w:rFonts w:ascii="Times New Roman" w:hAnsi="Times New Roman" w:cs="Times New Roman"/>
        </w:rPr>
        <w:t xml:space="preserve">Daniel </w:t>
      </w:r>
      <w:proofErr w:type="spellStart"/>
      <w:r w:rsidR="005E38DF">
        <w:rPr>
          <w:rFonts w:ascii="Times New Roman" w:hAnsi="Times New Roman" w:cs="Times New Roman"/>
        </w:rPr>
        <w:t>O’Donoghue</w:t>
      </w:r>
      <w:proofErr w:type="spellEnd"/>
      <w:r w:rsidR="005E38DF">
        <w:rPr>
          <w:rFonts w:ascii="Times New Roman" w:hAnsi="Times New Roman" w:cs="Times New Roman"/>
        </w:rPr>
        <w:t xml:space="preserve"> </w:t>
      </w:r>
    </w:p>
    <w:p w14:paraId="30660612" w14:textId="5503B7C1" w:rsidR="004D034F" w:rsidRDefault="004D034F" w:rsidP="005E38DF">
      <w:pPr>
        <w:jc w:val="right"/>
        <w:rPr>
          <w:rFonts w:ascii="Times New Roman" w:hAnsi="Times New Roman" w:cs="Times New Roman"/>
        </w:rPr>
      </w:pPr>
    </w:p>
    <w:p w14:paraId="0AAD5171" w14:textId="77777777" w:rsidR="004D034F" w:rsidRPr="00065E56" w:rsidRDefault="004D034F" w:rsidP="005E38DF">
      <w:pPr>
        <w:jc w:val="right"/>
        <w:rPr>
          <w:rFonts w:ascii="Times New Roman" w:hAnsi="Times New Roman" w:cs="Times New Roman"/>
        </w:rPr>
      </w:pPr>
    </w:p>
    <w:p w14:paraId="1BB280D6" w14:textId="77777777" w:rsidR="005E38DF" w:rsidRPr="00065E56" w:rsidRDefault="005E38DF" w:rsidP="005E38DF">
      <w:pPr>
        <w:rPr>
          <w:rFonts w:ascii="Times New Roman" w:hAnsi="Times New Roman" w:cs="Times New Roman"/>
        </w:rPr>
      </w:pPr>
    </w:p>
    <w:p w14:paraId="2A0554BB" w14:textId="77777777" w:rsidR="005E38DF" w:rsidRPr="00065E56" w:rsidRDefault="005E38DF" w:rsidP="005E38DF">
      <w:pPr>
        <w:rPr>
          <w:rFonts w:ascii="Times New Roman" w:hAnsi="Times New Roman" w:cs="Times New Roman"/>
        </w:rPr>
      </w:pPr>
    </w:p>
    <w:p w14:paraId="29904C3F" w14:textId="77777777" w:rsidR="005E38DF" w:rsidRPr="00065E56" w:rsidRDefault="005E38DF" w:rsidP="005E38DF">
      <w:pPr>
        <w:rPr>
          <w:rFonts w:ascii="Times New Roman" w:hAnsi="Times New Roman" w:cs="Times New Roman"/>
        </w:rPr>
      </w:pPr>
    </w:p>
    <w:p w14:paraId="1FC9DD36" w14:textId="77777777" w:rsidR="005E38DF" w:rsidRDefault="005E38DF" w:rsidP="005E38DF">
      <w:pPr>
        <w:rPr>
          <w:rFonts w:ascii="Times New Roman" w:hAnsi="Times New Roman" w:cs="Times New Roman"/>
        </w:rPr>
      </w:pPr>
    </w:p>
    <w:p w14:paraId="1E382FAB" w14:textId="77777777" w:rsidR="005E38DF" w:rsidRDefault="005E38DF" w:rsidP="005E38DF">
      <w:pPr>
        <w:rPr>
          <w:rFonts w:ascii="Times New Roman" w:hAnsi="Times New Roman" w:cs="Times New Roman"/>
        </w:rPr>
      </w:pPr>
    </w:p>
    <w:p w14:paraId="6C897ECC" w14:textId="77777777" w:rsidR="005E38DF" w:rsidRDefault="005E38DF" w:rsidP="005E38DF">
      <w:pPr>
        <w:rPr>
          <w:rFonts w:ascii="Times New Roman" w:hAnsi="Times New Roman" w:cs="Times New Roman"/>
        </w:rPr>
      </w:pPr>
    </w:p>
    <w:p w14:paraId="71D2437B" w14:textId="77777777" w:rsidR="005E38DF" w:rsidRDefault="005E38DF" w:rsidP="005E38DF">
      <w:pPr>
        <w:rPr>
          <w:rFonts w:ascii="Times New Roman" w:hAnsi="Times New Roman" w:cs="Times New Roman"/>
        </w:rPr>
      </w:pPr>
    </w:p>
    <w:p w14:paraId="2A73AAC3" w14:textId="77777777" w:rsidR="005E38DF" w:rsidRDefault="005E38DF" w:rsidP="005E38DF">
      <w:pPr>
        <w:rPr>
          <w:rFonts w:ascii="Times New Roman" w:hAnsi="Times New Roman" w:cs="Times New Roman"/>
        </w:rPr>
      </w:pPr>
    </w:p>
    <w:p w14:paraId="326AD607" w14:textId="77777777" w:rsidR="005E38DF" w:rsidRDefault="005E38DF" w:rsidP="005E38DF">
      <w:pPr>
        <w:rPr>
          <w:rFonts w:ascii="Times New Roman" w:hAnsi="Times New Roman" w:cs="Times New Roman"/>
        </w:rPr>
      </w:pPr>
    </w:p>
    <w:p w14:paraId="47A1A68E" w14:textId="77777777" w:rsidR="005E38DF" w:rsidRDefault="005E38DF" w:rsidP="005E38DF">
      <w:pPr>
        <w:rPr>
          <w:rFonts w:ascii="Times New Roman" w:hAnsi="Times New Roman" w:cs="Times New Roman"/>
        </w:rPr>
      </w:pPr>
    </w:p>
    <w:p w14:paraId="1F7F7186" w14:textId="77777777" w:rsidR="005E38DF" w:rsidRDefault="005E38DF" w:rsidP="005E38DF">
      <w:pPr>
        <w:rPr>
          <w:rFonts w:ascii="Times New Roman" w:hAnsi="Times New Roman" w:cs="Times New Roman"/>
        </w:rPr>
      </w:pPr>
    </w:p>
    <w:p w14:paraId="7732F6A5" w14:textId="77777777" w:rsidR="005E38DF" w:rsidRDefault="005E38DF" w:rsidP="005E38DF">
      <w:pPr>
        <w:rPr>
          <w:rFonts w:ascii="Times New Roman" w:hAnsi="Times New Roman" w:cs="Times New Roman"/>
        </w:rPr>
      </w:pPr>
    </w:p>
    <w:p w14:paraId="792D1764" w14:textId="77777777" w:rsidR="005E38DF" w:rsidRDefault="005E38DF" w:rsidP="005E38DF">
      <w:pPr>
        <w:rPr>
          <w:rFonts w:ascii="Times New Roman" w:hAnsi="Times New Roman" w:cs="Times New Roman"/>
        </w:rPr>
      </w:pPr>
    </w:p>
    <w:p w14:paraId="51E7567B" w14:textId="77777777" w:rsidR="005E38DF" w:rsidRDefault="005E38DF" w:rsidP="005E38DF">
      <w:pPr>
        <w:rPr>
          <w:rFonts w:ascii="Times New Roman" w:hAnsi="Times New Roman" w:cs="Times New Roman"/>
        </w:rPr>
      </w:pPr>
    </w:p>
    <w:p w14:paraId="32ED8FF7" w14:textId="77777777" w:rsidR="005E38DF" w:rsidRDefault="005E38DF" w:rsidP="005E38DF">
      <w:pPr>
        <w:rPr>
          <w:rFonts w:ascii="Times New Roman" w:hAnsi="Times New Roman" w:cs="Times New Roman"/>
        </w:rPr>
      </w:pPr>
    </w:p>
    <w:p w14:paraId="5EB8C40E" w14:textId="77777777" w:rsidR="005E38DF" w:rsidRDefault="005E38DF" w:rsidP="005E38DF">
      <w:pPr>
        <w:rPr>
          <w:rFonts w:ascii="Times New Roman" w:hAnsi="Times New Roman" w:cs="Times New Roman"/>
        </w:rPr>
      </w:pPr>
    </w:p>
    <w:p w14:paraId="7146384E" w14:textId="77777777" w:rsidR="005E38DF" w:rsidRDefault="005E38DF" w:rsidP="005E38DF">
      <w:pPr>
        <w:rPr>
          <w:rFonts w:ascii="Times New Roman" w:hAnsi="Times New Roman" w:cs="Times New Roman"/>
        </w:rPr>
      </w:pPr>
    </w:p>
    <w:p w14:paraId="2DEB05C4" w14:textId="77777777" w:rsidR="005E38DF" w:rsidRDefault="005E38DF" w:rsidP="005E38DF">
      <w:pPr>
        <w:rPr>
          <w:rFonts w:ascii="Times New Roman" w:hAnsi="Times New Roman" w:cs="Times New Roman"/>
        </w:rPr>
      </w:pPr>
    </w:p>
    <w:p w14:paraId="2C490CBE" w14:textId="77777777" w:rsidR="005E38DF" w:rsidRDefault="005E38DF" w:rsidP="005E38DF">
      <w:pPr>
        <w:rPr>
          <w:rFonts w:ascii="Times New Roman" w:hAnsi="Times New Roman" w:cs="Times New Roman"/>
        </w:rPr>
      </w:pPr>
    </w:p>
    <w:p w14:paraId="097A9504" w14:textId="77777777" w:rsidR="005E38DF" w:rsidRDefault="005E38DF" w:rsidP="005E38DF">
      <w:pPr>
        <w:rPr>
          <w:rFonts w:ascii="Times New Roman" w:hAnsi="Times New Roman" w:cs="Times New Roman"/>
        </w:rPr>
      </w:pPr>
    </w:p>
    <w:p w14:paraId="3EB37293" w14:textId="77777777" w:rsidR="005E38DF" w:rsidRDefault="005E38DF" w:rsidP="005E38DF">
      <w:pPr>
        <w:rPr>
          <w:rFonts w:ascii="Times New Roman" w:hAnsi="Times New Roman" w:cs="Times New Roman"/>
        </w:rPr>
      </w:pPr>
    </w:p>
    <w:p w14:paraId="053F4D1E" w14:textId="77777777" w:rsidR="005E38DF" w:rsidRDefault="005E38DF" w:rsidP="005E38DF">
      <w:pPr>
        <w:rPr>
          <w:rFonts w:ascii="Times New Roman" w:hAnsi="Times New Roman" w:cs="Times New Roman"/>
        </w:rPr>
      </w:pPr>
    </w:p>
    <w:p w14:paraId="687E37F6" w14:textId="77777777" w:rsidR="005E38DF" w:rsidRDefault="005E38DF" w:rsidP="005E38DF">
      <w:pPr>
        <w:rPr>
          <w:rFonts w:ascii="Times New Roman" w:hAnsi="Times New Roman" w:cs="Times New Roman"/>
        </w:rPr>
      </w:pPr>
    </w:p>
    <w:p w14:paraId="4D35BDD2" w14:textId="77777777" w:rsidR="005E38DF" w:rsidRDefault="005E38DF" w:rsidP="005E38DF">
      <w:pPr>
        <w:rPr>
          <w:rFonts w:ascii="Times New Roman" w:hAnsi="Times New Roman" w:cs="Times New Roman"/>
        </w:rPr>
      </w:pPr>
    </w:p>
    <w:p w14:paraId="21BFF8E2" w14:textId="77777777" w:rsidR="005E38DF" w:rsidRDefault="005E38DF" w:rsidP="005E38DF">
      <w:pPr>
        <w:rPr>
          <w:rFonts w:ascii="Times New Roman" w:hAnsi="Times New Roman" w:cs="Times New Roman"/>
        </w:rPr>
      </w:pPr>
    </w:p>
    <w:p w14:paraId="5CBBB68A" w14:textId="77777777" w:rsidR="005E38DF" w:rsidRDefault="005E38DF" w:rsidP="005E38DF">
      <w:pPr>
        <w:rPr>
          <w:rFonts w:ascii="Times New Roman" w:hAnsi="Times New Roman" w:cs="Times New Roman"/>
        </w:rPr>
      </w:pPr>
    </w:p>
    <w:p w14:paraId="2856AE11" w14:textId="77777777" w:rsidR="005E38DF" w:rsidRDefault="005E38DF" w:rsidP="005E38DF">
      <w:pPr>
        <w:rPr>
          <w:rFonts w:ascii="Times New Roman" w:hAnsi="Times New Roman" w:cs="Times New Roman"/>
        </w:rPr>
      </w:pPr>
    </w:p>
    <w:p w14:paraId="2060852A" w14:textId="77777777" w:rsidR="005E38DF" w:rsidRDefault="005E38DF" w:rsidP="005E38DF">
      <w:pPr>
        <w:rPr>
          <w:rFonts w:ascii="Times New Roman" w:hAnsi="Times New Roman" w:cs="Times New Roman"/>
        </w:rPr>
      </w:pPr>
    </w:p>
    <w:p w14:paraId="31E15E92" w14:textId="77777777" w:rsidR="005E38DF" w:rsidRDefault="005E38DF" w:rsidP="005E38DF">
      <w:pPr>
        <w:rPr>
          <w:rFonts w:ascii="Times New Roman" w:hAnsi="Times New Roman" w:cs="Times New Roman"/>
        </w:rPr>
      </w:pPr>
    </w:p>
    <w:p w14:paraId="2DF5D75D" w14:textId="77777777" w:rsidR="005E38DF" w:rsidRDefault="005E38DF" w:rsidP="005E38DF">
      <w:pPr>
        <w:rPr>
          <w:rFonts w:ascii="Times New Roman" w:hAnsi="Times New Roman" w:cs="Times New Roman"/>
        </w:rPr>
      </w:pPr>
    </w:p>
    <w:p w14:paraId="4B53D9D6" w14:textId="77777777" w:rsidR="005E38DF" w:rsidRDefault="005E38DF" w:rsidP="005E38DF">
      <w:pPr>
        <w:rPr>
          <w:rFonts w:ascii="Times New Roman" w:hAnsi="Times New Roman" w:cs="Times New Roman"/>
        </w:rPr>
      </w:pPr>
    </w:p>
    <w:p w14:paraId="6AD8B26B" w14:textId="77777777" w:rsidR="005E38DF" w:rsidRDefault="005E38DF" w:rsidP="005E38DF">
      <w:pPr>
        <w:rPr>
          <w:rFonts w:ascii="Times New Roman" w:hAnsi="Times New Roman" w:cs="Times New Roman"/>
        </w:rPr>
      </w:pPr>
    </w:p>
    <w:p w14:paraId="16419E3F" w14:textId="77777777" w:rsidR="005E38DF" w:rsidRDefault="005E38DF" w:rsidP="005E38DF">
      <w:pPr>
        <w:rPr>
          <w:rFonts w:ascii="Times New Roman" w:hAnsi="Times New Roman" w:cs="Times New Roman"/>
        </w:rPr>
      </w:pPr>
    </w:p>
    <w:p w14:paraId="6E609599" w14:textId="77777777" w:rsidR="005E38DF" w:rsidRDefault="005E38DF" w:rsidP="005E38DF">
      <w:pPr>
        <w:rPr>
          <w:rFonts w:ascii="Times New Roman" w:hAnsi="Times New Roman" w:cs="Times New Roman"/>
        </w:rPr>
      </w:pPr>
    </w:p>
    <w:p w14:paraId="0A581010" w14:textId="77777777" w:rsidR="005E38DF" w:rsidRDefault="005E38DF" w:rsidP="005E38DF">
      <w:pPr>
        <w:rPr>
          <w:rFonts w:ascii="Times New Roman" w:hAnsi="Times New Roman" w:cs="Times New Roman"/>
        </w:rPr>
      </w:pPr>
    </w:p>
    <w:p w14:paraId="6F6CE47E" w14:textId="77777777" w:rsidR="005E38DF" w:rsidRDefault="005E38DF" w:rsidP="005E38DF">
      <w:pPr>
        <w:rPr>
          <w:rFonts w:ascii="Times New Roman" w:hAnsi="Times New Roman" w:cs="Times New Roman"/>
        </w:rPr>
      </w:pPr>
    </w:p>
    <w:p w14:paraId="3F8695D5" w14:textId="77777777" w:rsidR="005E38DF" w:rsidRDefault="005E38DF" w:rsidP="005E38DF">
      <w:pPr>
        <w:rPr>
          <w:rFonts w:ascii="Times New Roman" w:hAnsi="Times New Roman" w:cs="Times New Roman"/>
        </w:rPr>
      </w:pPr>
    </w:p>
    <w:p w14:paraId="292EE120" w14:textId="77777777" w:rsidR="005E38DF" w:rsidRDefault="005E38DF" w:rsidP="005E38DF">
      <w:pPr>
        <w:rPr>
          <w:rFonts w:ascii="Times New Roman" w:hAnsi="Times New Roman" w:cs="Times New Roman"/>
        </w:rPr>
      </w:pPr>
    </w:p>
    <w:p w14:paraId="067F4CD0" w14:textId="77777777" w:rsidR="005E38DF" w:rsidRDefault="005E38DF" w:rsidP="005E38DF">
      <w:pPr>
        <w:rPr>
          <w:rFonts w:ascii="Times New Roman" w:hAnsi="Times New Roman" w:cs="Times New Roman"/>
        </w:rPr>
      </w:pPr>
    </w:p>
    <w:p w14:paraId="5CB28647" w14:textId="77777777" w:rsidR="005E38DF" w:rsidRDefault="005E38DF" w:rsidP="005E38DF">
      <w:pPr>
        <w:rPr>
          <w:rFonts w:ascii="Times New Roman" w:hAnsi="Times New Roman" w:cs="Times New Roman"/>
        </w:rPr>
      </w:pPr>
    </w:p>
    <w:p w14:paraId="47D62CE8" w14:textId="77777777" w:rsidR="005E38DF" w:rsidRDefault="005E38DF" w:rsidP="005E38DF">
      <w:pPr>
        <w:rPr>
          <w:rFonts w:ascii="Times New Roman" w:hAnsi="Times New Roman" w:cs="Times New Roman"/>
        </w:rPr>
      </w:pPr>
    </w:p>
    <w:p w14:paraId="7E859552" w14:textId="77777777" w:rsidR="005E38DF" w:rsidRDefault="005E38DF" w:rsidP="005E38DF">
      <w:pPr>
        <w:rPr>
          <w:rFonts w:ascii="Times New Roman" w:hAnsi="Times New Roman" w:cs="Times New Roman"/>
        </w:rPr>
      </w:pPr>
    </w:p>
    <w:p w14:paraId="65BE7135" w14:textId="77777777" w:rsidR="005E38DF" w:rsidRDefault="005E38DF" w:rsidP="005E38DF">
      <w:pPr>
        <w:rPr>
          <w:rFonts w:ascii="Times New Roman" w:hAnsi="Times New Roman" w:cs="Times New Roman"/>
        </w:rPr>
      </w:pPr>
    </w:p>
    <w:p w14:paraId="5609F95C" w14:textId="77777777" w:rsidR="005E38DF" w:rsidRDefault="005E38DF" w:rsidP="005E38DF">
      <w:pPr>
        <w:rPr>
          <w:rFonts w:ascii="Times New Roman" w:hAnsi="Times New Roman" w:cs="Times New Roman"/>
        </w:rPr>
      </w:pPr>
    </w:p>
    <w:p w14:paraId="535EF45C" w14:textId="3976B35F" w:rsidR="005E38DF" w:rsidRDefault="005E38DF" w:rsidP="005E38DF">
      <w:pPr>
        <w:jc w:val="center"/>
        <w:rPr>
          <w:rFonts w:ascii="Times New Roman" w:hAnsi="Times New Roman" w:cs="Times New Roman"/>
        </w:rPr>
      </w:pPr>
      <w:r>
        <w:rPr>
          <w:rFonts w:ascii="Times New Roman" w:hAnsi="Times New Roman" w:cs="Times New Roman"/>
        </w:rPr>
        <w:t xml:space="preserve">©Copyright by </w:t>
      </w:r>
      <w:r w:rsidR="004D034F">
        <w:rPr>
          <w:rFonts w:ascii="Times New Roman" w:hAnsi="Times New Roman" w:cs="Times New Roman"/>
        </w:rPr>
        <w:t>SHELLEY HUNTER</w:t>
      </w:r>
      <w:r>
        <w:rPr>
          <w:rFonts w:ascii="Times New Roman" w:hAnsi="Times New Roman" w:cs="Times New Roman"/>
        </w:rPr>
        <w:t xml:space="preserve"> 2021</w:t>
      </w:r>
    </w:p>
    <w:p w14:paraId="036F1AC7" w14:textId="46AFBB44" w:rsidR="00215973" w:rsidRDefault="005E38DF" w:rsidP="005E38DF">
      <w:pPr>
        <w:jc w:val="center"/>
        <w:rPr>
          <w:rFonts w:ascii="Times New Roman" w:hAnsi="Times New Roman" w:cs="Times New Roman"/>
        </w:rPr>
        <w:sectPr w:rsidR="00215973" w:rsidSect="00351193">
          <w:footerReference w:type="even" r:id="rId8"/>
          <w:footerReference w:type="default" r:id="rId9"/>
          <w:pgSz w:w="12240" w:h="15840"/>
          <w:pgMar w:top="1440" w:right="1440" w:bottom="1440" w:left="1440" w:header="720" w:footer="720" w:gutter="0"/>
          <w:cols w:space="720"/>
          <w:docGrid w:linePitch="360"/>
        </w:sectPr>
      </w:pPr>
      <w:r>
        <w:rPr>
          <w:rFonts w:ascii="Times New Roman" w:hAnsi="Times New Roman" w:cs="Times New Roman"/>
        </w:rPr>
        <w:t>All Rights R</w:t>
      </w:r>
      <w:r w:rsidR="00153314">
        <w:rPr>
          <w:rFonts w:ascii="Times New Roman" w:hAnsi="Times New Roman" w:cs="Times New Roman"/>
        </w:rPr>
        <w:t>eserved</w:t>
      </w:r>
      <w:r w:rsidR="00215973">
        <w:rPr>
          <w:rFonts w:ascii="Times New Roman" w:hAnsi="Times New Roman" w:cs="Times New Roman"/>
        </w:rPr>
        <w:t>.</w:t>
      </w:r>
    </w:p>
    <w:p w14:paraId="56442152" w14:textId="65AE0B30" w:rsidR="005163F8" w:rsidRDefault="005163F8" w:rsidP="005E38DF">
      <w:pPr>
        <w:jc w:val="center"/>
        <w:rPr>
          <w:rFonts w:ascii="Times New Roman" w:hAnsi="Times New Roman" w:cs="Times New Roman"/>
        </w:rPr>
      </w:pPr>
    </w:p>
    <w:p w14:paraId="02A36ED6" w14:textId="3A57D2F0" w:rsidR="005E38DF" w:rsidRDefault="005E38DF" w:rsidP="005E38DF">
      <w:pPr>
        <w:jc w:val="center"/>
        <w:rPr>
          <w:rFonts w:ascii="Times New Roman" w:hAnsi="Times New Roman" w:cs="Times New Roman"/>
        </w:rPr>
      </w:pPr>
      <w:r>
        <w:rPr>
          <w:rFonts w:ascii="Times New Roman" w:hAnsi="Times New Roman" w:cs="Times New Roman"/>
        </w:rPr>
        <w:t>Acknowledgements</w:t>
      </w:r>
    </w:p>
    <w:p w14:paraId="0E4D2A61" w14:textId="415F8ED3" w:rsidR="00867921" w:rsidRDefault="00867921" w:rsidP="005E38DF">
      <w:pPr>
        <w:jc w:val="center"/>
        <w:rPr>
          <w:rFonts w:ascii="Times New Roman" w:hAnsi="Times New Roman" w:cs="Times New Roman"/>
        </w:rPr>
      </w:pPr>
    </w:p>
    <w:p w14:paraId="09F7085A" w14:textId="23971B30" w:rsidR="00867921" w:rsidRDefault="00867921" w:rsidP="005163F8">
      <w:pPr>
        <w:spacing w:line="480" w:lineRule="auto"/>
        <w:rPr>
          <w:rFonts w:ascii="Times New Roman" w:hAnsi="Times New Roman" w:cs="Times New Roman"/>
        </w:rPr>
      </w:pPr>
      <w:r>
        <w:rPr>
          <w:rFonts w:ascii="Times New Roman" w:hAnsi="Times New Roman" w:cs="Times New Roman"/>
        </w:rPr>
        <w:tab/>
        <w:t xml:space="preserve">Transformative experiences never happen in a vacuum; there are always forces in the form of people who shape the experience. I am so appreciative of Dr. Stacy Reeder for guiding </w:t>
      </w:r>
      <w:r w:rsidR="00991447">
        <w:rPr>
          <w:rFonts w:ascii="Times New Roman" w:hAnsi="Times New Roman" w:cs="Times New Roman"/>
        </w:rPr>
        <w:t>my general exams an</w:t>
      </w:r>
      <w:r w:rsidR="004B7312">
        <w:rPr>
          <w:rFonts w:ascii="Times New Roman" w:hAnsi="Times New Roman" w:cs="Times New Roman"/>
        </w:rPr>
        <w:t>d</w:t>
      </w:r>
      <w:r>
        <w:rPr>
          <w:rFonts w:ascii="Times New Roman" w:hAnsi="Times New Roman" w:cs="Times New Roman"/>
        </w:rPr>
        <w:t xml:space="preserve"> dissertation process. </w:t>
      </w:r>
      <w:r w:rsidR="006F7F22">
        <w:rPr>
          <w:rFonts w:ascii="Times New Roman" w:hAnsi="Times New Roman" w:cs="Times New Roman"/>
        </w:rPr>
        <w:t xml:space="preserve">The suggestion to analyze the survey by learning domains turned out to be especially helpful. </w:t>
      </w:r>
      <w:r>
        <w:rPr>
          <w:rFonts w:ascii="Times New Roman" w:hAnsi="Times New Roman" w:cs="Times New Roman"/>
        </w:rPr>
        <w:t xml:space="preserve">Thank you for stepping in and seeing me through to the finish line and for many warm conversations. Dr. </w:t>
      </w:r>
      <w:r w:rsidR="00B2248F">
        <w:rPr>
          <w:rFonts w:ascii="Times New Roman" w:hAnsi="Times New Roman" w:cs="Times New Roman"/>
        </w:rPr>
        <w:t xml:space="preserve">Ji </w:t>
      </w:r>
      <w:r>
        <w:rPr>
          <w:rFonts w:ascii="Times New Roman" w:hAnsi="Times New Roman" w:cs="Times New Roman"/>
        </w:rPr>
        <w:t xml:space="preserve">Hong, your courses were foundational to my understanding of research, and I am grateful for the times I called on you for </w:t>
      </w:r>
      <w:r w:rsidR="00991447">
        <w:rPr>
          <w:rFonts w:ascii="Times New Roman" w:hAnsi="Times New Roman" w:cs="Times New Roman"/>
        </w:rPr>
        <w:t>understanding and you responded with multiple resources and good humor. Thanks to Dr. Lawrence Baines as well for advising me the first few years.  One conversation in particular jump-started my reflection process on what I wanted from this degree program, and it served as a touchstone for other decisions.</w:t>
      </w:r>
    </w:p>
    <w:p w14:paraId="2ED16167" w14:textId="03BB25C2" w:rsidR="005E38DF" w:rsidRDefault="00991447" w:rsidP="005163F8">
      <w:pPr>
        <w:spacing w:line="480" w:lineRule="auto"/>
        <w:rPr>
          <w:rFonts w:ascii="Times New Roman" w:hAnsi="Times New Roman" w:cs="Times New Roman"/>
        </w:rPr>
      </w:pPr>
      <w:r>
        <w:rPr>
          <w:rFonts w:ascii="Times New Roman" w:hAnsi="Times New Roman" w:cs="Times New Roman"/>
        </w:rPr>
        <w:tab/>
        <w:t xml:space="preserve">Dr. Nancy Halliday, thank you so much for your guidance and instruction. And your patience! I know there were times when I frustrated you, </w:t>
      </w:r>
      <w:r w:rsidR="00B2248F">
        <w:rPr>
          <w:rFonts w:ascii="Times New Roman" w:hAnsi="Times New Roman" w:cs="Times New Roman"/>
        </w:rPr>
        <w:t xml:space="preserve">but you gave me space and time to figure out my goals, and I appreciate that so much. It was a joy to watch and learn from you. </w:t>
      </w:r>
      <w:r w:rsidR="006F7F22">
        <w:rPr>
          <w:rFonts w:ascii="Times New Roman" w:hAnsi="Times New Roman" w:cs="Times New Roman"/>
        </w:rPr>
        <w:t xml:space="preserve">On a more practical note, your turnaround time and suggestions for my dissertation were amazing, thank you so much. </w:t>
      </w:r>
      <w:r w:rsidR="00B2248F">
        <w:rPr>
          <w:rFonts w:ascii="Times New Roman" w:hAnsi="Times New Roman" w:cs="Times New Roman"/>
        </w:rPr>
        <w:t xml:space="preserve">I am grateful to Dr. Dan </w:t>
      </w:r>
      <w:proofErr w:type="spellStart"/>
      <w:r w:rsidR="00B2248F">
        <w:rPr>
          <w:rFonts w:ascii="Times New Roman" w:hAnsi="Times New Roman" w:cs="Times New Roman"/>
        </w:rPr>
        <w:t>O’Donoghue</w:t>
      </w:r>
      <w:proofErr w:type="spellEnd"/>
      <w:r w:rsidR="00B2248F">
        <w:rPr>
          <w:rFonts w:ascii="Times New Roman" w:hAnsi="Times New Roman" w:cs="Times New Roman"/>
        </w:rPr>
        <w:t xml:space="preserve"> for your guidance, also. There were times when I think you understood me better than I understood myself</w:t>
      </w:r>
      <w:r w:rsidR="00F038FF">
        <w:rPr>
          <w:rFonts w:ascii="Times New Roman" w:hAnsi="Times New Roman" w:cs="Times New Roman"/>
        </w:rPr>
        <w:t>, and i</w:t>
      </w:r>
      <w:r w:rsidR="00B2248F">
        <w:rPr>
          <w:rFonts w:ascii="Times New Roman" w:hAnsi="Times New Roman" w:cs="Times New Roman"/>
        </w:rPr>
        <w:t xml:space="preserve">t helped so much to talk to someone who had been both parent and student. </w:t>
      </w:r>
      <w:r w:rsidR="006F7F22">
        <w:rPr>
          <w:rFonts w:ascii="Times New Roman" w:hAnsi="Times New Roman" w:cs="Times New Roman"/>
        </w:rPr>
        <w:t xml:space="preserve">Also, you introduced me to </w:t>
      </w:r>
      <w:r w:rsidR="006F7F22" w:rsidRPr="006F7F22">
        <w:rPr>
          <w:rFonts w:ascii="Times New Roman" w:hAnsi="Times New Roman" w:cs="Times New Roman"/>
          <w:i/>
          <w:iCs/>
        </w:rPr>
        <w:t>The Elements of</w:t>
      </w:r>
      <w:r w:rsidR="006F7F22">
        <w:rPr>
          <w:rFonts w:ascii="Times New Roman" w:hAnsi="Times New Roman" w:cs="Times New Roman"/>
        </w:rPr>
        <w:t xml:space="preserve"> </w:t>
      </w:r>
      <w:r w:rsidR="006F7F22" w:rsidRPr="006F7F22">
        <w:rPr>
          <w:rFonts w:ascii="Times New Roman" w:hAnsi="Times New Roman" w:cs="Times New Roman"/>
          <w:i/>
          <w:iCs/>
        </w:rPr>
        <w:t>Style</w:t>
      </w:r>
      <w:r w:rsidR="00F038FF">
        <w:rPr>
          <w:rFonts w:ascii="Times New Roman" w:hAnsi="Times New Roman" w:cs="Times New Roman"/>
        </w:rPr>
        <w:t>;</w:t>
      </w:r>
      <w:r w:rsidR="006F7F22">
        <w:rPr>
          <w:rFonts w:ascii="Times New Roman" w:hAnsi="Times New Roman" w:cs="Times New Roman"/>
        </w:rPr>
        <w:t xml:space="preserve"> what more do you need in life? </w:t>
      </w:r>
      <w:r w:rsidR="00B2248F">
        <w:rPr>
          <w:rFonts w:ascii="Times New Roman" w:hAnsi="Times New Roman" w:cs="Times New Roman"/>
        </w:rPr>
        <w:t xml:space="preserve">Dr. Kris Miller and Dr. Kathryn </w:t>
      </w:r>
      <w:proofErr w:type="spellStart"/>
      <w:r w:rsidR="00B2248F">
        <w:rPr>
          <w:rFonts w:ascii="Times New Roman" w:hAnsi="Times New Roman" w:cs="Times New Roman"/>
        </w:rPr>
        <w:t>Klump</w:t>
      </w:r>
      <w:proofErr w:type="spellEnd"/>
      <w:r w:rsidR="00B2248F">
        <w:rPr>
          <w:rFonts w:ascii="Times New Roman" w:hAnsi="Times New Roman" w:cs="Times New Roman"/>
        </w:rPr>
        <w:t xml:space="preserve">, thank you for being voices of reason at various times. Dr. Brandt </w:t>
      </w:r>
      <w:proofErr w:type="spellStart"/>
      <w:r w:rsidR="00B2248F">
        <w:rPr>
          <w:rFonts w:ascii="Times New Roman" w:hAnsi="Times New Roman" w:cs="Times New Roman"/>
        </w:rPr>
        <w:t>Wiskur</w:t>
      </w:r>
      <w:proofErr w:type="spellEnd"/>
      <w:r w:rsidR="00B2248F">
        <w:rPr>
          <w:rFonts w:ascii="Times New Roman" w:hAnsi="Times New Roman" w:cs="Times New Roman"/>
        </w:rPr>
        <w:t xml:space="preserve">, I am fairly certain the quantitative data would still be sitting on D2L without your efforts and guidance, thank you so much. Dr. Mary Moon, my anatomy sister. You know when soldiers return from war and are bonded for </w:t>
      </w:r>
      <w:r w:rsidR="00B2248F">
        <w:rPr>
          <w:rFonts w:ascii="Times New Roman" w:hAnsi="Times New Roman" w:cs="Times New Roman"/>
        </w:rPr>
        <w:lastRenderedPageBreak/>
        <w:t>life? Yeah.</w:t>
      </w:r>
      <w:r w:rsidR="006F7F22">
        <w:rPr>
          <w:rFonts w:ascii="Times New Roman" w:hAnsi="Times New Roman" w:cs="Times New Roman"/>
        </w:rPr>
        <w:t xml:space="preserve"> Also, thank you for your qualitative analysis. I’ve enjoyed learning from you this past year.</w:t>
      </w:r>
    </w:p>
    <w:p w14:paraId="3F9AB9FE" w14:textId="5F52F44A" w:rsidR="006F7F22" w:rsidRPr="006F7F22" w:rsidRDefault="006F7F22" w:rsidP="005163F8">
      <w:pPr>
        <w:spacing w:line="480" w:lineRule="auto"/>
        <w:rPr>
          <w:rFonts w:ascii="Times New Roman" w:hAnsi="Times New Roman" w:cs="Times New Roman"/>
        </w:rPr>
      </w:pPr>
      <w:r>
        <w:rPr>
          <w:rFonts w:ascii="Times New Roman" w:hAnsi="Times New Roman" w:cs="Times New Roman"/>
        </w:rPr>
        <w:tab/>
        <w:t xml:space="preserve">This degree would not have happened without Jason Hunter. You have been unbelievably flexible and generous so that I could study, sleep, dissect, and work. You </w:t>
      </w:r>
      <w:proofErr w:type="gramStart"/>
      <w:r>
        <w:rPr>
          <w:rFonts w:ascii="Times New Roman" w:hAnsi="Times New Roman" w:cs="Times New Roman"/>
        </w:rPr>
        <w:t>talked</w:t>
      </w:r>
      <w:proofErr w:type="gramEnd"/>
      <w:r>
        <w:rPr>
          <w:rFonts w:ascii="Times New Roman" w:hAnsi="Times New Roman" w:cs="Times New Roman"/>
        </w:rPr>
        <w:t xml:space="preserve"> me off many ledges, believed I would figure out my goals, </w:t>
      </w:r>
      <w:r w:rsidR="00CA7BFD">
        <w:rPr>
          <w:rFonts w:ascii="Times New Roman" w:hAnsi="Times New Roman" w:cs="Times New Roman"/>
        </w:rPr>
        <w:t xml:space="preserve">and appropriately commiserated or pushed. You are an exceptional duck. Thank you so much. </w:t>
      </w:r>
      <w:r w:rsidR="005163F8">
        <w:rPr>
          <w:rFonts w:ascii="Times New Roman" w:hAnsi="Times New Roman" w:cs="Times New Roman"/>
        </w:rPr>
        <w:t xml:space="preserve">Glenda Gray, I always, always knew I could </w:t>
      </w:r>
      <w:proofErr w:type="gramStart"/>
      <w:r w:rsidR="005163F8">
        <w:rPr>
          <w:rFonts w:ascii="Times New Roman" w:hAnsi="Times New Roman" w:cs="Times New Roman"/>
        </w:rPr>
        <w:t>call</w:t>
      </w:r>
      <w:proofErr w:type="gramEnd"/>
      <w:r w:rsidR="005163F8">
        <w:rPr>
          <w:rFonts w:ascii="Times New Roman" w:hAnsi="Times New Roman" w:cs="Times New Roman"/>
        </w:rPr>
        <w:t xml:space="preserve"> and you would come help with rides</w:t>
      </w:r>
      <w:r w:rsidR="00EE7990">
        <w:rPr>
          <w:rFonts w:ascii="Times New Roman" w:hAnsi="Times New Roman" w:cs="Times New Roman"/>
        </w:rPr>
        <w:t>,</w:t>
      </w:r>
      <w:r w:rsidR="005163F8">
        <w:rPr>
          <w:rFonts w:ascii="Times New Roman" w:hAnsi="Times New Roman" w:cs="Times New Roman"/>
        </w:rPr>
        <w:t xml:space="preserve"> babysitting</w:t>
      </w:r>
      <w:r w:rsidR="00EE7990">
        <w:rPr>
          <w:rFonts w:ascii="Times New Roman" w:hAnsi="Times New Roman" w:cs="Times New Roman"/>
        </w:rPr>
        <w:t>, or food</w:t>
      </w:r>
      <w:r w:rsidR="005163F8">
        <w:rPr>
          <w:rFonts w:ascii="Times New Roman" w:hAnsi="Times New Roman" w:cs="Times New Roman"/>
        </w:rPr>
        <w:t xml:space="preserve">. I appreciate the times you did just that, thank you. </w:t>
      </w:r>
      <w:r w:rsidR="00CA7BFD">
        <w:rPr>
          <w:rFonts w:ascii="Times New Roman" w:hAnsi="Times New Roman" w:cs="Times New Roman"/>
        </w:rPr>
        <w:t>McKinley and Callan, you have both been so encouraging, thank you! I appreciate how you embraced the changes that came with every semester</w:t>
      </w:r>
      <w:r w:rsidR="005163F8">
        <w:rPr>
          <w:rFonts w:ascii="Times New Roman" w:hAnsi="Times New Roman" w:cs="Times New Roman"/>
        </w:rPr>
        <w:t xml:space="preserve"> and how excited you are for me to graduate! </w:t>
      </w:r>
      <w:r w:rsidR="00127965">
        <w:rPr>
          <w:rFonts w:ascii="Times New Roman" w:hAnsi="Times New Roman" w:cs="Times New Roman"/>
        </w:rPr>
        <w:t>I am excited to see what our future holds.</w:t>
      </w:r>
    </w:p>
    <w:p w14:paraId="594FF086" w14:textId="602B3530" w:rsidR="005E38DF" w:rsidRDefault="005E38DF" w:rsidP="005E38DF">
      <w:pPr>
        <w:spacing w:before="100" w:beforeAutospacing="1" w:after="100" w:afterAutospacing="1" w:line="480" w:lineRule="auto"/>
        <w:rPr>
          <w:rFonts w:ascii="TimesNewRomanPSMT" w:eastAsia="Times New Roman" w:hAnsi="TimesNewRomanPSMT" w:cs="Times New Roman"/>
        </w:rPr>
      </w:pPr>
    </w:p>
    <w:p w14:paraId="74A44BC0" w14:textId="77777777" w:rsidR="005E38DF" w:rsidRDefault="005E38DF" w:rsidP="005E38DF">
      <w:pPr>
        <w:spacing w:before="100" w:beforeAutospacing="1" w:after="100" w:afterAutospacing="1" w:line="480" w:lineRule="auto"/>
        <w:rPr>
          <w:rFonts w:ascii="TimesNewRomanPSMT" w:eastAsia="Times New Roman" w:hAnsi="TimesNewRomanPSMT" w:cs="Times New Roman"/>
        </w:rPr>
      </w:pPr>
    </w:p>
    <w:p w14:paraId="0EE2B488" w14:textId="3A8DCF8A" w:rsidR="005E38DF" w:rsidRDefault="005E38DF" w:rsidP="005E38DF">
      <w:pPr>
        <w:spacing w:before="100" w:beforeAutospacing="1" w:after="100" w:afterAutospacing="1" w:line="480" w:lineRule="auto"/>
        <w:rPr>
          <w:rFonts w:ascii="TimesNewRomanPSMT" w:eastAsia="Times New Roman" w:hAnsi="TimesNewRomanPSMT" w:cs="Times New Roman"/>
        </w:rPr>
      </w:pPr>
    </w:p>
    <w:p w14:paraId="6D5FBDD1" w14:textId="0D01EF38" w:rsidR="005E38DF" w:rsidRDefault="005E38DF" w:rsidP="005E38DF">
      <w:pPr>
        <w:spacing w:before="100" w:beforeAutospacing="1" w:after="100" w:afterAutospacing="1" w:line="480" w:lineRule="auto"/>
        <w:rPr>
          <w:rFonts w:ascii="TimesNewRomanPSMT" w:eastAsia="Times New Roman" w:hAnsi="TimesNewRomanPSMT" w:cs="Times New Roman"/>
        </w:rPr>
      </w:pPr>
    </w:p>
    <w:p w14:paraId="1E42E73A" w14:textId="07AD522C" w:rsidR="005E38DF" w:rsidRDefault="005E38DF" w:rsidP="005E38DF">
      <w:pPr>
        <w:spacing w:before="100" w:beforeAutospacing="1" w:after="100" w:afterAutospacing="1" w:line="480" w:lineRule="auto"/>
        <w:rPr>
          <w:rFonts w:ascii="TimesNewRomanPSMT" w:eastAsia="Times New Roman" w:hAnsi="TimesNewRomanPSMT" w:cs="Times New Roman"/>
        </w:rPr>
      </w:pPr>
    </w:p>
    <w:p w14:paraId="1F361B02" w14:textId="79B6D7F7" w:rsidR="005E38DF" w:rsidRDefault="005E38DF" w:rsidP="005E38DF">
      <w:pPr>
        <w:spacing w:before="100" w:beforeAutospacing="1" w:after="100" w:afterAutospacing="1" w:line="480" w:lineRule="auto"/>
        <w:rPr>
          <w:rFonts w:ascii="TimesNewRomanPSMT" w:eastAsia="Times New Roman" w:hAnsi="TimesNewRomanPSMT" w:cs="Times New Roman"/>
        </w:rPr>
      </w:pPr>
    </w:p>
    <w:p w14:paraId="7688206E" w14:textId="5F5105FC" w:rsidR="005E38DF" w:rsidRDefault="005E38DF" w:rsidP="005E38DF">
      <w:pPr>
        <w:spacing w:before="100" w:beforeAutospacing="1" w:after="100" w:afterAutospacing="1" w:line="480" w:lineRule="auto"/>
        <w:rPr>
          <w:rFonts w:ascii="TimesNewRomanPSMT" w:eastAsia="Times New Roman" w:hAnsi="TimesNewRomanPSMT" w:cs="Times New Roman"/>
        </w:rPr>
      </w:pPr>
    </w:p>
    <w:p w14:paraId="425F6F49" w14:textId="623D1C15" w:rsidR="005E38DF" w:rsidRDefault="005E38DF" w:rsidP="005E38DF">
      <w:pPr>
        <w:spacing w:before="100" w:beforeAutospacing="1" w:after="100" w:afterAutospacing="1" w:line="480" w:lineRule="auto"/>
        <w:rPr>
          <w:rFonts w:ascii="TimesNewRomanPSMT" w:eastAsia="Times New Roman" w:hAnsi="TimesNewRomanPSMT" w:cs="Times New Roman"/>
        </w:rPr>
      </w:pPr>
    </w:p>
    <w:p w14:paraId="66FB06E4" w14:textId="77777777" w:rsidR="00EE7990" w:rsidRDefault="00EE7990" w:rsidP="005E38DF">
      <w:pPr>
        <w:spacing w:before="100" w:beforeAutospacing="1" w:after="100" w:afterAutospacing="1"/>
        <w:rPr>
          <w:rFonts w:ascii="TimesNewRomanPSMT" w:eastAsia="Times New Roman" w:hAnsi="TimesNewRomanPSMT" w:cs="Times New Roman"/>
        </w:rPr>
      </w:pPr>
    </w:p>
    <w:p w14:paraId="4E1B710D" w14:textId="43E964CD" w:rsidR="005E38DF" w:rsidRPr="005E38DF" w:rsidRDefault="00001861" w:rsidP="005E38DF">
      <w:pPr>
        <w:spacing w:before="100" w:beforeAutospacing="1" w:after="100" w:afterAutospacing="1"/>
        <w:rPr>
          <w:rFonts w:ascii="Times New Roman" w:eastAsia="Times New Roman" w:hAnsi="Times New Roman" w:cs="Times New Roman"/>
        </w:rPr>
      </w:pPr>
      <w:r>
        <w:rPr>
          <w:rFonts w:ascii="TimesNewRomanPS" w:eastAsia="Times New Roman" w:hAnsi="TimesNewRomanPS" w:cs="Times New Roman"/>
          <w:b/>
          <w:bCs/>
        </w:rPr>
        <w:lastRenderedPageBreak/>
        <w:t xml:space="preserve">Table of </w:t>
      </w:r>
      <w:r w:rsidR="005E38DF" w:rsidRPr="005E38DF">
        <w:rPr>
          <w:rFonts w:ascii="TimesNewRomanPS" w:eastAsia="Times New Roman" w:hAnsi="TimesNewRomanPS" w:cs="Times New Roman"/>
          <w:b/>
          <w:bCs/>
        </w:rPr>
        <w:t xml:space="preserve">Contents </w:t>
      </w:r>
    </w:p>
    <w:p w14:paraId="1A707AB5" w14:textId="494B2F05" w:rsidR="005E38DF" w:rsidRDefault="005E38DF" w:rsidP="005E38DF">
      <w:pPr>
        <w:spacing w:before="100" w:beforeAutospacing="1" w:after="100" w:afterAutospacing="1"/>
        <w:rPr>
          <w:rFonts w:ascii="TimesNewRomanPSMT" w:eastAsia="Times New Roman" w:hAnsi="TimesNewRomanPSMT" w:cs="Times New Roman"/>
        </w:rPr>
      </w:pPr>
      <w:r w:rsidRPr="005E38DF">
        <w:rPr>
          <w:rFonts w:ascii="TimesNewRomanPSMT" w:eastAsia="Times New Roman" w:hAnsi="TimesNewRomanPSMT" w:cs="Times New Roman"/>
        </w:rPr>
        <w:t>Chapter 1: Introduction............</w:t>
      </w:r>
      <w:r w:rsidR="00EE7990">
        <w:rPr>
          <w:rFonts w:ascii="TimesNewRomanPSMT" w:eastAsia="Times New Roman" w:hAnsi="TimesNewRomanPSMT" w:cs="Times New Roman"/>
        </w:rPr>
        <w:t>............................</w:t>
      </w:r>
      <w:r w:rsidRPr="005E38DF">
        <w:rPr>
          <w:rFonts w:ascii="TimesNewRomanPSMT" w:eastAsia="Times New Roman" w:hAnsi="TimesNewRomanPSMT" w:cs="Times New Roman"/>
        </w:rPr>
        <w:t>...........................................................................</w:t>
      </w:r>
      <w:r w:rsidR="00CA2238">
        <w:rPr>
          <w:rFonts w:ascii="TimesNewRomanPSMT" w:eastAsia="Times New Roman" w:hAnsi="TimesNewRomanPSMT" w:cs="Times New Roman"/>
        </w:rPr>
        <w:t>.1</w:t>
      </w:r>
      <w:r w:rsidRPr="005E38DF">
        <w:rPr>
          <w:rFonts w:ascii="TimesNewRomanPSMT" w:eastAsia="Times New Roman" w:hAnsi="TimesNewRomanPSMT" w:cs="Times New Roman"/>
        </w:rPr>
        <w:t xml:space="preserve"> </w:t>
      </w:r>
    </w:p>
    <w:p w14:paraId="382F3858" w14:textId="55655468" w:rsidR="005E38DF" w:rsidRDefault="00EE7990" w:rsidP="005E38DF">
      <w:pPr>
        <w:spacing w:before="100" w:beforeAutospacing="1" w:after="100" w:afterAutospacing="1"/>
        <w:rPr>
          <w:rFonts w:ascii="TimesNewRomanPSMT" w:eastAsia="Times New Roman" w:hAnsi="TimesNewRomanPSMT" w:cs="Times New Roman"/>
        </w:rPr>
      </w:pPr>
      <w:r>
        <w:rPr>
          <w:rFonts w:ascii="TimesNewRomanPSMT" w:eastAsia="Times New Roman" w:hAnsi="TimesNewRomanPSMT" w:cs="Times New Roman"/>
        </w:rPr>
        <w:tab/>
      </w:r>
      <w:r w:rsidR="005E38DF" w:rsidRPr="005E38DF">
        <w:rPr>
          <w:rFonts w:ascii="TimesNewRomanPSMT" w:eastAsia="Times New Roman" w:hAnsi="TimesNewRomanPSMT" w:cs="Times New Roman"/>
        </w:rPr>
        <w:t>Significance of the Problem........................................................................</w:t>
      </w:r>
      <w:r w:rsidR="00CA2238">
        <w:rPr>
          <w:rFonts w:ascii="TimesNewRomanPSMT" w:eastAsia="Times New Roman" w:hAnsi="TimesNewRomanPSMT" w:cs="Times New Roman"/>
        </w:rPr>
        <w:t>.........................7</w:t>
      </w:r>
      <w:r w:rsidR="005E38DF" w:rsidRPr="005E38DF">
        <w:rPr>
          <w:rFonts w:ascii="TimesNewRomanPSMT" w:eastAsia="Times New Roman" w:hAnsi="TimesNewRomanPSMT" w:cs="Times New Roman"/>
        </w:rPr>
        <w:t xml:space="preserve"> </w:t>
      </w:r>
    </w:p>
    <w:p w14:paraId="1111C301" w14:textId="4E816750" w:rsidR="005E38DF" w:rsidRDefault="00EE7990" w:rsidP="005E38DF">
      <w:pPr>
        <w:spacing w:before="100" w:beforeAutospacing="1" w:after="100" w:afterAutospacing="1"/>
        <w:rPr>
          <w:rFonts w:ascii="TimesNewRomanPSMT" w:eastAsia="Times New Roman" w:hAnsi="TimesNewRomanPSMT" w:cs="Times New Roman"/>
        </w:rPr>
      </w:pPr>
      <w:r>
        <w:rPr>
          <w:rFonts w:ascii="TimesNewRomanPSMT" w:eastAsia="Times New Roman" w:hAnsi="TimesNewRomanPSMT" w:cs="Times New Roman"/>
        </w:rPr>
        <w:tab/>
      </w:r>
      <w:r w:rsidR="005E38DF" w:rsidRPr="005E38DF">
        <w:rPr>
          <w:rFonts w:ascii="TimesNewRomanPSMT" w:eastAsia="Times New Roman" w:hAnsi="TimesNewRomanPSMT" w:cs="Times New Roman"/>
        </w:rPr>
        <w:t>Research Purpose....................................................................................</w:t>
      </w:r>
      <w:r w:rsidR="00CA2238">
        <w:rPr>
          <w:rFonts w:ascii="TimesNewRomanPSMT" w:eastAsia="Times New Roman" w:hAnsi="TimesNewRomanPSMT" w:cs="Times New Roman"/>
        </w:rPr>
        <w:t>.............................8</w:t>
      </w:r>
      <w:r w:rsidR="005E38DF" w:rsidRPr="005E38DF">
        <w:rPr>
          <w:rFonts w:ascii="TimesNewRomanPSMT" w:eastAsia="Times New Roman" w:hAnsi="TimesNewRomanPSMT" w:cs="Times New Roman"/>
        </w:rPr>
        <w:t xml:space="preserve"> </w:t>
      </w:r>
    </w:p>
    <w:p w14:paraId="0DCCEA6D" w14:textId="4C845960" w:rsidR="005E38DF" w:rsidRPr="005E38DF" w:rsidRDefault="00EE7990" w:rsidP="005E38DF">
      <w:pPr>
        <w:spacing w:before="100" w:beforeAutospacing="1" w:after="100" w:afterAutospacing="1"/>
        <w:rPr>
          <w:rFonts w:ascii="Times New Roman" w:eastAsia="Times New Roman" w:hAnsi="Times New Roman" w:cs="Times New Roman"/>
        </w:rPr>
      </w:pPr>
      <w:r>
        <w:rPr>
          <w:rFonts w:ascii="TimesNewRomanPSMT" w:eastAsia="Times New Roman" w:hAnsi="TimesNewRomanPSMT" w:cs="Times New Roman"/>
        </w:rPr>
        <w:tab/>
      </w:r>
      <w:r w:rsidR="005E38DF" w:rsidRPr="005E38DF">
        <w:rPr>
          <w:rFonts w:ascii="TimesNewRomanPSMT" w:eastAsia="Times New Roman" w:hAnsi="TimesNewRomanPSMT" w:cs="Times New Roman"/>
        </w:rPr>
        <w:t>Research Questions..................................................................................</w:t>
      </w:r>
      <w:r w:rsidR="00CA2238">
        <w:rPr>
          <w:rFonts w:ascii="TimesNewRomanPSMT" w:eastAsia="Times New Roman" w:hAnsi="TimesNewRomanPSMT" w:cs="Times New Roman"/>
        </w:rPr>
        <w:t>............................8</w:t>
      </w:r>
      <w:r w:rsidR="005E38DF" w:rsidRPr="005E38DF">
        <w:rPr>
          <w:rFonts w:ascii="TimesNewRomanPSMT" w:eastAsia="Times New Roman" w:hAnsi="TimesNewRomanPSMT" w:cs="Times New Roman"/>
        </w:rPr>
        <w:t xml:space="preserve"> </w:t>
      </w:r>
    </w:p>
    <w:p w14:paraId="5B2A34EB" w14:textId="30D00436" w:rsidR="005E38DF" w:rsidRDefault="005E38DF" w:rsidP="005E38DF">
      <w:pPr>
        <w:spacing w:before="100" w:beforeAutospacing="1" w:after="100" w:afterAutospacing="1"/>
        <w:rPr>
          <w:rFonts w:ascii="TimesNewRomanPSMT" w:eastAsia="Times New Roman" w:hAnsi="TimesNewRomanPSMT" w:cs="Times New Roman"/>
        </w:rPr>
      </w:pPr>
      <w:r w:rsidRPr="005E38DF">
        <w:rPr>
          <w:rFonts w:ascii="TimesNewRomanPSMT" w:eastAsia="Times New Roman" w:hAnsi="TimesNewRomanPSMT" w:cs="Times New Roman"/>
        </w:rPr>
        <w:t>Chapter 2: Literature Review...............................................................................</w:t>
      </w:r>
      <w:r w:rsidR="00CA2238">
        <w:rPr>
          <w:rFonts w:ascii="TimesNewRomanPSMT" w:eastAsia="Times New Roman" w:hAnsi="TimesNewRomanPSMT" w:cs="Times New Roman"/>
        </w:rPr>
        <w:t>..........................</w:t>
      </w:r>
      <w:r w:rsidRPr="005E38DF">
        <w:rPr>
          <w:rFonts w:ascii="TimesNewRomanPSMT" w:eastAsia="Times New Roman" w:hAnsi="TimesNewRomanPSMT" w:cs="Times New Roman"/>
        </w:rPr>
        <w:t>1</w:t>
      </w:r>
      <w:r w:rsidR="00CA2238">
        <w:rPr>
          <w:rFonts w:ascii="TimesNewRomanPSMT" w:eastAsia="Times New Roman" w:hAnsi="TimesNewRomanPSMT" w:cs="Times New Roman"/>
        </w:rPr>
        <w:t>0</w:t>
      </w:r>
      <w:r w:rsidRPr="005E38DF">
        <w:rPr>
          <w:rFonts w:ascii="TimesNewRomanPSMT" w:eastAsia="Times New Roman" w:hAnsi="TimesNewRomanPSMT" w:cs="Times New Roman"/>
        </w:rPr>
        <w:t xml:space="preserve"> </w:t>
      </w:r>
    </w:p>
    <w:p w14:paraId="28BFD176" w14:textId="46D26EB8" w:rsidR="005E38DF" w:rsidRDefault="00EE7990" w:rsidP="005E38DF">
      <w:pPr>
        <w:spacing w:before="100" w:beforeAutospacing="1" w:after="100" w:afterAutospacing="1"/>
        <w:rPr>
          <w:rFonts w:ascii="TimesNewRomanPSMT" w:eastAsia="Times New Roman" w:hAnsi="TimesNewRomanPSMT" w:cs="Times New Roman"/>
        </w:rPr>
      </w:pPr>
      <w:r>
        <w:rPr>
          <w:rFonts w:ascii="TimesNewRomanPSMT" w:eastAsia="Times New Roman" w:hAnsi="TimesNewRomanPSMT" w:cs="Times New Roman"/>
        </w:rPr>
        <w:tab/>
      </w:r>
      <w:r w:rsidR="005E38DF" w:rsidRPr="005E38DF">
        <w:rPr>
          <w:rFonts w:ascii="TimesNewRomanPSMT" w:eastAsia="Times New Roman" w:hAnsi="TimesNewRomanPSMT" w:cs="Times New Roman"/>
        </w:rPr>
        <w:t>History of American medical and dental education.............................................</w:t>
      </w:r>
      <w:r w:rsidR="00CA2238">
        <w:rPr>
          <w:rFonts w:ascii="TimesNewRomanPSMT" w:eastAsia="Times New Roman" w:hAnsi="TimesNewRomanPSMT" w:cs="Times New Roman"/>
        </w:rPr>
        <w:t>..............</w:t>
      </w:r>
      <w:r w:rsidR="005E38DF" w:rsidRPr="005E38DF">
        <w:rPr>
          <w:rFonts w:ascii="TimesNewRomanPSMT" w:eastAsia="Times New Roman" w:hAnsi="TimesNewRomanPSMT" w:cs="Times New Roman"/>
        </w:rPr>
        <w:t>1</w:t>
      </w:r>
      <w:r w:rsidR="00CA2238">
        <w:rPr>
          <w:rFonts w:ascii="TimesNewRomanPSMT" w:eastAsia="Times New Roman" w:hAnsi="TimesNewRomanPSMT" w:cs="Times New Roman"/>
        </w:rPr>
        <w:t>2</w:t>
      </w:r>
      <w:r w:rsidR="005E38DF" w:rsidRPr="005E38DF">
        <w:rPr>
          <w:rFonts w:ascii="TimesNewRomanPSMT" w:eastAsia="Times New Roman" w:hAnsi="TimesNewRomanPSMT" w:cs="Times New Roman"/>
        </w:rPr>
        <w:t xml:space="preserve"> </w:t>
      </w:r>
    </w:p>
    <w:p w14:paraId="04B41C55" w14:textId="5CE73204" w:rsidR="005E38DF" w:rsidRDefault="00EE7990" w:rsidP="005E38DF">
      <w:pPr>
        <w:spacing w:before="100" w:beforeAutospacing="1" w:after="100" w:afterAutospacing="1"/>
        <w:rPr>
          <w:rFonts w:ascii="TimesNewRomanPSMT" w:eastAsia="Times New Roman" w:hAnsi="TimesNewRomanPSMT" w:cs="Times New Roman"/>
        </w:rPr>
      </w:pPr>
      <w:r>
        <w:rPr>
          <w:rFonts w:ascii="TimesNewRomanPSMT" w:eastAsia="Times New Roman" w:hAnsi="TimesNewRomanPSMT" w:cs="Times New Roman"/>
        </w:rPr>
        <w:tab/>
      </w:r>
      <w:r w:rsidR="005E38DF" w:rsidRPr="005E38DF">
        <w:rPr>
          <w:rFonts w:ascii="TimesNewRomanPSMT" w:eastAsia="Times New Roman" w:hAnsi="TimesNewRomanPSMT" w:cs="Times New Roman"/>
        </w:rPr>
        <w:t>Curriculum in modern medical and dental education..........................................</w:t>
      </w:r>
      <w:r w:rsidR="00CA2238">
        <w:rPr>
          <w:rFonts w:ascii="TimesNewRomanPSMT" w:eastAsia="Times New Roman" w:hAnsi="TimesNewRomanPSMT" w:cs="Times New Roman"/>
        </w:rPr>
        <w:t>..............19</w:t>
      </w:r>
      <w:r w:rsidR="005E38DF" w:rsidRPr="005E38DF">
        <w:rPr>
          <w:rFonts w:ascii="TimesNewRomanPSMT" w:eastAsia="Times New Roman" w:hAnsi="TimesNewRomanPSMT" w:cs="Times New Roman"/>
        </w:rPr>
        <w:t xml:space="preserve"> </w:t>
      </w:r>
    </w:p>
    <w:p w14:paraId="46DD6E70" w14:textId="3A5F1B15" w:rsidR="005E38DF" w:rsidRDefault="00EE7990" w:rsidP="005E38DF">
      <w:pPr>
        <w:spacing w:before="100" w:beforeAutospacing="1" w:after="100" w:afterAutospacing="1"/>
        <w:rPr>
          <w:rFonts w:ascii="TimesNewRomanPSMT" w:eastAsia="Times New Roman" w:hAnsi="TimesNewRomanPSMT" w:cs="Times New Roman"/>
        </w:rPr>
      </w:pPr>
      <w:r>
        <w:rPr>
          <w:rFonts w:ascii="TimesNewRomanPSMT" w:eastAsia="Times New Roman" w:hAnsi="TimesNewRomanPSMT" w:cs="Times New Roman"/>
        </w:rPr>
        <w:tab/>
      </w:r>
      <w:r w:rsidR="005E38DF" w:rsidRPr="005E38DF">
        <w:rPr>
          <w:rFonts w:ascii="TimesNewRomanPSMT" w:eastAsia="Times New Roman" w:hAnsi="TimesNewRomanPSMT" w:cs="Times New Roman"/>
        </w:rPr>
        <w:t>Definitions and theoretical framework of online learning.....................................</w:t>
      </w:r>
      <w:r w:rsidR="00CA2238">
        <w:rPr>
          <w:rFonts w:ascii="TimesNewRomanPSMT" w:eastAsia="Times New Roman" w:hAnsi="TimesNewRomanPSMT" w:cs="Times New Roman"/>
        </w:rPr>
        <w:t>............</w:t>
      </w:r>
      <w:r w:rsidR="005E38DF" w:rsidRPr="005E38DF">
        <w:rPr>
          <w:rFonts w:ascii="TimesNewRomanPSMT" w:eastAsia="Times New Roman" w:hAnsi="TimesNewRomanPSMT" w:cs="Times New Roman"/>
        </w:rPr>
        <w:t>2</w:t>
      </w:r>
      <w:r w:rsidR="00CA2238">
        <w:rPr>
          <w:rFonts w:ascii="TimesNewRomanPSMT" w:eastAsia="Times New Roman" w:hAnsi="TimesNewRomanPSMT" w:cs="Times New Roman"/>
        </w:rPr>
        <w:t>1</w:t>
      </w:r>
      <w:r w:rsidR="005E38DF" w:rsidRPr="005E38DF">
        <w:rPr>
          <w:rFonts w:ascii="TimesNewRomanPSMT" w:eastAsia="Times New Roman" w:hAnsi="TimesNewRomanPSMT" w:cs="Times New Roman"/>
        </w:rPr>
        <w:t xml:space="preserve"> </w:t>
      </w:r>
    </w:p>
    <w:p w14:paraId="0D2A2BE3" w14:textId="1A02AA09" w:rsidR="005E38DF" w:rsidRDefault="00EE7990" w:rsidP="005E38DF">
      <w:pPr>
        <w:spacing w:before="100" w:beforeAutospacing="1" w:after="100" w:afterAutospacing="1"/>
        <w:rPr>
          <w:rFonts w:ascii="TimesNewRomanPSMT" w:eastAsia="Times New Roman" w:hAnsi="TimesNewRomanPSMT" w:cs="Times New Roman"/>
        </w:rPr>
      </w:pPr>
      <w:r>
        <w:rPr>
          <w:rFonts w:ascii="TimesNewRomanPSMT" w:eastAsia="Times New Roman" w:hAnsi="TimesNewRomanPSMT" w:cs="Times New Roman"/>
        </w:rPr>
        <w:tab/>
      </w:r>
      <w:r w:rsidR="005E38DF" w:rsidRPr="005E38DF">
        <w:rPr>
          <w:rFonts w:ascii="TimesNewRomanPSMT" w:eastAsia="Times New Roman" w:hAnsi="TimesNewRomanPSMT" w:cs="Times New Roman"/>
        </w:rPr>
        <w:t>Rationale for online learning in anatomy education............................................</w:t>
      </w:r>
      <w:r w:rsidR="00CA2238">
        <w:rPr>
          <w:rFonts w:ascii="TimesNewRomanPSMT" w:eastAsia="Times New Roman" w:hAnsi="TimesNewRomanPSMT" w:cs="Times New Roman"/>
        </w:rPr>
        <w:t>..............</w:t>
      </w:r>
      <w:r w:rsidR="005E38DF" w:rsidRPr="005E38DF">
        <w:rPr>
          <w:rFonts w:ascii="TimesNewRomanPSMT" w:eastAsia="Times New Roman" w:hAnsi="TimesNewRomanPSMT" w:cs="Times New Roman"/>
        </w:rPr>
        <w:t>2</w:t>
      </w:r>
      <w:r w:rsidR="00CA2238">
        <w:rPr>
          <w:rFonts w:ascii="TimesNewRomanPSMT" w:eastAsia="Times New Roman" w:hAnsi="TimesNewRomanPSMT" w:cs="Times New Roman"/>
        </w:rPr>
        <w:t>4</w:t>
      </w:r>
      <w:r w:rsidR="005E38DF" w:rsidRPr="005E38DF">
        <w:rPr>
          <w:rFonts w:ascii="TimesNewRomanPSMT" w:eastAsia="Times New Roman" w:hAnsi="TimesNewRomanPSMT" w:cs="Times New Roman"/>
        </w:rPr>
        <w:t xml:space="preserve"> </w:t>
      </w:r>
    </w:p>
    <w:p w14:paraId="7944D52A" w14:textId="0C325320" w:rsidR="005E38DF" w:rsidRDefault="00EE7990" w:rsidP="005E38DF">
      <w:pPr>
        <w:spacing w:before="100" w:beforeAutospacing="1" w:after="100" w:afterAutospacing="1"/>
        <w:rPr>
          <w:rFonts w:ascii="TimesNewRomanPSMT" w:eastAsia="Times New Roman" w:hAnsi="TimesNewRomanPSMT" w:cs="Times New Roman"/>
        </w:rPr>
      </w:pPr>
      <w:r>
        <w:rPr>
          <w:rFonts w:ascii="TimesNewRomanPSMT" w:eastAsia="Times New Roman" w:hAnsi="TimesNewRomanPSMT" w:cs="Times New Roman"/>
        </w:rPr>
        <w:tab/>
      </w:r>
      <w:r w:rsidR="005E38DF" w:rsidRPr="005E38DF">
        <w:rPr>
          <w:rFonts w:ascii="TimesNewRomanPSMT" w:eastAsia="Times New Roman" w:hAnsi="TimesNewRomanPSMT" w:cs="Times New Roman"/>
        </w:rPr>
        <w:t>Online anatomy education.........................................................................</w:t>
      </w:r>
      <w:r w:rsidR="00CA2238">
        <w:rPr>
          <w:rFonts w:ascii="TimesNewRomanPSMT" w:eastAsia="Times New Roman" w:hAnsi="TimesNewRomanPSMT" w:cs="Times New Roman"/>
        </w:rPr>
        <w:t>........................26</w:t>
      </w:r>
      <w:r w:rsidR="005E38DF" w:rsidRPr="005E38DF">
        <w:rPr>
          <w:rFonts w:ascii="TimesNewRomanPSMT" w:eastAsia="Times New Roman" w:hAnsi="TimesNewRomanPSMT" w:cs="Times New Roman"/>
        </w:rPr>
        <w:t xml:space="preserve"> </w:t>
      </w:r>
    </w:p>
    <w:p w14:paraId="0949FDE4" w14:textId="3F786DE0" w:rsidR="005E38DF" w:rsidRPr="005E38DF" w:rsidRDefault="00EE7990" w:rsidP="005E38DF">
      <w:pPr>
        <w:spacing w:before="100" w:beforeAutospacing="1" w:after="100" w:afterAutospacing="1"/>
        <w:rPr>
          <w:rFonts w:ascii="Times New Roman" w:eastAsia="Times New Roman" w:hAnsi="Times New Roman" w:cs="Times New Roman"/>
        </w:rPr>
      </w:pPr>
      <w:r>
        <w:rPr>
          <w:rFonts w:ascii="TimesNewRomanPSMT" w:eastAsia="Times New Roman" w:hAnsi="TimesNewRomanPSMT" w:cs="Times New Roman"/>
        </w:rPr>
        <w:tab/>
      </w:r>
      <w:r w:rsidR="005E38DF" w:rsidRPr="005E38DF">
        <w:rPr>
          <w:rFonts w:ascii="TimesNewRomanPSMT" w:eastAsia="Times New Roman" w:hAnsi="TimesNewRomanPSMT" w:cs="Times New Roman"/>
        </w:rPr>
        <w:t>From emergency remote teaching to online anatomy education best practices............</w:t>
      </w:r>
      <w:r w:rsidR="00CA2238">
        <w:rPr>
          <w:rFonts w:ascii="TimesNewRomanPSMT" w:eastAsia="Times New Roman" w:hAnsi="TimesNewRomanPSMT" w:cs="Times New Roman"/>
        </w:rPr>
        <w:t>....39</w:t>
      </w:r>
      <w:r w:rsidR="005E38DF" w:rsidRPr="005E38DF">
        <w:rPr>
          <w:rFonts w:ascii="TimesNewRomanPSMT" w:eastAsia="Times New Roman" w:hAnsi="TimesNewRomanPSMT" w:cs="Times New Roman"/>
        </w:rPr>
        <w:t xml:space="preserve"> </w:t>
      </w:r>
    </w:p>
    <w:p w14:paraId="419A7C19" w14:textId="07ACCFA7" w:rsidR="005E38DF" w:rsidRDefault="005E38DF" w:rsidP="005E38DF">
      <w:pPr>
        <w:spacing w:before="100" w:beforeAutospacing="1" w:after="100" w:afterAutospacing="1"/>
        <w:rPr>
          <w:rFonts w:ascii="TimesNewRomanPSMT" w:eastAsia="Times New Roman" w:hAnsi="TimesNewRomanPSMT" w:cs="Times New Roman"/>
        </w:rPr>
      </w:pPr>
      <w:r w:rsidRPr="005E38DF">
        <w:rPr>
          <w:rFonts w:ascii="TimesNewRomanPSMT" w:eastAsia="Times New Roman" w:hAnsi="TimesNewRomanPSMT" w:cs="Times New Roman"/>
        </w:rPr>
        <w:t>Chapter 3: Materials and Methods........................................................................</w:t>
      </w:r>
      <w:r w:rsidR="00CA2238">
        <w:rPr>
          <w:rFonts w:ascii="TimesNewRomanPSMT" w:eastAsia="Times New Roman" w:hAnsi="TimesNewRomanPSMT" w:cs="Times New Roman"/>
        </w:rPr>
        <w:t>.........................</w:t>
      </w:r>
      <w:r w:rsidRPr="005E38DF">
        <w:rPr>
          <w:rFonts w:ascii="TimesNewRomanPSMT" w:eastAsia="Times New Roman" w:hAnsi="TimesNewRomanPSMT" w:cs="Times New Roman"/>
        </w:rPr>
        <w:t>4</w:t>
      </w:r>
      <w:r w:rsidR="00CA2238">
        <w:rPr>
          <w:rFonts w:ascii="TimesNewRomanPSMT" w:eastAsia="Times New Roman" w:hAnsi="TimesNewRomanPSMT" w:cs="Times New Roman"/>
        </w:rPr>
        <w:t>1</w:t>
      </w:r>
      <w:r w:rsidRPr="005E38DF">
        <w:rPr>
          <w:rFonts w:ascii="TimesNewRomanPSMT" w:eastAsia="Times New Roman" w:hAnsi="TimesNewRomanPSMT" w:cs="Times New Roman"/>
        </w:rPr>
        <w:t xml:space="preserve"> </w:t>
      </w:r>
    </w:p>
    <w:p w14:paraId="7920749A" w14:textId="15DB5CA3" w:rsidR="005E38DF" w:rsidRDefault="00EE7990" w:rsidP="005E38DF">
      <w:pPr>
        <w:spacing w:before="100" w:beforeAutospacing="1" w:after="100" w:afterAutospacing="1"/>
        <w:rPr>
          <w:rFonts w:ascii="TimesNewRomanPSMT" w:eastAsia="Times New Roman" w:hAnsi="TimesNewRomanPSMT" w:cs="Times New Roman"/>
        </w:rPr>
      </w:pPr>
      <w:r>
        <w:rPr>
          <w:rFonts w:ascii="TimesNewRomanPSMT" w:eastAsia="Times New Roman" w:hAnsi="TimesNewRomanPSMT" w:cs="Times New Roman"/>
        </w:rPr>
        <w:tab/>
      </w:r>
      <w:r w:rsidR="005E38DF" w:rsidRPr="005E38DF">
        <w:rPr>
          <w:rFonts w:ascii="TimesNewRomanPSMT" w:eastAsia="Times New Roman" w:hAnsi="TimesNewRomanPSMT" w:cs="Times New Roman"/>
        </w:rPr>
        <w:t>Theoretical Framework.............................................................................</w:t>
      </w:r>
      <w:r w:rsidR="00CA2238">
        <w:rPr>
          <w:rFonts w:ascii="TimesNewRomanPSMT" w:eastAsia="Times New Roman" w:hAnsi="TimesNewRomanPSMT" w:cs="Times New Roman"/>
        </w:rPr>
        <w:t>.........................</w:t>
      </w:r>
      <w:r w:rsidR="005E38DF" w:rsidRPr="005E38DF">
        <w:rPr>
          <w:rFonts w:ascii="TimesNewRomanPSMT" w:eastAsia="Times New Roman" w:hAnsi="TimesNewRomanPSMT" w:cs="Times New Roman"/>
        </w:rPr>
        <w:t>4</w:t>
      </w:r>
      <w:r w:rsidR="00CA2238">
        <w:rPr>
          <w:rFonts w:ascii="TimesNewRomanPSMT" w:eastAsia="Times New Roman" w:hAnsi="TimesNewRomanPSMT" w:cs="Times New Roman"/>
        </w:rPr>
        <w:t>2</w:t>
      </w:r>
      <w:r w:rsidR="005E38DF" w:rsidRPr="005E38DF">
        <w:rPr>
          <w:rFonts w:ascii="TimesNewRomanPSMT" w:eastAsia="Times New Roman" w:hAnsi="TimesNewRomanPSMT" w:cs="Times New Roman"/>
        </w:rPr>
        <w:t xml:space="preserve"> </w:t>
      </w:r>
    </w:p>
    <w:p w14:paraId="2CC5B1FE" w14:textId="2BAFABD6" w:rsidR="005E38DF" w:rsidRDefault="00EE7990" w:rsidP="005E38DF">
      <w:pPr>
        <w:spacing w:before="100" w:beforeAutospacing="1" w:after="100" w:afterAutospacing="1"/>
        <w:rPr>
          <w:rFonts w:ascii="TimesNewRomanPSMT" w:eastAsia="Times New Roman" w:hAnsi="TimesNewRomanPSMT" w:cs="Times New Roman"/>
        </w:rPr>
      </w:pPr>
      <w:r>
        <w:rPr>
          <w:rFonts w:ascii="TimesNewRomanPSMT" w:eastAsia="Times New Roman" w:hAnsi="TimesNewRomanPSMT" w:cs="Times New Roman"/>
        </w:rPr>
        <w:tab/>
      </w:r>
      <w:r w:rsidR="005E38DF" w:rsidRPr="005E38DF">
        <w:rPr>
          <w:rFonts w:ascii="TimesNewRomanPSMT" w:eastAsia="Times New Roman" w:hAnsi="TimesNewRomanPSMT" w:cs="Times New Roman"/>
        </w:rPr>
        <w:t>Research Design.....................................................................................</w:t>
      </w:r>
      <w:r w:rsidR="00CA2238">
        <w:rPr>
          <w:rFonts w:ascii="TimesNewRomanPSMT" w:eastAsia="Times New Roman" w:hAnsi="TimesNewRomanPSMT" w:cs="Times New Roman"/>
        </w:rPr>
        <w:t>............................</w:t>
      </w:r>
      <w:r w:rsidR="005E38DF" w:rsidRPr="005E38DF">
        <w:rPr>
          <w:rFonts w:ascii="TimesNewRomanPSMT" w:eastAsia="Times New Roman" w:hAnsi="TimesNewRomanPSMT" w:cs="Times New Roman"/>
        </w:rPr>
        <w:t>4</w:t>
      </w:r>
      <w:r w:rsidR="00CA2238">
        <w:rPr>
          <w:rFonts w:ascii="TimesNewRomanPSMT" w:eastAsia="Times New Roman" w:hAnsi="TimesNewRomanPSMT" w:cs="Times New Roman"/>
        </w:rPr>
        <w:t>4</w:t>
      </w:r>
      <w:r w:rsidR="005E38DF" w:rsidRPr="005E38DF">
        <w:rPr>
          <w:rFonts w:ascii="TimesNewRomanPSMT" w:eastAsia="Times New Roman" w:hAnsi="TimesNewRomanPSMT" w:cs="Times New Roman"/>
        </w:rPr>
        <w:t xml:space="preserve"> </w:t>
      </w:r>
    </w:p>
    <w:p w14:paraId="6FDA293D" w14:textId="26C0420B" w:rsidR="005E38DF" w:rsidRDefault="00EE7990" w:rsidP="005E38DF">
      <w:pPr>
        <w:spacing w:before="100" w:beforeAutospacing="1" w:after="100" w:afterAutospacing="1"/>
        <w:rPr>
          <w:rFonts w:ascii="TimesNewRomanPSMT" w:eastAsia="Times New Roman" w:hAnsi="TimesNewRomanPSMT" w:cs="Times New Roman"/>
        </w:rPr>
      </w:pPr>
      <w:r>
        <w:rPr>
          <w:rFonts w:ascii="TimesNewRomanPSMT" w:eastAsia="Times New Roman" w:hAnsi="TimesNewRomanPSMT" w:cs="Times New Roman"/>
        </w:rPr>
        <w:tab/>
      </w:r>
      <w:r w:rsidR="005E38DF" w:rsidRPr="005E38DF">
        <w:rPr>
          <w:rFonts w:ascii="TimesNewRomanPSMT" w:eastAsia="Times New Roman" w:hAnsi="TimesNewRomanPSMT" w:cs="Times New Roman"/>
        </w:rPr>
        <w:t>Participants...........................................................................................</w:t>
      </w:r>
      <w:r w:rsidR="00CA2238">
        <w:rPr>
          <w:rFonts w:ascii="TimesNewRomanPSMT" w:eastAsia="Times New Roman" w:hAnsi="TimesNewRomanPSMT" w:cs="Times New Roman"/>
        </w:rPr>
        <w:t>..............................</w:t>
      </w:r>
      <w:r w:rsidR="005E38DF" w:rsidRPr="005E38DF">
        <w:rPr>
          <w:rFonts w:ascii="TimesNewRomanPSMT" w:eastAsia="Times New Roman" w:hAnsi="TimesNewRomanPSMT" w:cs="Times New Roman"/>
        </w:rPr>
        <w:t>4</w:t>
      </w:r>
      <w:r w:rsidR="00CA2238">
        <w:rPr>
          <w:rFonts w:ascii="TimesNewRomanPSMT" w:eastAsia="Times New Roman" w:hAnsi="TimesNewRomanPSMT" w:cs="Times New Roman"/>
        </w:rPr>
        <w:t>4</w:t>
      </w:r>
    </w:p>
    <w:p w14:paraId="342710E1" w14:textId="47300DE0" w:rsidR="005E38DF" w:rsidRDefault="00EE7990" w:rsidP="005E38DF">
      <w:pPr>
        <w:spacing w:before="100" w:beforeAutospacing="1" w:after="100" w:afterAutospacing="1"/>
        <w:rPr>
          <w:rFonts w:ascii="TimesNewRomanPSMT" w:eastAsia="Times New Roman" w:hAnsi="TimesNewRomanPSMT" w:cs="Times New Roman"/>
        </w:rPr>
      </w:pPr>
      <w:r>
        <w:rPr>
          <w:rFonts w:ascii="TimesNewRomanPSMT" w:eastAsia="Times New Roman" w:hAnsi="TimesNewRomanPSMT" w:cs="Times New Roman"/>
        </w:rPr>
        <w:tab/>
      </w:r>
      <w:r w:rsidR="005E38DF" w:rsidRPr="005E38DF">
        <w:rPr>
          <w:rFonts w:ascii="TimesNewRomanPSMT" w:eastAsia="Times New Roman" w:hAnsi="TimesNewRomanPSMT" w:cs="Times New Roman"/>
        </w:rPr>
        <w:t>Data Collection......................................................................................</w:t>
      </w:r>
      <w:r w:rsidR="00CA2238">
        <w:rPr>
          <w:rFonts w:ascii="TimesNewRomanPSMT" w:eastAsia="Times New Roman" w:hAnsi="TimesNewRomanPSMT" w:cs="Times New Roman"/>
        </w:rPr>
        <w:t>............................46</w:t>
      </w:r>
    </w:p>
    <w:p w14:paraId="1CB36C17" w14:textId="07BC59DD" w:rsidR="005E38DF" w:rsidRDefault="00EE7990" w:rsidP="005E38DF">
      <w:pPr>
        <w:spacing w:before="100" w:beforeAutospacing="1" w:after="100" w:afterAutospacing="1"/>
        <w:rPr>
          <w:rFonts w:ascii="TimesNewRomanPSMT" w:eastAsia="Times New Roman" w:hAnsi="TimesNewRomanPSMT" w:cs="Times New Roman"/>
        </w:rPr>
      </w:pPr>
      <w:r>
        <w:rPr>
          <w:rFonts w:ascii="TimesNewRomanPSMT" w:eastAsia="Times New Roman" w:hAnsi="TimesNewRomanPSMT" w:cs="Times New Roman"/>
        </w:rPr>
        <w:tab/>
      </w:r>
      <w:r w:rsidR="005E38DF" w:rsidRPr="005E38DF">
        <w:rPr>
          <w:rFonts w:ascii="TimesNewRomanPSMT" w:eastAsia="Times New Roman" w:hAnsi="TimesNewRomanPSMT" w:cs="Times New Roman"/>
        </w:rPr>
        <w:t>Data Analysis.........................................................................................</w:t>
      </w:r>
      <w:r w:rsidR="00CA2238">
        <w:rPr>
          <w:rFonts w:ascii="TimesNewRomanPSMT" w:eastAsia="Times New Roman" w:hAnsi="TimesNewRomanPSMT" w:cs="Times New Roman"/>
        </w:rPr>
        <w:t>............................</w:t>
      </w:r>
      <w:r w:rsidR="0087350E">
        <w:rPr>
          <w:rFonts w:ascii="TimesNewRomanPSMT" w:eastAsia="Times New Roman" w:hAnsi="TimesNewRomanPSMT" w:cs="Times New Roman"/>
        </w:rPr>
        <w:t>49</w:t>
      </w:r>
    </w:p>
    <w:p w14:paraId="204FB8E1" w14:textId="7A6F07CC" w:rsidR="005E38DF" w:rsidRDefault="00EE7990" w:rsidP="005E38DF">
      <w:pPr>
        <w:spacing w:before="100" w:beforeAutospacing="1" w:after="100" w:afterAutospacing="1"/>
        <w:rPr>
          <w:rFonts w:ascii="TimesNewRomanPSMT" w:eastAsia="Times New Roman" w:hAnsi="TimesNewRomanPSMT" w:cs="Times New Roman"/>
        </w:rPr>
      </w:pPr>
      <w:r>
        <w:rPr>
          <w:rFonts w:ascii="TimesNewRomanPSMT" w:eastAsia="Times New Roman" w:hAnsi="TimesNewRomanPSMT" w:cs="Times New Roman"/>
        </w:rPr>
        <w:tab/>
      </w:r>
      <w:r w:rsidR="005E38DF" w:rsidRPr="005E38DF">
        <w:rPr>
          <w:rFonts w:ascii="TimesNewRomanPSMT" w:eastAsia="Times New Roman" w:hAnsi="TimesNewRomanPSMT" w:cs="Times New Roman"/>
        </w:rPr>
        <w:t>Validity...............................................................................................</w:t>
      </w:r>
      <w:r w:rsidR="00CA2238">
        <w:rPr>
          <w:rFonts w:ascii="TimesNewRomanPSMT" w:eastAsia="Times New Roman" w:hAnsi="TimesNewRomanPSMT" w:cs="Times New Roman"/>
        </w:rPr>
        <w:t>...............................56</w:t>
      </w:r>
    </w:p>
    <w:p w14:paraId="63E0FD02" w14:textId="0ED9EA7C" w:rsidR="005E38DF" w:rsidRDefault="00EE7990" w:rsidP="005E38DF">
      <w:pPr>
        <w:spacing w:before="100" w:beforeAutospacing="1" w:after="100" w:afterAutospacing="1"/>
        <w:rPr>
          <w:rFonts w:ascii="TimesNewRomanPSMT" w:eastAsia="Times New Roman" w:hAnsi="TimesNewRomanPSMT" w:cs="Times New Roman"/>
        </w:rPr>
      </w:pPr>
      <w:r>
        <w:rPr>
          <w:rFonts w:ascii="TimesNewRomanPSMT" w:eastAsia="Times New Roman" w:hAnsi="TimesNewRomanPSMT" w:cs="Times New Roman"/>
        </w:rPr>
        <w:tab/>
      </w:r>
      <w:r w:rsidR="005E38DF" w:rsidRPr="005E38DF">
        <w:rPr>
          <w:rFonts w:ascii="TimesNewRomanPSMT" w:eastAsia="Times New Roman" w:hAnsi="TimesNewRomanPSMT" w:cs="Times New Roman"/>
        </w:rPr>
        <w:t>Multimethod Triangulation.........................................................................</w:t>
      </w:r>
      <w:r w:rsidR="00CA2238">
        <w:rPr>
          <w:rFonts w:ascii="TimesNewRomanPSMT" w:eastAsia="Times New Roman" w:hAnsi="TimesNewRomanPSMT" w:cs="Times New Roman"/>
        </w:rPr>
        <w:t>.......................</w:t>
      </w:r>
      <w:r w:rsidR="005E38DF" w:rsidRPr="005E38DF">
        <w:rPr>
          <w:rFonts w:ascii="TimesNewRomanPSMT" w:eastAsia="Times New Roman" w:hAnsi="TimesNewRomanPSMT" w:cs="Times New Roman"/>
        </w:rPr>
        <w:t>6</w:t>
      </w:r>
      <w:r w:rsidR="00CA2238">
        <w:rPr>
          <w:rFonts w:ascii="TimesNewRomanPSMT" w:eastAsia="Times New Roman" w:hAnsi="TimesNewRomanPSMT" w:cs="Times New Roman"/>
        </w:rPr>
        <w:t>4</w:t>
      </w:r>
      <w:r w:rsidR="005E38DF" w:rsidRPr="005E38DF">
        <w:rPr>
          <w:rFonts w:ascii="TimesNewRomanPSMT" w:eastAsia="Times New Roman" w:hAnsi="TimesNewRomanPSMT" w:cs="Times New Roman"/>
        </w:rPr>
        <w:t xml:space="preserve"> </w:t>
      </w:r>
    </w:p>
    <w:p w14:paraId="769DC055" w14:textId="688D42BF" w:rsidR="005E38DF" w:rsidRPr="005E38DF" w:rsidRDefault="00EE7990" w:rsidP="005E38DF">
      <w:pPr>
        <w:spacing w:before="100" w:beforeAutospacing="1" w:after="100" w:afterAutospacing="1"/>
        <w:rPr>
          <w:rFonts w:ascii="Times New Roman" w:eastAsia="Times New Roman" w:hAnsi="Times New Roman" w:cs="Times New Roman"/>
        </w:rPr>
      </w:pPr>
      <w:r>
        <w:rPr>
          <w:rFonts w:ascii="TimesNewRomanPSMT" w:eastAsia="Times New Roman" w:hAnsi="TimesNewRomanPSMT" w:cs="Times New Roman"/>
        </w:rPr>
        <w:tab/>
      </w:r>
      <w:r w:rsidR="005E38DF" w:rsidRPr="005E38DF">
        <w:rPr>
          <w:rFonts w:ascii="TimesNewRomanPSMT" w:eastAsia="Times New Roman" w:hAnsi="TimesNewRomanPSMT" w:cs="Times New Roman"/>
        </w:rPr>
        <w:t>Conclusion...........................................................................................</w:t>
      </w:r>
      <w:r w:rsidR="00CA2238">
        <w:rPr>
          <w:rFonts w:ascii="TimesNewRomanPSMT" w:eastAsia="Times New Roman" w:hAnsi="TimesNewRomanPSMT" w:cs="Times New Roman"/>
        </w:rPr>
        <w:t>..............................</w:t>
      </w:r>
      <w:r w:rsidR="005E38DF" w:rsidRPr="005E38DF">
        <w:rPr>
          <w:rFonts w:ascii="TimesNewRomanPSMT" w:eastAsia="Times New Roman" w:hAnsi="TimesNewRomanPSMT" w:cs="Times New Roman"/>
        </w:rPr>
        <w:t>6</w:t>
      </w:r>
      <w:r w:rsidR="00CA2238">
        <w:rPr>
          <w:rFonts w:ascii="TimesNewRomanPSMT" w:eastAsia="Times New Roman" w:hAnsi="TimesNewRomanPSMT" w:cs="Times New Roman"/>
        </w:rPr>
        <w:t>4</w:t>
      </w:r>
      <w:r w:rsidR="005E38DF" w:rsidRPr="005E38DF">
        <w:rPr>
          <w:rFonts w:ascii="TimesNewRomanPSMT" w:eastAsia="Times New Roman" w:hAnsi="TimesNewRomanPSMT" w:cs="Times New Roman"/>
        </w:rPr>
        <w:t xml:space="preserve"> </w:t>
      </w:r>
    </w:p>
    <w:p w14:paraId="2E4764F7" w14:textId="5556125F" w:rsidR="005E38DF" w:rsidRDefault="005E38DF" w:rsidP="005E38DF">
      <w:pPr>
        <w:spacing w:before="100" w:beforeAutospacing="1" w:after="100" w:afterAutospacing="1"/>
        <w:rPr>
          <w:rFonts w:ascii="TimesNewRomanPSMT" w:eastAsia="Times New Roman" w:hAnsi="TimesNewRomanPSMT" w:cs="Times New Roman"/>
        </w:rPr>
      </w:pPr>
      <w:r w:rsidRPr="005E38DF">
        <w:rPr>
          <w:rFonts w:ascii="TimesNewRomanPSMT" w:eastAsia="Times New Roman" w:hAnsi="TimesNewRomanPSMT" w:cs="Times New Roman"/>
        </w:rPr>
        <w:t>Chapter 4: Results and Analysis...........................................................................</w:t>
      </w:r>
      <w:r w:rsidR="00CA2238">
        <w:rPr>
          <w:rFonts w:ascii="TimesNewRomanPSMT" w:eastAsia="Times New Roman" w:hAnsi="TimesNewRomanPSMT" w:cs="Times New Roman"/>
        </w:rPr>
        <w:t>.........................</w:t>
      </w:r>
      <w:r w:rsidRPr="005E38DF">
        <w:rPr>
          <w:rFonts w:ascii="TimesNewRomanPSMT" w:eastAsia="Times New Roman" w:hAnsi="TimesNewRomanPSMT" w:cs="Times New Roman"/>
        </w:rPr>
        <w:t>6</w:t>
      </w:r>
      <w:r w:rsidR="00CA2238">
        <w:rPr>
          <w:rFonts w:ascii="TimesNewRomanPSMT" w:eastAsia="Times New Roman" w:hAnsi="TimesNewRomanPSMT" w:cs="Times New Roman"/>
        </w:rPr>
        <w:t>5</w:t>
      </w:r>
      <w:r w:rsidRPr="005E38DF">
        <w:rPr>
          <w:rFonts w:ascii="TimesNewRomanPSMT" w:eastAsia="Times New Roman" w:hAnsi="TimesNewRomanPSMT" w:cs="Times New Roman"/>
        </w:rPr>
        <w:t xml:space="preserve"> </w:t>
      </w:r>
    </w:p>
    <w:p w14:paraId="1CE8790A" w14:textId="6D682AD7" w:rsidR="005E38DF" w:rsidRPr="005E38DF" w:rsidRDefault="00EE7990" w:rsidP="005E38DF">
      <w:pPr>
        <w:spacing w:before="100" w:beforeAutospacing="1" w:after="100" w:afterAutospacing="1"/>
        <w:rPr>
          <w:rFonts w:ascii="Times New Roman" w:eastAsia="Times New Roman" w:hAnsi="Times New Roman" w:cs="Times New Roman"/>
        </w:rPr>
      </w:pPr>
      <w:r>
        <w:rPr>
          <w:rFonts w:ascii="TimesNewRomanPSMT" w:eastAsia="Times New Roman" w:hAnsi="TimesNewRomanPSMT" w:cs="Times New Roman"/>
        </w:rPr>
        <w:tab/>
      </w:r>
      <w:r w:rsidR="005E38DF" w:rsidRPr="005E38DF">
        <w:rPr>
          <w:rFonts w:ascii="TimesNewRomanPSMT" w:eastAsia="Times New Roman" w:hAnsi="TimesNewRomanPSMT" w:cs="Times New Roman"/>
        </w:rPr>
        <w:t>Results................................................................................................</w:t>
      </w:r>
      <w:r w:rsidR="00CA2238">
        <w:rPr>
          <w:rFonts w:ascii="TimesNewRomanPSMT" w:eastAsia="Times New Roman" w:hAnsi="TimesNewRomanPSMT" w:cs="Times New Roman"/>
        </w:rPr>
        <w:t>................................66</w:t>
      </w:r>
      <w:r w:rsidR="005E38DF" w:rsidRPr="005E38DF">
        <w:rPr>
          <w:rFonts w:ascii="TimesNewRomanPSMT" w:eastAsia="Times New Roman" w:hAnsi="TimesNewRomanPSMT" w:cs="Times New Roman"/>
        </w:rPr>
        <w:t xml:space="preserve"> </w:t>
      </w:r>
    </w:p>
    <w:p w14:paraId="1D78275D" w14:textId="6EA12BD9" w:rsidR="005E38DF" w:rsidRPr="005E38DF" w:rsidRDefault="005E38DF" w:rsidP="005E38DF">
      <w:pPr>
        <w:spacing w:before="100" w:beforeAutospacing="1" w:after="100" w:afterAutospacing="1"/>
        <w:rPr>
          <w:rFonts w:ascii="Times New Roman" w:eastAsia="Times New Roman" w:hAnsi="Times New Roman" w:cs="Times New Roman"/>
        </w:rPr>
      </w:pPr>
    </w:p>
    <w:p w14:paraId="0A5CBACD" w14:textId="38954AA0" w:rsidR="005E38DF" w:rsidRDefault="00EE7990" w:rsidP="005E38DF">
      <w:pPr>
        <w:spacing w:before="100" w:beforeAutospacing="1" w:after="100" w:afterAutospacing="1"/>
        <w:rPr>
          <w:rFonts w:ascii="TimesNewRomanPSMT" w:eastAsia="Times New Roman" w:hAnsi="TimesNewRomanPSMT" w:cs="Times New Roman"/>
        </w:rPr>
      </w:pPr>
      <w:r>
        <w:rPr>
          <w:rFonts w:ascii="TimesNewRomanPSMT" w:eastAsia="Times New Roman" w:hAnsi="TimesNewRomanPSMT" w:cs="Times New Roman"/>
        </w:rPr>
        <w:tab/>
      </w:r>
      <w:r w:rsidR="005E38DF" w:rsidRPr="005E38DF">
        <w:rPr>
          <w:rFonts w:ascii="TimesNewRomanPSMT" w:eastAsia="Times New Roman" w:hAnsi="TimesNewRomanPSMT" w:cs="Times New Roman"/>
        </w:rPr>
        <w:t>Analysis............................................................................................</w:t>
      </w:r>
      <w:r w:rsidR="00CA2238">
        <w:rPr>
          <w:rFonts w:ascii="TimesNewRomanPSMT" w:eastAsia="Times New Roman" w:hAnsi="TimesNewRomanPSMT" w:cs="Times New Roman"/>
        </w:rPr>
        <w:t>..................................82</w:t>
      </w:r>
      <w:r w:rsidR="005E38DF" w:rsidRPr="005E38DF">
        <w:rPr>
          <w:rFonts w:ascii="TimesNewRomanPSMT" w:eastAsia="Times New Roman" w:hAnsi="TimesNewRomanPSMT" w:cs="Times New Roman"/>
        </w:rPr>
        <w:t xml:space="preserve"> </w:t>
      </w:r>
    </w:p>
    <w:p w14:paraId="258ACD24" w14:textId="639D3432" w:rsidR="005E38DF" w:rsidRPr="005E38DF" w:rsidRDefault="005E38DF" w:rsidP="005E38DF">
      <w:pPr>
        <w:spacing w:before="100" w:beforeAutospacing="1" w:after="100" w:afterAutospacing="1"/>
        <w:rPr>
          <w:rFonts w:ascii="Times New Roman" w:eastAsia="Times New Roman" w:hAnsi="Times New Roman" w:cs="Times New Roman"/>
        </w:rPr>
      </w:pPr>
      <w:r w:rsidRPr="005E38DF">
        <w:rPr>
          <w:rFonts w:ascii="TimesNewRomanPSMT" w:eastAsia="Times New Roman" w:hAnsi="TimesNewRomanPSMT" w:cs="Times New Roman"/>
        </w:rPr>
        <w:t>Chapter 5: Discussion.....................................................................................</w:t>
      </w:r>
      <w:r w:rsidR="00CA2238">
        <w:rPr>
          <w:rFonts w:ascii="TimesNewRomanPSMT" w:eastAsia="Times New Roman" w:hAnsi="TimesNewRomanPSMT" w:cs="Times New Roman"/>
        </w:rPr>
        <w:t>...............................95</w:t>
      </w:r>
      <w:r w:rsidRPr="005E38DF">
        <w:rPr>
          <w:rFonts w:ascii="TimesNewRomanPSMT" w:eastAsia="Times New Roman" w:hAnsi="TimesNewRomanPSMT" w:cs="Times New Roman"/>
        </w:rPr>
        <w:t xml:space="preserve"> </w:t>
      </w:r>
    </w:p>
    <w:p w14:paraId="58EC93F3" w14:textId="75EA3142" w:rsidR="005E38DF" w:rsidRPr="005E38DF" w:rsidRDefault="00EE7990" w:rsidP="005E38DF">
      <w:pPr>
        <w:spacing w:before="100" w:beforeAutospacing="1" w:after="100" w:afterAutospacing="1"/>
        <w:rPr>
          <w:rFonts w:ascii="Times New Roman" w:eastAsia="Times New Roman" w:hAnsi="Times New Roman" w:cs="Times New Roman"/>
        </w:rPr>
      </w:pPr>
      <w:r>
        <w:rPr>
          <w:rFonts w:ascii="TimesNewRomanPSMT" w:eastAsia="Times New Roman" w:hAnsi="TimesNewRomanPSMT" w:cs="Times New Roman"/>
        </w:rPr>
        <w:tab/>
      </w:r>
      <w:r w:rsidR="005E38DF" w:rsidRPr="005E38DF">
        <w:rPr>
          <w:rFonts w:ascii="TimesNewRomanPSMT" w:eastAsia="Times New Roman" w:hAnsi="TimesNewRomanPSMT" w:cs="Times New Roman"/>
        </w:rPr>
        <w:t xml:space="preserve">Emergency remote teaching provided an adequate Clinical Anatomy </w:t>
      </w:r>
      <w:r>
        <w:rPr>
          <w:rFonts w:ascii="TimesNewRomanPSMT" w:eastAsia="Times New Roman" w:hAnsi="TimesNewRomanPSMT" w:cs="Times New Roman"/>
        </w:rPr>
        <w:tab/>
      </w:r>
      <w:r>
        <w:rPr>
          <w:rFonts w:ascii="TimesNewRomanPSMT" w:eastAsia="Times New Roman" w:hAnsi="TimesNewRomanPSMT" w:cs="Times New Roman"/>
        </w:rPr>
        <w:tab/>
      </w:r>
      <w:r w:rsidR="005E38DF" w:rsidRPr="005E38DF">
        <w:rPr>
          <w:rFonts w:ascii="TimesNewRomanPSMT" w:eastAsia="Times New Roman" w:hAnsi="TimesNewRomanPSMT" w:cs="Times New Roman"/>
        </w:rPr>
        <w:t>experience...................................................................................</w:t>
      </w:r>
      <w:r w:rsidR="00CA2238">
        <w:rPr>
          <w:rFonts w:ascii="TimesNewRomanPSMT" w:eastAsia="Times New Roman" w:hAnsi="TimesNewRomanPSMT" w:cs="Times New Roman"/>
        </w:rPr>
        <w:t>.......................................</w:t>
      </w:r>
      <w:r w:rsidR="005E38DF" w:rsidRPr="005E38DF">
        <w:rPr>
          <w:rFonts w:ascii="TimesNewRomanPSMT" w:eastAsia="Times New Roman" w:hAnsi="TimesNewRomanPSMT" w:cs="Times New Roman"/>
        </w:rPr>
        <w:t>9</w:t>
      </w:r>
      <w:r w:rsidR="00CA2238">
        <w:rPr>
          <w:rFonts w:ascii="TimesNewRomanPSMT" w:eastAsia="Times New Roman" w:hAnsi="TimesNewRomanPSMT" w:cs="Times New Roman"/>
        </w:rPr>
        <w:t>6</w:t>
      </w:r>
      <w:r w:rsidR="005E38DF" w:rsidRPr="005E38DF">
        <w:rPr>
          <w:rFonts w:ascii="TimesNewRomanPSMT" w:eastAsia="Times New Roman" w:hAnsi="TimesNewRomanPSMT" w:cs="Times New Roman"/>
        </w:rPr>
        <w:t xml:space="preserve"> </w:t>
      </w:r>
    </w:p>
    <w:p w14:paraId="06F4C220" w14:textId="0EF3668C" w:rsidR="005E38DF" w:rsidRPr="005E38DF" w:rsidRDefault="00EE7990" w:rsidP="005E38DF">
      <w:pPr>
        <w:spacing w:before="100" w:beforeAutospacing="1" w:after="100" w:afterAutospacing="1"/>
        <w:rPr>
          <w:rFonts w:ascii="Times New Roman" w:eastAsia="Times New Roman" w:hAnsi="Times New Roman" w:cs="Times New Roman"/>
        </w:rPr>
      </w:pPr>
      <w:r>
        <w:rPr>
          <w:rFonts w:ascii="TimesNewRomanPSMT" w:eastAsia="Times New Roman" w:hAnsi="TimesNewRomanPSMT" w:cs="Times New Roman"/>
        </w:rPr>
        <w:tab/>
      </w:r>
      <w:r w:rsidR="005E38DF" w:rsidRPr="005E38DF">
        <w:rPr>
          <w:rFonts w:ascii="TimesNewRomanPSMT" w:eastAsia="Times New Roman" w:hAnsi="TimesNewRomanPSMT" w:cs="Times New Roman"/>
        </w:rPr>
        <w:t>Students perceived the absence of physical/tactile experiences</w:t>
      </w:r>
      <w:r w:rsidR="005E38DF" w:rsidRPr="005E38DF">
        <w:rPr>
          <w:rFonts w:ascii="TimesNewRomanPSMT" w:eastAsia="Times New Roman" w:hAnsi="TimesNewRomanPSMT" w:cs="Times New Roman"/>
        </w:rPr>
        <w:br/>
      </w:r>
      <w:r>
        <w:rPr>
          <w:rFonts w:ascii="TimesNewRomanPSMT" w:eastAsia="Times New Roman" w:hAnsi="TimesNewRomanPSMT" w:cs="Times New Roman"/>
        </w:rPr>
        <w:tab/>
      </w:r>
      <w:r w:rsidR="005E38DF" w:rsidRPr="005E38DF">
        <w:rPr>
          <w:rFonts w:ascii="TimesNewRomanPSMT" w:eastAsia="Times New Roman" w:hAnsi="TimesNewRomanPSMT" w:cs="Times New Roman"/>
        </w:rPr>
        <w:t>as a lost learning opportunity...................................................</w:t>
      </w:r>
      <w:r w:rsidR="00CA2238">
        <w:rPr>
          <w:rFonts w:ascii="TimesNewRomanPSMT" w:eastAsia="Times New Roman" w:hAnsi="TimesNewRomanPSMT" w:cs="Times New Roman"/>
        </w:rPr>
        <w:t>.................................</w:t>
      </w:r>
      <w:r w:rsidR="005E38DF" w:rsidRPr="005E38DF">
        <w:rPr>
          <w:rFonts w:ascii="TimesNewRomanPSMT" w:eastAsia="Times New Roman" w:hAnsi="TimesNewRomanPSMT" w:cs="Times New Roman"/>
        </w:rPr>
        <w:t>.......10</w:t>
      </w:r>
      <w:r w:rsidR="00CA2238">
        <w:rPr>
          <w:rFonts w:ascii="TimesNewRomanPSMT" w:eastAsia="Times New Roman" w:hAnsi="TimesNewRomanPSMT" w:cs="Times New Roman"/>
        </w:rPr>
        <w:t>0</w:t>
      </w:r>
      <w:r w:rsidR="005E38DF" w:rsidRPr="005E38DF">
        <w:rPr>
          <w:rFonts w:ascii="TimesNewRomanPSMT" w:eastAsia="Times New Roman" w:hAnsi="TimesNewRomanPSMT" w:cs="Times New Roman"/>
        </w:rPr>
        <w:t xml:space="preserve"> </w:t>
      </w:r>
    </w:p>
    <w:p w14:paraId="496F2B28" w14:textId="049FA337" w:rsidR="005E38DF" w:rsidRDefault="00EE7990" w:rsidP="005E38DF">
      <w:pPr>
        <w:spacing w:before="100" w:beforeAutospacing="1" w:after="100" w:afterAutospacing="1"/>
        <w:rPr>
          <w:rFonts w:ascii="TimesNewRomanPSMT" w:eastAsia="Times New Roman" w:hAnsi="TimesNewRomanPSMT" w:cs="Times New Roman"/>
        </w:rPr>
      </w:pPr>
      <w:r>
        <w:rPr>
          <w:rFonts w:ascii="TimesNewRomanPSMT" w:eastAsia="Times New Roman" w:hAnsi="TimesNewRomanPSMT" w:cs="Times New Roman"/>
        </w:rPr>
        <w:tab/>
      </w:r>
      <w:r w:rsidR="005E38DF" w:rsidRPr="005E38DF">
        <w:rPr>
          <w:rFonts w:ascii="TimesNewRomanPSMT" w:eastAsia="Times New Roman" w:hAnsi="TimesNewRomanPSMT" w:cs="Times New Roman"/>
        </w:rPr>
        <w:t>Limitations.................................................................................</w:t>
      </w:r>
      <w:r w:rsidR="00CA2238">
        <w:rPr>
          <w:rFonts w:ascii="TimesNewRomanPSMT" w:eastAsia="Times New Roman" w:hAnsi="TimesNewRomanPSMT" w:cs="Times New Roman"/>
        </w:rPr>
        <w:t>...............................</w:t>
      </w:r>
      <w:r w:rsidR="005E38DF" w:rsidRPr="005E38DF">
        <w:rPr>
          <w:rFonts w:ascii="TimesNewRomanPSMT" w:eastAsia="Times New Roman" w:hAnsi="TimesNewRomanPSMT" w:cs="Times New Roman"/>
        </w:rPr>
        <w:t>.......10</w:t>
      </w:r>
      <w:r w:rsidR="00CA2238">
        <w:rPr>
          <w:rFonts w:ascii="TimesNewRomanPSMT" w:eastAsia="Times New Roman" w:hAnsi="TimesNewRomanPSMT" w:cs="Times New Roman"/>
        </w:rPr>
        <w:t>2</w:t>
      </w:r>
      <w:r w:rsidR="005E38DF" w:rsidRPr="005E38DF">
        <w:rPr>
          <w:rFonts w:ascii="TimesNewRomanPSMT" w:eastAsia="Times New Roman" w:hAnsi="TimesNewRomanPSMT" w:cs="Times New Roman"/>
        </w:rPr>
        <w:t xml:space="preserve"> </w:t>
      </w:r>
    </w:p>
    <w:p w14:paraId="0DDFFF9E" w14:textId="0722B515" w:rsidR="005E38DF" w:rsidRDefault="005E38DF" w:rsidP="005E38DF">
      <w:pPr>
        <w:spacing w:before="100" w:beforeAutospacing="1" w:after="100" w:afterAutospacing="1"/>
        <w:rPr>
          <w:rFonts w:ascii="TimesNewRomanPSMT" w:eastAsia="Times New Roman" w:hAnsi="TimesNewRomanPSMT" w:cs="Times New Roman"/>
        </w:rPr>
      </w:pPr>
      <w:r w:rsidRPr="005E38DF">
        <w:rPr>
          <w:rFonts w:ascii="TimesNewRomanPSMT" w:eastAsia="Times New Roman" w:hAnsi="TimesNewRomanPSMT" w:cs="Times New Roman"/>
        </w:rPr>
        <w:t>Implications for Anatomy Education........................................................</w:t>
      </w:r>
      <w:r w:rsidR="00CA2238">
        <w:rPr>
          <w:rFonts w:ascii="TimesNewRomanPSMT" w:eastAsia="Times New Roman" w:hAnsi="TimesNewRomanPSMT" w:cs="Times New Roman"/>
        </w:rPr>
        <w:t>.................................</w:t>
      </w:r>
      <w:r w:rsidRPr="005E38DF">
        <w:rPr>
          <w:rFonts w:ascii="TimesNewRomanPSMT" w:eastAsia="Times New Roman" w:hAnsi="TimesNewRomanPSMT" w:cs="Times New Roman"/>
        </w:rPr>
        <w:t>..10</w:t>
      </w:r>
      <w:r w:rsidR="00CA2238">
        <w:rPr>
          <w:rFonts w:ascii="TimesNewRomanPSMT" w:eastAsia="Times New Roman" w:hAnsi="TimesNewRomanPSMT" w:cs="Times New Roman"/>
        </w:rPr>
        <w:t>4</w:t>
      </w:r>
      <w:r w:rsidRPr="005E38DF">
        <w:rPr>
          <w:rFonts w:ascii="TimesNewRomanPSMT" w:eastAsia="Times New Roman" w:hAnsi="TimesNewRomanPSMT" w:cs="Times New Roman"/>
        </w:rPr>
        <w:t xml:space="preserve"> </w:t>
      </w:r>
    </w:p>
    <w:p w14:paraId="6300F775" w14:textId="6AA894EF" w:rsidR="005E38DF" w:rsidRDefault="005E38DF" w:rsidP="005E38DF">
      <w:pPr>
        <w:spacing w:before="100" w:beforeAutospacing="1" w:after="100" w:afterAutospacing="1"/>
        <w:rPr>
          <w:rFonts w:ascii="TimesNewRomanPSMT" w:eastAsia="Times New Roman" w:hAnsi="TimesNewRomanPSMT" w:cs="Times New Roman"/>
        </w:rPr>
      </w:pPr>
      <w:r w:rsidRPr="005E38DF">
        <w:rPr>
          <w:rFonts w:ascii="TimesNewRomanPSMT" w:eastAsia="Times New Roman" w:hAnsi="TimesNewRomanPSMT" w:cs="Times New Roman"/>
        </w:rPr>
        <w:t>Future Research..............................................................................</w:t>
      </w:r>
      <w:r w:rsidR="00CA2238">
        <w:rPr>
          <w:rFonts w:ascii="TimesNewRomanPSMT" w:eastAsia="Times New Roman" w:hAnsi="TimesNewRomanPSMT" w:cs="Times New Roman"/>
        </w:rPr>
        <w:t>........................................</w:t>
      </w:r>
      <w:r w:rsidRPr="005E38DF">
        <w:rPr>
          <w:rFonts w:ascii="TimesNewRomanPSMT" w:eastAsia="Times New Roman" w:hAnsi="TimesNewRomanPSMT" w:cs="Times New Roman"/>
        </w:rPr>
        <w:t>.....10</w:t>
      </w:r>
      <w:r w:rsidR="00CA2238">
        <w:rPr>
          <w:rFonts w:ascii="TimesNewRomanPSMT" w:eastAsia="Times New Roman" w:hAnsi="TimesNewRomanPSMT" w:cs="Times New Roman"/>
        </w:rPr>
        <w:t>6</w:t>
      </w:r>
      <w:r w:rsidRPr="005E38DF">
        <w:rPr>
          <w:rFonts w:ascii="TimesNewRomanPSMT" w:eastAsia="Times New Roman" w:hAnsi="TimesNewRomanPSMT" w:cs="Times New Roman"/>
        </w:rPr>
        <w:t xml:space="preserve"> </w:t>
      </w:r>
    </w:p>
    <w:p w14:paraId="76C7E7DD" w14:textId="709CEF6E" w:rsidR="005E38DF" w:rsidRPr="005E38DF" w:rsidRDefault="005E38DF" w:rsidP="005E38DF">
      <w:pPr>
        <w:spacing w:before="100" w:beforeAutospacing="1" w:after="100" w:afterAutospacing="1"/>
        <w:rPr>
          <w:rFonts w:ascii="Times New Roman" w:eastAsia="Times New Roman" w:hAnsi="Times New Roman" w:cs="Times New Roman"/>
        </w:rPr>
      </w:pPr>
      <w:r w:rsidRPr="005E38DF">
        <w:rPr>
          <w:rFonts w:ascii="TimesNewRomanPSMT" w:eastAsia="Times New Roman" w:hAnsi="TimesNewRomanPSMT" w:cs="Times New Roman"/>
        </w:rPr>
        <w:t>Conclusions......................................................................................</w:t>
      </w:r>
      <w:r w:rsidR="00CA2238">
        <w:rPr>
          <w:rFonts w:ascii="TimesNewRomanPSMT" w:eastAsia="Times New Roman" w:hAnsi="TimesNewRomanPSMT" w:cs="Times New Roman"/>
        </w:rPr>
        <w:t>..........................................</w:t>
      </w:r>
      <w:r w:rsidRPr="005E38DF">
        <w:rPr>
          <w:rFonts w:ascii="TimesNewRomanPSMT" w:eastAsia="Times New Roman" w:hAnsi="TimesNewRomanPSMT" w:cs="Times New Roman"/>
        </w:rPr>
        <w:t>..1</w:t>
      </w:r>
      <w:r w:rsidR="00CA2238">
        <w:rPr>
          <w:rFonts w:ascii="TimesNewRomanPSMT" w:eastAsia="Times New Roman" w:hAnsi="TimesNewRomanPSMT" w:cs="Times New Roman"/>
        </w:rPr>
        <w:t>07</w:t>
      </w:r>
      <w:r w:rsidRPr="005E38DF">
        <w:rPr>
          <w:rFonts w:ascii="TimesNewRomanPSMT" w:eastAsia="Times New Roman" w:hAnsi="TimesNewRomanPSMT" w:cs="Times New Roman"/>
        </w:rPr>
        <w:t xml:space="preserve"> </w:t>
      </w:r>
    </w:p>
    <w:p w14:paraId="37A09308" w14:textId="606693C0" w:rsidR="005E38DF" w:rsidRDefault="005E38DF" w:rsidP="005E38DF">
      <w:pPr>
        <w:spacing w:before="100" w:beforeAutospacing="1" w:after="100" w:afterAutospacing="1"/>
        <w:rPr>
          <w:rFonts w:ascii="TimesNewRomanPSMT" w:eastAsia="Times New Roman" w:hAnsi="TimesNewRomanPSMT" w:cs="Times New Roman"/>
        </w:rPr>
      </w:pPr>
      <w:r w:rsidRPr="005E38DF">
        <w:rPr>
          <w:rFonts w:ascii="TimesNewRomanPSMT" w:eastAsia="Times New Roman" w:hAnsi="TimesNewRomanPSMT" w:cs="Times New Roman"/>
        </w:rPr>
        <w:t>References................................................................................................</w:t>
      </w:r>
      <w:r w:rsidR="00CA2238">
        <w:rPr>
          <w:rFonts w:ascii="TimesNewRomanPSMT" w:eastAsia="Times New Roman" w:hAnsi="TimesNewRomanPSMT" w:cs="Times New Roman"/>
        </w:rPr>
        <w:t>.................................</w:t>
      </w:r>
      <w:r w:rsidRPr="005E38DF">
        <w:rPr>
          <w:rFonts w:ascii="TimesNewRomanPSMT" w:eastAsia="Times New Roman" w:hAnsi="TimesNewRomanPSMT" w:cs="Times New Roman"/>
        </w:rPr>
        <w:t>.</w:t>
      </w:r>
      <w:r w:rsidR="00CA2238">
        <w:rPr>
          <w:rFonts w:ascii="TimesNewRomanPSMT" w:eastAsia="Times New Roman" w:hAnsi="TimesNewRomanPSMT" w:cs="Times New Roman"/>
        </w:rPr>
        <w:t>.</w:t>
      </w:r>
      <w:r w:rsidRPr="005E38DF">
        <w:rPr>
          <w:rFonts w:ascii="TimesNewRomanPSMT" w:eastAsia="Times New Roman" w:hAnsi="TimesNewRomanPSMT" w:cs="Times New Roman"/>
        </w:rPr>
        <w:t>.1</w:t>
      </w:r>
      <w:r w:rsidR="00CA2238">
        <w:rPr>
          <w:rFonts w:ascii="TimesNewRomanPSMT" w:eastAsia="Times New Roman" w:hAnsi="TimesNewRomanPSMT" w:cs="Times New Roman"/>
        </w:rPr>
        <w:t>09</w:t>
      </w:r>
    </w:p>
    <w:p w14:paraId="6A7B4582" w14:textId="4A86EB22" w:rsidR="005E38DF" w:rsidRDefault="005E38DF" w:rsidP="005E38DF">
      <w:pPr>
        <w:spacing w:before="100" w:beforeAutospacing="1" w:after="100" w:afterAutospacing="1"/>
        <w:rPr>
          <w:rFonts w:ascii="TimesNewRomanPSMT" w:eastAsia="Times New Roman" w:hAnsi="TimesNewRomanPSMT" w:cs="Times New Roman"/>
        </w:rPr>
      </w:pPr>
      <w:r w:rsidRPr="005E38DF">
        <w:rPr>
          <w:rFonts w:ascii="TimesNewRomanPSMT" w:eastAsia="Times New Roman" w:hAnsi="TimesNewRomanPSMT" w:cs="Times New Roman"/>
        </w:rPr>
        <w:t>Appendix A. Blooming Anatomy Tool.................................................................</w:t>
      </w:r>
      <w:r w:rsidR="00CA2238">
        <w:rPr>
          <w:rFonts w:ascii="TimesNewRomanPSMT" w:eastAsia="Times New Roman" w:hAnsi="TimesNewRomanPSMT" w:cs="Times New Roman"/>
        </w:rPr>
        <w:t>......................</w:t>
      </w:r>
      <w:r w:rsidRPr="005E38DF">
        <w:rPr>
          <w:rFonts w:ascii="TimesNewRomanPSMT" w:eastAsia="Times New Roman" w:hAnsi="TimesNewRomanPSMT" w:cs="Times New Roman"/>
        </w:rPr>
        <w:t>12</w:t>
      </w:r>
      <w:r w:rsidR="00CA2238">
        <w:rPr>
          <w:rFonts w:ascii="TimesNewRomanPSMT" w:eastAsia="Times New Roman" w:hAnsi="TimesNewRomanPSMT" w:cs="Times New Roman"/>
        </w:rPr>
        <w:t>4</w:t>
      </w:r>
      <w:r w:rsidRPr="005E38DF">
        <w:rPr>
          <w:rFonts w:ascii="TimesNewRomanPSMT" w:eastAsia="Times New Roman" w:hAnsi="TimesNewRomanPSMT" w:cs="Times New Roman"/>
        </w:rPr>
        <w:t xml:space="preserve"> </w:t>
      </w:r>
    </w:p>
    <w:p w14:paraId="5B12213E" w14:textId="6E8A829E" w:rsidR="005E38DF" w:rsidRDefault="005E38DF" w:rsidP="005E38DF">
      <w:pPr>
        <w:spacing w:before="100" w:beforeAutospacing="1" w:after="100" w:afterAutospacing="1"/>
        <w:rPr>
          <w:rFonts w:ascii="TimesNewRomanPSMT" w:eastAsia="Times New Roman" w:hAnsi="TimesNewRomanPSMT" w:cs="Times New Roman"/>
        </w:rPr>
      </w:pPr>
      <w:r w:rsidRPr="005E38DF">
        <w:rPr>
          <w:rFonts w:ascii="TimesNewRomanPSMT" w:eastAsia="Times New Roman" w:hAnsi="TimesNewRomanPSMT" w:cs="Times New Roman"/>
        </w:rPr>
        <w:t>Appendix B. Clinical Anatomy Online Survey........................................................</w:t>
      </w:r>
      <w:r w:rsidR="00CA2238">
        <w:rPr>
          <w:rFonts w:ascii="TimesNewRomanPSMT" w:eastAsia="Times New Roman" w:hAnsi="TimesNewRomanPSMT" w:cs="Times New Roman"/>
        </w:rPr>
        <w:t>...................</w:t>
      </w:r>
      <w:r w:rsidRPr="005E38DF">
        <w:rPr>
          <w:rFonts w:ascii="TimesNewRomanPSMT" w:eastAsia="Times New Roman" w:hAnsi="TimesNewRomanPSMT" w:cs="Times New Roman"/>
        </w:rPr>
        <w:t>1</w:t>
      </w:r>
      <w:r w:rsidR="00CA2238">
        <w:rPr>
          <w:rFonts w:ascii="TimesNewRomanPSMT" w:eastAsia="Times New Roman" w:hAnsi="TimesNewRomanPSMT" w:cs="Times New Roman"/>
        </w:rPr>
        <w:t>26</w:t>
      </w:r>
      <w:r w:rsidRPr="005E38DF">
        <w:rPr>
          <w:rFonts w:ascii="TimesNewRomanPSMT" w:eastAsia="Times New Roman" w:hAnsi="TimesNewRomanPSMT" w:cs="Times New Roman"/>
        </w:rPr>
        <w:t xml:space="preserve"> </w:t>
      </w:r>
    </w:p>
    <w:p w14:paraId="31EF8AB6" w14:textId="75D3E6B4" w:rsidR="005E38DF" w:rsidRDefault="005E38DF" w:rsidP="005E38DF">
      <w:pPr>
        <w:spacing w:before="100" w:beforeAutospacing="1" w:after="100" w:afterAutospacing="1"/>
        <w:rPr>
          <w:rFonts w:ascii="TimesNewRomanPSMT" w:eastAsia="Times New Roman" w:hAnsi="TimesNewRomanPSMT" w:cs="Times New Roman"/>
        </w:rPr>
      </w:pPr>
      <w:r w:rsidRPr="005E38DF">
        <w:rPr>
          <w:rFonts w:ascii="TimesNewRomanPSMT" w:eastAsia="Times New Roman" w:hAnsi="TimesNewRomanPSMT" w:cs="Times New Roman"/>
        </w:rPr>
        <w:t>Appendix C. Summative Assessment Equality of Variance Data..................................</w:t>
      </w:r>
      <w:r w:rsidR="00CA2238">
        <w:rPr>
          <w:rFonts w:ascii="TimesNewRomanPSMT" w:eastAsia="Times New Roman" w:hAnsi="TimesNewRomanPSMT" w:cs="Times New Roman"/>
        </w:rPr>
        <w:t>.............</w:t>
      </w:r>
      <w:r w:rsidRPr="005E38DF">
        <w:rPr>
          <w:rFonts w:ascii="TimesNewRomanPSMT" w:eastAsia="Times New Roman" w:hAnsi="TimesNewRomanPSMT" w:cs="Times New Roman"/>
        </w:rPr>
        <w:t>1</w:t>
      </w:r>
      <w:r w:rsidR="00CA2238">
        <w:rPr>
          <w:rFonts w:ascii="TimesNewRomanPSMT" w:eastAsia="Times New Roman" w:hAnsi="TimesNewRomanPSMT" w:cs="Times New Roman"/>
        </w:rPr>
        <w:t>33</w:t>
      </w:r>
    </w:p>
    <w:p w14:paraId="3F1F328F" w14:textId="2638EABF" w:rsidR="005E38DF" w:rsidRDefault="005E38DF" w:rsidP="005E38DF">
      <w:pPr>
        <w:spacing w:before="100" w:beforeAutospacing="1" w:after="100" w:afterAutospacing="1"/>
        <w:rPr>
          <w:rFonts w:ascii="TimesNewRomanPSMT" w:eastAsia="Times New Roman" w:hAnsi="TimesNewRomanPSMT" w:cs="Times New Roman"/>
        </w:rPr>
      </w:pPr>
      <w:r w:rsidRPr="005E38DF">
        <w:rPr>
          <w:rFonts w:ascii="TimesNewRomanPSMT" w:eastAsia="Times New Roman" w:hAnsi="TimesNewRomanPSMT" w:cs="Times New Roman"/>
        </w:rPr>
        <w:t>Appendix D. Summative Assessment Table Summary..............................................</w:t>
      </w:r>
      <w:r w:rsidR="00CA2238">
        <w:rPr>
          <w:rFonts w:ascii="TimesNewRomanPSMT" w:eastAsia="Times New Roman" w:hAnsi="TimesNewRomanPSMT" w:cs="Times New Roman"/>
        </w:rPr>
        <w:t>.................</w:t>
      </w:r>
      <w:r w:rsidRPr="005E38DF">
        <w:rPr>
          <w:rFonts w:ascii="TimesNewRomanPSMT" w:eastAsia="Times New Roman" w:hAnsi="TimesNewRomanPSMT" w:cs="Times New Roman"/>
        </w:rPr>
        <w:t>13</w:t>
      </w:r>
      <w:r w:rsidR="00CA2238">
        <w:rPr>
          <w:rFonts w:ascii="TimesNewRomanPSMT" w:eastAsia="Times New Roman" w:hAnsi="TimesNewRomanPSMT" w:cs="Times New Roman"/>
        </w:rPr>
        <w:t>5</w:t>
      </w:r>
    </w:p>
    <w:p w14:paraId="732C5D11" w14:textId="3B1FF547" w:rsidR="005E38DF" w:rsidRDefault="005E38DF" w:rsidP="005E38DF">
      <w:pPr>
        <w:spacing w:before="100" w:beforeAutospacing="1" w:after="100" w:afterAutospacing="1"/>
        <w:rPr>
          <w:rFonts w:ascii="TimesNewRomanPSMT" w:eastAsia="Times New Roman" w:hAnsi="TimesNewRomanPSMT" w:cs="Times New Roman"/>
        </w:rPr>
      </w:pPr>
      <w:r w:rsidRPr="005E38DF">
        <w:rPr>
          <w:rFonts w:ascii="TimesNewRomanPSMT" w:eastAsia="Times New Roman" w:hAnsi="TimesNewRomanPSMT" w:cs="Times New Roman"/>
        </w:rPr>
        <w:t>Appendix E. Formative Exams Equality of Variance Data..........................................</w:t>
      </w:r>
      <w:r w:rsidR="00CA2238">
        <w:rPr>
          <w:rFonts w:ascii="TimesNewRomanPSMT" w:eastAsia="Times New Roman" w:hAnsi="TimesNewRomanPSMT" w:cs="Times New Roman"/>
        </w:rPr>
        <w:t>...............</w:t>
      </w:r>
      <w:r w:rsidRPr="005E38DF">
        <w:rPr>
          <w:rFonts w:ascii="TimesNewRomanPSMT" w:eastAsia="Times New Roman" w:hAnsi="TimesNewRomanPSMT" w:cs="Times New Roman"/>
        </w:rPr>
        <w:t>1</w:t>
      </w:r>
      <w:r w:rsidR="00CA2238">
        <w:rPr>
          <w:rFonts w:ascii="TimesNewRomanPSMT" w:eastAsia="Times New Roman" w:hAnsi="TimesNewRomanPSMT" w:cs="Times New Roman"/>
        </w:rPr>
        <w:t>37</w:t>
      </w:r>
    </w:p>
    <w:p w14:paraId="6E1709DC" w14:textId="4660C2C4" w:rsidR="005E38DF" w:rsidRPr="005E38DF" w:rsidRDefault="005E38DF" w:rsidP="005E38DF">
      <w:pPr>
        <w:spacing w:before="100" w:beforeAutospacing="1" w:after="100" w:afterAutospacing="1"/>
        <w:rPr>
          <w:rFonts w:ascii="Times New Roman" w:eastAsia="Times New Roman" w:hAnsi="Times New Roman" w:cs="Times New Roman"/>
        </w:rPr>
      </w:pPr>
      <w:r w:rsidRPr="005E38DF">
        <w:rPr>
          <w:rFonts w:ascii="TimesNewRomanPSMT" w:eastAsia="Times New Roman" w:hAnsi="TimesNewRomanPSMT" w:cs="Times New Roman"/>
        </w:rPr>
        <w:t>Appendix F: Unabridged Clinical Anatomy Online Survey Data...................................</w:t>
      </w:r>
      <w:r w:rsidR="00CA2238">
        <w:rPr>
          <w:rFonts w:ascii="TimesNewRomanPSMT" w:eastAsia="Times New Roman" w:hAnsi="TimesNewRomanPSMT" w:cs="Times New Roman"/>
        </w:rPr>
        <w:t>............</w:t>
      </w:r>
      <w:r w:rsidRPr="005E38DF">
        <w:rPr>
          <w:rFonts w:ascii="TimesNewRomanPSMT" w:eastAsia="Times New Roman" w:hAnsi="TimesNewRomanPSMT" w:cs="Times New Roman"/>
        </w:rPr>
        <w:t>1</w:t>
      </w:r>
      <w:r w:rsidR="00CA2238">
        <w:rPr>
          <w:rFonts w:ascii="TimesNewRomanPSMT" w:eastAsia="Times New Roman" w:hAnsi="TimesNewRomanPSMT" w:cs="Times New Roman"/>
        </w:rPr>
        <w:t>39</w:t>
      </w:r>
    </w:p>
    <w:p w14:paraId="04E23170" w14:textId="12ACF3E0" w:rsidR="005E38DF" w:rsidRDefault="005E38DF" w:rsidP="005E38DF">
      <w:pPr>
        <w:spacing w:before="100" w:beforeAutospacing="1" w:after="100" w:afterAutospacing="1"/>
        <w:rPr>
          <w:rFonts w:ascii="Times New Roman" w:eastAsia="Times New Roman" w:hAnsi="Times New Roman" w:cs="Times New Roman"/>
        </w:rPr>
      </w:pPr>
    </w:p>
    <w:p w14:paraId="1014A28F" w14:textId="02ACF4AF" w:rsidR="005E38DF" w:rsidRDefault="005E38DF" w:rsidP="005E38DF">
      <w:pPr>
        <w:spacing w:before="100" w:beforeAutospacing="1" w:after="100" w:afterAutospacing="1"/>
        <w:rPr>
          <w:rFonts w:ascii="Times New Roman" w:eastAsia="Times New Roman" w:hAnsi="Times New Roman" w:cs="Times New Roman"/>
        </w:rPr>
      </w:pPr>
    </w:p>
    <w:p w14:paraId="4033A1E9" w14:textId="17D7344D" w:rsidR="005E38DF" w:rsidRDefault="005E38DF" w:rsidP="005E38DF">
      <w:pPr>
        <w:spacing w:before="100" w:beforeAutospacing="1" w:after="100" w:afterAutospacing="1"/>
        <w:rPr>
          <w:rFonts w:ascii="Times New Roman" w:eastAsia="Times New Roman" w:hAnsi="Times New Roman" w:cs="Times New Roman"/>
        </w:rPr>
      </w:pPr>
    </w:p>
    <w:p w14:paraId="35FE317C" w14:textId="73BD2EC5" w:rsidR="005E38DF" w:rsidRDefault="005E38DF" w:rsidP="005E38DF">
      <w:pPr>
        <w:spacing w:before="100" w:beforeAutospacing="1" w:after="100" w:afterAutospacing="1"/>
        <w:rPr>
          <w:rFonts w:ascii="Times New Roman" w:eastAsia="Times New Roman" w:hAnsi="Times New Roman" w:cs="Times New Roman"/>
        </w:rPr>
      </w:pPr>
    </w:p>
    <w:p w14:paraId="3BB83BC5" w14:textId="25D9C651" w:rsidR="005E38DF" w:rsidRDefault="005E38DF" w:rsidP="005E38DF">
      <w:pPr>
        <w:spacing w:before="100" w:beforeAutospacing="1" w:after="100" w:afterAutospacing="1"/>
        <w:rPr>
          <w:rFonts w:ascii="Times New Roman" w:eastAsia="Times New Roman" w:hAnsi="Times New Roman" w:cs="Times New Roman"/>
        </w:rPr>
      </w:pPr>
    </w:p>
    <w:p w14:paraId="72231C5D" w14:textId="77777777" w:rsidR="005E38DF" w:rsidRDefault="005E38DF" w:rsidP="005E38DF">
      <w:pPr>
        <w:spacing w:before="100" w:beforeAutospacing="1" w:after="100" w:afterAutospacing="1"/>
        <w:rPr>
          <w:rFonts w:ascii="Times New Roman" w:eastAsia="Times New Roman" w:hAnsi="Times New Roman" w:cs="Times New Roman"/>
        </w:rPr>
      </w:pPr>
    </w:p>
    <w:p w14:paraId="748F5A8B" w14:textId="4DA9475A" w:rsidR="005E38DF" w:rsidRPr="005E38DF" w:rsidRDefault="005E38DF" w:rsidP="005E38DF">
      <w:pPr>
        <w:spacing w:before="100" w:beforeAutospacing="1" w:after="100" w:afterAutospacing="1"/>
        <w:rPr>
          <w:rFonts w:ascii="Times New Roman" w:eastAsia="Times New Roman" w:hAnsi="Times New Roman" w:cs="Times New Roman"/>
        </w:rPr>
      </w:pPr>
      <w:r w:rsidRPr="005E38DF">
        <w:rPr>
          <w:rFonts w:ascii="TimesNewRomanPS" w:eastAsia="Times New Roman" w:hAnsi="TimesNewRomanPS" w:cs="Times New Roman"/>
          <w:b/>
          <w:bCs/>
        </w:rPr>
        <w:lastRenderedPageBreak/>
        <w:t xml:space="preserve">List of Tables </w:t>
      </w:r>
    </w:p>
    <w:p w14:paraId="29A52A32" w14:textId="4B8CB118" w:rsidR="005E38DF" w:rsidRDefault="005E38DF" w:rsidP="005E38DF">
      <w:pPr>
        <w:spacing w:before="100" w:beforeAutospacing="1" w:after="100" w:afterAutospacing="1"/>
        <w:rPr>
          <w:rFonts w:ascii="TimesNewRomanPSMT" w:eastAsia="Times New Roman" w:hAnsi="TimesNewRomanPSMT" w:cs="Times New Roman"/>
        </w:rPr>
      </w:pPr>
      <w:r w:rsidRPr="005E38DF">
        <w:rPr>
          <w:rFonts w:ascii="TimesNewRomanPSMT" w:eastAsia="Times New Roman" w:hAnsi="TimesNewRomanPSMT" w:cs="Times New Roman"/>
        </w:rPr>
        <w:t>Table 1. 2019 and 2020 PA and Dental Student Demographics................</w:t>
      </w:r>
      <w:r w:rsidR="009851EB">
        <w:rPr>
          <w:rFonts w:ascii="TimesNewRomanPSMT" w:eastAsia="Times New Roman" w:hAnsi="TimesNewRomanPSMT" w:cs="Times New Roman"/>
        </w:rPr>
        <w:t>.............</w:t>
      </w:r>
      <w:r w:rsidRPr="005E38DF">
        <w:rPr>
          <w:rFonts w:ascii="TimesNewRomanPSMT" w:eastAsia="Times New Roman" w:hAnsi="TimesNewRomanPSMT" w:cs="Times New Roman"/>
        </w:rPr>
        <w:t>.......................</w:t>
      </w:r>
      <w:r w:rsidR="009851EB">
        <w:rPr>
          <w:rFonts w:ascii="TimesNewRomanPSMT" w:eastAsia="Times New Roman" w:hAnsi="TimesNewRomanPSMT" w:cs="Times New Roman"/>
        </w:rPr>
        <w:t>46</w:t>
      </w:r>
      <w:r w:rsidRPr="005E38DF">
        <w:rPr>
          <w:rFonts w:ascii="TimesNewRomanPSMT" w:eastAsia="Times New Roman" w:hAnsi="TimesNewRomanPSMT" w:cs="Times New Roman"/>
        </w:rPr>
        <w:t xml:space="preserve"> </w:t>
      </w:r>
    </w:p>
    <w:p w14:paraId="6B5CB622" w14:textId="6FA39090" w:rsidR="005E38DF" w:rsidRDefault="005E38DF" w:rsidP="005E38DF">
      <w:pPr>
        <w:spacing w:before="100" w:beforeAutospacing="1" w:after="100" w:afterAutospacing="1"/>
        <w:rPr>
          <w:rFonts w:ascii="TimesNewRomanPSMT" w:eastAsia="Times New Roman" w:hAnsi="TimesNewRomanPSMT" w:cs="Times New Roman"/>
        </w:rPr>
      </w:pPr>
      <w:r w:rsidRPr="005E38DF">
        <w:rPr>
          <w:rFonts w:ascii="TimesNewRomanPSMT" w:eastAsia="Times New Roman" w:hAnsi="TimesNewRomanPSMT" w:cs="Times New Roman"/>
        </w:rPr>
        <w:t>Table 2. Survey Statements Categorized by Bloom’s Domains of Learning...........</w:t>
      </w:r>
      <w:r w:rsidR="009851EB">
        <w:rPr>
          <w:rFonts w:ascii="TimesNewRomanPSMT" w:eastAsia="Times New Roman" w:hAnsi="TimesNewRomanPSMT" w:cs="Times New Roman"/>
        </w:rPr>
        <w:t>........</w:t>
      </w:r>
      <w:r w:rsidRPr="005E38DF">
        <w:rPr>
          <w:rFonts w:ascii="TimesNewRomanPSMT" w:eastAsia="Times New Roman" w:hAnsi="TimesNewRomanPSMT" w:cs="Times New Roman"/>
        </w:rPr>
        <w:t>.............</w:t>
      </w:r>
      <w:r w:rsidR="009851EB">
        <w:rPr>
          <w:rFonts w:ascii="TimesNewRomanPSMT" w:eastAsia="Times New Roman" w:hAnsi="TimesNewRomanPSMT" w:cs="Times New Roman"/>
        </w:rPr>
        <w:t>5</w:t>
      </w:r>
      <w:r w:rsidR="002B07C7">
        <w:rPr>
          <w:rFonts w:ascii="TimesNewRomanPSMT" w:eastAsia="Times New Roman" w:hAnsi="TimesNewRomanPSMT" w:cs="Times New Roman"/>
        </w:rPr>
        <w:t>2</w:t>
      </w:r>
      <w:r w:rsidRPr="005E38DF">
        <w:rPr>
          <w:rFonts w:ascii="TimesNewRomanPSMT" w:eastAsia="Times New Roman" w:hAnsi="TimesNewRomanPSMT" w:cs="Times New Roman"/>
        </w:rPr>
        <w:t xml:space="preserve"> </w:t>
      </w:r>
    </w:p>
    <w:p w14:paraId="4CB3EDAC" w14:textId="373FA9C4" w:rsidR="005E38DF" w:rsidRDefault="005E38DF" w:rsidP="005E38DF">
      <w:pPr>
        <w:spacing w:before="100" w:beforeAutospacing="1" w:after="100" w:afterAutospacing="1"/>
        <w:rPr>
          <w:rFonts w:ascii="TimesNewRomanPSMT" w:eastAsia="Times New Roman" w:hAnsi="TimesNewRomanPSMT" w:cs="Times New Roman"/>
        </w:rPr>
      </w:pPr>
      <w:r w:rsidRPr="005E38DF">
        <w:rPr>
          <w:rFonts w:ascii="TimesNewRomanPSMT" w:eastAsia="Times New Roman" w:hAnsi="TimesNewRomanPSMT" w:cs="Times New Roman"/>
        </w:rPr>
        <w:t>Table 3. Summative Assessment items T-test Results....................................</w:t>
      </w:r>
      <w:r w:rsidR="009851EB">
        <w:rPr>
          <w:rFonts w:ascii="TimesNewRomanPSMT" w:eastAsia="Times New Roman" w:hAnsi="TimesNewRomanPSMT" w:cs="Times New Roman"/>
        </w:rPr>
        <w:t>................</w:t>
      </w:r>
      <w:r w:rsidRPr="005E38DF">
        <w:rPr>
          <w:rFonts w:ascii="TimesNewRomanPSMT" w:eastAsia="Times New Roman" w:hAnsi="TimesNewRomanPSMT" w:cs="Times New Roman"/>
        </w:rPr>
        <w:t>...............</w:t>
      </w:r>
      <w:r w:rsidR="009851EB">
        <w:rPr>
          <w:rFonts w:ascii="TimesNewRomanPSMT" w:eastAsia="Times New Roman" w:hAnsi="TimesNewRomanPSMT" w:cs="Times New Roman"/>
        </w:rPr>
        <w:t>68</w:t>
      </w:r>
      <w:r w:rsidRPr="005E38DF">
        <w:rPr>
          <w:rFonts w:ascii="TimesNewRomanPSMT" w:eastAsia="Times New Roman" w:hAnsi="TimesNewRomanPSMT" w:cs="Times New Roman"/>
        </w:rPr>
        <w:t xml:space="preserve"> </w:t>
      </w:r>
    </w:p>
    <w:p w14:paraId="18475DFF" w14:textId="4C280B21" w:rsidR="005E38DF" w:rsidRDefault="005E38DF" w:rsidP="005E38DF">
      <w:pPr>
        <w:spacing w:before="100" w:beforeAutospacing="1" w:after="100" w:afterAutospacing="1"/>
        <w:rPr>
          <w:rFonts w:ascii="TimesNewRomanPSMT" w:eastAsia="Times New Roman" w:hAnsi="TimesNewRomanPSMT" w:cs="Times New Roman"/>
        </w:rPr>
      </w:pPr>
      <w:r w:rsidRPr="005E38DF">
        <w:rPr>
          <w:rFonts w:ascii="TimesNewRomanPSMT" w:eastAsia="Times New Roman" w:hAnsi="TimesNewRomanPSMT" w:cs="Times New Roman"/>
        </w:rPr>
        <w:t>Table 4. Formative Exam T-test Results...................................................</w:t>
      </w:r>
      <w:r w:rsidR="009851EB">
        <w:rPr>
          <w:rFonts w:ascii="TimesNewRomanPSMT" w:eastAsia="Times New Roman" w:hAnsi="TimesNewRomanPSMT" w:cs="Times New Roman"/>
        </w:rPr>
        <w:t>......................</w:t>
      </w:r>
      <w:r w:rsidRPr="005E38DF">
        <w:rPr>
          <w:rFonts w:ascii="TimesNewRomanPSMT" w:eastAsia="Times New Roman" w:hAnsi="TimesNewRomanPSMT" w:cs="Times New Roman"/>
        </w:rPr>
        <w:t>...............</w:t>
      </w:r>
      <w:r w:rsidR="009851EB">
        <w:rPr>
          <w:rFonts w:ascii="TimesNewRomanPSMT" w:eastAsia="Times New Roman" w:hAnsi="TimesNewRomanPSMT" w:cs="Times New Roman"/>
        </w:rPr>
        <w:t>70</w:t>
      </w:r>
      <w:r w:rsidRPr="005E38DF">
        <w:rPr>
          <w:rFonts w:ascii="TimesNewRomanPSMT" w:eastAsia="Times New Roman" w:hAnsi="TimesNewRomanPSMT" w:cs="Times New Roman"/>
        </w:rPr>
        <w:t xml:space="preserve"> </w:t>
      </w:r>
    </w:p>
    <w:p w14:paraId="3013D927" w14:textId="0E605363" w:rsidR="005E38DF" w:rsidRDefault="005E38DF" w:rsidP="005E38DF">
      <w:pPr>
        <w:spacing w:before="100" w:beforeAutospacing="1" w:after="100" w:afterAutospacing="1"/>
        <w:rPr>
          <w:rFonts w:ascii="TimesNewRomanPSMT" w:eastAsia="Times New Roman" w:hAnsi="TimesNewRomanPSMT" w:cs="Times New Roman"/>
        </w:rPr>
      </w:pPr>
      <w:r w:rsidRPr="005E38DF">
        <w:rPr>
          <w:rFonts w:ascii="TimesNewRomanPSMT" w:eastAsia="Times New Roman" w:hAnsi="TimesNewRomanPSMT" w:cs="Times New Roman"/>
        </w:rPr>
        <w:t>Table 5. Clinical Anatomy Online Learning Survey Question 6..............</w:t>
      </w:r>
      <w:r w:rsidR="009851EB">
        <w:rPr>
          <w:rFonts w:ascii="TimesNewRomanPSMT" w:eastAsia="Times New Roman" w:hAnsi="TimesNewRomanPSMT" w:cs="Times New Roman"/>
        </w:rPr>
        <w:t>............</w:t>
      </w:r>
      <w:r w:rsidRPr="005E38DF">
        <w:rPr>
          <w:rFonts w:ascii="TimesNewRomanPSMT" w:eastAsia="Times New Roman" w:hAnsi="TimesNewRomanPSMT" w:cs="Times New Roman"/>
        </w:rPr>
        <w:t>.........................7</w:t>
      </w:r>
      <w:r w:rsidR="009851EB">
        <w:rPr>
          <w:rFonts w:ascii="TimesNewRomanPSMT" w:eastAsia="Times New Roman" w:hAnsi="TimesNewRomanPSMT" w:cs="Times New Roman"/>
        </w:rPr>
        <w:t>4</w:t>
      </w:r>
      <w:r w:rsidRPr="005E38DF">
        <w:rPr>
          <w:rFonts w:ascii="TimesNewRomanPSMT" w:eastAsia="Times New Roman" w:hAnsi="TimesNewRomanPSMT" w:cs="Times New Roman"/>
        </w:rPr>
        <w:t xml:space="preserve"> </w:t>
      </w:r>
    </w:p>
    <w:p w14:paraId="0519A8E3" w14:textId="3075B98B" w:rsidR="005E38DF" w:rsidRDefault="005E38DF" w:rsidP="005E38DF">
      <w:pPr>
        <w:spacing w:before="100" w:beforeAutospacing="1" w:after="100" w:afterAutospacing="1"/>
        <w:rPr>
          <w:rFonts w:ascii="TimesNewRomanPSMT" w:eastAsia="Times New Roman" w:hAnsi="TimesNewRomanPSMT" w:cs="Times New Roman"/>
        </w:rPr>
      </w:pPr>
      <w:r w:rsidRPr="005E38DF">
        <w:rPr>
          <w:rFonts w:ascii="TimesNewRomanPSMT" w:eastAsia="Times New Roman" w:hAnsi="TimesNewRomanPSMT" w:cs="Times New Roman"/>
        </w:rPr>
        <w:t>Table 6. Clinical Anatomy Online Learning Survey Question 7.................</w:t>
      </w:r>
      <w:r w:rsidR="009851EB">
        <w:rPr>
          <w:rFonts w:ascii="TimesNewRomanPSMT" w:eastAsia="Times New Roman" w:hAnsi="TimesNewRomanPSMT" w:cs="Times New Roman"/>
        </w:rPr>
        <w:t>............</w:t>
      </w:r>
      <w:r w:rsidRPr="005E38DF">
        <w:rPr>
          <w:rFonts w:ascii="TimesNewRomanPSMT" w:eastAsia="Times New Roman" w:hAnsi="TimesNewRomanPSMT" w:cs="Times New Roman"/>
        </w:rPr>
        <w:t>......................7</w:t>
      </w:r>
      <w:r w:rsidR="009851EB">
        <w:rPr>
          <w:rFonts w:ascii="TimesNewRomanPSMT" w:eastAsia="Times New Roman" w:hAnsi="TimesNewRomanPSMT" w:cs="Times New Roman"/>
        </w:rPr>
        <w:t>6</w:t>
      </w:r>
      <w:r w:rsidRPr="005E38DF">
        <w:rPr>
          <w:rFonts w:ascii="TimesNewRomanPSMT" w:eastAsia="Times New Roman" w:hAnsi="TimesNewRomanPSMT" w:cs="Times New Roman"/>
        </w:rPr>
        <w:t xml:space="preserve"> </w:t>
      </w:r>
    </w:p>
    <w:p w14:paraId="31F6AF74" w14:textId="36AB61AB" w:rsidR="005E38DF" w:rsidRDefault="005E38DF" w:rsidP="005E38DF">
      <w:pPr>
        <w:spacing w:before="100" w:beforeAutospacing="1" w:after="100" w:afterAutospacing="1"/>
        <w:rPr>
          <w:rFonts w:ascii="TimesNewRomanPSMT" w:eastAsia="Times New Roman" w:hAnsi="TimesNewRomanPSMT" w:cs="Times New Roman"/>
        </w:rPr>
      </w:pPr>
      <w:r w:rsidRPr="005E38DF">
        <w:rPr>
          <w:rFonts w:ascii="TimesNewRomanPSMT" w:eastAsia="Times New Roman" w:hAnsi="TimesNewRomanPSMT" w:cs="Times New Roman"/>
        </w:rPr>
        <w:t>Table 7. Clinical Anatomy Online Learning Survey Questions 8 &amp; 9........</w:t>
      </w:r>
      <w:r w:rsidR="009851EB">
        <w:rPr>
          <w:rFonts w:ascii="TimesNewRomanPSMT" w:eastAsia="Times New Roman" w:hAnsi="TimesNewRomanPSMT" w:cs="Times New Roman"/>
        </w:rPr>
        <w:t>..........</w:t>
      </w:r>
      <w:r w:rsidRPr="005E38DF">
        <w:rPr>
          <w:rFonts w:ascii="TimesNewRomanPSMT" w:eastAsia="Times New Roman" w:hAnsi="TimesNewRomanPSMT" w:cs="Times New Roman"/>
        </w:rPr>
        <w:t>........................</w:t>
      </w:r>
      <w:r w:rsidR="009851EB">
        <w:rPr>
          <w:rFonts w:ascii="TimesNewRomanPSMT" w:eastAsia="Times New Roman" w:hAnsi="TimesNewRomanPSMT" w:cs="Times New Roman"/>
        </w:rPr>
        <w:t>77</w:t>
      </w:r>
      <w:r w:rsidRPr="005E38DF">
        <w:rPr>
          <w:rFonts w:ascii="TimesNewRomanPSMT" w:eastAsia="Times New Roman" w:hAnsi="TimesNewRomanPSMT" w:cs="Times New Roman"/>
        </w:rPr>
        <w:t xml:space="preserve"> </w:t>
      </w:r>
    </w:p>
    <w:p w14:paraId="5899757B" w14:textId="03298ABF" w:rsidR="005E38DF" w:rsidRDefault="005E38DF" w:rsidP="005E38DF">
      <w:pPr>
        <w:spacing w:before="100" w:beforeAutospacing="1" w:after="100" w:afterAutospacing="1"/>
        <w:rPr>
          <w:rFonts w:ascii="TimesNewRomanPSMT" w:eastAsia="Times New Roman" w:hAnsi="TimesNewRomanPSMT" w:cs="Times New Roman"/>
        </w:rPr>
      </w:pPr>
      <w:r w:rsidRPr="005E38DF">
        <w:rPr>
          <w:rFonts w:ascii="TimesNewRomanPSMT" w:eastAsia="Times New Roman" w:hAnsi="TimesNewRomanPSMT" w:cs="Times New Roman"/>
        </w:rPr>
        <w:t>Table 8. Clinical Anatomy Online Learning Survey Question 10.................</w:t>
      </w:r>
      <w:r w:rsidR="009851EB">
        <w:rPr>
          <w:rFonts w:ascii="TimesNewRomanPSMT" w:eastAsia="Times New Roman" w:hAnsi="TimesNewRomanPSMT" w:cs="Times New Roman"/>
        </w:rPr>
        <w:t>............</w:t>
      </w:r>
      <w:r w:rsidRPr="005E38DF">
        <w:rPr>
          <w:rFonts w:ascii="TimesNewRomanPSMT" w:eastAsia="Times New Roman" w:hAnsi="TimesNewRomanPSMT" w:cs="Times New Roman"/>
        </w:rPr>
        <w:t>....................</w:t>
      </w:r>
      <w:r w:rsidR="009851EB">
        <w:rPr>
          <w:rFonts w:ascii="TimesNewRomanPSMT" w:eastAsia="Times New Roman" w:hAnsi="TimesNewRomanPSMT" w:cs="Times New Roman"/>
        </w:rPr>
        <w:t>80</w:t>
      </w:r>
      <w:r w:rsidRPr="005E38DF">
        <w:rPr>
          <w:rFonts w:ascii="TimesNewRomanPSMT" w:eastAsia="Times New Roman" w:hAnsi="TimesNewRomanPSMT" w:cs="Times New Roman"/>
        </w:rPr>
        <w:t xml:space="preserve"> </w:t>
      </w:r>
    </w:p>
    <w:p w14:paraId="3A9183ED" w14:textId="5D08C95B" w:rsidR="005E38DF" w:rsidRPr="005E38DF" w:rsidRDefault="005E38DF" w:rsidP="005E38DF">
      <w:pPr>
        <w:spacing w:before="100" w:beforeAutospacing="1" w:after="100" w:afterAutospacing="1"/>
        <w:rPr>
          <w:rFonts w:ascii="TimesNewRomanPSMT" w:eastAsia="Times New Roman" w:hAnsi="TimesNewRomanPSMT" w:cs="Times New Roman"/>
        </w:rPr>
      </w:pPr>
      <w:r w:rsidRPr="005E38DF">
        <w:rPr>
          <w:rFonts w:ascii="TimesNewRomanPSMT" w:eastAsia="Times New Roman" w:hAnsi="TimesNewRomanPSMT" w:cs="Times New Roman"/>
        </w:rPr>
        <w:t>Table 9. Qualitative Data Summary: Codes, Definitions, Samples, and Themes........</w:t>
      </w:r>
      <w:r w:rsidR="009851EB">
        <w:rPr>
          <w:rFonts w:ascii="TimesNewRomanPSMT" w:eastAsia="Times New Roman" w:hAnsi="TimesNewRomanPSMT" w:cs="Times New Roman"/>
        </w:rPr>
        <w:t>......</w:t>
      </w:r>
      <w:r w:rsidRPr="005E38DF">
        <w:rPr>
          <w:rFonts w:ascii="TimesNewRomanPSMT" w:eastAsia="Times New Roman" w:hAnsi="TimesNewRomanPSMT" w:cs="Times New Roman"/>
        </w:rPr>
        <w:t>...........8</w:t>
      </w:r>
      <w:r w:rsidR="009851EB">
        <w:rPr>
          <w:rFonts w:ascii="TimesNewRomanPSMT" w:eastAsia="Times New Roman" w:hAnsi="TimesNewRomanPSMT" w:cs="Times New Roman"/>
        </w:rPr>
        <w:t>2</w:t>
      </w:r>
      <w:r w:rsidRPr="005E38DF">
        <w:rPr>
          <w:rFonts w:ascii="TimesNewRomanPSMT" w:eastAsia="Times New Roman" w:hAnsi="TimesNewRomanPSMT" w:cs="Times New Roman"/>
        </w:rPr>
        <w:t xml:space="preserve"> </w:t>
      </w:r>
    </w:p>
    <w:p w14:paraId="7B7EF7A1" w14:textId="4803FF5D" w:rsidR="005E38DF" w:rsidRDefault="005E38DF" w:rsidP="005E38DF">
      <w:pPr>
        <w:spacing w:before="100" w:beforeAutospacing="1" w:after="100" w:afterAutospacing="1"/>
        <w:rPr>
          <w:rFonts w:ascii="Times New Roman" w:eastAsia="Times New Roman" w:hAnsi="Times New Roman" w:cs="Times New Roman"/>
        </w:rPr>
      </w:pPr>
    </w:p>
    <w:p w14:paraId="5C687C0F" w14:textId="2F6C2D28" w:rsidR="005E38DF" w:rsidRDefault="005E38DF" w:rsidP="005E38DF">
      <w:pPr>
        <w:spacing w:before="100" w:beforeAutospacing="1" w:after="100" w:afterAutospacing="1"/>
        <w:rPr>
          <w:rFonts w:ascii="Times New Roman" w:eastAsia="Times New Roman" w:hAnsi="Times New Roman" w:cs="Times New Roman"/>
        </w:rPr>
      </w:pPr>
    </w:p>
    <w:p w14:paraId="640D2BF9" w14:textId="685CE47E" w:rsidR="005E38DF" w:rsidRDefault="005E38DF" w:rsidP="005E38DF">
      <w:pPr>
        <w:spacing w:before="100" w:beforeAutospacing="1" w:after="100" w:afterAutospacing="1"/>
        <w:rPr>
          <w:rFonts w:ascii="Times New Roman" w:eastAsia="Times New Roman" w:hAnsi="Times New Roman" w:cs="Times New Roman"/>
        </w:rPr>
      </w:pPr>
    </w:p>
    <w:p w14:paraId="4EB6AB56" w14:textId="50D7DBDB" w:rsidR="005E38DF" w:rsidRDefault="005E38DF" w:rsidP="005E38DF">
      <w:pPr>
        <w:spacing w:before="100" w:beforeAutospacing="1" w:after="100" w:afterAutospacing="1"/>
        <w:rPr>
          <w:rFonts w:ascii="Times New Roman" w:eastAsia="Times New Roman" w:hAnsi="Times New Roman" w:cs="Times New Roman"/>
        </w:rPr>
      </w:pPr>
    </w:p>
    <w:p w14:paraId="041A43B1" w14:textId="7EA39CB0" w:rsidR="005E38DF" w:rsidRDefault="005E38DF" w:rsidP="005E38DF">
      <w:pPr>
        <w:spacing w:before="100" w:beforeAutospacing="1" w:after="100" w:afterAutospacing="1"/>
        <w:rPr>
          <w:rFonts w:ascii="Times New Roman" w:eastAsia="Times New Roman" w:hAnsi="Times New Roman" w:cs="Times New Roman"/>
        </w:rPr>
      </w:pPr>
    </w:p>
    <w:p w14:paraId="65BEFF66" w14:textId="6B58E8CF" w:rsidR="005E38DF" w:rsidRDefault="005E38DF" w:rsidP="005E38DF">
      <w:pPr>
        <w:spacing w:before="100" w:beforeAutospacing="1" w:after="100" w:afterAutospacing="1"/>
        <w:rPr>
          <w:rFonts w:ascii="Times New Roman" w:eastAsia="Times New Roman" w:hAnsi="Times New Roman" w:cs="Times New Roman"/>
        </w:rPr>
      </w:pPr>
    </w:p>
    <w:p w14:paraId="4CE83799" w14:textId="03A9BFBA" w:rsidR="005E38DF" w:rsidRDefault="005E38DF" w:rsidP="005E38DF">
      <w:pPr>
        <w:spacing w:before="100" w:beforeAutospacing="1" w:after="100" w:afterAutospacing="1"/>
        <w:rPr>
          <w:rFonts w:ascii="Times New Roman" w:eastAsia="Times New Roman" w:hAnsi="Times New Roman" w:cs="Times New Roman"/>
        </w:rPr>
      </w:pPr>
    </w:p>
    <w:p w14:paraId="222CFF90" w14:textId="33550B9C" w:rsidR="005E38DF" w:rsidRDefault="005E38DF" w:rsidP="005E38DF">
      <w:pPr>
        <w:spacing w:before="100" w:beforeAutospacing="1" w:after="100" w:afterAutospacing="1"/>
        <w:rPr>
          <w:rFonts w:ascii="Times New Roman" w:eastAsia="Times New Roman" w:hAnsi="Times New Roman" w:cs="Times New Roman"/>
        </w:rPr>
      </w:pPr>
    </w:p>
    <w:p w14:paraId="60AB2069" w14:textId="20073397" w:rsidR="005E38DF" w:rsidRDefault="005E38DF" w:rsidP="005E38DF">
      <w:pPr>
        <w:spacing w:before="100" w:beforeAutospacing="1" w:after="100" w:afterAutospacing="1"/>
        <w:rPr>
          <w:rFonts w:ascii="Times New Roman" w:eastAsia="Times New Roman" w:hAnsi="Times New Roman" w:cs="Times New Roman"/>
        </w:rPr>
      </w:pPr>
    </w:p>
    <w:p w14:paraId="4F52DA5B" w14:textId="388FBF3C" w:rsidR="005E38DF" w:rsidRDefault="005E38DF" w:rsidP="005E38DF">
      <w:pPr>
        <w:spacing w:before="100" w:beforeAutospacing="1" w:after="100" w:afterAutospacing="1"/>
        <w:rPr>
          <w:rFonts w:ascii="Times New Roman" w:eastAsia="Times New Roman" w:hAnsi="Times New Roman" w:cs="Times New Roman"/>
        </w:rPr>
      </w:pPr>
    </w:p>
    <w:p w14:paraId="7DA82308" w14:textId="3654D9A0" w:rsidR="005E38DF" w:rsidRDefault="005E38DF" w:rsidP="005E38DF">
      <w:pPr>
        <w:spacing w:before="100" w:beforeAutospacing="1" w:after="100" w:afterAutospacing="1"/>
        <w:rPr>
          <w:rFonts w:ascii="Times New Roman" w:eastAsia="Times New Roman" w:hAnsi="Times New Roman" w:cs="Times New Roman"/>
        </w:rPr>
      </w:pPr>
    </w:p>
    <w:p w14:paraId="702DA25E" w14:textId="21BAE8C9" w:rsidR="005E38DF" w:rsidRDefault="005E38DF" w:rsidP="005E38DF">
      <w:pPr>
        <w:spacing w:before="100" w:beforeAutospacing="1" w:after="100" w:afterAutospacing="1"/>
        <w:rPr>
          <w:rFonts w:ascii="Times New Roman" w:eastAsia="Times New Roman" w:hAnsi="Times New Roman" w:cs="Times New Roman"/>
        </w:rPr>
      </w:pPr>
    </w:p>
    <w:p w14:paraId="1A812B95" w14:textId="77777777" w:rsidR="005E38DF" w:rsidRPr="005E38DF" w:rsidRDefault="005E38DF" w:rsidP="005E38DF">
      <w:pPr>
        <w:spacing w:before="100" w:beforeAutospacing="1" w:after="100" w:afterAutospacing="1"/>
        <w:rPr>
          <w:rFonts w:ascii="Times New Roman" w:eastAsia="Times New Roman" w:hAnsi="Times New Roman" w:cs="Times New Roman"/>
        </w:rPr>
      </w:pPr>
    </w:p>
    <w:p w14:paraId="50EEE834" w14:textId="77777777" w:rsidR="005E38DF" w:rsidRPr="005E38DF" w:rsidRDefault="005E38DF" w:rsidP="005E38DF">
      <w:pPr>
        <w:spacing w:before="100" w:beforeAutospacing="1" w:after="100" w:afterAutospacing="1"/>
        <w:rPr>
          <w:rFonts w:ascii="Times New Roman" w:eastAsia="Times New Roman" w:hAnsi="Times New Roman" w:cs="Times New Roman"/>
        </w:rPr>
      </w:pPr>
      <w:r w:rsidRPr="005E38DF">
        <w:rPr>
          <w:rFonts w:ascii="TimesNewRomanPS" w:eastAsia="Times New Roman" w:hAnsi="TimesNewRomanPS" w:cs="Times New Roman"/>
          <w:b/>
          <w:bCs/>
        </w:rPr>
        <w:lastRenderedPageBreak/>
        <w:t xml:space="preserve">List of Figures </w:t>
      </w:r>
    </w:p>
    <w:p w14:paraId="5CE3403E" w14:textId="3E7E9886" w:rsidR="005E38DF" w:rsidRDefault="005E38DF" w:rsidP="005E38DF">
      <w:pPr>
        <w:spacing w:before="100" w:beforeAutospacing="1" w:after="100" w:afterAutospacing="1"/>
        <w:rPr>
          <w:rFonts w:ascii="TimesNewRomanPSMT" w:eastAsia="Times New Roman" w:hAnsi="TimesNewRomanPSMT" w:cs="Times New Roman"/>
        </w:rPr>
      </w:pPr>
      <w:r w:rsidRPr="005E38DF">
        <w:rPr>
          <w:rFonts w:ascii="TimesNewRomanPSMT" w:eastAsia="Times New Roman" w:hAnsi="TimesNewRomanPSMT" w:cs="Times New Roman"/>
        </w:rPr>
        <w:t>Figure 1. Model of Theory of Transactional Distance...............</w:t>
      </w:r>
      <w:r w:rsidR="009851EB">
        <w:rPr>
          <w:rFonts w:ascii="TimesNewRomanPSMT" w:eastAsia="Times New Roman" w:hAnsi="TimesNewRomanPSMT" w:cs="Times New Roman"/>
        </w:rPr>
        <w:t>................</w:t>
      </w:r>
      <w:r w:rsidRPr="005E38DF">
        <w:rPr>
          <w:rFonts w:ascii="TimesNewRomanPSMT" w:eastAsia="Times New Roman" w:hAnsi="TimesNewRomanPSMT" w:cs="Times New Roman"/>
        </w:rPr>
        <w:t>....................................2</w:t>
      </w:r>
      <w:r w:rsidR="009851EB">
        <w:rPr>
          <w:rFonts w:ascii="TimesNewRomanPSMT" w:eastAsia="Times New Roman" w:hAnsi="TimesNewRomanPSMT" w:cs="Times New Roman"/>
        </w:rPr>
        <w:t>4</w:t>
      </w:r>
      <w:r w:rsidRPr="005E38DF">
        <w:rPr>
          <w:rFonts w:ascii="TimesNewRomanPSMT" w:eastAsia="Times New Roman" w:hAnsi="TimesNewRomanPSMT" w:cs="Times New Roman"/>
        </w:rPr>
        <w:t xml:space="preserve"> </w:t>
      </w:r>
    </w:p>
    <w:p w14:paraId="3335B666" w14:textId="5B6AF72B" w:rsidR="005E38DF" w:rsidRDefault="005E38DF" w:rsidP="005E38DF">
      <w:pPr>
        <w:spacing w:before="100" w:beforeAutospacing="1" w:after="100" w:afterAutospacing="1"/>
        <w:rPr>
          <w:rFonts w:ascii="TimesNewRomanPSMT" w:eastAsia="Times New Roman" w:hAnsi="TimesNewRomanPSMT" w:cs="Times New Roman"/>
        </w:rPr>
      </w:pPr>
      <w:r w:rsidRPr="005E38DF">
        <w:rPr>
          <w:rFonts w:ascii="TimesNewRomanPSMT" w:eastAsia="Times New Roman" w:hAnsi="TimesNewRomanPSMT" w:cs="Times New Roman"/>
        </w:rPr>
        <w:t>Figure 2. Experimental Design Diagram.......................................</w:t>
      </w:r>
      <w:r w:rsidR="009851EB">
        <w:rPr>
          <w:rFonts w:ascii="TimesNewRomanPSMT" w:eastAsia="Times New Roman" w:hAnsi="TimesNewRomanPSMT" w:cs="Times New Roman"/>
        </w:rPr>
        <w:t>.....................</w:t>
      </w:r>
      <w:r w:rsidRPr="005E38DF">
        <w:rPr>
          <w:rFonts w:ascii="TimesNewRomanPSMT" w:eastAsia="Times New Roman" w:hAnsi="TimesNewRomanPSMT" w:cs="Times New Roman"/>
        </w:rPr>
        <w:t>...........................4</w:t>
      </w:r>
      <w:r w:rsidR="009851EB">
        <w:rPr>
          <w:rFonts w:ascii="TimesNewRomanPSMT" w:eastAsia="Times New Roman" w:hAnsi="TimesNewRomanPSMT" w:cs="Times New Roman"/>
        </w:rPr>
        <w:t>5</w:t>
      </w:r>
      <w:r w:rsidRPr="005E38DF">
        <w:rPr>
          <w:rFonts w:ascii="TimesNewRomanPSMT" w:eastAsia="Times New Roman" w:hAnsi="TimesNewRomanPSMT" w:cs="Times New Roman"/>
        </w:rPr>
        <w:t xml:space="preserve"> </w:t>
      </w:r>
    </w:p>
    <w:p w14:paraId="46F7CEA2" w14:textId="6C59171B" w:rsidR="005E38DF" w:rsidRDefault="005E38DF" w:rsidP="005E38DF">
      <w:pPr>
        <w:spacing w:before="100" w:beforeAutospacing="1" w:after="100" w:afterAutospacing="1"/>
        <w:rPr>
          <w:rFonts w:ascii="TimesNewRomanPSMT" w:eastAsia="Times New Roman" w:hAnsi="TimesNewRomanPSMT" w:cs="Times New Roman"/>
        </w:rPr>
      </w:pPr>
      <w:r w:rsidRPr="005E38DF">
        <w:rPr>
          <w:rFonts w:ascii="TimesNewRomanPSMT" w:eastAsia="Times New Roman" w:hAnsi="TimesNewRomanPSMT" w:cs="Times New Roman"/>
        </w:rPr>
        <w:t>Figure 3. Focus Group Interview Questions......................................</w:t>
      </w:r>
      <w:r w:rsidR="009851EB">
        <w:rPr>
          <w:rFonts w:ascii="TimesNewRomanPSMT" w:eastAsia="Times New Roman" w:hAnsi="TimesNewRomanPSMT" w:cs="Times New Roman"/>
        </w:rPr>
        <w:t>....................</w:t>
      </w:r>
      <w:r w:rsidRPr="005E38DF">
        <w:rPr>
          <w:rFonts w:ascii="TimesNewRomanPSMT" w:eastAsia="Times New Roman" w:hAnsi="TimesNewRomanPSMT" w:cs="Times New Roman"/>
        </w:rPr>
        <w:t>........................</w:t>
      </w:r>
      <w:r w:rsidR="00484EE2">
        <w:rPr>
          <w:rFonts w:ascii="TimesNewRomanPSMT" w:eastAsia="Times New Roman" w:hAnsi="TimesNewRomanPSMT" w:cs="Times New Roman"/>
        </w:rPr>
        <w:t>50</w:t>
      </w:r>
      <w:r w:rsidRPr="005E38DF">
        <w:rPr>
          <w:rFonts w:ascii="TimesNewRomanPSMT" w:eastAsia="Times New Roman" w:hAnsi="TimesNewRomanPSMT" w:cs="Times New Roman"/>
        </w:rPr>
        <w:t xml:space="preserve"> </w:t>
      </w:r>
    </w:p>
    <w:p w14:paraId="56AEE59F" w14:textId="54489943" w:rsidR="005E38DF" w:rsidRDefault="005E38DF" w:rsidP="005E38DF">
      <w:pPr>
        <w:spacing w:before="100" w:beforeAutospacing="1" w:after="100" w:afterAutospacing="1"/>
        <w:rPr>
          <w:rFonts w:ascii="TimesNewRomanPSMT" w:eastAsia="Times New Roman" w:hAnsi="TimesNewRomanPSMT" w:cs="Times New Roman"/>
        </w:rPr>
      </w:pPr>
      <w:r w:rsidRPr="005E38DF">
        <w:rPr>
          <w:rFonts w:ascii="TimesNewRomanPSMT" w:eastAsia="Times New Roman" w:hAnsi="TimesNewRomanPSMT" w:cs="Times New Roman"/>
        </w:rPr>
        <w:t>Figure 4. Categorical Data Survey Questions.......................................</w:t>
      </w:r>
      <w:r w:rsidR="009851EB">
        <w:rPr>
          <w:rFonts w:ascii="TimesNewRomanPSMT" w:eastAsia="Times New Roman" w:hAnsi="TimesNewRomanPSMT" w:cs="Times New Roman"/>
        </w:rPr>
        <w:t>...................</w:t>
      </w:r>
      <w:r w:rsidRPr="005E38DF">
        <w:rPr>
          <w:rFonts w:ascii="TimesNewRomanPSMT" w:eastAsia="Times New Roman" w:hAnsi="TimesNewRomanPSMT" w:cs="Times New Roman"/>
        </w:rPr>
        <w:t>......................5</w:t>
      </w:r>
      <w:r w:rsidR="009851EB">
        <w:rPr>
          <w:rFonts w:ascii="TimesNewRomanPSMT" w:eastAsia="Times New Roman" w:hAnsi="TimesNewRomanPSMT" w:cs="Times New Roman"/>
        </w:rPr>
        <w:t>4</w:t>
      </w:r>
      <w:r w:rsidRPr="005E38DF">
        <w:rPr>
          <w:rFonts w:ascii="TimesNewRomanPSMT" w:eastAsia="Times New Roman" w:hAnsi="TimesNewRomanPSMT" w:cs="Times New Roman"/>
        </w:rPr>
        <w:t xml:space="preserve"> </w:t>
      </w:r>
    </w:p>
    <w:p w14:paraId="72736C85" w14:textId="704D9A51" w:rsidR="005E38DF" w:rsidRDefault="005E38DF" w:rsidP="005E38DF">
      <w:pPr>
        <w:spacing w:before="100" w:beforeAutospacing="1" w:after="100" w:afterAutospacing="1"/>
        <w:rPr>
          <w:rFonts w:ascii="TimesNewRomanPSMT" w:eastAsia="Times New Roman" w:hAnsi="TimesNewRomanPSMT" w:cs="Times New Roman"/>
        </w:rPr>
      </w:pPr>
      <w:r w:rsidRPr="005E38DF">
        <w:rPr>
          <w:rFonts w:ascii="TimesNewRomanPSMT" w:eastAsia="Times New Roman" w:hAnsi="TimesNewRomanPSMT" w:cs="Times New Roman"/>
        </w:rPr>
        <w:t>Figure 5. Survey Statements from Question 6...................................</w:t>
      </w:r>
      <w:r w:rsidR="009851EB">
        <w:rPr>
          <w:rFonts w:ascii="TimesNewRomanPSMT" w:eastAsia="Times New Roman" w:hAnsi="TimesNewRomanPSMT" w:cs="Times New Roman"/>
        </w:rPr>
        <w:t>...................</w:t>
      </w:r>
      <w:r w:rsidRPr="005E38DF">
        <w:rPr>
          <w:rFonts w:ascii="TimesNewRomanPSMT" w:eastAsia="Times New Roman" w:hAnsi="TimesNewRomanPSMT" w:cs="Times New Roman"/>
        </w:rPr>
        <w:t>.........................5</w:t>
      </w:r>
      <w:r w:rsidR="002B07C7">
        <w:rPr>
          <w:rFonts w:ascii="TimesNewRomanPSMT" w:eastAsia="Times New Roman" w:hAnsi="TimesNewRomanPSMT" w:cs="Times New Roman"/>
        </w:rPr>
        <w:t>4</w:t>
      </w:r>
    </w:p>
    <w:p w14:paraId="7F48B356" w14:textId="7AB5D5F2" w:rsidR="005E38DF" w:rsidRDefault="005E38DF" w:rsidP="005E38DF">
      <w:pPr>
        <w:spacing w:before="100" w:beforeAutospacing="1" w:after="100" w:afterAutospacing="1"/>
        <w:rPr>
          <w:rFonts w:ascii="TimesNewRomanPSMT" w:eastAsia="Times New Roman" w:hAnsi="TimesNewRomanPSMT" w:cs="Times New Roman"/>
        </w:rPr>
      </w:pPr>
      <w:r w:rsidRPr="005E38DF">
        <w:rPr>
          <w:rFonts w:ascii="TimesNewRomanPSMT" w:eastAsia="Times New Roman" w:hAnsi="TimesNewRomanPSMT" w:cs="Times New Roman"/>
        </w:rPr>
        <w:t>Figure 6. Survey Statements from Question 7...................................</w:t>
      </w:r>
      <w:r w:rsidR="009851EB">
        <w:rPr>
          <w:rFonts w:ascii="TimesNewRomanPSMT" w:eastAsia="Times New Roman" w:hAnsi="TimesNewRomanPSMT" w:cs="Times New Roman"/>
        </w:rPr>
        <w:t>...................</w:t>
      </w:r>
      <w:r w:rsidRPr="005E38DF">
        <w:rPr>
          <w:rFonts w:ascii="TimesNewRomanPSMT" w:eastAsia="Times New Roman" w:hAnsi="TimesNewRomanPSMT" w:cs="Times New Roman"/>
        </w:rPr>
        <w:t>.........................5</w:t>
      </w:r>
      <w:r w:rsidR="009851EB">
        <w:rPr>
          <w:rFonts w:ascii="TimesNewRomanPSMT" w:eastAsia="Times New Roman" w:hAnsi="TimesNewRomanPSMT" w:cs="Times New Roman"/>
        </w:rPr>
        <w:t>5</w:t>
      </w:r>
      <w:r w:rsidRPr="005E38DF">
        <w:rPr>
          <w:rFonts w:ascii="TimesNewRomanPSMT" w:eastAsia="Times New Roman" w:hAnsi="TimesNewRomanPSMT" w:cs="Times New Roman"/>
        </w:rPr>
        <w:t xml:space="preserve"> </w:t>
      </w:r>
    </w:p>
    <w:p w14:paraId="725F2129" w14:textId="0ACB223E" w:rsidR="005E38DF" w:rsidRDefault="005E38DF" w:rsidP="005E38DF">
      <w:pPr>
        <w:spacing w:before="100" w:beforeAutospacing="1" w:after="100" w:afterAutospacing="1"/>
        <w:rPr>
          <w:rFonts w:ascii="TimesNewRomanPSMT" w:eastAsia="Times New Roman" w:hAnsi="TimesNewRomanPSMT" w:cs="Times New Roman"/>
        </w:rPr>
      </w:pPr>
      <w:r w:rsidRPr="005E38DF">
        <w:rPr>
          <w:rFonts w:ascii="TimesNewRomanPSMT" w:eastAsia="Times New Roman" w:hAnsi="TimesNewRomanPSMT" w:cs="Times New Roman"/>
        </w:rPr>
        <w:t>Figure 7. Survey Questions Regarding Models.............................</w:t>
      </w:r>
      <w:r w:rsidR="009851EB">
        <w:rPr>
          <w:rFonts w:ascii="TimesNewRomanPSMT" w:eastAsia="Times New Roman" w:hAnsi="TimesNewRomanPSMT" w:cs="Times New Roman"/>
        </w:rPr>
        <w:t>...................</w:t>
      </w:r>
      <w:r w:rsidRPr="005E38DF">
        <w:rPr>
          <w:rFonts w:ascii="TimesNewRomanPSMT" w:eastAsia="Times New Roman" w:hAnsi="TimesNewRomanPSMT" w:cs="Times New Roman"/>
        </w:rPr>
        <w:t>.............................5</w:t>
      </w:r>
      <w:r w:rsidR="002B07C7">
        <w:rPr>
          <w:rFonts w:ascii="TimesNewRomanPSMT" w:eastAsia="Times New Roman" w:hAnsi="TimesNewRomanPSMT" w:cs="Times New Roman"/>
        </w:rPr>
        <w:t>5</w:t>
      </w:r>
      <w:r w:rsidRPr="005E38DF">
        <w:rPr>
          <w:rFonts w:ascii="TimesNewRomanPSMT" w:eastAsia="Times New Roman" w:hAnsi="TimesNewRomanPSMT" w:cs="Times New Roman"/>
        </w:rPr>
        <w:t xml:space="preserve"> </w:t>
      </w:r>
    </w:p>
    <w:p w14:paraId="6B1BBE3E" w14:textId="675DCC3E" w:rsidR="005E38DF" w:rsidRDefault="005E38DF" w:rsidP="005E38DF">
      <w:pPr>
        <w:spacing w:before="100" w:beforeAutospacing="1" w:after="100" w:afterAutospacing="1"/>
        <w:rPr>
          <w:rFonts w:ascii="TimesNewRomanPSMT" w:eastAsia="Times New Roman" w:hAnsi="TimesNewRomanPSMT" w:cs="Times New Roman"/>
        </w:rPr>
      </w:pPr>
      <w:r w:rsidRPr="005E38DF">
        <w:rPr>
          <w:rFonts w:ascii="TimesNewRomanPSMT" w:eastAsia="Times New Roman" w:hAnsi="TimesNewRomanPSMT" w:cs="Times New Roman"/>
        </w:rPr>
        <w:t>Figure 8. Survey Statements from Question 10.........................</w:t>
      </w:r>
      <w:r w:rsidR="009851EB">
        <w:rPr>
          <w:rFonts w:ascii="TimesNewRomanPSMT" w:eastAsia="Times New Roman" w:hAnsi="TimesNewRomanPSMT" w:cs="Times New Roman"/>
        </w:rPr>
        <w:t>...................</w:t>
      </w:r>
      <w:r w:rsidRPr="005E38DF">
        <w:rPr>
          <w:rFonts w:ascii="TimesNewRomanPSMT" w:eastAsia="Times New Roman" w:hAnsi="TimesNewRomanPSMT" w:cs="Times New Roman"/>
        </w:rPr>
        <w:t>.................................5</w:t>
      </w:r>
      <w:r w:rsidR="009851EB">
        <w:rPr>
          <w:rFonts w:ascii="TimesNewRomanPSMT" w:eastAsia="Times New Roman" w:hAnsi="TimesNewRomanPSMT" w:cs="Times New Roman"/>
        </w:rPr>
        <w:t>6</w:t>
      </w:r>
      <w:r w:rsidRPr="005E38DF">
        <w:rPr>
          <w:rFonts w:ascii="TimesNewRomanPSMT" w:eastAsia="Times New Roman" w:hAnsi="TimesNewRomanPSMT" w:cs="Times New Roman"/>
        </w:rPr>
        <w:t xml:space="preserve"> </w:t>
      </w:r>
    </w:p>
    <w:p w14:paraId="784EF186" w14:textId="4688045A" w:rsidR="005E38DF" w:rsidRPr="005E38DF" w:rsidRDefault="005E38DF" w:rsidP="009851EB">
      <w:pPr>
        <w:spacing w:before="100" w:beforeAutospacing="1" w:after="100" w:afterAutospacing="1"/>
        <w:contextualSpacing/>
        <w:rPr>
          <w:rFonts w:ascii="Times New Roman" w:eastAsia="Times New Roman" w:hAnsi="Times New Roman" w:cs="Times New Roman"/>
        </w:rPr>
      </w:pPr>
      <w:r w:rsidRPr="005E38DF">
        <w:rPr>
          <w:rFonts w:ascii="TimesNewRomanPSMT" w:eastAsia="Times New Roman" w:hAnsi="TimesNewRomanPSMT" w:cs="Times New Roman"/>
        </w:rPr>
        <w:t xml:space="preserve">Figure 9. Undergraduate Anatomy Influence on 3D Understanding Dichotomy </w:t>
      </w:r>
    </w:p>
    <w:p w14:paraId="07948B55" w14:textId="0CA66260" w:rsidR="005E38DF" w:rsidRDefault="009851EB" w:rsidP="009851EB">
      <w:pPr>
        <w:spacing w:before="100" w:beforeAutospacing="1" w:after="100" w:afterAutospacing="1"/>
        <w:contextualSpacing/>
        <w:rPr>
          <w:rFonts w:ascii="TimesNewRomanPSMT" w:eastAsia="Times New Roman" w:hAnsi="TimesNewRomanPSMT" w:cs="Times New Roman"/>
        </w:rPr>
      </w:pPr>
      <w:r>
        <w:rPr>
          <w:rFonts w:ascii="TimesNewRomanPSMT" w:eastAsia="Times New Roman" w:hAnsi="TimesNewRomanPSMT" w:cs="Times New Roman"/>
        </w:rPr>
        <w:tab/>
      </w:r>
      <w:r w:rsidR="005E38DF" w:rsidRPr="005E38DF">
        <w:rPr>
          <w:rFonts w:ascii="TimesNewRomanPSMT" w:eastAsia="Times New Roman" w:hAnsi="TimesNewRomanPSMT" w:cs="Times New Roman"/>
        </w:rPr>
        <w:t>for PA Students .........................................</w:t>
      </w:r>
      <w:r>
        <w:rPr>
          <w:rFonts w:ascii="TimesNewRomanPSMT" w:eastAsia="Times New Roman" w:hAnsi="TimesNewRomanPSMT" w:cs="Times New Roman"/>
        </w:rPr>
        <w:t>.</w:t>
      </w:r>
      <w:r w:rsidR="005E38DF" w:rsidRPr="005E38DF">
        <w:rPr>
          <w:rFonts w:ascii="TimesNewRomanPSMT" w:eastAsia="Times New Roman" w:hAnsi="TimesNewRomanPSMT" w:cs="Times New Roman"/>
        </w:rPr>
        <w:t>..............</w:t>
      </w:r>
      <w:r>
        <w:rPr>
          <w:rFonts w:ascii="TimesNewRomanPSMT" w:eastAsia="Times New Roman" w:hAnsi="TimesNewRomanPSMT" w:cs="Times New Roman"/>
        </w:rPr>
        <w:t>................................................</w:t>
      </w:r>
      <w:r w:rsidR="005E38DF" w:rsidRPr="005E38DF">
        <w:rPr>
          <w:rFonts w:ascii="TimesNewRomanPSMT" w:eastAsia="Times New Roman" w:hAnsi="TimesNewRomanPSMT" w:cs="Times New Roman"/>
        </w:rPr>
        <w:t>.........</w:t>
      </w:r>
      <w:r>
        <w:rPr>
          <w:rFonts w:ascii="TimesNewRomanPSMT" w:eastAsia="Times New Roman" w:hAnsi="TimesNewRomanPSMT" w:cs="Times New Roman"/>
        </w:rPr>
        <w:t>79</w:t>
      </w:r>
      <w:r w:rsidR="005E38DF" w:rsidRPr="005E38DF">
        <w:rPr>
          <w:rFonts w:ascii="TimesNewRomanPSMT" w:eastAsia="Times New Roman" w:hAnsi="TimesNewRomanPSMT" w:cs="Times New Roman"/>
        </w:rPr>
        <w:t xml:space="preserve"> </w:t>
      </w:r>
    </w:p>
    <w:p w14:paraId="589F27C3" w14:textId="77777777" w:rsidR="009851EB" w:rsidRPr="005E38DF" w:rsidRDefault="009851EB" w:rsidP="009851EB">
      <w:pPr>
        <w:spacing w:before="100" w:beforeAutospacing="1" w:after="100" w:afterAutospacing="1"/>
        <w:contextualSpacing/>
        <w:rPr>
          <w:rFonts w:ascii="Times New Roman" w:eastAsia="Times New Roman" w:hAnsi="Times New Roman" w:cs="Times New Roman"/>
        </w:rPr>
      </w:pPr>
    </w:p>
    <w:p w14:paraId="68B1F3D9" w14:textId="6DA17FA3" w:rsidR="005E38DF" w:rsidRPr="005E38DF" w:rsidRDefault="005E38DF" w:rsidP="005E38DF">
      <w:pPr>
        <w:spacing w:before="100" w:beforeAutospacing="1" w:after="100" w:afterAutospacing="1"/>
        <w:rPr>
          <w:rFonts w:ascii="Times New Roman" w:eastAsia="Times New Roman" w:hAnsi="Times New Roman" w:cs="Times New Roman"/>
        </w:rPr>
      </w:pPr>
      <w:r w:rsidRPr="005E38DF">
        <w:rPr>
          <w:rFonts w:ascii="TimesNewRomanPSMT" w:eastAsia="Times New Roman" w:hAnsi="TimesNewRomanPSMT" w:cs="Times New Roman"/>
        </w:rPr>
        <w:t>Figure 10. Cognitive Domain Response Totals............</w:t>
      </w:r>
      <w:r w:rsidR="009851EB">
        <w:rPr>
          <w:rFonts w:ascii="TimesNewRomanPSMT" w:eastAsia="Times New Roman" w:hAnsi="TimesNewRomanPSMT" w:cs="Times New Roman"/>
        </w:rPr>
        <w:t>...................</w:t>
      </w:r>
      <w:r w:rsidRPr="005E38DF">
        <w:rPr>
          <w:rFonts w:ascii="TimesNewRomanPSMT" w:eastAsia="Times New Roman" w:hAnsi="TimesNewRomanPSMT" w:cs="Times New Roman"/>
        </w:rPr>
        <w:t>..............................................8</w:t>
      </w:r>
      <w:r w:rsidR="009851EB">
        <w:rPr>
          <w:rFonts w:ascii="TimesNewRomanPSMT" w:eastAsia="Times New Roman" w:hAnsi="TimesNewRomanPSMT" w:cs="Times New Roman"/>
        </w:rPr>
        <w:t>5</w:t>
      </w:r>
      <w:r w:rsidRPr="005E38DF">
        <w:rPr>
          <w:rFonts w:ascii="TimesNewRomanPSMT" w:eastAsia="Times New Roman" w:hAnsi="TimesNewRomanPSMT" w:cs="Times New Roman"/>
        </w:rPr>
        <w:t xml:space="preserve"> </w:t>
      </w:r>
    </w:p>
    <w:p w14:paraId="0DE4BFF9" w14:textId="1802C8DA" w:rsidR="005E38DF" w:rsidRPr="005E38DF" w:rsidRDefault="005E38DF" w:rsidP="005E38DF">
      <w:pPr>
        <w:spacing w:before="100" w:beforeAutospacing="1" w:after="100" w:afterAutospacing="1"/>
        <w:rPr>
          <w:rFonts w:ascii="Times New Roman" w:eastAsia="Times New Roman" w:hAnsi="Times New Roman" w:cs="Times New Roman"/>
        </w:rPr>
      </w:pPr>
      <w:r w:rsidRPr="005E38DF">
        <w:rPr>
          <w:rFonts w:ascii="TimesNewRomanPSMT" w:eastAsia="Times New Roman" w:hAnsi="TimesNewRomanPSMT" w:cs="Times New Roman"/>
        </w:rPr>
        <w:t>Figure 11. Psychomotor Domain Response Totals..............</w:t>
      </w:r>
      <w:r w:rsidR="009851EB">
        <w:rPr>
          <w:rFonts w:ascii="TimesNewRomanPSMT" w:eastAsia="Times New Roman" w:hAnsi="TimesNewRomanPSMT" w:cs="Times New Roman"/>
        </w:rPr>
        <w:t>.................</w:t>
      </w:r>
      <w:r w:rsidRPr="005E38DF">
        <w:rPr>
          <w:rFonts w:ascii="TimesNewRomanPSMT" w:eastAsia="Times New Roman" w:hAnsi="TimesNewRomanPSMT" w:cs="Times New Roman"/>
        </w:rPr>
        <w:t>.........................................</w:t>
      </w:r>
      <w:r w:rsidR="009851EB">
        <w:rPr>
          <w:rFonts w:ascii="TimesNewRomanPSMT" w:eastAsia="Times New Roman" w:hAnsi="TimesNewRomanPSMT" w:cs="Times New Roman"/>
        </w:rPr>
        <w:t>87</w:t>
      </w:r>
      <w:r w:rsidRPr="005E38DF">
        <w:rPr>
          <w:rFonts w:ascii="TimesNewRomanPSMT" w:eastAsia="Times New Roman" w:hAnsi="TimesNewRomanPSMT" w:cs="Times New Roman"/>
        </w:rPr>
        <w:t xml:space="preserve"> </w:t>
      </w:r>
    </w:p>
    <w:p w14:paraId="1BA57BC4" w14:textId="41D2B47D" w:rsidR="005E38DF" w:rsidRPr="005E38DF" w:rsidRDefault="005E38DF" w:rsidP="005E38DF">
      <w:pPr>
        <w:spacing w:before="100" w:beforeAutospacing="1" w:after="100" w:afterAutospacing="1"/>
        <w:rPr>
          <w:rFonts w:ascii="Times New Roman" w:eastAsia="Times New Roman" w:hAnsi="Times New Roman" w:cs="Times New Roman"/>
        </w:rPr>
      </w:pPr>
      <w:r w:rsidRPr="005E38DF">
        <w:rPr>
          <w:rFonts w:ascii="TimesNewRomanPSMT" w:eastAsia="Times New Roman" w:hAnsi="TimesNewRomanPSMT" w:cs="Times New Roman"/>
        </w:rPr>
        <w:t>Figure 12. Affective Domain Response Totals.......................</w:t>
      </w:r>
      <w:r w:rsidR="009851EB">
        <w:rPr>
          <w:rFonts w:ascii="TimesNewRomanPSMT" w:eastAsia="Times New Roman" w:hAnsi="TimesNewRomanPSMT" w:cs="Times New Roman"/>
        </w:rPr>
        <w:t>..................</w:t>
      </w:r>
      <w:r w:rsidRPr="005E38DF">
        <w:rPr>
          <w:rFonts w:ascii="TimesNewRomanPSMT" w:eastAsia="Times New Roman" w:hAnsi="TimesNewRomanPSMT" w:cs="Times New Roman"/>
        </w:rPr>
        <w:t>.....................................</w:t>
      </w:r>
      <w:r w:rsidR="009851EB">
        <w:rPr>
          <w:rFonts w:ascii="TimesNewRomanPSMT" w:eastAsia="Times New Roman" w:hAnsi="TimesNewRomanPSMT" w:cs="Times New Roman"/>
        </w:rPr>
        <w:t>89</w:t>
      </w:r>
      <w:r w:rsidRPr="005E38DF">
        <w:rPr>
          <w:rFonts w:ascii="TimesNewRomanPSMT" w:eastAsia="Times New Roman" w:hAnsi="TimesNewRomanPSMT" w:cs="Times New Roman"/>
        </w:rPr>
        <w:t xml:space="preserve"> </w:t>
      </w:r>
    </w:p>
    <w:p w14:paraId="3689CC8B" w14:textId="612BCCAC" w:rsidR="005E38DF" w:rsidRPr="005E38DF" w:rsidRDefault="005E38DF" w:rsidP="005E38DF">
      <w:pPr>
        <w:spacing w:before="100" w:beforeAutospacing="1" w:after="100" w:afterAutospacing="1"/>
        <w:rPr>
          <w:rFonts w:ascii="Times New Roman" w:eastAsia="Times New Roman" w:hAnsi="Times New Roman" w:cs="Times New Roman"/>
        </w:rPr>
      </w:pPr>
      <w:r w:rsidRPr="005E38DF">
        <w:rPr>
          <w:rFonts w:ascii="TimesNewRomanPSMT" w:eastAsia="Times New Roman" w:hAnsi="TimesNewRomanPSMT" w:cs="Times New Roman"/>
        </w:rPr>
        <w:t>Figure 13. 2020 Remote Learning Cohort Academic Outcomes and</w:t>
      </w:r>
      <w:r w:rsidRPr="005E38DF">
        <w:rPr>
          <w:rFonts w:ascii="TimesNewRomanPSMT" w:eastAsia="Times New Roman" w:hAnsi="TimesNewRomanPSMT" w:cs="Times New Roman"/>
        </w:rPr>
        <w:br/>
      </w:r>
      <w:r w:rsidR="009851EB">
        <w:rPr>
          <w:rFonts w:ascii="TimesNewRomanPSMT" w:eastAsia="Times New Roman" w:hAnsi="TimesNewRomanPSMT" w:cs="Times New Roman"/>
        </w:rPr>
        <w:tab/>
      </w:r>
      <w:r w:rsidRPr="005E38DF">
        <w:rPr>
          <w:rFonts w:ascii="TimesNewRomanPSMT" w:eastAsia="Times New Roman" w:hAnsi="TimesNewRomanPSMT" w:cs="Times New Roman"/>
        </w:rPr>
        <w:t>Clinical Anatomy Online Survey Agreement ...</w:t>
      </w:r>
      <w:r w:rsidR="009851EB">
        <w:rPr>
          <w:rFonts w:ascii="TimesNewRomanPSMT" w:eastAsia="Times New Roman" w:hAnsi="TimesNewRomanPSMT" w:cs="Times New Roman"/>
        </w:rPr>
        <w:t>.</w:t>
      </w:r>
      <w:r w:rsidRPr="005E38DF">
        <w:rPr>
          <w:rFonts w:ascii="TimesNewRomanPSMT" w:eastAsia="Times New Roman" w:hAnsi="TimesNewRomanPSMT" w:cs="Times New Roman"/>
        </w:rPr>
        <w:t>..........................</w:t>
      </w:r>
      <w:r w:rsidR="009851EB">
        <w:rPr>
          <w:rFonts w:ascii="TimesNewRomanPSMT" w:eastAsia="Times New Roman" w:hAnsi="TimesNewRomanPSMT" w:cs="Times New Roman"/>
        </w:rPr>
        <w:t>..................................</w:t>
      </w:r>
      <w:r w:rsidRPr="005E38DF">
        <w:rPr>
          <w:rFonts w:ascii="TimesNewRomanPSMT" w:eastAsia="Times New Roman" w:hAnsi="TimesNewRomanPSMT" w:cs="Times New Roman"/>
        </w:rPr>
        <w:t>...9</w:t>
      </w:r>
      <w:r w:rsidR="009851EB">
        <w:rPr>
          <w:rFonts w:ascii="TimesNewRomanPSMT" w:eastAsia="Times New Roman" w:hAnsi="TimesNewRomanPSMT" w:cs="Times New Roman"/>
        </w:rPr>
        <w:t>2</w:t>
      </w:r>
      <w:r w:rsidRPr="005E38DF">
        <w:rPr>
          <w:rFonts w:ascii="TimesNewRomanPSMT" w:eastAsia="Times New Roman" w:hAnsi="TimesNewRomanPSMT" w:cs="Times New Roman"/>
        </w:rPr>
        <w:t xml:space="preserve"> </w:t>
      </w:r>
    </w:p>
    <w:p w14:paraId="5F78CF21" w14:textId="7F365D52" w:rsidR="005E38DF" w:rsidRPr="005E38DF" w:rsidRDefault="005E38DF" w:rsidP="005E38DF">
      <w:pPr>
        <w:spacing w:before="100" w:beforeAutospacing="1" w:after="100" w:afterAutospacing="1"/>
        <w:rPr>
          <w:rFonts w:ascii="Times New Roman" w:eastAsia="Times New Roman" w:hAnsi="Times New Roman" w:cs="Times New Roman"/>
        </w:rPr>
      </w:pPr>
      <w:r w:rsidRPr="005E38DF">
        <w:rPr>
          <w:rFonts w:ascii="TimesNewRomanPSMT" w:eastAsia="Times New Roman" w:hAnsi="TimesNewRomanPSMT" w:cs="Times New Roman"/>
        </w:rPr>
        <w:t>Figure 14. 2020 Remote Learning Cohort Academic Outcomes and</w:t>
      </w:r>
      <w:r w:rsidRPr="005E38DF">
        <w:rPr>
          <w:rFonts w:ascii="TimesNewRomanPSMT" w:eastAsia="Times New Roman" w:hAnsi="TimesNewRomanPSMT" w:cs="Times New Roman"/>
        </w:rPr>
        <w:br/>
      </w:r>
      <w:r w:rsidR="009851EB">
        <w:rPr>
          <w:rFonts w:ascii="TimesNewRomanPSMT" w:eastAsia="Times New Roman" w:hAnsi="TimesNewRomanPSMT" w:cs="Times New Roman"/>
        </w:rPr>
        <w:tab/>
      </w:r>
      <w:r w:rsidRPr="005E38DF">
        <w:rPr>
          <w:rFonts w:ascii="TimesNewRomanPSMT" w:eastAsia="Times New Roman" w:hAnsi="TimesNewRomanPSMT" w:cs="Times New Roman"/>
        </w:rPr>
        <w:t>Clinical Anatomy Online Survey Disagreement.................................</w:t>
      </w:r>
      <w:r w:rsidR="009851EB">
        <w:rPr>
          <w:rFonts w:ascii="TimesNewRomanPSMT" w:eastAsia="Times New Roman" w:hAnsi="TimesNewRomanPSMT" w:cs="Times New Roman"/>
        </w:rPr>
        <w:t>.........................</w:t>
      </w:r>
      <w:r w:rsidRPr="005E38DF">
        <w:rPr>
          <w:rFonts w:ascii="TimesNewRomanPSMT" w:eastAsia="Times New Roman" w:hAnsi="TimesNewRomanPSMT" w:cs="Times New Roman"/>
        </w:rPr>
        <w:t>......9</w:t>
      </w:r>
      <w:r w:rsidR="009851EB">
        <w:rPr>
          <w:rFonts w:ascii="TimesNewRomanPSMT" w:eastAsia="Times New Roman" w:hAnsi="TimesNewRomanPSMT" w:cs="Times New Roman"/>
        </w:rPr>
        <w:t>3</w:t>
      </w:r>
      <w:r w:rsidRPr="005E38DF">
        <w:rPr>
          <w:rFonts w:ascii="TimesNewRomanPSMT" w:eastAsia="Times New Roman" w:hAnsi="TimesNewRomanPSMT" w:cs="Times New Roman"/>
        </w:rPr>
        <w:t xml:space="preserve"> </w:t>
      </w:r>
    </w:p>
    <w:p w14:paraId="392A2C8B" w14:textId="21FBADDC" w:rsidR="00F66F4E" w:rsidRPr="00065E56" w:rsidRDefault="00F66F4E">
      <w:pPr>
        <w:rPr>
          <w:rFonts w:ascii="Times New Roman" w:hAnsi="Times New Roman" w:cs="Times New Roman"/>
        </w:rPr>
      </w:pPr>
    </w:p>
    <w:p w14:paraId="4F4990D6" w14:textId="225E50A7" w:rsidR="00F66F4E" w:rsidRDefault="00F66F4E">
      <w:pPr>
        <w:rPr>
          <w:rFonts w:ascii="Times New Roman" w:hAnsi="Times New Roman" w:cs="Times New Roman"/>
        </w:rPr>
      </w:pPr>
    </w:p>
    <w:p w14:paraId="1748E186" w14:textId="620096C3" w:rsidR="005E38DF" w:rsidRDefault="005E38DF">
      <w:pPr>
        <w:rPr>
          <w:rFonts w:ascii="Times New Roman" w:hAnsi="Times New Roman" w:cs="Times New Roman"/>
        </w:rPr>
      </w:pPr>
    </w:p>
    <w:p w14:paraId="4BA4A2D0" w14:textId="0606D597" w:rsidR="005E38DF" w:rsidRDefault="005E38DF">
      <w:pPr>
        <w:rPr>
          <w:rFonts w:ascii="Times New Roman" w:hAnsi="Times New Roman" w:cs="Times New Roman"/>
        </w:rPr>
      </w:pPr>
    </w:p>
    <w:p w14:paraId="4F3CB508" w14:textId="66F9D011" w:rsidR="005E38DF" w:rsidRDefault="005E38DF">
      <w:pPr>
        <w:rPr>
          <w:rFonts w:ascii="Times New Roman" w:hAnsi="Times New Roman" w:cs="Times New Roman"/>
        </w:rPr>
      </w:pPr>
    </w:p>
    <w:p w14:paraId="18B0060D" w14:textId="33E4ED73" w:rsidR="005E38DF" w:rsidRDefault="005E38DF">
      <w:pPr>
        <w:rPr>
          <w:rFonts w:ascii="Times New Roman" w:hAnsi="Times New Roman" w:cs="Times New Roman"/>
        </w:rPr>
      </w:pPr>
    </w:p>
    <w:p w14:paraId="70762E9D" w14:textId="00E73513" w:rsidR="005E38DF" w:rsidRDefault="005E38DF">
      <w:pPr>
        <w:rPr>
          <w:rFonts w:ascii="Times New Roman" w:hAnsi="Times New Roman" w:cs="Times New Roman"/>
        </w:rPr>
      </w:pPr>
    </w:p>
    <w:p w14:paraId="40EBCD14" w14:textId="3127546E" w:rsidR="005E38DF" w:rsidRDefault="005E38DF">
      <w:pPr>
        <w:rPr>
          <w:rFonts w:ascii="Times New Roman" w:hAnsi="Times New Roman" w:cs="Times New Roman"/>
        </w:rPr>
      </w:pPr>
    </w:p>
    <w:p w14:paraId="4CDECEEF" w14:textId="1AB591E6" w:rsidR="005E38DF" w:rsidRDefault="005E38DF">
      <w:pPr>
        <w:rPr>
          <w:rFonts w:ascii="Times New Roman" w:hAnsi="Times New Roman" w:cs="Times New Roman"/>
        </w:rPr>
      </w:pPr>
    </w:p>
    <w:p w14:paraId="42AAEDAF" w14:textId="326D3734" w:rsidR="005E38DF" w:rsidRDefault="005E38DF">
      <w:pPr>
        <w:rPr>
          <w:rFonts w:ascii="Times New Roman" w:hAnsi="Times New Roman" w:cs="Times New Roman"/>
        </w:rPr>
      </w:pPr>
    </w:p>
    <w:p w14:paraId="34BD706E" w14:textId="77777777" w:rsidR="00484EE2" w:rsidRDefault="00484EE2" w:rsidP="005E38DF">
      <w:pPr>
        <w:spacing w:before="100" w:beforeAutospacing="1" w:after="100" w:afterAutospacing="1"/>
        <w:rPr>
          <w:rFonts w:ascii="Times New Roman" w:hAnsi="Times New Roman" w:cs="Times New Roman"/>
        </w:rPr>
      </w:pPr>
    </w:p>
    <w:p w14:paraId="3356E07E" w14:textId="782B6B39" w:rsidR="005E38DF" w:rsidRPr="005E38DF" w:rsidRDefault="005E38DF" w:rsidP="005E38DF">
      <w:pPr>
        <w:spacing w:before="100" w:beforeAutospacing="1" w:after="100" w:afterAutospacing="1"/>
        <w:rPr>
          <w:rFonts w:ascii="Times New Roman" w:eastAsia="Times New Roman" w:hAnsi="Times New Roman" w:cs="Times New Roman"/>
        </w:rPr>
      </w:pPr>
      <w:r w:rsidRPr="005E38DF">
        <w:rPr>
          <w:rFonts w:ascii="TimesNewRomanPS" w:eastAsia="Times New Roman" w:hAnsi="TimesNewRomanPS" w:cs="Times New Roman"/>
          <w:b/>
          <w:bCs/>
        </w:rPr>
        <w:lastRenderedPageBreak/>
        <w:t xml:space="preserve">Abstract </w:t>
      </w:r>
    </w:p>
    <w:p w14:paraId="26EF0489" w14:textId="028B8870" w:rsidR="005E38DF" w:rsidRDefault="005E38DF" w:rsidP="005E38DF">
      <w:pPr>
        <w:spacing w:before="100" w:beforeAutospacing="1" w:after="100" w:afterAutospacing="1" w:line="480" w:lineRule="auto"/>
        <w:rPr>
          <w:rFonts w:ascii="TimesNewRomanPSMT" w:eastAsia="Times New Roman" w:hAnsi="TimesNewRomanPSMT" w:cs="Times New Roman"/>
        </w:rPr>
      </w:pPr>
      <w:r w:rsidRPr="005E38DF">
        <w:rPr>
          <w:rFonts w:ascii="TimesNewRomanPSMT" w:eastAsia="Times New Roman" w:hAnsi="TimesNewRomanPSMT" w:cs="Times New Roman"/>
        </w:rPr>
        <w:t>The COVID-19 pandemic forced academic institutions fully online in March of 2020. At the University of Oklahoma Health Sciences Center, anatomy faculty prepared for remote delivery of the Clinical Anatomy curriculum for newly matriculating dental and PA students. Faculty created dissection videos and synchronous lesson plans for lecture and laboratory video review sessions. T</w:t>
      </w:r>
      <w:r w:rsidR="00253B08">
        <w:rPr>
          <w:rFonts w:ascii="TimesNewRomanPSMT" w:eastAsia="Times New Roman" w:hAnsi="TimesNewRomanPSMT" w:cs="Times New Roman"/>
        </w:rPr>
        <w:t>wo</w:t>
      </w:r>
      <w:r w:rsidRPr="005E38DF">
        <w:rPr>
          <w:rFonts w:ascii="TimesNewRomanPSMT" w:eastAsia="Times New Roman" w:hAnsi="TimesNewRomanPSMT" w:cs="Times New Roman"/>
        </w:rPr>
        <w:t xml:space="preserve"> purposes of this research were to assess academic outcomes and survey student perspectives of remote Clinical Anatomy. A third purpose was to determine relationships between outcomes and perceptions. Summative and formative assessment items were compared between a 2020 remote and a historical 2019 face-to-face cohort. </w:t>
      </w:r>
      <w:r w:rsidR="00253B08">
        <w:rPr>
          <w:rFonts w:ascii="TimesNewRomanPSMT" w:eastAsia="Times New Roman" w:hAnsi="TimesNewRomanPSMT" w:cs="Times New Roman"/>
        </w:rPr>
        <w:t>For the 2020 remote cohort, a</w:t>
      </w:r>
      <w:r w:rsidR="00253B08" w:rsidRPr="005E38DF">
        <w:rPr>
          <w:rFonts w:ascii="TimesNewRomanPSMT" w:eastAsia="Times New Roman" w:hAnsi="TimesNewRomanPSMT" w:cs="Times New Roman"/>
        </w:rPr>
        <w:t xml:space="preserve"> </w:t>
      </w:r>
      <w:r w:rsidR="00253B08">
        <w:rPr>
          <w:rFonts w:ascii="TimesNewRomanPSMT" w:eastAsia="Times New Roman" w:hAnsi="TimesNewRomanPSMT" w:cs="Times New Roman"/>
        </w:rPr>
        <w:t>s</w:t>
      </w:r>
      <w:r w:rsidRPr="005E38DF">
        <w:rPr>
          <w:rFonts w:ascii="TimesNewRomanPSMT" w:eastAsia="Times New Roman" w:hAnsi="TimesNewRomanPSMT" w:cs="Times New Roman"/>
        </w:rPr>
        <w:t>urvey was developed to assess student perspectives of anatomical knowledge. Results indicated a</w:t>
      </w:r>
      <w:r w:rsidR="00D87429">
        <w:rPr>
          <w:rFonts w:ascii="TimesNewRomanPSMT" w:eastAsia="Times New Roman" w:hAnsi="TimesNewRomanPSMT" w:cs="Times New Roman"/>
        </w:rPr>
        <w:t>n</w:t>
      </w:r>
      <w:r w:rsidRPr="005E38DF">
        <w:rPr>
          <w:rFonts w:ascii="TimesNewRomanPSMT" w:eastAsia="Times New Roman" w:hAnsi="TimesNewRomanPSMT" w:cs="Times New Roman"/>
        </w:rPr>
        <w:t xml:space="preserve"> increase in academic outcomes for the 2020 remote cohort. </w:t>
      </w:r>
      <w:r w:rsidR="00253B08">
        <w:rPr>
          <w:rFonts w:ascii="TimesNewRomanPSMT" w:eastAsia="Times New Roman" w:hAnsi="TimesNewRomanPSMT" w:cs="Times New Roman"/>
        </w:rPr>
        <w:t>Remote s</w:t>
      </w:r>
      <w:r w:rsidRPr="005E38DF">
        <w:rPr>
          <w:rFonts w:ascii="TimesNewRomanPSMT" w:eastAsia="Times New Roman" w:hAnsi="TimesNewRomanPSMT" w:cs="Times New Roman"/>
        </w:rPr>
        <w:t>tudents reported adequate cognitive domain gains in anatomical knowledge</w:t>
      </w:r>
      <w:r w:rsidR="00D87429">
        <w:rPr>
          <w:rFonts w:ascii="TimesNewRomanPSMT" w:eastAsia="Times New Roman" w:hAnsi="TimesNewRomanPSMT" w:cs="Times New Roman"/>
        </w:rPr>
        <w:t>,</w:t>
      </w:r>
      <w:r w:rsidRPr="005E38DF">
        <w:rPr>
          <w:rFonts w:ascii="TimesNewRomanPSMT" w:eastAsia="Times New Roman" w:hAnsi="TimesNewRomanPSMT" w:cs="Times New Roman"/>
        </w:rPr>
        <w:t xml:space="preserve"> </w:t>
      </w:r>
      <w:r w:rsidR="00D87429">
        <w:rPr>
          <w:rFonts w:ascii="TimesNewRomanPSMT" w:eastAsia="Times New Roman" w:hAnsi="TimesNewRomanPSMT" w:cs="Times New Roman"/>
        </w:rPr>
        <w:t>but many</w:t>
      </w:r>
      <w:r w:rsidRPr="005E38DF">
        <w:rPr>
          <w:rFonts w:ascii="TimesNewRomanPSMT" w:eastAsia="Times New Roman" w:hAnsi="TimesNewRomanPSMT" w:cs="Times New Roman"/>
        </w:rPr>
        <w:t xml:space="preserve"> perceived a lack of psychomotor and affective domain learning as a lost opportunity. Anatomy educators should seek online teaching pedagogies that support different modalities of student learning, and administrators need to consider student learning needs beyond the cognitive domain in order to promote teaching methods that develop professionalism and non-traditional discipline- independent skills (NTDIS). </w:t>
      </w:r>
    </w:p>
    <w:p w14:paraId="592B3A92" w14:textId="6A72E647" w:rsidR="005E38DF" w:rsidRDefault="005E38DF">
      <w:pPr>
        <w:rPr>
          <w:rFonts w:ascii="Times New Roman" w:hAnsi="Times New Roman" w:cs="Times New Roman"/>
        </w:rPr>
      </w:pPr>
    </w:p>
    <w:p w14:paraId="54F91991" w14:textId="7356BF77" w:rsidR="005E38DF" w:rsidRDefault="005E38DF">
      <w:pPr>
        <w:rPr>
          <w:rFonts w:ascii="Times New Roman" w:hAnsi="Times New Roman" w:cs="Times New Roman"/>
        </w:rPr>
      </w:pPr>
    </w:p>
    <w:p w14:paraId="61FC38BB" w14:textId="24194B8E" w:rsidR="005E38DF" w:rsidRDefault="005E38DF">
      <w:pPr>
        <w:rPr>
          <w:rFonts w:ascii="Times New Roman" w:hAnsi="Times New Roman" w:cs="Times New Roman"/>
        </w:rPr>
      </w:pPr>
    </w:p>
    <w:p w14:paraId="79745675" w14:textId="7F25B877" w:rsidR="005E38DF" w:rsidRDefault="005E38DF">
      <w:pPr>
        <w:rPr>
          <w:rFonts w:ascii="Times New Roman" w:hAnsi="Times New Roman" w:cs="Times New Roman"/>
        </w:rPr>
      </w:pPr>
    </w:p>
    <w:p w14:paraId="6522B812" w14:textId="7FFC7AB4" w:rsidR="005E38DF" w:rsidRDefault="005E38DF">
      <w:pPr>
        <w:rPr>
          <w:rFonts w:ascii="Times New Roman" w:hAnsi="Times New Roman" w:cs="Times New Roman"/>
        </w:rPr>
      </w:pPr>
    </w:p>
    <w:p w14:paraId="13FC4860" w14:textId="50713D73" w:rsidR="005E38DF" w:rsidRDefault="005E38DF">
      <w:pPr>
        <w:rPr>
          <w:rFonts w:ascii="Times New Roman" w:hAnsi="Times New Roman" w:cs="Times New Roman"/>
        </w:rPr>
      </w:pPr>
    </w:p>
    <w:p w14:paraId="234F55EC" w14:textId="359FFCDA" w:rsidR="005E38DF" w:rsidRDefault="005E38DF">
      <w:pPr>
        <w:rPr>
          <w:rFonts w:ascii="Times New Roman" w:hAnsi="Times New Roman" w:cs="Times New Roman"/>
        </w:rPr>
      </w:pPr>
    </w:p>
    <w:p w14:paraId="55B400EC" w14:textId="759453BE" w:rsidR="005E38DF" w:rsidRDefault="005E38DF">
      <w:pPr>
        <w:rPr>
          <w:rFonts w:ascii="Times New Roman" w:hAnsi="Times New Roman" w:cs="Times New Roman"/>
        </w:rPr>
      </w:pPr>
    </w:p>
    <w:p w14:paraId="565DA372" w14:textId="61543D54" w:rsidR="005E38DF" w:rsidRDefault="005E38DF">
      <w:pPr>
        <w:rPr>
          <w:rFonts w:ascii="Times New Roman" w:hAnsi="Times New Roman" w:cs="Times New Roman"/>
        </w:rPr>
      </w:pPr>
    </w:p>
    <w:p w14:paraId="77C1B573" w14:textId="5D5AF93B" w:rsidR="005E38DF" w:rsidRDefault="005E38DF">
      <w:pPr>
        <w:rPr>
          <w:rFonts w:ascii="Times New Roman" w:hAnsi="Times New Roman" w:cs="Times New Roman"/>
        </w:rPr>
      </w:pPr>
    </w:p>
    <w:p w14:paraId="10A100B6" w14:textId="77777777" w:rsidR="00790A81" w:rsidRDefault="00790A81" w:rsidP="00F66F4E">
      <w:pPr>
        <w:rPr>
          <w:rFonts w:ascii="Times New Roman" w:hAnsi="Times New Roman" w:cs="Times New Roman"/>
        </w:rPr>
        <w:sectPr w:rsidR="00790A81" w:rsidSect="003C4A71">
          <w:footerReference w:type="default" r:id="rId10"/>
          <w:pgSz w:w="12240" w:h="15840"/>
          <w:pgMar w:top="1440" w:right="1440" w:bottom="1440" w:left="1440" w:header="720" w:footer="720" w:gutter="0"/>
          <w:pgNumType w:fmt="lowerRoman" w:start="4"/>
          <w:cols w:space="720"/>
          <w:docGrid w:linePitch="360"/>
        </w:sectPr>
      </w:pPr>
    </w:p>
    <w:p w14:paraId="1403D984" w14:textId="5E30C922" w:rsidR="005E38DF" w:rsidRDefault="005E38DF" w:rsidP="00F66F4E">
      <w:pPr>
        <w:rPr>
          <w:rFonts w:ascii="Times New Roman" w:hAnsi="Times New Roman" w:cs="Times New Roman"/>
        </w:rPr>
      </w:pPr>
    </w:p>
    <w:p w14:paraId="1749D1E8" w14:textId="720A664F" w:rsidR="00F66F4E" w:rsidRPr="00065E56" w:rsidRDefault="005D6960" w:rsidP="00F66F4E">
      <w:pPr>
        <w:rPr>
          <w:rFonts w:ascii="Times New Roman" w:hAnsi="Times New Roman" w:cs="Times New Roman"/>
          <w:b/>
          <w:bCs/>
        </w:rPr>
      </w:pPr>
      <w:r>
        <w:rPr>
          <w:rFonts w:ascii="Times New Roman" w:hAnsi="Times New Roman" w:cs="Times New Roman"/>
          <w:b/>
          <w:bCs/>
        </w:rPr>
        <w:t>Chapter 1: Introduction</w:t>
      </w:r>
    </w:p>
    <w:p w14:paraId="06066FDA" w14:textId="77777777" w:rsidR="00F66F4E" w:rsidRPr="00065E56" w:rsidRDefault="00F66F4E" w:rsidP="00F66F4E">
      <w:pPr>
        <w:rPr>
          <w:rFonts w:ascii="Times New Roman" w:hAnsi="Times New Roman" w:cs="Times New Roman"/>
          <w:b/>
          <w:bCs/>
          <w:color w:val="4472C4" w:themeColor="accent1"/>
        </w:rPr>
      </w:pPr>
    </w:p>
    <w:p w14:paraId="3FFDA502" w14:textId="0E4A41DA" w:rsidR="00F66F4E" w:rsidRPr="00065E56" w:rsidRDefault="00F66F4E" w:rsidP="00F66F4E">
      <w:pPr>
        <w:spacing w:line="480" w:lineRule="auto"/>
        <w:rPr>
          <w:rFonts w:ascii="Times New Roman" w:hAnsi="Times New Roman" w:cs="Times New Roman"/>
          <w:color w:val="000000" w:themeColor="text1"/>
        </w:rPr>
      </w:pPr>
      <w:r w:rsidRPr="00065E56">
        <w:rPr>
          <w:rFonts w:ascii="Times New Roman" w:hAnsi="Times New Roman" w:cs="Times New Roman"/>
          <w:b/>
          <w:bCs/>
          <w:color w:val="4472C4" w:themeColor="accent1"/>
        </w:rPr>
        <w:tab/>
      </w:r>
      <w:r w:rsidRPr="00065E56">
        <w:rPr>
          <w:rFonts w:ascii="Times New Roman" w:hAnsi="Times New Roman" w:cs="Times New Roman"/>
          <w:color w:val="000000" w:themeColor="text1"/>
        </w:rPr>
        <w:t xml:space="preserve">Health professions education (HPE) programs have a unified goal of producing competent, thoughtful clinicians. Though the specific competencies vary according to profession, HPE programs generally share a standard curricular structure. Pre-clinical, basic sciences are typically presented early in the program to provide a knowledge base and vocabulary for the future clinical phase. The clinical phase allows for supervised development and application of clinical reasoning, communication, and procedural skills. Throughout both phases, </w:t>
      </w:r>
      <w:proofErr w:type="gramStart"/>
      <w:r w:rsidRPr="00065E56">
        <w:rPr>
          <w:rFonts w:ascii="Times New Roman" w:hAnsi="Times New Roman" w:cs="Times New Roman"/>
          <w:color w:val="000000" w:themeColor="text1"/>
        </w:rPr>
        <w:t>educators</w:t>
      </w:r>
      <w:proofErr w:type="gramEnd"/>
      <w:r w:rsidR="004B7312">
        <w:rPr>
          <w:rFonts w:ascii="Times New Roman" w:hAnsi="Times New Roman" w:cs="Times New Roman"/>
          <w:color w:val="000000" w:themeColor="text1"/>
        </w:rPr>
        <w:t xml:space="preserve"> </w:t>
      </w:r>
      <w:r w:rsidRPr="00065E56">
        <w:rPr>
          <w:rFonts w:ascii="Times New Roman" w:hAnsi="Times New Roman" w:cs="Times New Roman"/>
          <w:color w:val="000000" w:themeColor="text1"/>
        </w:rPr>
        <w:t>model tacit skills of professionalism, ethical behavior, and interpersonal skills necessary for successful patient care. Accrediting bodies specific to each profession provide broad program goals such as demonstrating evidence of teaching critical thinking as well as curriculum content requirements of varying specificity. Within this general framework and accrediting standards, universities have the freedom to tailor their programs to student and community needs. Dental and physician assistant (PA) programs illustrate the variation possible within this framework.</w:t>
      </w:r>
    </w:p>
    <w:p w14:paraId="00B01B04" w14:textId="77777777" w:rsidR="00F66F4E" w:rsidRPr="00065E56" w:rsidRDefault="00F66F4E" w:rsidP="00F66F4E">
      <w:pPr>
        <w:spacing w:line="480" w:lineRule="auto"/>
        <w:rPr>
          <w:rFonts w:ascii="Times New Roman" w:hAnsi="Times New Roman" w:cs="Times New Roman"/>
          <w:color w:val="000000" w:themeColor="text1"/>
        </w:rPr>
      </w:pPr>
      <w:r w:rsidRPr="00065E56">
        <w:rPr>
          <w:rFonts w:ascii="Times New Roman" w:hAnsi="Times New Roman" w:cs="Times New Roman"/>
          <w:color w:val="000000" w:themeColor="text1"/>
        </w:rPr>
        <w:tab/>
        <w:t xml:space="preserve">General dentistry is a four-year program. The first two years of dental school are primarily didactic, with basic sciences such as anatomy a main focus. Dental students may take courses with medical or PA students during this phase. Dental programs may offer short, introductory clinical experiences in the pre-clinical years to help students situate their basic science knowledge within a clinical context. Years 3 and 4 are when students participate in community-based clinical experiences, with more autonomy granted to fourth year students. The inclusion of clinical experiences within the standard pre-clinical phase (and vice versa) is a common definition of integration </w:t>
      </w:r>
      <w:r w:rsidRPr="00065E56">
        <w:rPr>
          <w:rFonts w:ascii="Times New Roman" w:hAnsi="Times New Roman" w:cs="Times New Roman"/>
          <w:color w:val="000000" w:themeColor="text1"/>
        </w:rPr>
        <w:fldChar w:fldCharType="begin"/>
      </w:r>
      <w:r w:rsidRPr="00065E56">
        <w:rPr>
          <w:rFonts w:ascii="Times New Roman" w:hAnsi="Times New Roman" w:cs="Times New Roman"/>
          <w:color w:val="000000" w:themeColor="text1"/>
        </w:rPr>
        <w:instrText xml:space="preserve"> ADDIN ZOTERO_ITEM CSL_CITATION {"citationID":"mLh2clvp","properties":{"formattedCitation":"(Brauer &amp; Ferguson, 2015)","plainCitation":"(Brauer &amp; Ferguson, 2015)","noteIndex":0},"citationItems":[{"id":447,"uris":["http://zotero.org/users/local/8fpcHUeo/items/5BP8X6M6"],"uri":["http://zotero.org/users/local/8fpcHUeo/items/5BP8X6M6"],"itemData":{"id":447,"type":"article-journal","abstract":"The popularity of the term ‘‘integrated curriculum’’ has grown immensely in medical education over the last two decades, but what does this term mean and how do we go about its design, implementation, and evaluation? Definitions and application of the term vary greatly in the literature, spanning from the integration of content within a single lecture to the integration of a medical school’s comprehensive curriculum. Taking into account the integrated curriculum’s historic and evolving base of knowledge and theory, its support from many national medical education organizations, and the ever-increasing body of published examples, we deem it necessary to present a guide to review and promote further development of the integrated curriculum movement in medical education with an international perspective. We introduce the history and theory behind integration and provide theoretical models alongside published examples of common variations of an integrated curriculum. In addition, we identify three areas of particular need when developing an ideal integrated curriculum, leading us to propose the use of a new, clarified definition of ‘‘integrated curriculum’’, and offer a review of strategies to evaluate the impact of an integrated curriculum on the learner. This Guide is presented to assist educators in the design, implementation, and evaluation of a thoroughly integrated medical school curriculum.","container-title":"Medical Teacher","DOI":"10.3109/0142159X.2014.970998","ISSN":"0142-159X, 1466-187X","issue":"4","journalAbbreviation":"Medical Teacher","language":"en","page":"312-322","source":"DOI.org (Crossref)","title":"The integrated curriculum in medical education: AMEE Guide No. 96","title-short":"The integrated curriculum in medical education","volume":"37","author":[{"family":"Brauer","given":"David G."},{"family":"Ferguson","given":"Kristi J."}],"issued":{"date-parts":[["2015",4,3]]}}}],"schema":"https://github.com/citation-style-language/schema/raw/master/csl-citation.json"} </w:instrText>
      </w:r>
      <w:r w:rsidRPr="00065E56">
        <w:rPr>
          <w:rFonts w:ascii="Times New Roman" w:hAnsi="Times New Roman" w:cs="Times New Roman"/>
          <w:color w:val="000000" w:themeColor="text1"/>
        </w:rPr>
        <w:fldChar w:fldCharType="separate"/>
      </w:r>
      <w:r w:rsidRPr="00065E56">
        <w:rPr>
          <w:rFonts w:ascii="Times New Roman" w:hAnsi="Times New Roman" w:cs="Times New Roman"/>
          <w:noProof/>
          <w:color w:val="000000" w:themeColor="text1"/>
        </w:rPr>
        <w:t>(Brauer &amp; Ferguson, 2015)</w:t>
      </w:r>
      <w:r w:rsidRPr="00065E56">
        <w:rPr>
          <w:rFonts w:ascii="Times New Roman" w:hAnsi="Times New Roman" w:cs="Times New Roman"/>
          <w:color w:val="000000" w:themeColor="text1"/>
        </w:rPr>
        <w:fldChar w:fldCharType="end"/>
      </w:r>
      <w:r w:rsidRPr="00065E56">
        <w:rPr>
          <w:rFonts w:ascii="Times New Roman" w:hAnsi="Times New Roman" w:cs="Times New Roman"/>
          <w:color w:val="000000" w:themeColor="text1"/>
        </w:rPr>
        <w:t xml:space="preserve">. Integration in the didactic phase also helps students see the usefulness of information seemingly unrelated to dentistry, a concept that many newly matriculated dental students struggle with </w:t>
      </w:r>
      <w:r w:rsidRPr="00065E56">
        <w:rPr>
          <w:rFonts w:ascii="Times New Roman" w:hAnsi="Times New Roman" w:cs="Times New Roman"/>
          <w:color w:val="000000" w:themeColor="text1"/>
        </w:rPr>
        <w:fldChar w:fldCharType="begin"/>
      </w:r>
      <w:r w:rsidRPr="00065E56">
        <w:rPr>
          <w:rFonts w:ascii="Times New Roman" w:hAnsi="Times New Roman" w:cs="Times New Roman"/>
          <w:color w:val="000000" w:themeColor="text1"/>
        </w:rPr>
        <w:instrText xml:space="preserve"> ADDIN ZOTERO_ITEM CSL_CITATION {"citationID":"kYqKg08f","properties":{"formattedCitation":"(Henzi et al., 2007)","plainCitation":"(Henzi et al., 2007)","noteIndex":0},"citationItems":[{"id":380,"uris":["http://zotero.org/users/local/8fpcHUeo/items/D8JNPJVA"],"uri":["http://zotero.org/users/local/8fpcHUeo/items/D8JNPJVA"],"itemData":{"id":380,"type":"article-journal","abstract":"Dental students have little input into the selection of course topics and subject matter included in their dental curricula. Curriculum requirements are framed by the Commission on Dental Accreditation, which has stipulated competencies and associated biomedical and clinical knowledge that must be addressed during dental school. Although these competency requirements restrict the variance of educational experiences, students are eager to share their views on the curriculum within the realm of their educational experience. The objective of this research project was to elicit the perspectives of dental students from a broad crosssection of U.S. and Canadian dental schools about their education. A total of 605 students (285 sophomores, 220 seniors, 100 residents) from twenty North American dental schools completed a SWOT (Strengths, Weaknesses, Opportunities, and Threats) analysis to communicate their perceptions of the curriculum. Students were also asked to provide their impressions of the overall quality of the educational program in an open-ended written format. The students’ qualitative comments were then reviewed and categorized into key issues or themes. Resulting themes for each category of the Curriculum SWOT (C-SWOT) analysis were the following. Strengths: 1) clinical learning experience, and 2) opportunity to work with knowledgeable faculty. Weaknesses: 1) disorganized and inefficient clinical learning environment, 2) teaching and testing that focus on memorization, 3) poor quality instruction characterized by curricular disorganization, and 4) inconsistency among instructors during student evaluations. Opportunities: 1) develop strategies to provide students with more exposure to patients, especially early in the curriculum, and 2) opportunities to learn new technology/techniques. Threats: 1) cost of dental education, 2) students’ concerns about faculty “brain drain,” i.e., lack of sufficient numbers of dental faculty capable of providing high-quality instruction, and 3) questionable treatment of patients in the dental clinic as a consequence of pursuing procedural requirements. This report presents commentaries selected from 2,421 total responses that communicate students’ perspectives related to C-SWOT themes. Students at seven schools in this study reported that they completed all or portions of the first two years of the curriculum in combined classes with medical students. Sophomore and senior students at these schools provided their thoughts on this curricular approach; these perceptions are also reported. Findings from this study are compared to results from a similar investigation of dental student perceptions conducted fifty years ago. We conclude that students participating in this study were positive overall about their learning experiences in dental schools, but identified several areas that appear to be problematic for many students at a variety of different schools including fundamental concerns about instructional quality in some areas of the curriculum. Academic program administrators in dental schools can use these findings to guide modifications that will enhance the overall dental education experience.","container-title":"Journal of Dental Education","DOI":"10.1002/j.0022-0337.2007.71.5.tb04320.x","ISSN":"00220337","issue":"5","journalAbbreviation":"Journal of Dental Education","language":"en","page":"632-645","source":"DOI.org (Crossref)","title":"In the Students’ Own Words: What Are the Strengths and Weaknesses of the Dental School Curriculum?","title-short":"In the Students’ Own Words","volume":"71","author":[{"family":"Henzi","given":"David"},{"family":"Davis","given":"Elaine"},{"family":"Jasinevicius","given":"Roma"},{"family":"Hendricson","given":"William"}],"issued":{"date-parts":[["2007",5]]}}}],"schema":"https://github.com/citation-style-language/schema/raw/master/csl-citation.json"} </w:instrText>
      </w:r>
      <w:r w:rsidRPr="00065E56">
        <w:rPr>
          <w:rFonts w:ascii="Times New Roman" w:hAnsi="Times New Roman" w:cs="Times New Roman"/>
          <w:color w:val="000000" w:themeColor="text1"/>
        </w:rPr>
        <w:fldChar w:fldCharType="separate"/>
      </w:r>
      <w:r w:rsidRPr="00065E56">
        <w:rPr>
          <w:rFonts w:ascii="Times New Roman" w:hAnsi="Times New Roman" w:cs="Times New Roman"/>
          <w:noProof/>
          <w:color w:val="000000" w:themeColor="text1"/>
        </w:rPr>
        <w:t>(Henzi et al., 2007)</w:t>
      </w:r>
      <w:r w:rsidRPr="00065E56">
        <w:rPr>
          <w:rFonts w:ascii="Times New Roman" w:hAnsi="Times New Roman" w:cs="Times New Roman"/>
          <w:color w:val="000000" w:themeColor="text1"/>
        </w:rPr>
        <w:fldChar w:fldCharType="end"/>
      </w:r>
      <w:r w:rsidRPr="00065E56">
        <w:rPr>
          <w:rFonts w:ascii="Times New Roman" w:hAnsi="Times New Roman" w:cs="Times New Roman"/>
          <w:color w:val="000000" w:themeColor="text1"/>
        </w:rPr>
        <w:t xml:space="preserve">. Dental students </w:t>
      </w:r>
      <w:r w:rsidRPr="00065E56">
        <w:rPr>
          <w:rFonts w:ascii="Times New Roman" w:hAnsi="Times New Roman" w:cs="Times New Roman"/>
          <w:color w:val="000000" w:themeColor="text1"/>
        </w:rPr>
        <w:lastRenderedPageBreak/>
        <w:t xml:space="preserve">must pass a battery of National Board Dental Examinations (NBDE) and a clinical dental licensing examination in order to begin practicing dentistry. </w:t>
      </w:r>
    </w:p>
    <w:p w14:paraId="7F092165" w14:textId="77777777" w:rsidR="00F66F4E" w:rsidRPr="00065E56" w:rsidRDefault="00F66F4E" w:rsidP="00F66F4E">
      <w:pPr>
        <w:spacing w:line="480" w:lineRule="auto"/>
        <w:rPr>
          <w:rFonts w:ascii="Times New Roman" w:hAnsi="Times New Roman" w:cs="Times New Roman"/>
          <w:color w:val="000000" w:themeColor="text1"/>
        </w:rPr>
      </w:pPr>
      <w:r w:rsidRPr="00065E56">
        <w:rPr>
          <w:rFonts w:ascii="Times New Roman" w:hAnsi="Times New Roman" w:cs="Times New Roman"/>
          <w:color w:val="000000" w:themeColor="text1"/>
        </w:rPr>
        <w:tab/>
        <w:t>The Commission on Dental Accreditation (CODA) addresses the need for broad medical knowledge directly. Standard 2-11 clearly indicates that pre-clinical curriculum “</w:t>
      </w:r>
      <w:r w:rsidRPr="00065E56">
        <w:rPr>
          <w:rFonts w:ascii="Times New Roman" w:hAnsi="Times New Roman" w:cs="Times New Roman"/>
          <w:i/>
          <w:iCs/>
          <w:color w:val="000000" w:themeColor="text1"/>
        </w:rPr>
        <w:t>must</w:t>
      </w:r>
      <w:r w:rsidRPr="00065E56">
        <w:rPr>
          <w:rFonts w:ascii="Times New Roman" w:hAnsi="Times New Roman" w:cs="Times New Roman"/>
          <w:color w:val="000000" w:themeColor="text1"/>
        </w:rPr>
        <w:t xml:space="preserve"> ensure an in-depth understanding of basic biological principles, consisting of a core of information on the fundamental structures, functions and interrelationships of the body systems” (2016). Standard 2-12 specifically emphasizes the </w:t>
      </w:r>
      <w:proofErr w:type="spellStart"/>
      <w:r w:rsidRPr="00065E56">
        <w:rPr>
          <w:rFonts w:ascii="Times New Roman" w:hAnsi="Times New Roman" w:cs="Times New Roman"/>
          <w:color w:val="000000" w:themeColor="text1"/>
        </w:rPr>
        <w:t>oro</w:t>
      </w:r>
      <w:proofErr w:type="spellEnd"/>
      <w:r w:rsidRPr="00065E56">
        <w:rPr>
          <w:rFonts w:ascii="Times New Roman" w:hAnsi="Times New Roman" w:cs="Times New Roman"/>
          <w:color w:val="000000" w:themeColor="text1"/>
        </w:rPr>
        <w:t>-facial complex and its “complex biological interrelationship with the entire body” (</w:t>
      </w:r>
      <w:r w:rsidRPr="00065E56">
        <w:rPr>
          <w:rFonts w:ascii="Times New Roman" w:hAnsi="Times New Roman" w:cs="Times New Roman"/>
          <w:color w:val="000000" w:themeColor="text1"/>
        </w:rPr>
        <w:fldChar w:fldCharType="begin"/>
      </w:r>
      <w:r w:rsidRPr="00065E56">
        <w:rPr>
          <w:rFonts w:ascii="Times New Roman" w:hAnsi="Times New Roman" w:cs="Times New Roman"/>
          <w:color w:val="000000" w:themeColor="text1"/>
        </w:rPr>
        <w:instrText xml:space="preserve"> ADDIN ZOTERO_ITEM CSL_CITATION {"citationID":"XsiZYKYt","properties":{"formattedCitation":"({\\i{}Accreditation Standards for Dental Education Programs}, n.d.)","plainCitation":"(Accreditation Standards for Dental Education Programs, n.d.)","dontUpdate":true,"noteIndex":0},"citationItems":[{"id":273,"uris":["http://zotero.org/users/local/8fpcHUeo/items/HHY8M46A"],"uri":["http://zotero.org/users/local/8fpcHUeo/items/HHY8M46A"],"itemData":{"id":273,"type":"article-journal","language":"en","page":"38","source":"Zotero","title":"Accreditation Standards for Dental Education Programs"}}],"schema":"https://github.com/citation-style-language/schema/raw/master/csl-citation.json"} </w:instrText>
      </w:r>
      <w:r w:rsidRPr="00065E56">
        <w:rPr>
          <w:rFonts w:ascii="Times New Roman" w:hAnsi="Times New Roman" w:cs="Times New Roman"/>
          <w:color w:val="000000" w:themeColor="text1"/>
        </w:rPr>
        <w:fldChar w:fldCharType="separate"/>
      </w:r>
      <w:r w:rsidRPr="00065E56">
        <w:rPr>
          <w:rFonts w:ascii="Times New Roman" w:hAnsi="Times New Roman" w:cs="Times New Roman"/>
          <w:color w:val="000000" w:themeColor="text1"/>
        </w:rPr>
        <w:t>CODA, 2016)</w:t>
      </w:r>
      <w:r w:rsidRPr="00065E56">
        <w:rPr>
          <w:rFonts w:ascii="Times New Roman" w:hAnsi="Times New Roman" w:cs="Times New Roman"/>
          <w:color w:val="000000" w:themeColor="text1"/>
        </w:rPr>
        <w:fldChar w:fldCharType="end"/>
      </w:r>
      <w:r w:rsidRPr="00065E56">
        <w:rPr>
          <w:rFonts w:ascii="Times New Roman" w:hAnsi="Times New Roman" w:cs="Times New Roman"/>
          <w:color w:val="000000" w:themeColor="text1"/>
        </w:rPr>
        <w:t xml:space="preserve">. A thorough knowledge of human structure is essential to meeting both of these standards. </w:t>
      </w:r>
    </w:p>
    <w:p w14:paraId="1C5321B2" w14:textId="703E7EB8" w:rsidR="00F66F4E" w:rsidRPr="00065E56" w:rsidRDefault="00F66F4E" w:rsidP="00F66F4E">
      <w:pPr>
        <w:spacing w:line="480" w:lineRule="auto"/>
        <w:rPr>
          <w:rFonts w:ascii="Times New Roman" w:hAnsi="Times New Roman" w:cs="Times New Roman"/>
          <w:color w:val="000000" w:themeColor="text1"/>
        </w:rPr>
      </w:pPr>
      <w:r w:rsidRPr="00065E56">
        <w:rPr>
          <w:rFonts w:ascii="Times New Roman" w:hAnsi="Times New Roman" w:cs="Times New Roman"/>
          <w:color w:val="000000" w:themeColor="text1"/>
        </w:rPr>
        <w:tab/>
        <w:t xml:space="preserve">PA programs are an average of 26.7 months in duration, with pre-clinical and clinical phases split fairly evenly </w:t>
      </w:r>
      <w:r w:rsidRPr="00065E56">
        <w:rPr>
          <w:rFonts w:ascii="Times New Roman" w:hAnsi="Times New Roman" w:cs="Times New Roman"/>
          <w:color w:val="000000" w:themeColor="text1"/>
        </w:rPr>
        <w:fldChar w:fldCharType="begin"/>
      </w:r>
      <w:r w:rsidRPr="00065E56">
        <w:rPr>
          <w:rFonts w:ascii="Times New Roman" w:hAnsi="Times New Roman" w:cs="Times New Roman"/>
          <w:color w:val="000000" w:themeColor="text1"/>
        </w:rPr>
        <w:instrText xml:space="preserve"> ADDIN ZOTERO_ITEM CSL_CITATION {"citationID":"EN4lfbWk","properties":{"formattedCitation":"(Physician Assistant Education Association et al., 2020)","plainCitation":"(Physician Assistant Education Association et al., 2020)","noteIndex":0},"citationItems":[{"id":438,"uris":["http://zotero.org/users/local/8fpcHUeo/items/N52ENILN"],"uri":["http://zotero.org/users/local/8fpcHUeo/items/N52ENILN"],"itemData":{"id":438,"type":"report","language":"en","note":"DOI: 10.17538/PR35.2020","publisher":"Physician Assistant Education Association","source":"DOI.org (Crossref)","title":"By the Numbers: Program Report 35","title-short":"By the Numbers","URL":"https://paeaonline.org/wp-content/uploads/2020/10/program-report35-20201014.pdf","author":[{"literal":"Physician Assistant Education Association"},{"family":"Chitwood","given":"Ryan"},{"family":"Yuen","given":"Cynthia"}],"accessed":{"date-parts":[["2021",2,10]]},"issued":{"date-parts":[["2020",10,14]]}}}],"schema":"https://github.com/citation-style-language/schema/raw/master/csl-citation.json"} </w:instrText>
      </w:r>
      <w:r w:rsidRPr="00065E56">
        <w:rPr>
          <w:rFonts w:ascii="Times New Roman" w:hAnsi="Times New Roman" w:cs="Times New Roman"/>
          <w:color w:val="000000" w:themeColor="text1"/>
        </w:rPr>
        <w:fldChar w:fldCharType="separate"/>
      </w:r>
      <w:r w:rsidRPr="00065E56">
        <w:rPr>
          <w:rFonts w:ascii="Times New Roman" w:hAnsi="Times New Roman" w:cs="Times New Roman"/>
          <w:noProof/>
          <w:color w:val="000000" w:themeColor="text1"/>
        </w:rPr>
        <w:t>(Physician Assistant Education Association, 2020)</w:t>
      </w:r>
      <w:r w:rsidRPr="00065E56">
        <w:rPr>
          <w:rFonts w:ascii="Times New Roman" w:hAnsi="Times New Roman" w:cs="Times New Roman"/>
          <w:color w:val="000000" w:themeColor="text1"/>
        </w:rPr>
        <w:fldChar w:fldCharType="end"/>
      </w:r>
      <w:r w:rsidRPr="00065E56">
        <w:rPr>
          <w:rFonts w:ascii="Times New Roman" w:hAnsi="Times New Roman" w:cs="Times New Roman"/>
          <w:color w:val="000000" w:themeColor="text1"/>
        </w:rPr>
        <w:t xml:space="preserve">. Designed to practice medicine under the supervision of a medical doctor, PAs were originally proposed as a means to better utilize a dwindling general practice medical doctor population in the 1960s </w:t>
      </w:r>
      <w:r w:rsidRPr="00065E56">
        <w:rPr>
          <w:rFonts w:ascii="Times New Roman" w:hAnsi="Times New Roman" w:cs="Times New Roman"/>
          <w:color w:val="000000" w:themeColor="text1"/>
        </w:rPr>
        <w:fldChar w:fldCharType="begin"/>
      </w:r>
      <w:r w:rsidRPr="00065E56">
        <w:rPr>
          <w:rFonts w:ascii="Times New Roman" w:hAnsi="Times New Roman" w:cs="Times New Roman"/>
          <w:color w:val="000000" w:themeColor="text1"/>
        </w:rPr>
        <w:instrText xml:space="preserve"> ADDIN ZOTERO_ITEM CSL_CITATION {"citationID":"xtprkBE7","properties":{"formattedCitation":"(Asprey &amp; Agar Barwick, 2017)","plainCitation":"(Asprey &amp; Agar Barwick, 2017)","noteIndex":0},"citationItems":[{"id":362,"uris":["http://zotero.org/users/local/8fpcHUeo/items/GXQNY4XY"],"uri":["http://zotero.org/users/local/8fpcHUeo/items/GXQNY4XY"],"itemData":{"id":362,"type":"article-journal","container-title":"The Journal of Physician Assistant Education","DOI":"10.1097/JPA.0000000000000151","ISSN":"1941-9430","journalAbbreviation":"The Journal of Physician Assistant Education","language":"en","page":"S49-S55","source":"DOI.org (Crossref)","title":"Physician Assistant Education Association: Past, Present, and Future","title-short":"Physician Assistant Education Association","volume":"28","author":[{"family":"Asprey","given":"David P."},{"family":"Agar Barwick","given":"Timi"}],"issued":{"date-parts":[["2017",10]]}}}],"schema":"https://github.com/citation-style-language/schema/raw/master/csl-citation.json"} </w:instrText>
      </w:r>
      <w:r w:rsidRPr="00065E56">
        <w:rPr>
          <w:rFonts w:ascii="Times New Roman" w:hAnsi="Times New Roman" w:cs="Times New Roman"/>
          <w:color w:val="000000" w:themeColor="text1"/>
        </w:rPr>
        <w:fldChar w:fldCharType="separate"/>
      </w:r>
      <w:r w:rsidRPr="00065E56">
        <w:rPr>
          <w:rFonts w:ascii="Times New Roman" w:hAnsi="Times New Roman" w:cs="Times New Roman"/>
          <w:noProof/>
          <w:color w:val="000000" w:themeColor="text1"/>
        </w:rPr>
        <w:t>(Asprey &amp; Agar Barwick, 2017)</w:t>
      </w:r>
      <w:r w:rsidRPr="00065E56">
        <w:rPr>
          <w:rFonts w:ascii="Times New Roman" w:hAnsi="Times New Roman" w:cs="Times New Roman"/>
          <w:color w:val="000000" w:themeColor="text1"/>
        </w:rPr>
        <w:fldChar w:fldCharType="end"/>
      </w:r>
      <w:r w:rsidRPr="00065E56">
        <w:rPr>
          <w:rFonts w:ascii="Times New Roman" w:hAnsi="Times New Roman" w:cs="Times New Roman"/>
          <w:color w:val="000000" w:themeColor="text1"/>
        </w:rPr>
        <w:t xml:space="preserve">. The curriculum is an edited, condensed version of the traditional 4-year medical school curriculum. Due to the time constraints of PA programs, integration between pre-clinical and clinical phases is primarily confined to introducing clinical correlates in laboratory, case studies, projects, etc. Clinical rotations take place upon the completion of the pre-clinical phase. Ultimately, PA students must pass the Physician Assistant National Certifying Exam (PANCE) in order to </w:t>
      </w:r>
      <w:r w:rsidR="004B7312">
        <w:rPr>
          <w:rFonts w:ascii="Times New Roman" w:hAnsi="Times New Roman" w:cs="Times New Roman"/>
          <w:color w:val="000000" w:themeColor="text1"/>
        </w:rPr>
        <w:t>be licensed as a medical provider in most states</w:t>
      </w:r>
      <w:r w:rsidRPr="00065E56">
        <w:rPr>
          <w:rFonts w:ascii="Times New Roman" w:hAnsi="Times New Roman" w:cs="Times New Roman"/>
          <w:color w:val="000000" w:themeColor="text1"/>
        </w:rPr>
        <w:t>.</w:t>
      </w:r>
    </w:p>
    <w:p w14:paraId="3C406E60" w14:textId="77777777" w:rsidR="00F66F4E" w:rsidRPr="00065E56" w:rsidRDefault="00F66F4E" w:rsidP="00F66F4E">
      <w:pPr>
        <w:spacing w:line="480" w:lineRule="auto"/>
        <w:rPr>
          <w:rFonts w:ascii="Times New Roman" w:hAnsi="Times New Roman" w:cs="Times New Roman"/>
          <w:color w:val="000000" w:themeColor="text1"/>
        </w:rPr>
      </w:pPr>
      <w:r w:rsidRPr="00065E56">
        <w:rPr>
          <w:rFonts w:ascii="Times New Roman" w:hAnsi="Times New Roman" w:cs="Times New Roman"/>
          <w:color w:val="000000" w:themeColor="text1"/>
        </w:rPr>
        <w:tab/>
        <w:t xml:space="preserve">PA programs are evaluated for accreditation by the Accreditation Review Commission on Education for the Physician Assistant, Inc. (ARC-PA). The Accreditation Standards for Physician Assistant Education by the ARC-PA is somewhat more prescriptive in the curriculum </w:t>
      </w:r>
      <w:r w:rsidRPr="00065E56">
        <w:rPr>
          <w:rFonts w:ascii="Times New Roman" w:hAnsi="Times New Roman" w:cs="Times New Roman"/>
          <w:color w:val="000000" w:themeColor="text1"/>
        </w:rPr>
        <w:lastRenderedPageBreak/>
        <w:t xml:space="preserve">standards, possibly due to the necessity of aligning curriculum to medical education. For example, Standard B2.02 </w:t>
      </w:r>
      <w:r w:rsidRPr="00065E56">
        <w:rPr>
          <w:rFonts w:ascii="Times New Roman" w:hAnsi="Times New Roman" w:cs="Times New Roman"/>
          <w:color w:val="000000" w:themeColor="text1"/>
        </w:rPr>
        <w:fldChar w:fldCharType="begin"/>
      </w:r>
      <w:r w:rsidRPr="00065E56">
        <w:rPr>
          <w:rFonts w:ascii="Times New Roman" w:hAnsi="Times New Roman" w:cs="Times New Roman"/>
          <w:color w:val="000000" w:themeColor="text1"/>
        </w:rPr>
        <w:instrText xml:space="preserve"> ADDIN ZOTERO_ITEM CSL_CITATION {"citationID":"js78Mhyg","properties":{"formattedCitation":"({\\i{}Standards-4th-Ed-March-2018.Pdf}, n.d.)","plainCitation":"(Standards-4th-Ed-March-2018.Pdf, n.d.)","dontUpdate":true,"noteIndex":0},"citationItems":[{"id":271,"uris":["http://zotero.org/users/local/8fpcHUeo/items/KZWIBE33"],"uri":["http://zotero.org/users/local/8fpcHUeo/items/KZWIBE33"],"itemData":{"id":271,"type":"article","title":"Standards-4th-Ed-March-2018.pdf"}}],"schema":"https://github.com/citation-style-language/schema/raw/master/csl-citation.json"} </w:instrText>
      </w:r>
      <w:r w:rsidRPr="00065E56">
        <w:rPr>
          <w:rFonts w:ascii="Times New Roman" w:hAnsi="Times New Roman" w:cs="Times New Roman"/>
          <w:color w:val="000000" w:themeColor="text1"/>
        </w:rPr>
        <w:fldChar w:fldCharType="separate"/>
      </w:r>
      <w:r w:rsidRPr="00065E56">
        <w:rPr>
          <w:rFonts w:ascii="Times New Roman" w:hAnsi="Times New Roman" w:cs="Times New Roman"/>
          <w:color w:val="000000" w:themeColor="text1"/>
        </w:rPr>
        <w:t xml:space="preserve">(ARC-PA, 2018) </w:t>
      </w:r>
      <w:r w:rsidRPr="00065E56">
        <w:rPr>
          <w:rFonts w:ascii="Times New Roman" w:hAnsi="Times New Roman" w:cs="Times New Roman"/>
          <w:color w:val="000000" w:themeColor="text1"/>
        </w:rPr>
        <w:fldChar w:fldCharType="end"/>
      </w:r>
      <w:r w:rsidRPr="00065E56">
        <w:rPr>
          <w:rFonts w:ascii="Times New Roman" w:hAnsi="Times New Roman" w:cs="Times New Roman"/>
          <w:color w:val="000000" w:themeColor="text1"/>
        </w:rPr>
        <w:t xml:space="preserve">states </w:t>
      </w:r>
    </w:p>
    <w:p w14:paraId="0ED72202" w14:textId="77777777" w:rsidR="00F66F4E" w:rsidRPr="00065E56" w:rsidRDefault="00F66F4E" w:rsidP="00F66F4E">
      <w:pPr>
        <w:rPr>
          <w:rFonts w:ascii="Times New Roman" w:hAnsi="Times New Roman" w:cs="Times New Roman"/>
          <w:color w:val="000000" w:themeColor="text1"/>
        </w:rPr>
      </w:pPr>
      <w:r w:rsidRPr="00065E56">
        <w:rPr>
          <w:rFonts w:ascii="Times New Roman" w:hAnsi="Times New Roman" w:cs="Times New Roman"/>
          <w:color w:val="000000" w:themeColor="text1"/>
        </w:rPr>
        <w:tab/>
        <w:t xml:space="preserve">“The program curriculum </w:t>
      </w:r>
      <w:r w:rsidRPr="00065E56">
        <w:rPr>
          <w:rFonts w:ascii="Times New Roman" w:hAnsi="Times New Roman" w:cs="Times New Roman"/>
          <w:i/>
          <w:iCs/>
          <w:color w:val="000000" w:themeColor="text1"/>
        </w:rPr>
        <w:t>must</w:t>
      </w:r>
      <w:r w:rsidRPr="00065E56">
        <w:rPr>
          <w:rFonts w:ascii="Times New Roman" w:hAnsi="Times New Roman" w:cs="Times New Roman"/>
          <w:color w:val="000000" w:themeColor="text1"/>
        </w:rPr>
        <w:t xml:space="preserve"> include instruction in the following areas of applied </w:t>
      </w:r>
      <w:r w:rsidRPr="00065E56">
        <w:rPr>
          <w:rFonts w:ascii="Times New Roman" w:hAnsi="Times New Roman" w:cs="Times New Roman"/>
          <w:color w:val="000000" w:themeColor="text1"/>
        </w:rPr>
        <w:tab/>
        <w:t xml:space="preserve"> </w:t>
      </w:r>
      <w:r w:rsidRPr="00065E56">
        <w:rPr>
          <w:rFonts w:ascii="Times New Roman" w:hAnsi="Times New Roman" w:cs="Times New Roman"/>
          <w:color w:val="000000" w:themeColor="text1"/>
        </w:rPr>
        <w:tab/>
        <w:t xml:space="preserve"> medical sciences and their application in clinical practice:</w:t>
      </w:r>
    </w:p>
    <w:p w14:paraId="6E4064FD" w14:textId="77777777" w:rsidR="00F66F4E" w:rsidRPr="00065E56" w:rsidRDefault="00F66F4E" w:rsidP="00F66F4E">
      <w:pPr>
        <w:rPr>
          <w:rFonts w:ascii="Times New Roman" w:hAnsi="Times New Roman" w:cs="Times New Roman"/>
          <w:color w:val="000000" w:themeColor="text1"/>
        </w:rPr>
      </w:pPr>
    </w:p>
    <w:p w14:paraId="376F3BF1" w14:textId="77777777" w:rsidR="00F66F4E" w:rsidRPr="00065E56" w:rsidRDefault="00F66F4E" w:rsidP="00F66F4E">
      <w:pPr>
        <w:rPr>
          <w:rFonts w:ascii="Times New Roman" w:hAnsi="Times New Roman" w:cs="Times New Roman"/>
          <w:color w:val="000000" w:themeColor="text1"/>
        </w:rPr>
      </w:pPr>
      <w:r w:rsidRPr="00065E56">
        <w:rPr>
          <w:rFonts w:ascii="Times New Roman" w:hAnsi="Times New Roman" w:cs="Times New Roman"/>
          <w:color w:val="000000" w:themeColor="text1"/>
        </w:rPr>
        <w:tab/>
        <w:t>a) anatomy</w:t>
      </w:r>
    </w:p>
    <w:p w14:paraId="415B541C" w14:textId="77777777" w:rsidR="00F66F4E" w:rsidRPr="00065E56" w:rsidRDefault="00F66F4E" w:rsidP="00F66F4E">
      <w:pPr>
        <w:rPr>
          <w:rFonts w:ascii="Times New Roman" w:hAnsi="Times New Roman" w:cs="Times New Roman"/>
          <w:color w:val="000000" w:themeColor="text1"/>
        </w:rPr>
      </w:pPr>
      <w:r w:rsidRPr="00065E56">
        <w:rPr>
          <w:rFonts w:ascii="Times New Roman" w:hAnsi="Times New Roman" w:cs="Times New Roman"/>
          <w:color w:val="000000" w:themeColor="text1"/>
        </w:rPr>
        <w:tab/>
        <w:t>b) physiology</w:t>
      </w:r>
    </w:p>
    <w:p w14:paraId="67B67B8E" w14:textId="77777777" w:rsidR="00F66F4E" w:rsidRPr="00065E56" w:rsidRDefault="00F66F4E" w:rsidP="00F66F4E">
      <w:pPr>
        <w:rPr>
          <w:rFonts w:ascii="Times New Roman" w:hAnsi="Times New Roman" w:cs="Times New Roman"/>
          <w:color w:val="000000" w:themeColor="text1"/>
        </w:rPr>
      </w:pPr>
      <w:r w:rsidRPr="00065E56">
        <w:rPr>
          <w:rFonts w:ascii="Times New Roman" w:hAnsi="Times New Roman" w:cs="Times New Roman"/>
          <w:color w:val="000000" w:themeColor="text1"/>
        </w:rPr>
        <w:tab/>
        <w:t>c) pathophysiology</w:t>
      </w:r>
    </w:p>
    <w:p w14:paraId="5EAED811" w14:textId="77777777" w:rsidR="00F66F4E" w:rsidRPr="00065E56" w:rsidRDefault="00F66F4E" w:rsidP="00F66F4E">
      <w:pPr>
        <w:rPr>
          <w:rFonts w:ascii="Times New Roman" w:hAnsi="Times New Roman" w:cs="Times New Roman"/>
          <w:color w:val="000000" w:themeColor="text1"/>
        </w:rPr>
      </w:pPr>
      <w:r w:rsidRPr="00065E56">
        <w:rPr>
          <w:rFonts w:ascii="Times New Roman" w:hAnsi="Times New Roman" w:cs="Times New Roman"/>
          <w:color w:val="000000" w:themeColor="text1"/>
        </w:rPr>
        <w:tab/>
        <w:t>d) pharmacology and pharmacotherapeutics</w:t>
      </w:r>
    </w:p>
    <w:p w14:paraId="74A3EA13" w14:textId="77777777" w:rsidR="00F66F4E" w:rsidRPr="00065E56" w:rsidRDefault="00F66F4E" w:rsidP="00F66F4E">
      <w:pPr>
        <w:rPr>
          <w:rFonts w:ascii="Times New Roman" w:hAnsi="Times New Roman" w:cs="Times New Roman"/>
          <w:color w:val="000000" w:themeColor="text1"/>
        </w:rPr>
      </w:pPr>
      <w:r w:rsidRPr="00065E56">
        <w:rPr>
          <w:rFonts w:ascii="Times New Roman" w:hAnsi="Times New Roman" w:cs="Times New Roman"/>
          <w:color w:val="000000" w:themeColor="text1"/>
        </w:rPr>
        <w:tab/>
        <w:t>e) the genetic and molecular mechanisms of health and disease”</w:t>
      </w:r>
    </w:p>
    <w:p w14:paraId="4F57DC4E" w14:textId="77777777" w:rsidR="00F66F4E" w:rsidRPr="00065E56" w:rsidRDefault="00F66F4E" w:rsidP="00F66F4E">
      <w:pPr>
        <w:rPr>
          <w:rFonts w:ascii="Times New Roman" w:hAnsi="Times New Roman" w:cs="Times New Roman"/>
          <w:color w:val="000000" w:themeColor="text1"/>
        </w:rPr>
      </w:pPr>
    </w:p>
    <w:p w14:paraId="78AB6A7C" w14:textId="77777777" w:rsidR="00F66F4E" w:rsidRPr="00065E56" w:rsidRDefault="00F66F4E" w:rsidP="00F66F4E">
      <w:pPr>
        <w:spacing w:line="480" w:lineRule="auto"/>
        <w:rPr>
          <w:rFonts w:ascii="Times New Roman" w:hAnsi="Times New Roman" w:cs="Times New Roman"/>
          <w:b/>
          <w:bCs/>
          <w:color w:val="000000" w:themeColor="text1"/>
        </w:rPr>
      </w:pPr>
      <w:r w:rsidRPr="00065E56">
        <w:rPr>
          <w:rFonts w:ascii="Times New Roman" w:hAnsi="Times New Roman" w:cs="Times New Roman"/>
          <w:color w:val="000000" w:themeColor="text1"/>
        </w:rPr>
        <w:tab/>
        <w:t xml:space="preserve">As noted in both dental and PA accreditation standards, anatomy is an essential component of the pre-clinical curriculum of HPE programs, and universities with multiple programs frequently combine students in courses with similarity in scope and sequence. At the University of Oklahoma Health Sciences Center (OUHSC), PA and dental students begin their programs together in a 6.5-week Clinical Anatomy course with cadaveric dissection.  The Clinical Anatomy course provides core foundational knowledge of the human body through a clinical lens. Viewing anatomical knowledge through a clinical perspective allows students to begin thinking as a clinician would, and cadaveric dissection provides students with a ‘first patient,’ or the first place a future clinician can practice clinical reasoning </w:t>
      </w:r>
      <w:r w:rsidRPr="00065E56">
        <w:rPr>
          <w:rFonts w:ascii="Times New Roman" w:hAnsi="Times New Roman" w:cs="Times New Roman"/>
          <w:color w:val="000000" w:themeColor="text1"/>
        </w:rPr>
        <w:fldChar w:fldCharType="begin"/>
      </w:r>
      <w:r w:rsidRPr="00065E56">
        <w:rPr>
          <w:rFonts w:ascii="Times New Roman" w:hAnsi="Times New Roman" w:cs="Times New Roman"/>
          <w:color w:val="000000" w:themeColor="text1"/>
        </w:rPr>
        <w:instrText xml:space="preserve"> ADDIN ZOTERO_ITEM CSL_CITATION {"citationID":"EFTOLS6x","properties":{"formattedCitation":"(Ghosh, 2017)","plainCitation":"(Ghosh, 2017)","noteIndex":0},"citationItems":[{"id":195,"uris":["http://zotero.org/users/local/8fpcHUeo/items/UY87ECE8"],"uri":["http://zotero.org/users/local/8fpcHUeo/items/UY87ECE8"],"itemData":{"id":195,"type":"article-journal","abstract":"Anatomical education has been undergoing reforms in line with the demands of medical profession. The aim of the present study is to assess the impact of a traditional method like cadaveric dissection in teaching/learning anatomy at present times when medical schools are inclining towards student‐centered, integrated, clinical application models. The article undertakes a review of literature and analyzes the observations made therein reﬂecting on the relevance of cadaveric dissection in anatomical education of 21st century. Despite the advent of modern technology and evolved teaching methods, dissection continues to remain a cornerstone of anatomy curriculum. Medical professionals of all levels believe that dissection enables learning anatomy with relevant clinical correlates. Moreover dissection helps to build discipline independent skills which are essential requirements of modern health care setup. It has been supplemented by other teaching/learning methods due to limited availability of cadavers in some countries. However, in the developing world due to good access to cadavers, dissection based teaching is central to anatomy education till date. Its utility is also reﬂected in the perception of students who are of the opinion that dissection provides them with a foundation critical to development of clinical skills. Researchers have even suggested that time has come to reinstate dissection as the core method of teaching gross anatomy to ensure safe medical practice. Nevertheless, as dissection alone cannot provide uniform learning experience hence needs to be complemented with other innovative learning methods in the future education model of anatomy. Anat Sci Educ 10: 286–299. © 2016 American Association of Anatomists.","container-title":"Anatomical Sciences Education","DOI":"10.1002/ase.1649","ISSN":"19359772","issue":"3","journalAbbreviation":"American Association of Anatomists","language":"en","page":"286-299","source":"DOI.org (Crossref)","title":"Cadaveric dissection as an educational tool for anatomical sciences in the 21st century: Dissection as an Educational Tool","title-short":"Cadaveric dissection as an educational tool for anatomical sciences in the 21st century","volume":"10","author":[{"family":"Ghosh","given":"Sanjib Kumar"}],"issued":{"date-parts":[["2017",6]]}}}],"schema":"https://github.com/citation-style-language/schema/raw/master/csl-citation.json"} </w:instrText>
      </w:r>
      <w:r w:rsidRPr="00065E56">
        <w:rPr>
          <w:rFonts w:ascii="Times New Roman" w:hAnsi="Times New Roman" w:cs="Times New Roman"/>
          <w:color w:val="000000" w:themeColor="text1"/>
        </w:rPr>
        <w:fldChar w:fldCharType="separate"/>
      </w:r>
      <w:r w:rsidRPr="00065E56">
        <w:rPr>
          <w:rFonts w:ascii="Times New Roman" w:hAnsi="Times New Roman" w:cs="Times New Roman"/>
          <w:noProof/>
          <w:color w:val="000000" w:themeColor="text1"/>
        </w:rPr>
        <w:t>(Ghosh, 2017)</w:t>
      </w:r>
      <w:r w:rsidRPr="00065E56">
        <w:rPr>
          <w:rFonts w:ascii="Times New Roman" w:hAnsi="Times New Roman" w:cs="Times New Roman"/>
          <w:color w:val="000000" w:themeColor="text1"/>
        </w:rPr>
        <w:fldChar w:fldCharType="end"/>
      </w:r>
      <w:r w:rsidRPr="00065E56">
        <w:rPr>
          <w:rFonts w:ascii="Times New Roman" w:hAnsi="Times New Roman" w:cs="Times New Roman"/>
          <w:color w:val="000000" w:themeColor="text1"/>
        </w:rPr>
        <w:t xml:space="preserve">. Of 66 clinical anatomy educators surveyed in 2016, all 66 reported utilizing cadaveric dissection for student learning </w:t>
      </w:r>
      <w:r w:rsidRPr="00065E56">
        <w:rPr>
          <w:rFonts w:ascii="Times New Roman" w:hAnsi="Times New Roman" w:cs="Times New Roman"/>
          <w:color w:val="000000" w:themeColor="text1"/>
        </w:rPr>
        <w:fldChar w:fldCharType="begin"/>
      </w:r>
      <w:r w:rsidRPr="00065E56">
        <w:rPr>
          <w:rFonts w:ascii="Times New Roman" w:hAnsi="Times New Roman" w:cs="Times New Roman"/>
          <w:color w:val="000000" w:themeColor="text1"/>
        </w:rPr>
        <w:instrText xml:space="preserve"> ADDIN ZOTERO_ITEM CSL_CITATION {"citationID":"M25txR0D","properties":{"formattedCitation":"(McBride &amp; Drake, 2018)","plainCitation":"(McBride &amp; Drake, 2018)","noteIndex":0},"citationItems":[{"id":528,"uris":["http://zotero.org/users/local/8fpcHUeo/items/ZDM6VDSV"],"uri":["http://zotero.org/users/local/8fpcHUeo/items/ZDM6VDSV"],"itemData":{"id":528,"type":"article-journal","container-title":"Anatomical Sciences Education","DOI":"10.1002/ase.1760","ISSN":"19359772","issue":"1","journalAbbreviation":"American Association of Anatomists","language":"en","page":"7-14","source":"DOI.org (Crossref)","title":"National survey on anatomical sciences in medical education: Anatomical Sciences in Medical Education","title-short":"National survey on anatomical sciences in medical education","volume":"11","author":[{"family":"McBride","given":"Jennifer M."},{"family":"Drake","given":"Richard L."}],"issued":{"date-parts":[["2018",1]]}}}],"schema":"https://github.com/citation-style-language/schema/raw/master/csl-citation.json"} </w:instrText>
      </w:r>
      <w:r w:rsidRPr="00065E56">
        <w:rPr>
          <w:rFonts w:ascii="Times New Roman" w:hAnsi="Times New Roman" w:cs="Times New Roman"/>
          <w:color w:val="000000" w:themeColor="text1"/>
        </w:rPr>
        <w:fldChar w:fldCharType="separate"/>
      </w:r>
      <w:r w:rsidRPr="00065E56">
        <w:rPr>
          <w:rFonts w:ascii="Times New Roman" w:hAnsi="Times New Roman" w:cs="Times New Roman"/>
          <w:noProof/>
          <w:color w:val="000000" w:themeColor="text1"/>
        </w:rPr>
        <w:t>(McBride &amp; Drake, 2018)</w:t>
      </w:r>
      <w:r w:rsidRPr="00065E56">
        <w:rPr>
          <w:rFonts w:ascii="Times New Roman" w:hAnsi="Times New Roman" w:cs="Times New Roman"/>
          <w:color w:val="000000" w:themeColor="text1"/>
        </w:rPr>
        <w:fldChar w:fldCharType="end"/>
      </w:r>
      <w:r w:rsidRPr="00065E56">
        <w:rPr>
          <w:rFonts w:ascii="Times New Roman" w:hAnsi="Times New Roman" w:cs="Times New Roman"/>
          <w:color w:val="000000" w:themeColor="text1"/>
        </w:rPr>
        <w:t>. Considering how vital cadaveric dissection is perceived to be to develop clinical reasoning, Clinical Anatomy was delivered as a face-to-face (F2F) class until the spring of 2020.</w:t>
      </w:r>
    </w:p>
    <w:p w14:paraId="63210231" w14:textId="54E367B1" w:rsidR="00F66F4E" w:rsidRPr="00065E56" w:rsidRDefault="00F66F4E" w:rsidP="00F66F4E">
      <w:pPr>
        <w:spacing w:line="480" w:lineRule="auto"/>
        <w:rPr>
          <w:rFonts w:ascii="Times New Roman" w:hAnsi="Times New Roman" w:cs="Times New Roman"/>
        </w:rPr>
      </w:pPr>
      <w:r w:rsidRPr="00065E56">
        <w:rPr>
          <w:rFonts w:ascii="Times New Roman" w:hAnsi="Times New Roman" w:cs="Times New Roman"/>
          <w:color w:val="000000" w:themeColor="text1"/>
        </w:rPr>
        <w:tab/>
        <w:t xml:space="preserve">The COVID-19 pandemic forced academic institutions fully online in March of 2020. Faculty worldwide </w:t>
      </w:r>
      <w:r w:rsidR="004B7312">
        <w:rPr>
          <w:rFonts w:ascii="Times New Roman" w:hAnsi="Times New Roman" w:cs="Times New Roman"/>
          <w:color w:val="000000" w:themeColor="text1"/>
        </w:rPr>
        <w:t>adapted</w:t>
      </w:r>
      <w:r w:rsidRPr="00065E56">
        <w:rPr>
          <w:rFonts w:ascii="Times New Roman" w:hAnsi="Times New Roman" w:cs="Times New Roman"/>
          <w:color w:val="000000" w:themeColor="text1"/>
        </w:rPr>
        <w:t xml:space="preserve"> to complete spring semesters remotely while anticipating remote learning for the summer. At OUHSC, anatomy faculty began preparing the Clinical Anatomy curriculum for remote delive</w:t>
      </w:r>
      <w:r w:rsidRPr="00065E56">
        <w:rPr>
          <w:rFonts w:ascii="Times New Roman" w:hAnsi="Times New Roman" w:cs="Times New Roman"/>
        </w:rPr>
        <w:t>ry for the newly matriculating class of dental and PA students.</w:t>
      </w:r>
    </w:p>
    <w:p w14:paraId="045E086B" w14:textId="3F233778" w:rsidR="00F66F4E" w:rsidRPr="00065E56" w:rsidRDefault="00F66F4E" w:rsidP="00F66F4E">
      <w:pPr>
        <w:spacing w:line="480" w:lineRule="auto"/>
        <w:rPr>
          <w:rFonts w:ascii="Times New Roman" w:hAnsi="Times New Roman" w:cs="Times New Roman"/>
        </w:rPr>
      </w:pPr>
      <w:r w:rsidRPr="00065E56">
        <w:rPr>
          <w:rFonts w:ascii="Times New Roman" w:hAnsi="Times New Roman" w:cs="Times New Roman"/>
        </w:rPr>
        <w:lastRenderedPageBreak/>
        <w:tab/>
        <w:t xml:space="preserve">Remote learning is an emergent solution to an educational crisis. Also called emergency remote teaching, remote learning is frequently confused with online learning, which typically takes 9 months to 2 years to plan. Remote learning occurs when educators have to move F2F </w:t>
      </w:r>
      <w:r w:rsidR="004B7312">
        <w:rPr>
          <w:rFonts w:ascii="Times New Roman" w:hAnsi="Times New Roman" w:cs="Times New Roman"/>
        </w:rPr>
        <w:t>pedagogy</w:t>
      </w:r>
      <w:r w:rsidRPr="00065E56">
        <w:rPr>
          <w:rFonts w:ascii="Times New Roman" w:hAnsi="Times New Roman" w:cs="Times New Roman"/>
        </w:rPr>
        <w:t xml:space="preserve"> fully online within a small window of time </w:t>
      </w:r>
      <w:r w:rsidRPr="00065E56">
        <w:rPr>
          <w:rFonts w:ascii="Times New Roman" w:hAnsi="Times New Roman" w:cs="Times New Roman"/>
        </w:rPr>
        <w:fldChar w:fldCharType="begin"/>
      </w:r>
      <w:r w:rsidRPr="00065E56">
        <w:rPr>
          <w:rFonts w:ascii="Times New Roman" w:hAnsi="Times New Roman" w:cs="Times New Roman"/>
        </w:rPr>
        <w:instrText xml:space="preserve"> ADDIN ZOTERO_ITEM CSL_CITATION {"citationID":"YZhatPGr","properties":{"formattedCitation":"(Hodges et al., n.d.)","plainCitation":"(Hodges et al., n.d.)","dontUpdate":true,"noteIndex":0},"citationItems":[{"id":222,"uris":["http://zotero.org/users/local/8fpcHUeo/items/QNTCGBNM"],"uri":["http://zotero.org/users/local/8fpcHUeo/items/QNTCGBNM"],"itemData":{"id":222,"type":"article-journal","language":"en","page":"12","source":"Zotero","title":"The Difference Between Emergency Remote Teaching and Online Learning","author":[{"family":"Hodges","given":"Charles"},{"family":"Moore","given":"Stephanie"},{"family":"Lockee","given":"Barb"},{"family":"Trust","given":"Torrey"},{"family":"Bond","given":"Aaron"}]}}],"schema":"https://github.com/citation-style-language/schema/raw/master/csl-citation.json"} </w:instrText>
      </w:r>
      <w:r w:rsidRPr="00065E56">
        <w:rPr>
          <w:rFonts w:ascii="Times New Roman" w:hAnsi="Times New Roman" w:cs="Times New Roman"/>
        </w:rPr>
        <w:fldChar w:fldCharType="separate"/>
      </w:r>
      <w:r w:rsidRPr="00065E56">
        <w:rPr>
          <w:rFonts w:ascii="Times New Roman" w:hAnsi="Times New Roman" w:cs="Times New Roman"/>
          <w:noProof/>
        </w:rPr>
        <w:t>(Hodges et al., 2020)</w:t>
      </w:r>
      <w:r w:rsidRPr="00065E56">
        <w:rPr>
          <w:rFonts w:ascii="Times New Roman" w:hAnsi="Times New Roman" w:cs="Times New Roman"/>
        </w:rPr>
        <w:fldChar w:fldCharType="end"/>
      </w:r>
      <w:r w:rsidRPr="00065E56">
        <w:rPr>
          <w:rFonts w:ascii="Times New Roman" w:hAnsi="Times New Roman" w:cs="Times New Roman"/>
        </w:rPr>
        <w:t xml:space="preserve">. Materials may be slightly modified to accommodate the new delivery platform, but the majority of the curriculum, including content and assessment, remains </w:t>
      </w:r>
      <w:r w:rsidR="004B7312">
        <w:rPr>
          <w:rFonts w:ascii="Times New Roman" w:hAnsi="Times New Roman" w:cs="Times New Roman"/>
        </w:rPr>
        <w:t>essentially unchanged</w:t>
      </w:r>
      <w:r w:rsidRPr="00065E56">
        <w:rPr>
          <w:rFonts w:ascii="Times New Roman" w:hAnsi="Times New Roman" w:cs="Times New Roman"/>
        </w:rPr>
        <w:t xml:space="preserve">. </w:t>
      </w:r>
      <w:r w:rsidR="004B7312" w:rsidRPr="00065E56">
        <w:rPr>
          <w:rFonts w:ascii="Times New Roman" w:hAnsi="Times New Roman" w:cs="Times New Roman"/>
        </w:rPr>
        <w:t>An example of remote learning is uploading previously recorded lectures online for students to watch.</w:t>
      </w:r>
      <w:r w:rsidR="004B7312">
        <w:rPr>
          <w:rFonts w:ascii="Times New Roman" w:hAnsi="Times New Roman" w:cs="Times New Roman"/>
        </w:rPr>
        <w:t xml:space="preserve"> </w:t>
      </w:r>
      <w:r w:rsidRPr="00065E56">
        <w:rPr>
          <w:rFonts w:ascii="Times New Roman" w:hAnsi="Times New Roman" w:cs="Times New Roman"/>
        </w:rPr>
        <w:t xml:space="preserve">Planned online educational materials follow best practices, such as breaking up a lecture into 5-10 minute videos with active engagement throughout or gearing assessment toward group projects and open exams </w:t>
      </w:r>
      <w:r w:rsidRPr="00065E56">
        <w:rPr>
          <w:rFonts w:ascii="Times New Roman" w:hAnsi="Times New Roman" w:cs="Times New Roman"/>
        </w:rPr>
        <w:fldChar w:fldCharType="begin"/>
      </w:r>
      <w:r w:rsidRPr="00065E56">
        <w:rPr>
          <w:rFonts w:ascii="Times New Roman" w:hAnsi="Times New Roman" w:cs="Times New Roman"/>
        </w:rPr>
        <w:instrText xml:space="preserve"> ADDIN ZOTERO_ITEM CSL_CITATION {"citationID":"DhKohqN9","properties":{"formattedCitation":"(Reyna, 2020)","plainCitation":"(Reyna, 2020)","noteIndex":0},"citationItems":[{"id":178,"uris":["http://zotero.org/users/local/8fpcHUeo/items/A9MVELBJ"],"uri":["http://zotero.org/users/local/8fpcHUeo/items/A9MVELBJ"],"itemData":{"id":178,"type":"article-journal","abstract":"The COVID-19 pandemic has caused educational institutions around the world to close their doors and move their teaching and learning into the online space. For many medical educators, who usually rely on face-to-face and blended instruction, this presents a challenge. By rethinking learning design, medical educators can ensure a smooth transition of their subjects into the online space. However, because of the immersive nature of medical education, not all teaching and learning activities can be delivered online. This paper outlines twelve tips using evidence-based educational practices and a student-centred approach. The twelve tips presented and discussed in this paper can help medical educators to transition to online learning and maintain the integrity of their subjects. They can also promote student self-regulation, help develop graduate attributes, and generally enhance learning experiences during pandemic social distancing. Finally, these tips can be used to rethink medical education in the post-pandemic era.","container-title":"MedEdPublish","DOI":"10.15694/mep.2020.000103.1","ISSN":"23127996","issue":"1","journalAbbreviation":"MedEdPublish","language":"en","source":"DOI.org (Crossref)","title":"Twelve Tips for COVID-19 friendly learning design in medical education","URL":"https://www.mededpublish.org/manuscripts/3077","volume":"9","author":[{"family":"Reyna","given":"Jorge"}],"accessed":{"date-parts":[["2020",9,14]]},"issued":{"date-parts":[["2020"]]}}}],"schema":"https://github.com/citation-style-language/schema/raw/master/csl-citation.json"} </w:instrText>
      </w:r>
      <w:r w:rsidRPr="00065E56">
        <w:rPr>
          <w:rFonts w:ascii="Times New Roman" w:hAnsi="Times New Roman" w:cs="Times New Roman"/>
        </w:rPr>
        <w:fldChar w:fldCharType="separate"/>
      </w:r>
      <w:r w:rsidRPr="00065E56">
        <w:rPr>
          <w:rFonts w:ascii="Times New Roman" w:hAnsi="Times New Roman" w:cs="Times New Roman"/>
          <w:noProof/>
        </w:rPr>
        <w:t>(Reyna, 2020)</w:t>
      </w:r>
      <w:r w:rsidRPr="00065E56">
        <w:rPr>
          <w:rFonts w:ascii="Times New Roman" w:hAnsi="Times New Roman" w:cs="Times New Roman"/>
        </w:rPr>
        <w:fldChar w:fldCharType="end"/>
      </w:r>
      <w:r w:rsidRPr="00065E56">
        <w:rPr>
          <w:rFonts w:ascii="Times New Roman" w:hAnsi="Times New Roman" w:cs="Times New Roman"/>
        </w:rPr>
        <w:t xml:space="preserve">. </w:t>
      </w:r>
    </w:p>
    <w:p w14:paraId="26759297" w14:textId="77777777" w:rsidR="00F66F4E" w:rsidRPr="00065E56" w:rsidRDefault="00F66F4E" w:rsidP="00F66F4E">
      <w:pPr>
        <w:spacing w:line="480" w:lineRule="auto"/>
        <w:rPr>
          <w:rFonts w:ascii="Times New Roman" w:hAnsi="Times New Roman" w:cs="Times New Roman"/>
        </w:rPr>
      </w:pPr>
      <w:r w:rsidRPr="00065E56">
        <w:rPr>
          <w:rFonts w:ascii="Times New Roman" w:hAnsi="Times New Roman" w:cs="Times New Roman"/>
        </w:rPr>
        <w:tab/>
        <w:t xml:space="preserve">Anatomy educators are familiar with online learning as a response to research advocating for more active learning opportunities </w:t>
      </w:r>
      <w:r w:rsidRPr="00065E56">
        <w:rPr>
          <w:rFonts w:ascii="Times New Roman" w:hAnsi="Times New Roman" w:cs="Times New Roman"/>
        </w:rPr>
        <w:fldChar w:fldCharType="begin"/>
      </w:r>
      <w:r w:rsidRPr="00065E56">
        <w:rPr>
          <w:rFonts w:ascii="Times New Roman" w:hAnsi="Times New Roman" w:cs="Times New Roman"/>
        </w:rPr>
        <w:instrText xml:space="preserve"> ADDIN ZOTERO_ITEM CSL_CITATION {"citationID":"TI7S3prH","properties":{"formattedCitation":"(Abeysekera &amp; Dawson, 2015)","plainCitation":"(Abeysekera &amp; Dawson, 2015)","dontUpdate":true,"noteIndex":0},"citationItems":[{"id":87,"uris":["http://zotero.org/users/local/8fpcHUeo/items/UQ3YKGS3"],"uri":["http://zotero.org/users/local/8fpcHUeo/items/UQ3YKGS3"],"itemData":{"id":87,"type":"article-journal","container-title":"Higher Education Research &amp; Development","DOI":"10.1080/07294360.2014.934336","ISSN":"0729-4360, 1469-8366","issue":"1","language":"en","page":"1-14","source":"Crossref","title":"Motivation and cognitive load in the flipped classroom: definition, rationale and a call for research","title-short":"Motivation and cognitive load in the flipped classroom","volume":"34","author":[{"family":"Abeysekera","given":"Lakmal"},{"family":"Dawson","given":"Phillip"}],"issued":{"date-parts":[["2015",1,2]]}}}],"schema":"https://github.com/citation-style-language/schema/raw/master/csl-citation.json"} </w:instrText>
      </w:r>
      <w:r w:rsidRPr="00065E56">
        <w:rPr>
          <w:rFonts w:ascii="Times New Roman" w:hAnsi="Times New Roman" w:cs="Times New Roman"/>
        </w:rPr>
        <w:fldChar w:fldCharType="separate"/>
      </w:r>
      <w:r w:rsidRPr="00065E56">
        <w:rPr>
          <w:rFonts w:ascii="Times New Roman" w:hAnsi="Times New Roman" w:cs="Times New Roman"/>
          <w:noProof/>
        </w:rPr>
        <w:t xml:space="preserve">(Abeysekera &amp; Dawson, 2015; </w:t>
      </w:r>
      <w:r w:rsidRPr="00065E56">
        <w:rPr>
          <w:rFonts w:ascii="Times New Roman" w:hAnsi="Times New Roman" w:cs="Times New Roman"/>
        </w:rPr>
        <w:fldChar w:fldCharType="end"/>
      </w:r>
      <w:r w:rsidRPr="00065E56">
        <w:rPr>
          <w:rFonts w:ascii="Times New Roman" w:hAnsi="Times New Roman" w:cs="Times New Roman"/>
        </w:rPr>
        <w:fldChar w:fldCharType="begin"/>
      </w:r>
      <w:r w:rsidRPr="00065E56">
        <w:rPr>
          <w:rFonts w:ascii="Times New Roman" w:hAnsi="Times New Roman" w:cs="Times New Roman"/>
        </w:rPr>
        <w:instrText xml:space="preserve"> ADDIN ZOTERO_ITEM CSL_CITATION {"citationID":"atFmj61p","properties":{"formattedCitation":"(Day, 2018)","plainCitation":"(Day, 2018)","dontUpdate":true,"noteIndex":0},"citationItems":[{"id":66,"uris":["http://zotero.org/users/local/8fpcHUeo/items/22QUYBMN"],"uri":["http://zotero.org/users/local/8fpcHUeo/items/22QUYBMN"],"itemData":{"id":66,"type":"article-journal","container-title":"Anatomical Sciences Education","DOI":"10.1002/ase.1772","ISSN":"19359772","issue":"6","language":"en","page":"565-574","source":"Crossref","title":"A gross anatomy flipped classroom effects performance, retention, and higher-level thinking in lower performing students","volume":"11","author":[{"family":"Day","given":"Leslie J."}],"issued":{"date-parts":[["2018",11]]}}}],"schema":"https://github.com/citation-style-language/schema/raw/master/csl-citation.json"} </w:instrText>
      </w:r>
      <w:r w:rsidRPr="00065E56">
        <w:rPr>
          <w:rFonts w:ascii="Times New Roman" w:hAnsi="Times New Roman" w:cs="Times New Roman"/>
        </w:rPr>
        <w:fldChar w:fldCharType="separate"/>
      </w:r>
      <w:r w:rsidRPr="00065E56">
        <w:rPr>
          <w:rFonts w:ascii="Times New Roman" w:hAnsi="Times New Roman" w:cs="Times New Roman"/>
          <w:noProof/>
        </w:rPr>
        <w:t xml:space="preserve">Day, 2018; </w:t>
      </w:r>
      <w:r w:rsidRPr="00065E56">
        <w:rPr>
          <w:rFonts w:ascii="Times New Roman" w:hAnsi="Times New Roman" w:cs="Times New Roman"/>
        </w:rPr>
        <w:fldChar w:fldCharType="end"/>
      </w:r>
      <w:r w:rsidRPr="00065E56">
        <w:rPr>
          <w:rFonts w:ascii="Times New Roman" w:hAnsi="Times New Roman" w:cs="Times New Roman"/>
        </w:rPr>
        <w:fldChar w:fldCharType="begin"/>
      </w:r>
      <w:r w:rsidRPr="00065E56">
        <w:rPr>
          <w:rFonts w:ascii="Times New Roman" w:hAnsi="Times New Roman" w:cs="Times New Roman"/>
        </w:rPr>
        <w:instrText xml:space="preserve"> ADDIN ZOTERO_ITEM CSL_CITATION {"citationID":"LXymbfMU","properties":{"formattedCitation":"(Entezari &amp; Javdan, 2016)","plainCitation":"(Entezari &amp; Javdan, 2016)","dontUpdate":true,"noteIndex":0},"citationItems":[{"id":41,"uris":["http://zotero.org/users/local/8fpcHUeo/items/G7F2Z6QR"],"uri":["http://zotero.org/users/local/8fpcHUeo/items/G7F2Z6QR"],"itemData":{"id":41,"type":"article-journal","abstract":"Because Human Anatomy and Physiology (A&amp;P), a gateway course for allied health majors, has high dropout rates nationally, it is challenging to find a successful pedagogical intervention. Reports on the effect of integration of flipped classrooms and whether it improves learning are contradictory for different disciplines. Thus many educators are reluctant to explore the value of flipped classrooms. Therefore, in the present study we compare incorporating flipped classroom and minimal class discussion (control group) with flipped classroom and active learning activities (experimental group) in A&amp;P and their impacts on both students’ exam performance and their satisfaction with the course. Assessments consisted of a survey of students’ attitudes and a comparison of exam performance in experimental and control groups. Exam performance among the students in flipped-classroom and active learning activities improved significantly relative to the control group [Mean ± SD: (76.93±18.33 vs 67.8±18.81), p&lt;0.001. Student attitude, in which students rated the efficiency of pedagogical learning on a five-point Likert scale, was positive: the majority of students strongly preferred active-learning activities that were incorporated in the flipped-classroom. Students indicated that these activities helped them learn better and to connect the materials to the goals of their future careers (73.88% and 79.77% respectively). Therefore, we conclude that flipped classroom coupled with active learning strategies can improve students’ performance and attitude in the introductory A&amp;P course.","container-title":"International Journal of Higher Education","DOI":"10.5430/ijhe.v5n4p222","ISSN":"1927-6052, 1927-6044","issue":"4","language":"en","source":"Crossref","title":"Active Learning and Flipped Classroom, Hand in Hand Approach to Improve Students Learning in Human Anatomy and Physiology","URL":"http://www.sciedu.ca/journal/index.php/ijhe/article/view/10286","volume":"5","author":[{"family":"Entezari","given":"Maria"},{"family":"Javdan","given":"Mohammad"}],"accessed":{"date-parts":[["2019",2,19]]},"issued":{"date-parts":[["2016",10,23]]}}}],"schema":"https://github.com/citation-style-language/schema/raw/master/csl-citation.json"} </w:instrText>
      </w:r>
      <w:r w:rsidRPr="00065E56">
        <w:rPr>
          <w:rFonts w:ascii="Times New Roman" w:hAnsi="Times New Roman" w:cs="Times New Roman"/>
        </w:rPr>
        <w:fldChar w:fldCharType="separate"/>
      </w:r>
      <w:r w:rsidRPr="00065E56">
        <w:rPr>
          <w:rFonts w:ascii="Times New Roman" w:hAnsi="Times New Roman" w:cs="Times New Roman"/>
          <w:noProof/>
        </w:rPr>
        <w:t>Entezari &amp; Javdan, 2016)</w:t>
      </w:r>
      <w:r w:rsidRPr="00065E56">
        <w:rPr>
          <w:rFonts w:ascii="Times New Roman" w:hAnsi="Times New Roman" w:cs="Times New Roman"/>
        </w:rPr>
        <w:fldChar w:fldCharType="end"/>
      </w:r>
      <w:r w:rsidRPr="00065E56">
        <w:rPr>
          <w:rFonts w:ascii="Times New Roman" w:hAnsi="Times New Roman" w:cs="Times New Roman"/>
        </w:rPr>
        <w:t xml:space="preserve">. Frequently termed flipped classrooms or blended learning, moving some or all of the lecture component of a class online allows medical educators to maintain the required content of a course while simultaneously providing space in the schedule for problem-, team-, or case-based learning. In the didactic phase of health professions education, active learning is used primarily to introduce clinical correlates and promote problem-solving skills that students will need upon entering the clinical component of their education </w:t>
      </w:r>
      <w:r w:rsidRPr="00065E56">
        <w:rPr>
          <w:rFonts w:ascii="Times New Roman" w:hAnsi="Times New Roman" w:cs="Times New Roman"/>
        </w:rPr>
        <w:fldChar w:fldCharType="begin"/>
      </w:r>
      <w:r w:rsidRPr="00065E56">
        <w:rPr>
          <w:rFonts w:ascii="Times New Roman" w:hAnsi="Times New Roman" w:cs="Times New Roman"/>
        </w:rPr>
        <w:instrText xml:space="preserve"> ADDIN ZOTERO_ITEM CSL_CITATION {"citationID":"AAkHACuI","properties":{"formattedCitation":"(Drake, 2014)","plainCitation":"(Drake, 2014)","noteIndex":0},"citationItems":[{"id":35,"uris":["http://zotero.org/users/local/8fpcHUeo/items/6YATCXX3"],"uri":["http://zotero.org/users/local/8fpcHUeo/items/6YATCXX3"],"itemData":{"id":35,"type":"article-journal","abstract":"During the last decade of the 20th century and the ﬁrst decade of the 21st century, curricular reform has been a popular theme. In fact, reform on the current scale has not occurred since the early 1900s, when Abraham Flexner released his landmark report ‘Medical Education in the United States and Canada’. His report, suggesting major changes in how physicians were educated, became the norm and few changes occurred until the last quarter of the 20th century. During this period increased demands on medical school curriculums due to the explosion of knowledge in biomedical sciences and the pressure to add additional clinical experiences increased the momentum for curriculum reform. In 1984 an Association of American Medical Colleges (AAMC) report, ‘Physicians for the Twenty-First Century: The Report of the Panel on the General Professional Education of the Physician (GPEP) and College Preparation for Medicine’, discussed many items related to reforming medical education including the value of integration, increased use of active learning formats, more selfdirected learning, improved communication skills and increased problem-solving activities. This was followed by a report released in 1993 entitled ‘Educating Medical Students: Assessing Change in Medical Education – The Road to Implementation’ (ACME-TRI), which identiﬁed educational problems by surveying medical school deans, suggested ways to deal with these issues and presented a plan of action. Recently, the Carnegie Foundation for the Advancement of Teaching released ‘Education Physicians: A Call for Reform of Medical School and Residency’ with additional suggestions. At this point the question that might be asked is – Where is all this going and how is it going to affect anatomy education? Key words: anatomical sciences education; curriculum reform; history of American medical education; medical education.","container-title":"Journal of Anatomy","DOI":"10.1111/joa.12054","ISSN":"00218782","issue":"3","language":"en","page":"256-260","source":"Crossref","title":"A retrospective and prospective look at medical education in the United States: trends shaping anatomical sciences education","title-short":"A retrospective and prospective look at medical education in the United States","volume":"224","author":[{"family":"Drake","given":"Richard L."}],"issued":{"date-parts":[["2014",3]]}}}],"schema":"https://github.com/citation-style-language/schema/raw/master/csl-citation.json"} </w:instrText>
      </w:r>
      <w:r w:rsidRPr="00065E56">
        <w:rPr>
          <w:rFonts w:ascii="Times New Roman" w:hAnsi="Times New Roman" w:cs="Times New Roman"/>
        </w:rPr>
        <w:fldChar w:fldCharType="separate"/>
      </w:r>
      <w:r w:rsidRPr="00065E56">
        <w:rPr>
          <w:rFonts w:ascii="Times New Roman" w:hAnsi="Times New Roman" w:cs="Times New Roman"/>
          <w:noProof/>
        </w:rPr>
        <w:t>(Drake, 2014)</w:t>
      </w:r>
      <w:r w:rsidRPr="00065E56">
        <w:rPr>
          <w:rFonts w:ascii="Times New Roman" w:hAnsi="Times New Roman" w:cs="Times New Roman"/>
        </w:rPr>
        <w:fldChar w:fldCharType="end"/>
      </w:r>
      <w:r w:rsidRPr="00065E56">
        <w:rPr>
          <w:rFonts w:ascii="Times New Roman" w:hAnsi="Times New Roman" w:cs="Times New Roman"/>
        </w:rPr>
        <w:t xml:space="preserve">. </w:t>
      </w:r>
    </w:p>
    <w:p w14:paraId="07857AA8" w14:textId="10ED2CA1" w:rsidR="00F66F4E" w:rsidRPr="00065E56" w:rsidRDefault="004B7312" w:rsidP="00F66F4E">
      <w:pPr>
        <w:spacing w:line="480" w:lineRule="auto"/>
        <w:rPr>
          <w:rFonts w:ascii="Times New Roman" w:hAnsi="Times New Roman" w:cs="Times New Roman"/>
        </w:rPr>
      </w:pPr>
      <w:r>
        <w:rPr>
          <w:rFonts w:ascii="Times New Roman" w:hAnsi="Times New Roman" w:cs="Times New Roman"/>
        </w:rPr>
        <w:tab/>
      </w:r>
      <w:r w:rsidR="00F66F4E" w:rsidRPr="00065E56">
        <w:rPr>
          <w:rFonts w:ascii="Times New Roman" w:hAnsi="Times New Roman" w:cs="Times New Roman"/>
        </w:rPr>
        <w:t xml:space="preserve">Fully online anatomy programs exist for undergraduates </w:t>
      </w:r>
      <w:r w:rsidR="00F66F4E" w:rsidRPr="00065E56">
        <w:rPr>
          <w:rFonts w:ascii="Times New Roman" w:hAnsi="Times New Roman" w:cs="Times New Roman"/>
        </w:rPr>
        <w:fldChar w:fldCharType="begin"/>
      </w:r>
      <w:r w:rsidR="00F66F4E" w:rsidRPr="00065E56">
        <w:rPr>
          <w:rFonts w:ascii="Times New Roman" w:hAnsi="Times New Roman" w:cs="Times New Roman"/>
        </w:rPr>
        <w:instrText xml:space="preserve"> ADDIN ZOTERO_ITEM CSL_CITATION {"citationID":"uF67D0jO","properties":{"formattedCitation":"(Attardi et al., 2016, 2018)","plainCitation":"(Attardi et al., 2016, 2018)","noteIndex":0},"citationItems":[{"id":343,"uris":["http://zotero.org/users/local/8fpcHUeo/items/B2XEUR4E"],"uri":["http://zotero.org/users/local/8fpcHUeo/items/B2XEUR4E"],"itemData":{"id":343,"type":"article-journal","container-title":"Anatomical Sciences Education","DOI":"10.1002/ase.1584","ISSN":"19359772","issue":"3","journalAbbreviation":"American Association of Anatomists","language":"en","page":"272-285","source":"DOI.org (Crossref)","title":"Mixed methods student evaluation of an online systemic human anatomy course with laboratory: Mixed Methods Student Evaluation of Online Human Anatomy Course","title-short":"Mixed methods student evaluation of an online systemic human anatomy course with laboratory","volume":"9","author":[{"family":"Attardi","given":"Stefanie M."},{"family":"Choi","given":"Suwhan"},{"family":"Barnett","given":"John"},{"family":"Rogers","given":"Kem A."}],"issued":{"date-parts":[["2016",5,6]]}}},{"id":346,"uris":["http://zotero.org/users/local/8fpcHUeo/items/M72BVDCG"],"uri":["http://zotero.org/users/local/8fpcHUeo/items/M72BVDCG"],"itemData":{"id":346,"type":"article-journal","abstract":"An online section of a face‐to‐face (F2F) undergraduate (bachelor's level) anatomy course with a prosection laboratory was oﬀered in 2013–2014. Lectures for F2F students (353) were broadcast to online students (138) using Blackboard Collaborate (BBC) virtual classroom. Online laboratories were oﬀered using BBC and three‐dimensional (3D) anatomical computer models. This iteration of the course was modiﬁed from the previous year to improve online student–teacher and student–student interactions. Students were divided into laboratory groups that rotated through virtual breakout rooms, giving them the opportunity to interact with three instructors. The objectives were to assess student performance outcomes, perceptions of student–teacher and student–student interactions, methods of peer interaction, and helpfulness of the 3D computer models. Final grades were statistically identical between the online and F2F groups. There were strong, positive correlations between incoming grade average and ﬁnal anatomy grade in both groups, suggesting prior academic performance, and not delivery format, predicts anatomy grades. Quantitative student perception surveys (273 F2F; 101 online) revealed that both groups agreed they were engaged by teachers, could interact socially with teachers and peers, and ask them questions in both the lecture and laboratory sessions, though agreement was signiﬁcantly greater for the F2F students in most comparisons. The most common methods of peer communication were texting, Facebook, and meeting F2F. The perceived helpfulness of the 3D computer models improved from the previous year. While virtual breakout rooms can be used to adequately replace traditional prosection laboratories and improve interactions, they are not equivalent to F2F laboratories.","container-title":"Anatomical Sciences Education","DOI":"10.1002/ase.1776","ISSN":"19359772","issue":"6","journalAbbreviation":"American Association of Anatomists","language":"en","page":"592-604","source":"DOI.org (Crossref)","title":"Improving Online Interactions: Lessons from an Online Anatomy Course with a Laboratory for Undergraduate Students","title-short":"Improving Online Interactions","volume":"11","author":[{"family":"Attardi","given":"Stefanie M."},{"family":"Barbeau","given":"Michele L."},{"family":"Rogers","given":"Kem A."}],"issued":{"date-parts":[["2018",11]]}}}],"schema":"https://github.com/citation-style-language/schema/raw/master/csl-citation.json"} </w:instrText>
      </w:r>
      <w:r w:rsidR="00F66F4E" w:rsidRPr="00065E56">
        <w:rPr>
          <w:rFonts w:ascii="Times New Roman" w:hAnsi="Times New Roman" w:cs="Times New Roman"/>
        </w:rPr>
        <w:fldChar w:fldCharType="separate"/>
      </w:r>
      <w:r w:rsidR="00F66F4E" w:rsidRPr="00065E56">
        <w:rPr>
          <w:rFonts w:ascii="Times New Roman" w:hAnsi="Times New Roman" w:cs="Times New Roman"/>
          <w:noProof/>
        </w:rPr>
        <w:t>(Attardi et al., 2016, 2018)</w:t>
      </w:r>
      <w:r w:rsidR="00F66F4E" w:rsidRPr="00065E56">
        <w:rPr>
          <w:rFonts w:ascii="Times New Roman" w:hAnsi="Times New Roman" w:cs="Times New Roman"/>
        </w:rPr>
        <w:fldChar w:fldCharType="end"/>
      </w:r>
      <w:r w:rsidR="00F66F4E" w:rsidRPr="00065E56">
        <w:rPr>
          <w:rFonts w:ascii="Times New Roman" w:hAnsi="Times New Roman" w:cs="Times New Roman"/>
        </w:rPr>
        <w:t xml:space="preserve">, post-graduate certifications </w:t>
      </w:r>
      <w:r w:rsidR="00F66F4E" w:rsidRPr="00065E56">
        <w:rPr>
          <w:rFonts w:ascii="Times New Roman" w:hAnsi="Times New Roman" w:cs="Times New Roman"/>
        </w:rPr>
        <w:fldChar w:fldCharType="begin"/>
      </w:r>
      <w:r w:rsidR="00F66F4E" w:rsidRPr="00065E56">
        <w:rPr>
          <w:rFonts w:ascii="Times New Roman" w:hAnsi="Times New Roman" w:cs="Times New Roman"/>
        </w:rPr>
        <w:instrText xml:space="preserve"> ADDIN ZOTERO_ITEM CSL_CITATION {"citationID":"mA0rIki4","properties":{"formattedCitation":"(Kelsey et al., 2020)","plainCitation":"(Kelsey et al., 2020)","noteIndex":0},"citationItems":[{"id":231,"uris":["http://zotero.org/users/local/8fpcHUeo/items/LDV6RRUU"],"uri":["http://zotero.org/users/local/8fpcHUeo/items/LDV6RRUU"],"itemData":{"id":231,"type":"article-journal","abstract":"Background The growing use of online education tools, combined with an increasing demand for anatomical education from non-traditional student cohorts, prompted us to develop a postgraduate Anatomical Sciences degree programme. Taught entirely online, this programme of study allows students from anywhere in the world to study anatomy and related subjects at the University of Edinburgh. Here, the initial three years of programme delivery is described, including an examination of the student cohorts, their geographical location, their background on application and an exploration of qualitative feedback on their programme experience.\nMethods Data collected from the applications of student cohorts from academic year 2015/16 through to 2017/18 were anonymised and analysed to assess student personal characteristics. Also, qualitative student feedback data were obtained from evaluation questionnaires collected anonymously at the end of each course of the programme.\nResults The majority of the Anatomical Sciences students were female (72%) and within the age range 20–29. In addition, despite being accessible all over the world, the majority of the student cohort resided in the UK (50%). Qualitative feedback suggested that online teaching in anatomy was wellreceived and enjoyed, particularly in the form of video lectures and bespoke online resources. Challenges such as the modes of assessment and the lack of exposure to anatomical material were noted.\nConclusion Investigating the backgrounds and opinions of the initial Anatomical Sciences students is a useful method to ensure a high level of delivery as the programme continues. Here, data and feedback for the ﬁrst three years of the programme have been analysed and have highlighted speciﬁc challenges of teaching anatomy online. Finally, the future directions of online education within the anatomical sciences ﬁeld is discussed.","container-title":"Translational Research in Anatomy","DOI":"10.1016/j.tria.2020.100065","ISSN":"2214854X","journalAbbreviation":"Translational Research in Anatomy","language":"en","page":"100065","source":"DOI.org (Crossref)","title":"Anatomical sciences at the University of Edinburgh: Initial experiences of teaching anatomy online","title-short":"Anatomical sciences at the University of Edinburgh","volume":"19","author":[{"family":"Kelsey","given":"Alethea H.C.M."},{"family":"McCulloch","given":"Victoria"},{"family":"Gillingwater","given":"Thomas H."},{"family":"Findlater","given":"Gordon S."},{"family":"Paxton","given":"Jennifer Z."}],"issued":{"date-parts":[["2020",6]]}}}],"schema":"https://github.com/citation-style-language/schema/raw/master/csl-citation.json"} </w:instrText>
      </w:r>
      <w:r w:rsidR="00F66F4E" w:rsidRPr="00065E56">
        <w:rPr>
          <w:rFonts w:ascii="Times New Roman" w:hAnsi="Times New Roman" w:cs="Times New Roman"/>
        </w:rPr>
        <w:fldChar w:fldCharType="separate"/>
      </w:r>
      <w:r w:rsidR="00F66F4E" w:rsidRPr="00065E56">
        <w:rPr>
          <w:rFonts w:ascii="Times New Roman" w:hAnsi="Times New Roman" w:cs="Times New Roman"/>
          <w:noProof/>
        </w:rPr>
        <w:t>(Kelsey et al., 2020)</w:t>
      </w:r>
      <w:r w:rsidR="00F66F4E" w:rsidRPr="00065E56">
        <w:rPr>
          <w:rFonts w:ascii="Times New Roman" w:hAnsi="Times New Roman" w:cs="Times New Roman"/>
        </w:rPr>
        <w:fldChar w:fldCharType="end"/>
      </w:r>
      <w:r w:rsidR="00F66F4E" w:rsidRPr="00065E56">
        <w:rPr>
          <w:rFonts w:ascii="Times New Roman" w:hAnsi="Times New Roman" w:cs="Times New Roman"/>
        </w:rPr>
        <w:t xml:space="preserve">, and pharmacy students </w:t>
      </w:r>
      <w:r w:rsidR="00F66F4E" w:rsidRPr="00065E56">
        <w:rPr>
          <w:rFonts w:ascii="Times New Roman" w:hAnsi="Times New Roman" w:cs="Times New Roman"/>
        </w:rPr>
        <w:fldChar w:fldCharType="begin"/>
      </w:r>
      <w:r w:rsidR="00F66F4E" w:rsidRPr="00065E56">
        <w:rPr>
          <w:rFonts w:ascii="Times New Roman" w:hAnsi="Times New Roman" w:cs="Times New Roman"/>
        </w:rPr>
        <w:instrText xml:space="preserve"> ADDIN ZOTERO_ITEM CSL_CITATION {"citationID":"0y3nvs84","properties":{"formattedCitation":"(Limpach et al., 2008)","plainCitation":"(Limpach et al., 2008)","noteIndex":0},"citationItems":[{"id":236,"uris":["http://zotero.org/users/local/8fpcHUeo/items/Y9PGGBTY"],"uri":["http://zotero.org/users/local/8fpcHUeo/items/Y9PGGBTY"],"itemData":{"id":236,"type":"article-journal","container-title":"American Journal of Pharmaceutical Education","DOI":"10.5688/aj7206145","ISSN":"0002-9459, 1553-6467","issue":"6","journalAbbreviation":"Am J Pharm Educ","language":"en","page":"145","source":"DOI.org (Crossref)","title":"Effectiveness of Human Anatomy Education for Pharmacy Students via the Internet","volume":"72","author":[{"family":"Limpach","given":"Aimee L."},{"family":"Bazrafshan","given":"Parham"},{"family":"Turner","given":"Paul D."},{"family":"Monaghan","given":"Michael S."}],"issued":{"date-parts":[["2008",9]]}}}],"schema":"https://github.com/citation-style-language/schema/raw/master/csl-citation.json"} </w:instrText>
      </w:r>
      <w:r w:rsidR="00F66F4E" w:rsidRPr="00065E56">
        <w:rPr>
          <w:rFonts w:ascii="Times New Roman" w:hAnsi="Times New Roman" w:cs="Times New Roman"/>
        </w:rPr>
        <w:fldChar w:fldCharType="separate"/>
      </w:r>
      <w:r w:rsidR="00F66F4E" w:rsidRPr="00065E56">
        <w:rPr>
          <w:rFonts w:ascii="Times New Roman" w:hAnsi="Times New Roman" w:cs="Times New Roman"/>
          <w:noProof/>
        </w:rPr>
        <w:t>(Limpach et al., 2008)</w:t>
      </w:r>
      <w:r w:rsidR="00F66F4E" w:rsidRPr="00065E56">
        <w:rPr>
          <w:rFonts w:ascii="Times New Roman" w:hAnsi="Times New Roman" w:cs="Times New Roman"/>
        </w:rPr>
        <w:fldChar w:fldCharType="end"/>
      </w:r>
      <w:r w:rsidR="00F66F4E" w:rsidRPr="00065E56">
        <w:rPr>
          <w:rFonts w:ascii="Times New Roman" w:hAnsi="Times New Roman" w:cs="Times New Roman"/>
        </w:rPr>
        <w:t xml:space="preserve">. As previously noted, anatomy educators of clinical programs, however, strongly prefer an in-person dissection laboratory for deeper learning </w:t>
      </w:r>
      <w:r w:rsidR="00F66F4E" w:rsidRPr="00065E56">
        <w:rPr>
          <w:rFonts w:ascii="Times New Roman" w:hAnsi="Times New Roman" w:cs="Times New Roman"/>
        </w:rPr>
        <w:fldChar w:fldCharType="begin"/>
      </w:r>
      <w:r w:rsidR="00F66F4E" w:rsidRPr="00065E56">
        <w:rPr>
          <w:rFonts w:ascii="Times New Roman" w:hAnsi="Times New Roman" w:cs="Times New Roman"/>
        </w:rPr>
        <w:instrText xml:space="preserve"> ADDIN ZOTERO_ITEM CSL_CITATION {"citationID":"yWO91nSe","properties":{"formattedCitation":"(McBride &amp; Drake, 2018)","plainCitation":"(McBride &amp; Drake, 2018)","noteIndex":0},"citationItems":[{"id":528,"uris":["http://zotero.org/users/local/8fpcHUeo/items/ZDM6VDSV"],"uri":["http://zotero.org/users/local/8fpcHUeo/items/ZDM6VDSV"],"itemData":{"id":528,"type":"article-journal","container-title":"Anatomical Sciences Education","DOI":"10.1002/ase.1760","ISSN":"19359772","issue":"1","journalAbbreviation":"American Association of Anatomists","language":"en","page":"7-14","source":"DOI.org (Crossref)","title":"National survey on anatomical sciences in medical education: Anatomical Sciences in Medical Education","title-short":"National survey on anatomical sciences in medical education","volume":"11","author":[{"family":"McBride","given":"Jennifer M."},{"family":"Drake","given":"Richard L."}],"issued":{"date-parts":[["2018",1]]}}}],"schema":"https://github.com/citation-style-language/schema/raw/master/csl-citation.json"} </w:instrText>
      </w:r>
      <w:r w:rsidR="00F66F4E" w:rsidRPr="00065E56">
        <w:rPr>
          <w:rFonts w:ascii="Times New Roman" w:hAnsi="Times New Roman" w:cs="Times New Roman"/>
        </w:rPr>
        <w:fldChar w:fldCharType="separate"/>
      </w:r>
      <w:r w:rsidR="00F66F4E" w:rsidRPr="00065E56">
        <w:rPr>
          <w:rFonts w:ascii="Times New Roman" w:hAnsi="Times New Roman" w:cs="Times New Roman"/>
          <w:noProof/>
        </w:rPr>
        <w:t>(McBride &amp; Drake, 2018)</w:t>
      </w:r>
      <w:r w:rsidR="00F66F4E" w:rsidRPr="00065E56">
        <w:rPr>
          <w:rFonts w:ascii="Times New Roman" w:hAnsi="Times New Roman" w:cs="Times New Roman"/>
        </w:rPr>
        <w:fldChar w:fldCharType="end"/>
      </w:r>
      <w:r w:rsidR="00F66F4E" w:rsidRPr="00065E56">
        <w:rPr>
          <w:rFonts w:ascii="Times New Roman" w:hAnsi="Times New Roman" w:cs="Times New Roman"/>
        </w:rPr>
        <w:t xml:space="preserve">.  While some international clinical programs do not engage students with cadaveric dissection </w:t>
      </w:r>
      <w:r w:rsidR="00F66F4E" w:rsidRPr="00065E56">
        <w:rPr>
          <w:rFonts w:ascii="Times New Roman" w:hAnsi="Times New Roman" w:cs="Times New Roman"/>
        </w:rPr>
        <w:fldChar w:fldCharType="begin"/>
      </w:r>
      <w:r w:rsidR="00F66F4E" w:rsidRPr="00065E56">
        <w:rPr>
          <w:rFonts w:ascii="Times New Roman" w:hAnsi="Times New Roman" w:cs="Times New Roman"/>
        </w:rPr>
        <w:instrText xml:space="preserve"> ADDIN ZOTERO_ITEM CSL_CITATION {"citationID":"OOX9dL4e","properties":{"formattedCitation":"(Longhurst et al., 2020; Pather et al., 2020)","plainCitation":"(Longhurst et al., 2020; Pather et al., 2020)","noteIndex":0},"citationItems":[{"id":184,"uris":["http://zotero.org/users/local/8fpcHUeo/items/Z43JR25Y"],"uri":["http://zotero.org/users/local/8fpcHUeo/items/Z43JR25Y"],"itemData":{"id":184,"type":"article-journal","abstract":"The Covid‐19 pandemic has driven the fastest changes to higher education across the globe, necessitated by social distancing measures preventing face‐to‐face teaching. This has led to an almost immediate switch to distance learning by higher education institutions. Anatomy faces some unique challenges. Intrinsically, anatomy is a threedimensional subject that requires a sound understanding of the relationships between structures, often achieved by the study of human cadaveric material, models, and virtual resources. This study sought to identify the approaches taken in the United Kingdom and Republic of Ireland to deliver anatomical education through online means. Data were collected from 14 diﬀerent universities in the United Kingdom and Republic of Ireland and compared adopting a thematic analysis approach. Once themes were generated, they were collectively brought together using a strength, weakness, opportunity, threat (SWOT) analysis. Key themes included the opportunity to develop new online resources and the chance to engage in new academic collaborations. Academics frequently mentioned the challenge that time constrains could place on the quality and eﬀectiveness of these resources; especially as in many cases the aim of these resources was to compensate for a lack of exposure to cadaveric exposure. Comparisons of the actions taken by multiple higher education institutions reveal the ways that academics have tried to balance this demand. Discussions will facilitate decisions being made by higher education institutions regarding adapting the curriculum and assessment methods in anatomy.","container-title":"Anatomical Sciences Education","DOI":"10.1002/ase.1967","ISSN":"1935-9772, 1935-9780","issue":"3","journalAbbreviation":"Anat Sci Educ","language":"en","page":"301-311","source":"DOI.org (Crossref)","title":"Strength, Weakness, Opportunity, Threat (SWOT) Analysis of the Adaptations to Anatomical Education in the United Kingdom and Republic of Ireland in Response to the Covid‐19 Pandemic","volume":"13","author":[{"family":"Longhurst","given":"Georga J."},{"family":"Stone","given":"Danya M."},{"family":"Dulohery","given":"Kate"},{"family":"Scully","given":"Deirdre"},{"family":"Campbell","given":"Thomas"},{"family":"Smith","given":"Claire F."}],"issued":{"date-parts":[["2020",5]]}}},{"id":182,"uris":["http://zotero.org/users/local/8fpcHUeo/items/AWSL4MP7"],"uri":["http://zotero.org/users/local/8fpcHUeo/items/AWSL4MP7"],"itemData":{"id":182,"type":"article-journal","abstract":"Australian and New Zealand universities commenced a new academic year in February/March 2020 largely with “business as usual.” The subsequent Covid‐19 pandemic imposed unexpected disruptions to anatomical educational practice. Rapid change occurred due to government‐imposed physical distancing regulations from March 2020 that increasingly restricted anatomy laboratory teaching practices. Anatomy educators in both these countries were mobilized to adjust their teaching approaches. This study on anatomy education disruption at pandemic onset within Australia and New Zealand adopts a social constructivist lens. The research question was “What are the perceived disruptions and changes made to anatomy education in Australia and New Zealand during the initial period of the Covid‐19 pandemic, as reﬂected on by anatomy educators?.” Thematic analysis to elucidate “the what and why” of anatomy education was applied to these reﬂections. About 18 anatomy academics from ten institutions participated in this exercise. The analysis revealed loss of integrated “hands‐on” experiences, and impacts on workload, traditional roles, students, pedagogy, and anatomists' personal educational philosophies. The key opportunities recognized for anatomy education included: enabling synchronous teaching across remote sites, expanding oﬀerings into the remote learning space, and embracing new pedagogies. In managing anatomy education's transition in response to the pandemic, six critical elements were identiﬁed: community care, clear communications, clariﬁed expectations, constructive alignment, community of practice, ability to compromise, and adapt and continuity planning. There is no doubt that anatomy education has stepped into a yet unknown future in the island countries of Australia and New Zealand.","container-title":"Anatomical Sciences Education","DOI":"10.1002/ase.1968","ISSN":"1935-9772, 1935-9780","issue":"3","journalAbbreviation":"Anat Sci Educ","language":"en","page":"284-300","source":"DOI.org (Crossref)","title":"Forced Disruption of Anatomy Education in Australia and New Zealand: An Acute Response to the Covid‐19 Pandemic","title-short":"Forced Disruption of Anatomy Education in Australia and New Zealand","volume":"13","author":[{"family":"Pather","given":"Nalini"},{"family":"Blyth","given":"Phil"},{"family":"Chapman","given":"Jamie A."},{"family":"Dayal","given":"Manisha R."},{"family":"Flack","given":"Natasha A.M.S."},{"family":"Fogg","given":"Quentin A."},{"family":"Green","given":"Rodney A."},{"family":"Hulme","given":"Anneliese K."},{"family":"Johnson","given":"Ian P."},{"family":"Meyer","given":"Amanda J."},{"family":"Morley","given":"John W."},{"family":"Shortland","given":"Peter J."},{"family":"Štrkalj","given":"Goran"},{"family":"Štrkalj","given":"Mirjana"},{"family":"Valter","given":"Krisztina"},{"family":"Webb","given":"Alexandra L."},{"family":"Woodley","given":"Stephanie J."},{"family":"Lazarus","given":"Michelle D."}],"issued":{"date-parts":[["2020",5]]}}}],"schema":"https://github.com/citation-style-language/schema/raw/master/csl-citation.json"} </w:instrText>
      </w:r>
      <w:r w:rsidR="00F66F4E" w:rsidRPr="00065E56">
        <w:rPr>
          <w:rFonts w:ascii="Times New Roman" w:hAnsi="Times New Roman" w:cs="Times New Roman"/>
        </w:rPr>
        <w:fldChar w:fldCharType="separate"/>
      </w:r>
      <w:r w:rsidR="00F66F4E" w:rsidRPr="00065E56">
        <w:rPr>
          <w:rFonts w:ascii="Times New Roman" w:hAnsi="Times New Roman" w:cs="Times New Roman"/>
          <w:noProof/>
        </w:rPr>
        <w:t xml:space="preserve">(Longhurst et al., 2020; </w:t>
      </w:r>
      <w:r w:rsidR="00F66F4E" w:rsidRPr="00065E56">
        <w:rPr>
          <w:rFonts w:ascii="Times New Roman" w:hAnsi="Times New Roman" w:cs="Times New Roman"/>
          <w:noProof/>
        </w:rPr>
        <w:lastRenderedPageBreak/>
        <w:t>Pather et al., 2020)</w:t>
      </w:r>
      <w:r w:rsidR="00F66F4E" w:rsidRPr="00065E56">
        <w:rPr>
          <w:rFonts w:ascii="Times New Roman" w:hAnsi="Times New Roman" w:cs="Times New Roman"/>
        </w:rPr>
        <w:fldChar w:fldCharType="end"/>
      </w:r>
      <w:r w:rsidR="00F66F4E" w:rsidRPr="00065E56">
        <w:rPr>
          <w:rFonts w:ascii="Times New Roman" w:hAnsi="Times New Roman" w:cs="Times New Roman"/>
        </w:rPr>
        <w:t xml:space="preserve">, the majority of clinical programs prefer to maintain as many cadaveric dissection laboratory hours as possible due to the variety and depth of clinical skill building </w:t>
      </w:r>
      <w:r w:rsidR="00F66F4E" w:rsidRPr="00065E56">
        <w:rPr>
          <w:rFonts w:ascii="Times New Roman" w:hAnsi="Times New Roman" w:cs="Times New Roman"/>
        </w:rPr>
        <w:fldChar w:fldCharType="begin"/>
      </w:r>
      <w:r w:rsidR="00F66F4E" w:rsidRPr="00065E56">
        <w:rPr>
          <w:rFonts w:ascii="Times New Roman" w:hAnsi="Times New Roman" w:cs="Times New Roman"/>
        </w:rPr>
        <w:instrText xml:space="preserve"> ADDIN ZOTERO_ITEM CSL_CITATION {"citationID":"xn9CMyKi","properties":{"formattedCitation":"(Rizzolo &amp; Stewart, 2006)","plainCitation":"(Rizzolo &amp; Stewart, 2006)","noteIndex":0},"citationItems":[{"id":197,"uris":["http://zotero.org/users/local/8fpcHUeo/items/JGUMHP3K"],"uri":["http://zotero.org/users/local/8fpcHUeo/items/JGUMHP3K"],"itemData":{"id":197,"type":"article-journal","abstract":"The central role that human dissection has long held in clinical education is being reevaluated in many institutions. Despite the impression that many institutions are abandoning dissection, very few have and most of those have reinstated dissection within a few years. What are the inherent qualities that lead institutions back to dissection? In our eﬀorts to redesign a shortened dissection course, our consultations with a broad range of clinicians lead us to understand how the rhythms of clinical practice are modeled and developed in the small‐group setting of the dissection laboratory. Following further consultation with colleagues who have experimented with diﬀerent models of anatomy instruction, we discuss three themes in support of dissection. First, problem‐solving in the dissection laboratory develops the habits‐of‐mind of clinical practice. Second, relating dissection to imaging modalities develops the spatial reasoning skills needed to understand computer simulations, interpret imaging data, and interact with surgeons, radiologists, and patients. Third, the human face of dissection fosters self‐reﬂection and integration of the cognitive and aﬀective skills required for medical practice. Through group process, the collaborative eﬀort of dissection teams develops essential of attributes of clinical professionalism. Anat Rec (Part B: New Anat) 289B:215–218, 2006. © 2006 Wiley‐Liss, Inc.","container-title":"The Anatomical Record Part B: The New Anatomist","DOI":"10.1002/ar.b.20117","ISSN":"15524906, 15524914","issue":"6","journalAbbreviation":"Anat. Rec.","language":"en","page":"215-218","source":"DOI.org (Crossref)","title":"Should we continue teaching anatomy by dissection when …?","volume":"289B","author":[{"family":"Rizzolo","given":"Lawrence J."},{"family":"Stewart","given":"William B."}],"issued":{"date-parts":[["2006",11]]}}}],"schema":"https://github.com/citation-style-language/schema/raw/master/csl-citation.json"} </w:instrText>
      </w:r>
      <w:r w:rsidR="00F66F4E" w:rsidRPr="00065E56">
        <w:rPr>
          <w:rFonts w:ascii="Times New Roman" w:hAnsi="Times New Roman" w:cs="Times New Roman"/>
        </w:rPr>
        <w:fldChar w:fldCharType="separate"/>
      </w:r>
      <w:r w:rsidR="00F66F4E" w:rsidRPr="00065E56">
        <w:rPr>
          <w:rFonts w:ascii="Times New Roman" w:hAnsi="Times New Roman" w:cs="Times New Roman"/>
          <w:noProof/>
        </w:rPr>
        <w:t>(Rizzolo &amp; Stewart, 2006)</w:t>
      </w:r>
      <w:r w:rsidR="00F66F4E" w:rsidRPr="00065E56">
        <w:rPr>
          <w:rFonts w:ascii="Times New Roman" w:hAnsi="Times New Roman" w:cs="Times New Roman"/>
        </w:rPr>
        <w:fldChar w:fldCharType="end"/>
      </w:r>
      <w:r w:rsidR="00F66F4E" w:rsidRPr="00065E56">
        <w:rPr>
          <w:rFonts w:ascii="Times New Roman" w:hAnsi="Times New Roman" w:cs="Times New Roman"/>
        </w:rPr>
        <w:t xml:space="preserve">, and non-traditional discipline independent skill development </w:t>
      </w:r>
      <w:r w:rsidR="00F66F4E" w:rsidRPr="00065E56">
        <w:rPr>
          <w:rFonts w:ascii="Times New Roman" w:hAnsi="Times New Roman" w:cs="Times New Roman"/>
        </w:rPr>
        <w:fldChar w:fldCharType="begin"/>
      </w:r>
      <w:r w:rsidR="00065E56" w:rsidRPr="00065E56">
        <w:rPr>
          <w:rFonts w:ascii="Times New Roman" w:hAnsi="Times New Roman" w:cs="Times New Roman"/>
        </w:rPr>
        <w:instrText xml:space="preserve"> ADDIN ZOTERO_ITEM CSL_CITATION {"citationID":"E3bGYbql","properties":{"formattedCitation":"(D. J. R. Evans et al., 2020)","plainCitation":"(D. J. R. Evans et al., 2020)","noteIndex":0},"citationItems":[{"id":176,"uris":["http://zotero.org/users/local/8fpcHUeo/items/8FEEKFA9"],"uri":["http://zotero.org/users/local/8fpcHUeo/items/8FEEKFA9"],"itemData":{"id":176,"type":"article-journal","container-title":"Anatomical Sciences Education","DOI":"10.1002/ase.1963","ISSN":"1935-9772, 1935-9780","issue":"3","journalAbbreviation":"Anat Sci Educ","language":"en","page":"279-283","source":"DOI.org (Crossref)","title":"Going Virtual to Support Anatomy Education: A STOPGAP in the Midst of the Covid‐19 Pandemic","title-short":"Going Virtual to Support Anatomy Education","volume":"13","author":[{"family":"Evans","given":"Darrell J.R."},{"family":"Bay","given":"Boon Huat"},{"family":"Wilson","given":"Timothy D."},{"family":"Smith","given":"Claire F."},{"family":"Lachman","given":"Nirusha"},{"family":"Pawlina","given":"Wojciech"}],"issued":{"date-parts":[["2020",5]]}}}],"schema":"https://github.com/citation-style-language/schema/raw/master/csl-citation.json"} </w:instrText>
      </w:r>
      <w:r w:rsidR="00F66F4E" w:rsidRPr="00065E56">
        <w:rPr>
          <w:rFonts w:ascii="Times New Roman" w:hAnsi="Times New Roman" w:cs="Times New Roman"/>
        </w:rPr>
        <w:fldChar w:fldCharType="separate"/>
      </w:r>
      <w:r w:rsidR="00065E56" w:rsidRPr="00065E56">
        <w:rPr>
          <w:rFonts w:ascii="Times New Roman" w:hAnsi="Times New Roman" w:cs="Times New Roman"/>
          <w:noProof/>
        </w:rPr>
        <w:t>(D. J. R. Evans et al., 2020)</w:t>
      </w:r>
      <w:r w:rsidR="00F66F4E" w:rsidRPr="00065E56">
        <w:rPr>
          <w:rFonts w:ascii="Times New Roman" w:hAnsi="Times New Roman" w:cs="Times New Roman"/>
        </w:rPr>
        <w:fldChar w:fldCharType="end"/>
      </w:r>
      <w:r w:rsidR="00F66F4E" w:rsidRPr="00065E56">
        <w:rPr>
          <w:rFonts w:ascii="Times New Roman" w:hAnsi="Times New Roman" w:cs="Times New Roman"/>
        </w:rPr>
        <w:t xml:space="preserve"> that dissection provides.</w:t>
      </w:r>
    </w:p>
    <w:p w14:paraId="26BF43AB" w14:textId="77777777" w:rsidR="00F66F4E" w:rsidRPr="00065E56" w:rsidRDefault="00F66F4E" w:rsidP="00F66F4E">
      <w:pPr>
        <w:spacing w:line="480" w:lineRule="auto"/>
        <w:rPr>
          <w:rFonts w:ascii="Times New Roman" w:hAnsi="Times New Roman" w:cs="Times New Roman"/>
        </w:rPr>
      </w:pPr>
      <w:r w:rsidRPr="00065E56">
        <w:rPr>
          <w:rFonts w:ascii="Times New Roman" w:hAnsi="Times New Roman" w:cs="Times New Roman"/>
        </w:rPr>
        <w:tab/>
        <w:t xml:space="preserve">The Clinical Anatomy course for PA and dental students at OUHSC prior to 2020 was a 6.5-week time-intensive course arranged in a traditional lecture/cadaveric dissection laboratory format. Weekly spotter examinations in the laboratory provided formative feedback, and for this course ‘formative’ is defined as low-stakes assessments. Each two-week unit culminated in a summative multiple-choice assessment favoring clinical vignette-style questions, similar in style to certification exams. Second year medical students volunteered to be teaching assistants (TA) during the 2-hour laboratory periods (4X/week), providing immediate feedback and dissection assistance as necessary. The TAs were also available for extra tutoring upon request. With the onset of COVID-19, OUHSC anatomy faculty endeavored to convert this course to a fully remote format that recognizes the call by Jones (2020) to consider the ethical necessity of holding remote learners to the same academic standards while acknowledging (and mitigating when possible) the impact of a pandemic on student learning. </w:t>
      </w:r>
    </w:p>
    <w:p w14:paraId="1293B949" w14:textId="62B01E86" w:rsidR="00F66F4E" w:rsidRPr="00065E56" w:rsidRDefault="00F66F4E" w:rsidP="00F66F4E">
      <w:pPr>
        <w:spacing w:line="480" w:lineRule="auto"/>
        <w:rPr>
          <w:rFonts w:ascii="Times New Roman" w:hAnsi="Times New Roman" w:cs="Times New Roman"/>
        </w:rPr>
      </w:pPr>
      <w:r w:rsidRPr="00065E56">
        <w:rPr>
          <w:rFonts w:ascii="Times New Roman" w:hAnsi="Times New Roman" w:cs="Times New Roman"/>
        </w:rPr>
        <w:tab/>
        <w:t xml:space="preserve">Due to the ethical issues and time constraints, it was decided to offer the online course in as similar a manner to the F2F course as possible. As such, both lecture and laboratory </w:t>
      </w:r>
      <w:r w:rsidR="006D6BDD">
        <w:rPr>
          <w:rFonts w:ascii="Times New Roman" w:hAnsi="Times New Roman" w:cs="Times New Roman"/>
        </w:rPr>
        <w:t xml:space="preserve">experiences </w:t>
      </w:r>
      <w:r w:rsidRPr="00065E56">
        <w:rPr>
          <w:rFonts w:ascii="Times New Roman" w:hAnsi="Times New Roman" w:cs="Times New Roman"/>
        </w:rPr>
        <w:t xml:space="preserve">were </w:t>
      </w:r>
      <w:r w:rsidR="006D6BDD" w:rsidRPr="00065E56">
        <w:rPr>
          <w:rFonts w:ascii="Times New Roman" w:hAnsi="Times New Roman" w:cs="Times New Roman"/>
        </w:rPr>
        <w:t xml:space="preserve">delivered </w:t>
      </w:r>
      <w:r w:rsidRPr="00065E56">
        <w:rPr>
          <w:rFonts w:ascii="Times New Roman" w:hAnsi="Times New Roman" w:cs="Times New Roman"/>
        </w:rPr>
        <w:t>synchronously. This changed the format of the lectures very little as they were already delivered as PowerPoint™ (Microsoft, Inc.) presentations with 1-3 a</w:t>
      </w:r>
      <w:r w:rsidR="006D6BDD">
        <w:rPr>
          <w:rFonts w:ascii="Times New Roman" w:hAnsi="Times New Roman" w:cs="Times New Roman"/>
        </w:rPr>
        <w:t>udience</w:t>
      </w:r>
      <w:r w:rsidRPr="00065E56">
        <w:rPr>
          <w:rFonts w:ascii="Times New Roman" w:hAnsi="Times New Roman" w:cs="Times New Roman"/>
        </w:rPr>
        <w:t xml:space="preserve"> response system (ARS) questions embedded to facilitate student discussion. The lectures were recorded and uploaded daily so that students could review the material as necessary. Students received formative points for answering ARS questions correctly, so while attendance was not </w:t>
      </w:r>
      <w:r w:rsidRPr="00065E56">
        <w:rPr>
          <w:rFonts w:ascii="Times New Roman" w:hAnsi="Times New Roman" w:cs="Times New Roman"/>
        </w:rPr>
        <w:lastRenderedPageBreak/>
        <w:t xml:space="preserve">required per se, students regularly attended lecture in order to accrue points. Uploading daily </w:t>
      </w:r>
      <w:r w:rsidR="006D6BDD">
        <w:rPr>
          <w:rFonts w:ascii="Times New Roman" w:hAnsi="Times New Roman" w:cs="Times New Roman"/>
        </w:rPr>
        <w:t xml:space="preserve">lecture </w:t>
      </w:r>
      <w:r w:rsidRPr="00065E56">
        <w:rPr>
          <w:rFonts w:ascii="Times New Roman" w:hAnsi="Times New Roman" w:cs="Times New Roman"/>
        </w:rPr>
        <w:t>recordings and ARS point</w:t>
      </w:r>
      <w:r w:rsidR="006D6BDD">
        <w:rPr>
          <w:rFonts w:ascii="Times New Roman" w:hAnsi="Times New Roman" w:cs="Times New Roman"/>
        </w:rPr>
        <w:t xml:space="preserve">s </w:t>
      </w:r>
      <w:r w:rsidRPr="00065E56">
        <w:rPr>
          <w:rFonts w:ascii="Times New Roman" w:hAnsi="Times New Roman" w:cs="Times New Roman"/>
        </w:rPr>
        <w:t xml:space="preserve">were consistent with previous F2F courses. Students were allowed to have their cameras turned off for lecture and remained muted unless they had a question. </w:t>
      </w:r>
    </w:p>
    <w:p w14:paraId="4837E7E8" w14:textId="161A2CCF" w:rsidR="00F66F4E" w:rsidRPr="00065E56" w:rsidRDefault="00F66F4E" w:rsidP="00F66F4E">
      <w:pPr>
        <w:spacing w:line="480" w:lineRule="auto"/>
        <w:rPr>
          <w:rFonts w:ascii="Times New Roman" w:hAnsi="Times New Roman" w:cs="Times New Roman"/>
        </w:rPr>
      </w:pPr>
      <w:r w:rsidRPr="00065E56">
        <w:rPr>
          <w:rFonts w:ascii="Times New Roman" w:hAnsi="Times New Roman" w:cs="Times New Roman"/>
        </w:rPr>
        <w:tab/>
        <w:t xml:space="preserve">Moving a 3-dimensional, tactile, immersive laboratory experience online was significantly more challenging. Ultimately, faculty created 58 custom dissection videos of approximately 2 to 15 minutes in length for students to view, essentially creating a “guided and curated journey” through material that is traditionally taught in 3-dimensions in an exploratory manner </w:t>
      </w:r>
      <w:r w:rsidRPr="00065E56">
        <w:rPr>
          <w:rFonts w:ascii="Times New Roman" w:hAnsi="Times New Roman" w:cs="Times New Roman"/>
        </w:rPr>
        <w:fldChar w:fldCharType="begin"/>
      </w:r>
      <w:r w:rsidR="00065E56" w:rsidRPr="00065E56">
        <w:rPr>
          <w:rFonts w:ascii="Times New Roman" w:hAnsi="Times New Roman" w:cs="Times New Roman"/>
        </w:rPr>
        <w:instrText xml:space="preserve"> ADDIN ZOTERO_ITEM CSL_CITATION {"citationID":"8wht7N9n","properties":{"formattedCitation":"(D. J. R. Evans et al., 2020)","plainCitation":"(D. J. R. Evans et al., 2020)","noteIndex":0},"citationItems":[{"id":176,"uris":["http://zotero.org/users/local/8fpcHUeo/items/8FEEKFA9"],"uri":["http://zotero.org/users/local/8fpcHUeo/items/8FEEKFA9"],"itemData":{"id":176,"type":"article-journal","container-title":"Anatomical Sciences Education","DOI":"10.1002/ase.1963","ISSN":"1935-9772, 1935-9780","issue":"3","journalAbbreviation":"Anat Sci Educ","language":"en","page":"279-283","source":"DOI.org (Crossref)","title":"Going Virtual to Support Anatomy Education: A STOPGAP in the Midst of the Covid‐19 Pandemic","title-short":"Going Virtual to Support Anatomy Education","volume":"13","author":[{"family":"Evans","given":"Darrell J.R."},{"family":"Bay","given":"Boon Huat"},{"family":"Wilson","given":"Timothy D."},{"family":"Smith","given":"Claire F."},{"family":"Lachman","given":"Nirusha"},{"family":"Pawlina","given":"Wojciech"}],"issued":{"date-parts":[["2020",5]]}}}],"schema":"https://github.com/citation-style-language/schema/raw/master/csl-citation.json"} </w:instrText>
      </w:r>
      <w:r w:rsidRPr="00065E56">
        <w:rPr>
          <w:rFonts w:ascii="Times New Roman" w:hAnsi="Times New Roman" w:cs="Times New Roman"/>
        </w:rPr>
        <w:fldChar w:fldCharType="separate"/>
      </w:r>
      <w:r w:rsidR="00065E56" w:rsidRPr="00065E56">
        <w:rPr>
          <w:rFonts w:ascii="Times New Roman" w:hAnsi="Times New Roman" w:cs="Times New Roman"/>
          <w:noProof/>
        </w:rPr>
        <w:t>(D. J. R. Evans et al., 2020)</w:t>
      </w:r>
      <w:r w:rsidRPr="00065E56">
        <w:rPr>
          <w:rFonts w:ascii="Times New Roman" w:hAnsi="Times New Roman" w:cs="Times New Roman"/>
        </w:rPr>
        <w:fldChar w:fldCharType="end"/>
      </w:r>
      <w:r w:rsidRPr="00065E56">
        <w:rPr>
          <w:rFonts w:ascii="Times New Roman" w:hAnsi="Times New Roman" w:cs="Times New Roman"/>
        </w:rPr>
        <w:t xml:space="preserve">  The videos were linked to the learner management system. Three cadaveric specimens were used to create these videos (2 males, 1 female). During these videos, faculty briefly demonstrated dissection approach, pointed out anatomical structures, and discussed common misconceptions or variations. Faculty advised students to watch the lab videos </w:t>
      </w:r>
      <w:r w:rsidR="006D6BDD">
        <w:rPr>
          <w:rFonts w:ascii="Times New Roman" w:hAnsi="Times New Roman" w:cs="Times New Roman"/>
        </w:rPr>
        <w:t>prior</w:t>
      </w:r>
      <w:r w:rsidRPr="00065E56">
        <w:rPr>
          <w:rFonts w:ascii="Times New Roman" w:hAnsi="Times New Roman" w:cs="Times New Roman"/>
        </w:rPr>
        <w:t xml:space="preserve"> to synchronous laboratory review sessions the next day </w:t>
      </w:r>
      <w:r w:rsidR="006D6BDD">
        <w:rPr>
          <w:rFonts w:ascii="Times New Roman" w:hAnsi="Times New Roman" w:cs="Times New Roman"/>
        </w:rPr>
        <w:t>and to bring</w:t>
      </w:r>
      <w:r w:rsidRPr="00065E56">
        <w:rPr>
          <w:rFonts w:ascii="Times New Roman" w:hAnsi="Times New Roman" w:cs="Times New Roman"/>
        </w:rPr>
        <w:t xml:space="preserve"> questions. </w:t>
      </w:r>
    </w:p>
    <w:p w14:paraId="23C88693" w14:textId="77777777" w:rsidR="00F66F4E" w:rsidRPr="00065E56" w:rsidRDefault="00F66F4E" w:rsidP="00F66F4E">
      <w:pPr>
        <w:spacing w:line="480" w:lineRule="auto"/>
        <w:rPr>
          <w:rFonts w:ascii="Times New Roman" w:hAnsi="Times New Roman" w:cs="Times New Roman"/>
        </w:rPr>
      </w:pPr>
      <w:r w:rsidRPr="00065E56">
        <w:rPr>
          <w:rFonts w:ascii="Times New Roman" w:hAnsi="Times New Roman" w:cs="Times New Roman"/>
        </w:rPr>
        <w:tab/>
        <w:t xml:space="preserve">Laboratory review sessions were constructed to mimic the laboratory as much as possible. Students were divided into 4 groups and sent to pre-assigned breakout rooms within the video conference, and TAs populated the rooms each day. Teaching assistants originally signed up to assist with dissection but stayed on to tutor remotely. The TAs were allowed to sign up for what subject/days they wanted to lead. In addition to teaching assistants, each room would have one faculty member observing the session, and faculty rotated rooms daily to ensure equal student access. Faculty were available for questions if teaching assistants did not feel comfortable in answering, similar to how 1-2 TAs would be placed at each cadaver and faculty would float around the laboratory to provide feedback or explore a clinical correlation. Faculty advised TAs to prepare for laboratory sessions by taking screenshots from the videos (or </w:t>
      </w:r>
      <w:r w:rsidRPr="00065E56">
        <w:rPr>
          <w:rFonts w:ascii="Times New Roman" w:hAnsi="Times New Roman" w:cs="Times New Roman"/>
        </w:rPr>
        <w:lastRenderedPageBreak/>
        <w:t>PowerPoints™ (Microsoft, Inc.)) and asking students to name structures. TAs might also have small review lectures prepared depending on the difficulty of the topic. Besides exchanging dissection for videos and discussion, the laboratory review sessions differed from F2F laboratory in that there were typically 4-6 students dissecting at a tank at one time, while there could be up to 25 people in a lab review session. Unlike dissection, lab review sessions were not mandatory but were well attended. Though admittedly not ideal, faculty concluded that the remotely learned content was as similar to the F2F content as possible.</w:t>
      </w:r>
    </w:p>
    <w:p w14:paraId="5EDF8054" w14:textId="77777777" w:rsidR="00F66F4E" w:rsidRPr="00065E56" w:rsidRDefault="00F66F4E" w:rsidP="00F66F4E">
      <w:pPr>
        <w:spacing w:line="480" w:lineRule="auto"/>
        <w:rPr>
          <w:rFonts w:ascii="Times New Roman" w:hAnsi="Times New Roman" w:cs="Times New Roman"/>
          <w:b/>
          <w:bCs/>
        </w:rPr>
      </w:pPr>
      <w:r w:rsidRPr="00065E56">
        <w:rPr>
          <w:rFonts w:ascii="Times New Roman" w:hAnsi="Times New Roman" w:cs="Times New Roman"/>
          <w:b/>
          <w:bCs/>
        </w:rPr>
        <w:t>Significance of the Problem</w:t>
      </w:r>
    </w:p>
    <w:p w14:paraId="3F4B08EE" w14:textId="2C3D8112" w:rsidR="00F66F4E" w:rsidRPr="00065E56" w:rsidRDefault="00F66F4E" w:rsidP="00F66F4E">
      <w:pPr>
        <w:spacing w:line="480" w:lineRule="auto"/>
        <w:rPr>
          <w:rFonts w:ascii="Times New Roman" w:hAnsi="Times New Roman" w:cs="Times New Roman"/>
        </w:rPr>
      </w:pPr>
      <w:r w:rsidRPr="00065E56">
        <w:rPr>
          <w:rFonts w:ascii="Times New Roman" w:hAnsi="Times New Roman" w:cs="Times New Roman"/>
        </w:rPr>
        <w:tab/>
        <w:t xml:space="preserve">Acknowledging that dissection (or any laboratory) could not happen for students beginning clinical programs in the Summer of 2020, anatomy educators worldwide began calling for elucidating and evaluating institutional changes to accommodate remote learning </w:t>
      </w:r>
      <w:r w:rsidRPr="00065E56">
        <w:rPr>
          <w:rFonts w:ascii="Times New Roman" w:hAnsi="Times New Roman" w:cs="Times New Roman"/>
        </w:rPr>
        <w:fldChar w:fldCharType="begin"/>
      </w:r>
      <w:r w:rsidRPr="00065E56">
        <w:rPr>
          <w:rFonts w:ascii="Times New Roman" w:hAnsi="Times New Roman" w:cs="Times New Roman"/>
        </w:rPr>
        <w:instrText xml:space="preserve"> ADDIN ZOTERO_ITEM CSL_CITATION {"citationID":"hAi9Imno","properties":{"formattedCitation":"(Gibbs, 2020; Gordon et al., 2020; Reyna, 2020)","plainCitation":"(Gibbs, 2020; Gordon et al., 2020; Reyna, 2020)","noteIndex":0},"citationItems":[{"id":170,"uris":["http://zotero.org/users/local/8fpcHUeo/items/JYAD7GH2"],"uri":["http://zotero.org/users/local/8fpcHUeo/items/JYAD7GH2"],"itemData":{"id":170,"type":"article-journal","container-title":"Medical Teacher","DOI":"10.1080/0142159X.2020.1775967","ISSN":"0142-159X, 1466-187X","issue":"7","journalAbbreviation":"Medical Teacher","language":"en","page":"738-740","source":"DOI.org (Crossref)","title":"The Covid-19 pandemic: Provoking thought and encouraging change","title-short":"The Covid-19 pandemic","volume":"42","author":[{"family":"Gibbs","given":"Trevor"}],"issued":{"date-parts":[["2020",7,2]]}}},{"id":204,"uris":["http://zotero.org/users/local/8fpcHUeo/items/WT8UGSB9"],"uri":["http://zotero.org/users/local/8fpcHUeo/items/WT8UGSB9"],"itemData":{"id":204,"type":"article-journal","abstract":"Background: The novel coronavirus disease (COVID-19) was declared a pandemic in March 2020. This rapid systematic review synthesised published reports of medical educational developments in response to the pandemic, considering descriptions of interventions, evaluation data and lessons learned.\nMethods: The authors systematically searched four online databases and hand searched MedEdPublish up to 24 May 2020. Two authors independently screened titles, abstracts and full texts, performed data extraction and assessed risk of bias for included articles. Discrepancies were resolved by a third author. A descriptive synthesis and outcomes were reported.\nResults: Forty-nine articles were included. The majority were from North America, Asia and Europe. Sixteen studies described Kirkpatrick’s outcomes, with one study describing levels 1–3. A few papers were of exceptional quality, though the risk of bias framework generally revealed capricious reporting of underpinning theory, resources, setting, educational methods, and content. Key developments were pivoting educational delivery from classroom-based learning to virtual spaces, replacing clinical placement based learning with alternate approaches, and supporting direct patient contact with mitigated risk. Training for treating patients with COVID-19, service reconfiguration, assessment, well-being, faculty development, and admissions were all addressed, with the latter categories receiving the least attention.\nConclusions: This review highlights several areas of educational response in the immediate aftermath of the COVID-19 pandemic and identifies a few articles of exceptional quality that can serve as models for future developments and educational reporting. There was often a lack of practical detail to support the educational community in enactment of novel interventions, as well as limited evaluation data. However, the range of options deployed offers much guidance for the medical education community moving forward and there was an indication that outcome data and greater detail will be reported in the future.","container-title":"Medical Teacher","DOI":"10.1080/0142159X.2020.1807484","ISSN":"0142-159X, 1466-187X","journalAbbreviation":"Medical Teacher","language":"en","page":"1-14","source":"DOI.org (Crossref)","title":"Developments in medical education in response to the COVID-19 pandemic: A rapid BEME systematic review: BEME Guide No. 63","title-short":"Developments in medical education in response to the COVID-19 pandemic","author":[{"family":"Gordon","given":"Morris"},{"family":"Patricio","given":"Madalena"},{"family":"Horne","given":"Laura"},{"family":"Muston","given":"Alexandra"},{"family":"Alston","given":"Sebastian R"},{"family":"Pammi","given":"Mohan"},{"family":"Thammasitboon","given":"Satid"},{"family":"Park","given":"Sophie"},{"family":"Pawlikowska","given":"Teresa"},{"family":"Rees","given":"Eliot L"},{"family":"Doyle","given":"Andrea Jane"},{"family":"Daniel","given":"Michelle"}],"issued":{"date-parts":[["2020",8,26]]}}},{"id":178,"uris":["http://zotero.org/users/local/8fpcHUeo/items/A9MVELBJ"],"uri":["http://zotero.org/users/local/8fpcHUeo/items/A9MVELBJ"],"itemData":{"id":178,"type":"article-journal","abstract":"The COVID-19 pandemic has caused educational institutions around the world to close their doors and move their teaching and learning into the online space. For many medical educators, who usually rely on face-to-face and blended instruction, this presents a challenge. By rethinking learning design, medical educators can ensure a smooth transition of their subjects into the online space. However, because of the immersive nature of medical education, not all teaching and learning activities can be delivered online. This paper outlines twelve tips using evidence-based educational practices and a student-centred approach. The twelve tips presented and discussed in this paper can help medical educators to transition to online learning and maintain the integrity of their subjects. They can also promote student self-regulation, help develop graduate attributes, and generally enhance learning experiences during pandemic social distancing. Finally, these tips can be used to rethink medical education in the post-pandemic era.","container-title":"MedEdPublish","DOI":"10.15694/mep.2020.000103.1","ISSN":"23127996","issue":"1","journalAbbreviation":"MedEdPublish","language":"en","source":"DOI.org (Crossref)","title":"Twelve Tips for COVID-19 friendly learning design in medical education","URL":"https://www.mededpublish.org/manuscripts/3077","volume":"9","author":[{"family":"Reyna","given":"Jorge"}],"accessed":{"date-parts":[["2020",9,14]]},"issued":{"date-parts":[["2020"]]}}}],"schema":"https://github.com/citation-style-language/schema/raw/master/csl-citation.json"} </w:instrText>
      </w:r>
      <w:r w:rsidRPr="00065E56">
        <w:rPr>
          <w:rFonts w:ascii="Times New Roman" w:hAnsi="Times New Roman" w:cs="Times New Roman"/>
        </w:rPr>
        <w:fldChar w:fldCharType="separate"/>
      </w:r>
      <w:r w:rsidRPr="00065E56">
        <w:rPr>
          <w:rFonts w:ascii="Times New Roman" w:hAnsi="Times New Roman" w:cs="Times New Roman"/>
          <w:noProof/>
        </w:rPr>
        <w:t>(Gibbs, 2020; Gordon et al., 2020; Reyna, 2020)</w:t>
      </w:r>
      <w:r w:rsidRPr="00065E56">
        <w:rPr>
          <w:rFonts w:ascii="Times New Roman" w:hAnsi="Times New Roman" w:cs="Times New Roman"/>
        </w:rPr>
        <w:fldChar w:fldCharType="end"/>
      </w:r>
      <w:r w:rsidRPr="00065E56">
        <w:rPr>
          <w:rFonts w:ascii="Times New Roman" w:hAnsi="Times New Roman" w:cs="Times New Roman"/>
        </w:rPr>
        <w:t xml:space="preserve">. Specifically, </w:t>
      </w:r>
      <w:r w:rsidR="006D6BDD">
        <w:rPr>
          <w:rFonts w:ascii="Times New Roman" w:hAnsi="Times New Roman" w:cs="Times New Roman"/>
        </w:rPr>
        <w:t xml:space="preserve">requests to </w:t>
      </w:r>
      <w:r w:rsidRPr="00065E56">
        <w:rPr>
          <w:rFonts w:ascii="Times New Roman" w:hAnsi="Times New Roman" w:cs="Times New Roman"/>
        </w:rPr>
        <w:t xml:space="preserve">map sustainable and equitable </w:t>
      </w:r>
      <w:r w:rsidR="00481076">
        <w:rPr>
          <w:rFonts w:ascii="Times New Roman" w:hAnsi="Times New Roman" w:cs="Times New Roman"/>
        </w:rPr>
        <w:t xml:space="preserve">pedagogical </w:t>
      </w:r>
      <w:r w:rsidRPr="00065E56">
        <w:rPr>
          <w:rFonts w:ascii="Times New Roman" w:hAnsi="Times New Roman" w:cs="Times New Roman"/>
        </w:rPr>
        <w:t>course</w:t>
      </w:r>
      <w:r w:rsidR="006D6BDD">
        <w:rPr>
          <w:rFonts w:ascii="Times New Roman" w:hAnsi="Times New Roman" w:cs="Times New Roman"/>
        </w:rPr>
        <w:t>s</w:t>
      </w:r>
      <w:r w:rsidRPr="00065E56">
        <w:rPr>
          <w:rFonts w:ascii="Times New Roman" w:hAnsi="Times New Roman" w:cs="Times New Roman"/>
        </w:rPr>
        <w:t xml:space="preserve"> of action </w:t>
      </w:r>
      <w:r w:rsidRPr="00065E56">
        <w:rPr>
          <w:rFonts w:ascii="Times New Roman" w:hAnsi="Times New Roman" w:cs="Times New Roman"/>
        </w:rPr>
        <w:fldChar w:fldCharType="begin"/>
      </w:r>
      <w:r w:rsidRPr="00065E56">
        <w:rPr>
          <w:rFonts w:ascii="Times New Roman" w:hAnsi="Times New Roman" w:cs="Times New Roman"/>
        </w:rPr>
        <w:instrText xml:space="preserve"> ADDIN ZOTERO_ITEM CSL_CITATION {"citationID":"JRd20Pap","properties":{"formattedCitation":"(Jones, 2020)","plainCitation":"(Jones, 2020)","noteIndex":0},"citationItems":[{"id":180,"uris":["http://zotero.org/users/local/8fpcHUeo/items/55GP73YW"],"uri":["http://zotero.org/users/local/8fpcHUeo/items/55GP73YW"],"itemData":{"id":180,"type":"article-journal","container-title":"Anatomical Sciences Education","DOI":"10.1002/ase.2003","ISSN":"1935-9772, 1935-9780","issue":"5","journalAbbreviation":"Anat Sci Educ","language":"en","page":"549-555","source":"DOI.org (Crossref)","title":"Ethical Responses to the Covid‐19 Pandemic: Implications for the Ethos and Practice of Anatomy as a Health Science Discipline","title-short":"Ethical Responses to the Covid‐19 Pandemic","volume":"13","author":[{"family":"Jones","given":"David Gareth"}],"issued":{"date-parts":[["2020",9]]}}}],"schema":"https://github.com/citation-style-language/schema/raw/master/csl-citation.json"} </w:instrText>
      </w:r>
      <w:r w:rsidRPr="00065E56">
        <w:rPr>
          <w:rFonts w:ascii="Times New Roman" w:hAnsi="Times New Roman" w:cs="Times New Roman"/>
        </w:rPr>
        <w:fldChar w:fldCharType="separate"/>
      </w:r>
      <w:r w:rsidRPr="00065E56">
        <w:rPr>
          <w:rFonts w:ascii="Times New Roman" w:hAnsi="Times New Roman" w:cs="Times New Roman"/>
          <w:noProof/>
        </w:rPr>
        <w:t>(Jones, 2020)</w:t>
      </w:r>
      <w:r w:rsidRPr="00065E56">
        <w:rPr>
          <w:rFonts w:ascii="Times New Roman" w:hAnsi="Times New Roman" w:cs="Times New Roman"/>
        </w:rPr>
        <w:fldChar w:fldCharType="end"/>
      </w:r>
      <w:r w:rsidR="006D6BDD">
        <w:rPr>
          <w:rFonts w:ascii="Times New Roman" w:hAnsi="Times New Roman" w:cs="Times New Roman"/>
        </w:rPr>
        <w:t xml:space="preserve"> that</w:t>
      </w:r>
      <w:r w:rsidRPr="00065E56">
        <w:rPr>
          <w:rFonts w:ascii="Times New Roman" w:hAnsi="Times New Roman" w:cs="Times New Roman"/>
        </w:rPr>
        <w:t xml:space="preserve"> focus on temporary solution</w:t>
      </w:r>
      <w:r w:rsidR="006D6BDD">
        <w:rPr>
          <w:rFonts w:ascii="Times New Roman" w:hAnsi="Times New Roman" w:cs="Times New Roman"/>
        </w:rPr>
        <w:t>s</w:t>
      </w:r>
      <w:r w:rsidRPr="00065E56">
        <w:rPr>
          <w:rFonts w:ascii="Times New Roman" w:hAnsi="Times New Roman" w:cs="Times New Roman"/>
        </w:rPr>
        <w:t xml:space="preserve"> </w:t>
      </w:r>
      <w:r w:rsidR="006D6BDD">
        <w:rPr>
          <w:rFonts w:ascii="Times New Roman" w:hAnsi="Times New Roman" w:cs="Times New Roman"/>
        </w:rPr>
        <w:t>[</w:t>
      </w:r>
      <w:r w:rsidRPr="00065E56">
        <w:rPr>
          <w:rFonts w:ascii="Times New Roman" w:hAnsi="Times New Roman" w:cs="Times New Roman"/>
        </w:rPr>
        <w:t xml:space="preserve">with </w:t>
      </w:r>
      <w:r w:rsidR="006D6BDD">
        <w:rPr>
          <w:rFonts w:ascii="Times New Roman" w:hAnsi="Times New Roman" w:cs="Times New Roman"/>
        </w:rPr>
        <w:t xml:space="preserve">the possibility of incorporating positive actions in </w:t>
      </w:r>
      <w:r w:rsidRPr="00065E56">
        <w:rPr>
          <w:rFonts w:ascii="Times New Roman" w:hAnsi="Times New Roman" w:cs="Times New Roman"/>
        </w:rPr>
        <w:t xml:space="preserve">future </w:t>
      </w:r>
      <w:r w:rsidR="006D6BDD">
        <w:rPr>
          <w:rFonts w:ascii="Times New Roman" w:hAnsi="Times New Roman" w:cs="Times New Roman"/>
        </w:rPr>
        <w:t xml:space="preserve">courses </w:t>
      </w:r>
      <w:r w:rsidRPr="00065E56">
        <w:rPr>
          <w:rFonts w:ascii="Times New Roman" w:hAnsi="Times New Roman" w:cs="Times New Roman"/>
        </w:rPr>
        <w:fldChar w:fldCharType="begin"/>
      </w:r>
      <w:r w:rsidRPr="00065E56">
        <w:rPr>
          <w:rFonts w:ascii="Times New Roman" w:hAnsi="Times New Roman" w:cs="Times New Roman"/>
        </w:rPr>
        <w:instrText xml:space="preserve"> ADDIN ZOTERO_ITEM CSL_CITATION {"citationID":"3YWkdjJc","properties":{"formattedCitation":"(Pather et al., 2020)","plainCitation":"(Pather et al., 2020)","noteIndex":0},"citationItems":[{"id":182,"uris":["http://zotero.org/users/local/8fpcHUeo/items/AWSL4MP7"],"uri":["http://zotero.org/users/local/8fpcHUeo/items/AWSL4MP7"],"itemData":{"id":182,"type":"article-journal","abstract":"Australian and New Zealand universities commenced a new academic year in February/March 2020 largely with “business as usual.” The subsequent Covid‐19 pandemic imposed unexpected disruptions to anatomical educational practice. Rapid change occurred due to government‐imposed physical distancing regulations from March 2020 that increasingly restricted anatomy laboratory teaching practices. Anatomy educators in both these countries were mobilized to adjust their teaching approaches. This study on anatomy education disruption at pandemic onset within Australia and New Zealand adopts a social constructivist lens. The research question was “What are the perceived disruptions and changes made to anatomy education in Australia and New Zealand during the initial period of the Covid‐19 pandemic, as reﬂected on by anatomy educators?.” Thematic analysis to elucidate “the what and why” of anatomy education was applied to these reﬂections. About 18 anatomy academics from ten institutions participated in this exercise. The analysis revealed loss of integrated “hands‐on” experiences, and impacts on workload, traditional roles, students, pedagogy, and anatomists' personal educational philosophies. The key opportunities recognized for anatomy education included: enabling synchronous teaching across remote sites, expanding oﬀerings into the remote learning space, and embracing new pedagogies. In managing anatomy education's transition in response to the pandemic, six critical elements were identiﬁed: community care, clear communications, clariﬁed expectations, constructive alignment, community of practice, ability to compromise, and adapt and continuity planning. There is no doubt that anatomy education has stepped into a yet unknown future in the island countries of Australia and New Zealand.","container-title":"Anatomical Sciences Education","DOI":"10.1002/ase.1968","ISSN":"1935-9772, 1935-9780","issue":"3","journalAbbreviation":"Anat Sci Educ","language":"en","page":"284-300","source":"DOI.org (Crossref)","title":"Forced Disruption of Anatomy Education in Australia and New Zealand: An Acute Response to the Covid‐19 Pandemic","title-short":"Forced Disruption of Anatomy Education in Australia and New Zealand","volume":"13","author":[{"family":"Pather","given":"Nalini"},{"family":"Blyth","given":"Phil"},{"family":"Chapman","given":"Jamie A."},{"family":"Dayal","given":"Manisha R."},{"family":"Flack","given":"Natasha A.M.S."},{"family":"Fogg","given":"Quentin A."},{"family":"Green","given":"Rodney A."},{"family":"Hulme","given":"Anneliese K."},{"family":"Johnson","given":"Ian P."},{"family":"Meyer","given":"Amanda J."},{"family":"Morley","given":"John W."},{"family":"Shortland","given":"Peter J."},{"family":"Štrkalj","given":"Goran"},{"family":"Štrkalj","given":"Mirjana"},{"family":"Valter","given":"Krisztina"},{"family":"Webb","given":"Alexandra L."},{"family":"Woodley","given":"Stephanie J."},{"family":"Lazarus","given":"Michelle D."}],"issued":{"date-parts":[["2020",5]]}}}],"schema":"https://github.com/citation-style-language/schema/raw/master/csl-citation.json"} </w:instrText>
      </w:r>
      <w:r w:rsidRPr="00065E56">
        <w:rPr>
          <w:rFonts w:ascii="Times New Roman" w:hAnsi="Times New Roman" w:cs="Times New Roman"/>
        </w:rPr>
        <w:fldChar w:fldCharType="separate"/>
      </w:r>
      <w:r w:rsidRPr="00065E56">
        <w:rPr>
          <w:rFonts w:ascii="Times New Roman" w:hAnsi="Times New Roman" w:cs="Times New Roman"/>
          <w:noProof/>
        </w:rPr>
        <w:t>(Pather et al., 2020)</w:t>
      </w:r>
      <w:r w:rsidRPr="00065E56">
        <w:rPr>
          <w:rFonts w:ascii="Times New Roman" w:hAnsi="Times New Roman" w:cs="Times New Roman"/>
        </w:rPr>
        <w:fldChar w:fldCharType="end"/>
      </w:r>
      <w:r w:rsidR="006D6BDD">
        <w:rPr>
          <w:rFonts w:ascii="Times New Roman" w:hAnsi="Times New Roman" w:cs="Times New Roman"/>
        </w:rPr>
        <w:t>],</w:t>
      </w:r>
      <w:r w:rsidRPr="00065E56">
        <w:rPr>
          <w:rFonts w:ascii="Times New Roman" w:hAnsi="Times New Roman" w:cs="Times New Roman"/>
        </w:rPr>
        <w:t xml:space="preserve"> highlighted a need for research that indicates </w:t>
      </w:r>
      <w:r w:rsidR="006D6BDD">
        <w:rPr>
          <w:rFonts w:ascii="Times New Roman" w:hAnsi="Times New Roman" w:cs="Times New Roman"/>
        </w:rPr>
        <w:t>best practices in</w:t>
      </w:r>
      <w:r w:rsidRPr="00065E56">
        <w:rPr>
          <w:rFonts w:ascii="Times New Roman" w:hAnsi="Times New Roman" w:cs="Times New Roman"/>
        </w:rPr>
        <w:t xml:space="preserve"> online anatomy education as </w:t>
      </w:r>
      <w:r w:rsidR="0069216D">
        <w:rPr>
          <w:rFonts w:ascii="Times New Roman" w:hAnsi="Times New Roman" w:cs="Times New Roman"/>
        </w:rPr>
        <w:t>educators</w:t>
      </w:r>
      <w:r w:rsidRPr="00065E56">
        <w:rPr>
          <w:rFonts w:ascii="Times New Roman" w:hAnsi="Times New Roman" w:cs="Times New Roman"/>
        </w:rPr>
        <w:t xml:space="preserve"> proceed through this pandemic.  In a qualitative analysis of a webinar to support anatomy educators at the onset of the pandemic, Cleland </w:t>
      </w:r>
      <w:r w:rsidR="00481076">
        <w:rPr>
          <w:rFonts w:ascii="Times New Roman" w:hAnsi="Times New Roman" w:cs="Times New Roman"/>
        </w:rPr>
        <w:t>and colleagues (2020)</w:t>
      </w:r>
      <w:r w:rsidRPr="00065E56">
        <w:rPr>
          <w:rFonts w:ascii="Times New Roman" w:hAnsi="Times New Roman" w:cs="Times New Roman"/>
        </w:rPr>
        <w:t xml:space="preserve"> note</w:t>
      </w:r>
      <w:r w:rsidR="00481076">
        <w:rPr>
          <w:rFonts w:ascii="Times New Roman" w:hAnsi="Times New Roman" w:cs="Times New Roman"/>
        </w:rPr>
        <w:t>d</w:t>
      </w:r>
      <w:r w:rsidRPr="00065E56">
        <w:rPr>
          <w:rFonts w:ascii="Times New Roman" w:hAnsi="Times New Roman" w:cs="Times New Roman"/>
        </w:rPr>
        <w:t xml:space="preserve"> a request for “all colleagues to record and evaluate their educational innovations, given that ‘their actions will probably shape the future of health professions’ education and training forever and in doing so, could just lead to real transformative and transformational learning for all of us</w:t>
      </w:r>
      <w:r w:rsidR="00481076">
        <w:rPr>
          <w:rFonts w:ascii="Times New Roman" w:hAnsi="Times New Roman" w:cs="Times New Roman"/>
        </w:rPr>
        <w:t>.</w:t>
      </w:r>
      <w:r w:rsidRPr="00065E56">
        <w:rPr>
          <w:rFonts w:ascii="Times New Roman" w:hAnsi="Times New Roman" w:cs="Times New Roman"/>
        </w:rPr>
        <w:t xml:space="preserve">’” Anatomy educators are experiencing a seismic shift of how clinical anatomy is taught to students. Research such as the current proposal could be synthesized with other evaluations of innovations to determine a best path forward through emergency pandemic clinical anatomy education and beyond. </w:t>
      </w:r>
    </w:p>
    <w:p w14:paraId="3CA27A50" w14:textId="77777777" w:rsidR="00F66F4E" w:rsidRPr="00065E56" w:rsidRDefault="00F66F4E" w:rsidP="00F66F4E">
      <w:pPr>
        <w:spacing w:line="480" w:lineRule="auto"/>
        <w:rPr>
          <w:rFonts w:ascii="Times New Roman" w:hAnsi="Times New Roman" w:cs="Times New Roman"/>
        </w:rPr>
      </w:pPr>
      <w:r w:rsidRPr="00065E56">
        <w:rPr>
          <w:rFonts w:ascii="Times New Roman" w:hAnsi="Times New Roman" w:cs="Times New Roman"/>
          <w:b/>
          <w:bCs/>
        </w:rPr>
        <w:lastRenderedPageBreak/>
        <w:t>Research Purpose</w:t>
      </w:r>
    </w:p>
    <w:p w14:paraId="403B1F76" w14:textId="77777777" w:rsidR="00F66F4E" w:rsidRPr="00065E56" w:rsidRDefault="00F66F4E" w:rsidP="00F66F4E">
      <w:pPr>
        <w:rPr>
          <w:rFonts w:ascii="Times New Roman" w:hAnsi="Times New Roman" w:cs="Times New Roman"/>
        </w:rPr>
      </w:pPr>
    </w:p>
    <w:p w14:paraId="3732C7E3" w14:textId="39ED3516" w:rsidR="00F66F4E" w:rsidRPr="00065E56" w:rsidRDefault="00F66F4E" w:rsidP="00F66F4E">
      <w:pPr>
        <w:spacing w:line="480" w:lineRule="auto"/>
        <w:rPr>
          <w:rFonts w:ascii="Times New Roman" w:hAnsi="Times New Roman" w:cs="Times New Roman"/>
        </w:rPr>
      </w:pPr>
      <w:r w:rsidRPr="00065E56">
        <w:rPr>
          <w:rFonts w:ascii="Times New Roman" w:hAnsi="Times New Roman" w:cs="Times New Roman"/>
        </w:rPr>
        <w:tab/>
        <w:t>The central aim of th</w:t>
      </w:r>
      <w:r w:rsidR="00481076">
        <w:rPr>
          <w:rFonts w:ascii="Times New Roman" w:hAnsi="Times New Roman" w:cs="Times New Roman"/>
        </w:rPr>
        <w:t xml:space="preserve">is </w:t>
      </w:r>
      <w:r w:rsidRPr="00065E56">
        <w:rPr>
          <w:rFonts w:ascii="Times New Roman" w:hAnsi="Times New Roman" w:cs="Times New Roman"/>
        </w:rPr>
        <w:t xml:space="preserve">study is to add to the scant knowledge base of emergency remote teaching of Clinical Anatomy during a pandemic. Specifically, one purpose is to determine if formative and summative academic outcomes differ between F2F and remote delivery of Clinical Anatomy. This is actually a well-documented question in academia generally </w:t>
      </w:r>
      <w:r w:rsidRPr="00065E56">
        <w:rPr>
          <w:rFonts w:ascii="Times New Roman" w:hAnsi="Times New Roman" w:cs="Times New Roman"/>
        </w:rPr>
        <w:fldChar w:fldCharType="begin"/>
      </w:r>
      <w:r w:rsidRPr="00065E56">
        <w:rPr>
          <w:rFonts w:ascii="Times New Roman" w:hAnsi="Times New Roman" w:cs="Times New Roman"/>
        </w:rPr>
        <w:instrText xml:space="preserve"> ADDIN ZOTERO_ITEM CSL_CITATION {"citationID":"nKpo9xGl","properties":{"formattedCitation":"(M. G. Moore &amp; Diehl, William C., n.d.)","plainCitation":"(M. G. Moore &amp; Diehl, William C., n.d.)","dontUpdate":true,"noteIndex":0},"citationItems":[{"id":138,"uris":["http://zotero.org/users/local/8fpcHUeo/items/3JDA36LL"],"uri":["http://zotero.org/users/local/8fpcHUeo/items/3JDA36LL"],"itemData":{"id":138,"type":"book","edition":"Fourth","ISBN":"978-1-138-23900-5","publisher":"Routledge","title":"Handbook of Distance Education","author":[{"family":"Moore","given":"Michael G."},{"family":"Diehl, William C.","given":""}]}}],"schema":"https://github.com/citation-style-language/schema/raw/master/csl-citation.json"} </w:instrText>
      </w:r>
      <w:r w:rsidRPr="00065E56">
        <w:rPr>
          <w:rFonts w:ascii="Times New Roman" w:hAnsi="Times New Roman" w:cs="Times New Roman"/>
        </w:rPr>
        <w:fldChar w:fldCharType="separate"/>
      </w:r>
      <w:r w:rsidRPr="00065E56">
        <w:rPr>
          <w:rFonts w:ascii="Times New Roman" w:hAnsi="Times New Roman" w:cs="Times New Roman"/>
          <w:noProof/>
        </w:rPr>
        <w:t>(M. G. Moore &amp; Diehl, William C., 2019)</w:t>
      </w:r>
      <w:r w:rsidRPr="00065E56">
        <w:rPr>
          <w:rFonts w:ascii="Times New Roman" w:hAnsi="Times New Roman" w:cs="Times New Roman"/>
        </w:rPr>
        <w:fldChar w:fldCharType="end"/>
      </w:r>
      <w:r w:rsidRPr="00065E56">
        <w:rPr>
          <w:rFonts w:ascii="Times New Roman" w:hAnsi="Times New Roman" w:cs="Times New Roman"/>
        </w:rPr>
        <w:t xml:space="preserve">, but little documentation exists for laboratory-based clinical anatomy professional courses. A second purpose is to determine student perceptions of anatomical knowledge. This purpose emerged from a student focus group and indicated their concerns regarding lack of dissection during the remote Clinical Anatomy course. The final purpose is to relate how students perceive their anatomical knowledge to their academic outcomes. Students were asked to begin a difficult course of study remotely with a novel laboratory delivery format during a pandemic. </w:t>
      </w:r>
      <w:r w:rsidR="00481076">
        <w:rPr>
          <w:rFonts w:ascii="Times New Roman" w:hAnsi="Times New Roman" w:cs="Times New Roman"/>
        </w:rPr>
        <w:t>C</w:t>
      </w:r>
      <w:r w:rsidRPr="00065E56">
        <w:rPr>
          <w:rFonts w:ascii="Times New Roman" w:hAnsi="Times New Roman" w:cs="Times New Roman"/>
        </w:rPr>
        <w:t xml:space="preserve">omparing the academic outcomes </w:t>
      </w:r>
      <w:r w:rsidR="00481076">
        <w:rPr>
          <w:rFonts w:ascii="Times New Roman" w:hAnsi="Times New Roman" w:cs="Times New Roman"/>
        </w:rPr>
        <w:t xml:space="preserve">of </w:t>
      </w:r>
      <w:r w:rsidRPr="00065E56">
        <w:rPr>
          <w:rFonts w:ascii="Times New Roman" w:hAnsi="Times New Roman" w:cs="Times New Roman"/>
        </w:rPr>
        <w:t>a</w:t>
      </w:r>
      <w:r w:rsidR="00481076">
        <w:rPr>
          <w:rFonts w:ascii="Times New Roman" w:hAnsi="Times New Roman" w:cs="Times New Roman"/>
        </w:rPr>
        <w:t xml:space="preserve"> pre-pandemic</w:t>
      </w:r>
      <w:r w:rsidRPr="00065E56">
        <w:rPr>
          <w:rFonts w:ascii="Times New Roman" w:hAnsi="Times New Roman" w:cs="Times New Roman"/>
        </w:rPr>
        <w:t xml:space="preserve"> F2F course </w:t>
      </w:r>
      <w:r w:rsidR="00481076">
        <w:rPr>
          <w:rFonts w:ascii="Times New Roman" w:hAnsi="Times New Roman" w:cs="Times New Roman"/>
        </w:rPr>
        <w:t>to those with remote delivery</w:t>
      </w:r>
      <w:r w:rsidRPr="00065E56">
        <w:rPr>
          <w:rFonts w:ascii="Times New Roman" w:hAnsi="Times New Roman" w:cs="Times New Roman"/>
        </w:rPr>
        <w:t xml:space="preserve"> while providing the context of </w:t>
      </w:r>
      <w:r w:rsidR="00481076">
        <w:rPr>
          <w:rFonts w:ascii="Times New Roman" w:hAnsi="Times New Roman" w:cs="Times New Roman"/>
        </w:rPr>
        <w:t>student</w:t>
      </w:r>
      <w:r w:rsidRPr="00065E56">
        <w:rPr>
          <w:rFonts w:ascii="Times New Roman" w:hAnsi="Times New Roman" w:cs="Times New Roman"/>
        </w:rPr>
        <w:t xml:space="preserve"> perceptions potentially provides insight into </w:t>
      </w:r>
      <w:r w:rsidR="00481076">
        <w:rPr>
          <w:rFonts w:ascii="Times New Roman" w:hAnsi="Times New Roman" w:cs="Times New Roman"/>
        </w:rPr>
        <w:t xml:space="preserve">the unique pandemic-altered </w:t>
      </w:r>
      <w:r w:rsidRPr="00065E56">
        <w:rPr>
          <w:rFonts w:ascii="Times New Roman" w:hAnsi="Times New Roman" w:cs="Times New Roman"/>
        </w:rPr>
        <w:t>student experience.</w:t>
      </w:r>
    </w:p>
    <w:p w14:paraId="322B1706" w14:textId="77777777" w:rsidR="00F66F4E" w:rsidRPr="00065E56" w:rsidRDefault="00F66F4E" w:rsidP="00F66F4E">
      <w:pPr>
        <w:rPr>
          <w:rFonts w:ascii="Times New Roman" w:hAnsi="Times New Roman" w:cs="Times New Roman"/>
        </w:rPr>
      </w:pPr>
    </w:p>
    <w:p w14:paraId="3A1F0690" w14:textId="77777777" w:rsidR="00F66F4E" w:rsidRPr="00065E56" w:rsidRDefault="00F66F4E" w:rsidP="00F66F4E">
      <w:pPr>
        <w:rPr>
          <w:rFonts w:ascii="Times New Roman" w:hAnsi="Times New Roman" w:cs="Times New Roman"/>
          <w:b/>
          <w:bCs/>
        </w:rPr>
      </w:pPr>
      <w:r w:rsidRPr="00065E56">
        <w:rPr>
          <w:rFonts w:ascii="Times New Roman" w:hAnsi="Times New Roman" w:cs="Times New Roman"/>
          <w:b/>
          <w:bCs/>
        </w:rPr>
        <w:t>Research Questions</w:t>
      </w:r>
    </w:p>
    <w:p w14:paraId="534BA3CB" w14:textId="77777777" w:rsidR="00F66F4E" w:rsidRPr="00065E56" w:rsidRDefault="00F66F4E" w:rsidP="00F66F4E">
      <w:pPr>
        <w:rPr>
          <w:rFonts w:ascii="Times New Roman" w:hAnsi="Times New Roman" w:cs="Times New Roman"/>
          <w:b/>
          <w:bCs/>
        </w:rPr>
      </w:pPr>
    </w:p>
    <w:p w14:paraId="17D788A7" w14:textId="77777777" w:rsidR="00F66F4E" w:rsidRPr="00065E56" w:rsidRDefault="00F66F4E" w:rsidP="00F66F4E">
      <w:pPr>
        <w:tabs>
          <w:tab w:val="num" w:pos="720"/>
        </w:tabs>
        <w:rPr>
          <w:rFonts w:ascii="Times New Roman" w:hAnsi="Times New Roman" w:cs="Times New Roman"/>
        </w:rPr>
      </w:pPr>
      <w:r w:rsidRPr="00065E56">
        <w:rPr>
          <w:rFonts w:ascii="Times New Roman" w:hAnsi="Times New Roman" w:cs="Times New Roman"/>
        </w:rPr>
        <w:t>1a.</w:t>
      </w:r>
      <w:r w:rsidRPr="00065E56">
        <w:rPr>
          <w:rFonts w:ascii="Times New Roman" w:hAnsi="Times New Roman" w:cs="Times New Roman"/>
        </w:rPr>
        <w:tab/>
        <w:t xml:space="preserve">Do clinical anatomy academic outcomes of PA and dental students differ between remote </w:t>
      </w:r>
      <w:r w:rsidRPr="00065E56">
        <w:rPr>
          <w:rFonts w:ascii="Times New Roman" w:hAnsi="Times New Roman" w:cs="Times New Roman"/>
        </w:rPr>
        <w:tab/>
        <w:t>and face-to-face learners?</w:t>
      </w:r>
    </w:p>
    <w:p w14:paraId="42A22358" w14:textId="77777777" w:rsidR="00F66F4E" w:rsidRPr="00065E56" w:rsidRDefault="00F66F4E" w:rsidP="00F66F4E">
      <w:pPr>
        <w:tabs>
          <w:tab w:val="num" w:pos="720"/>
        </w:tabs>
        <w:rPr>
          <w:rFonts w:ascii="Times New Roman" w:hAnsi="Times New Roman" w:cs="Times New Roman"/>
        </w:rPr>
      </w:pPr>
      <w:r w:rsidRPr="00065E56">
        <w:rPr>
          <w:rFonts w:ascii="Times New Roman" w:hAnsi="Times New Roman" w:cs="Times New Roman"/>
        </w:rPr>
        <w:t>1b.</w:t>
      </w:r>
      <w:r w:rsidRPr="00065E56">
        <w:rPr>
          <w:rFonts w:ascii="Times New Roman" w:hAnsi="Times New Roman" w:cs="Times New Roman"/>
        </w:rPr>
        <w:tab/>
        <w:t>If so, how do the academic outcomes differ?</w:t>
      </w:r>
    </w:p>
    <w:p w14:paraId="6132B50B" w14:textId="77777777" w:rsidR="00F66F4E" w:rsidRPr="00065E56" w:rsidRDefault="00F66F4E" w:rsidP="00F66F4E">
      <w:pPr>
        <w:tabs>
          <w:tab w:val="num" w:pos="720"/>
        </w:tabs>
        <w:rPr>
          <w:rFonts w:ascii="Times New Roman" w:hAnsi="Times New Roman" w:cs="Times New Roman"/>
        </w:rPr>
      </w:pPr>
    </w:p>
    <w:p w14:paraId="71584B2C" w14:textId="77777777" w:rsidR="00F66F4E" w:rsidRPr="00065E56" w:rsidRDefault="00F66F4E" w:rsidP="00F66F4E">
      <w:pPr>
        <w:tabs>
          <w:tab w:val="num" w:pos="720"/>
        </w:tabs>
        <w:rPr>
          <w:rFonts w:ascii="Times New Roman" w:hAnsi="Times New Roman" w:cs="Times New Roman"/>
        </w:rPr>
      </w:pPr>
      <w:r w:rsidRPr="00065E56">
        <w:rPr>
          <w:rFonts w:ascii="Times New Roman" w:hAnsi="Times New Roman" w:cs="Times New Roman"/>
        </w:rPr>
        <w:t>2.</w:t>
      </w:r>
      <w:r w:rsidRPr="00065E56">
        <w:rPr>
          <w:rFonts w:ascii="Times New Roman" w:hAnsi="Times New Roman" w:cs="Times New Roman"/>
        </w:rPr>
        <w:tab/>
        <w:t xml:space="preserve">How do PA and dental students perceive their anatomical knowledge upon completion </w:t>
      </w:r>
      <w:r w:rsidRPr="00065E56">
        <w:rPr>
          <w:rFonts w:ascii="Times New Roman" w:hAnsi="Times New Roman" w:cs="Times New Roman"/>
        </w:rPr>
        <w:tab/>
        <w:t xml:space="preserve"> </w:t>
      </w:r>
      <w:r w:rsidRPr="00065E56">
        <w:rPr>
          <w:rFonts w:ascii="Times New Roman" w:hAnsi="Times New Roman" w:cs="Times New Roman"/>
        </w:rPr>
        <w:tab/>
        <w:t xml:space="preserve">of a remote, synchronous Clinical Anatomy course? </w:t>
      </w:r>
    </w:p>
    <w:p w14:paraId="6348D191" w14:textId="77777777" w:rsidR="00F66F4E" w:rsidRPr="00065E56" w:rsidRDefault="00F66F4E" w:rsidP="00F66F4E">
      <w:pPr>
        <w:tabs>
          <w:tab w:val="num" w:pos="720"/>
        </w:tabs>
        <w:rPr>
          <w:rFonts w:ascii="Times New Roman" w:hAnsi="Times New Roman" w:cs="Times New Roman"/>
        </w:rPr>
      </w:pPr>
    </w:p>
    <w:p w14:paraId="7B9C87CE" w14:textId="77777777" w:rsidR="00F66F4E" w:rsidRPr="00065E56" w:rsidRDefault="00F66F4E" w:rsidP="00F66F4E">
      <w:pPr>
        <w:tabs>
          <w:tab w:val="num" w:pos="720"/>
        </w:tabs>
        <w:rPr>
          <w:rFonts w:ascii="Times New Roman" w:hAnsi="Times New Roman" w:cs="Times New Roman"/>
        </w:rPr>
      </w:pPr>
      <w:r w:rsidRPr="00065E56">
        <w:rPr>
          <w:rFonts w:ascii="Times New Roman" w:hAnsi="Times New Roman" w:cs="Times New Roman"/>
        </w:rPr>
        <w:t>3.</w:t>
      </w:r>
      <w:r w:rsidRPr="00065E56">
        <w:rPr>
          <w:rFonts w:ascii="Times New Roman" w:hAnsi="Times New Roman" w:cs="Times New Roman"/>
        </w:rPr>
        <w:tab/>
        <w:t xml:space="preserve">To what extent do PA and dental student perceptions of anatomical knowledge relate to </w:t>
      </w:r>
      <w:r w:rsidRPr="00065E56">
        <w:rPr>
          <w:rFonts w:ascii="Times New Roman" w:hAnsi="Times New Roman" w:cs="Times New Roman"/>
        </w:rPr>
        <w:tab/>
        <w:t>their academic outcomes?</w:t>
      </w:r>
    </w:p>
    <w:p w14:paraId="0BAA173A" w14:textId="3F12EBC3" w:rsidR="00F66F4E" w:rsidRPr="00065E56" w:rsidRDefault="00F66F4E">
      <w:pPr>
        <w:rPr>
          <w:rFonts w:ascii="Times New Roman" w:hAnsi="Times New Roman" w:cs="Times New Roman"/>
        </w:rPr>
      </w:pPr>
    </w:p>
    <w:p w14:paraId="53EB707B" w14:textId="10250ECC" w:rsidR="00F66F4E" w:rsidRDefault="00F66F4E">
      <w:pPr>
        <w:rPr>
          <w:rFonts w:ascii="Times New Roman" w:hAnsi="Times New Roman" w:cs="Times New Roman"/>
        </w:rPr>
      </w:pPr>
    </w:p>
    <w:p w14:paraId="78B55E48" w14:textId="107299DA" w:rsidR="004800C1" w:rsidRPr="00065E56" w:rsidRDefault="004800C1" w:rsidP="004800C1">
      <w:pPr>
        <w:spacing w:line="480" w:lineRule="auto"/>
        <w:rPr>
          <w:rFonts w:ascii="Times New Roman" w:hAnsi="Times New Roman" w:cs="Times New Roman"/>
        </w:rPr>
      </w:pPr>
      <w:r>
        <w:rPr>
          <w:rFonts w:ascii="Times New Roman" w:hAnsi="Times New Roman" w:cs="Times New Roman"/>
        </w:rPr>
        <w:lastRenderedPageBreak/>
        <w:tab/>
        <w:t xml:space="preserve">The following chapter provides an overview of literature that will situate Clinical Anatomy within the history of medical education, detail the theory of distance education, and discuss the current research of blended and fully online learning. </w:t>
      </w:r>
    </w:p>
    <w:p w14:paraId="5F09A63D" w14:textId="103B60C2" w:rsidR="00F66F4E" w:rsidRPr="00065E56" w:rsidRDefault="00F66F4E">
      <w:pPr>
        <w:rPr>
          <w:rFonts w:ascii="Times New Roman" w:hAnsi="Times New Roman" w:cs="Times New Roman"/>
        </w:rPr>
      </w:pPr>
    </w:p>
    <w:p w14:paraId="50FBA9D9" w14:textId="1784E9EF" w:rsidR="00F66F4E" w:rsidRDefault="00F66F4E">
      <w:pPr>
        <w:rPr>
          <w:rFonts w:ascii="Times New Roman" w:hAnsi="Times New Roman" w:cs="Times New Roman"/>
        </w:rPr>
      </w:pPr>
    </w:p>
    <w:p w14:paraId="610F2FF8" w14:textId="1EB01523" w:rsidR="004800C1" w:rsidRDefault="004800C1">
      <w:pPr>
        <w:rPr>
          <w:rFonts w:ascii="Times New Roman" w:hAnsi="Times New Roman" w:cs="Times New Roman"/>
        </w:rPr>
      </w:pPr>
    </w:p>
    <w:p w14:paraId="6427A399" w14:textId="5FBC1426" w:rsidR="004800C1" w:rsidRDefault="004800C1">
      <w:pPr>
        <w:rPr>
          <w:rFonts w:ascii="Times New Roman" w:hAnsi="Times New Roman" w:cs="Times New Roman"/>
        </w:rPr>
      </w:pPr>
    </w:p>
    <w:p w14:paraId="4D5DE167" w14:textId="259CFFF7" w:rsidR="004800C1" w:rsidRDefault="004800C1">
      <w:pPr>
        <w:rPr>
          <w:rFonts w:ascii="Times New Roman" w:hAnsi="Times New Roman" w:cs="Times New Roman"/>
        </w:rPr>
      </w:pPr>
    </w:p>
    <w:p w14:paraId="13146E84" w14:textId="11E071E2" w:rsidR="004800C1" w:rsidRDefault="004800C1">
      <w:pPr>
        <w:rPr>
          <w:rFonts w:ascii="Times New Roman" w:hAnsi="Times New Roman" w:cs="Times New Roman"/>
        </w:rPr>
      </w:pPr>
    </w:p>
    <w:p w14:paraId="6A7D99DB" w14:textId="6F844D95" w:rsidR="004800C1" w:rsidRDefault="004800C1">
      <w:pPr>
        <w:rPr>
          <w:rFonts w:ascii="Times New Roman" w:hAnsi="Times New Roman" w:cs="Times New Roman"/>
        </w:rPr>
      </w:pPr>
    </w:p>
    <w:p w14:paraId="41A143F7" w14:textId="62B937DD" w:rsidR="004800C1" w:rsidRDefault="004800C1">
      <w:pPr>
        <w:rPr>
          <w:rFonts w:ascii="Times New Roman" w:hAnsi="Times New Roman" w:cs="Times New Roman"/>
        </w:rPr>
      </w:pPr>
    </w:p>
    <w:p w14:paraId="76A11104" w14:textId="1C16D0B3" w:rsidR="004800C1" w:rsidRDefault="004800C1">
      <w:pPr>
        <w:rPr>
          <w:rFonts w:ascii="Times New Roman" w:hAnsi="Times New Roman" w:cs="Times New Roman"/>
        </w:rPr>
      </w:pPr>
    </w:p>
    <w:p w14:paraId="32511B73" w14:textId="6C96DBFF" w:rsidR="004800C1" w:rsidRDefault="004800C1">
      <w:pPr>
        <w:rPr>
          <w:rFonts w:ascii="Times New Roman" w:hAnsi="Times New Roman" w:cs="Times New Roman"/>
        </w:rPr>
      </w:pPr>
    </w:p>
    <w:p w14:paraId="7282C1F1" w14:textId="1D572194" w:rsidR="004800C1" w:rsidRDefault="004800C1">
      <w:pPr>
        <w:rPr>
          <w:rFonts w:ascii="Times New Roman" w:hAnsi="Times New Roman" w:cs="Times New Roman"/>
        </w:rPr>
      </w:pPr>
    </w:p>
    <w:p w14:paraId="32AFFB51" w14:textId="24491005" w:rsidR="004800C1" w:rsidRDefault="004800C1">
      <w:pPr>
        <w:rPr>
          <w:rFonts w:ascii="Times New Roman" w:hAnsi="Times New Roman" w:cs="Times New Roman"/>
        </w:rPr>
      </w:pPr>
    </w:p>
    <w:p w14:paraId="21F84F22" w14:textId="4E00917C" w:rsidR="004800C1" w:rsidRDefault="004800C1">
      <w:pPr>
        <w:rPr>
          <w:rFonts w:ascii="Times New Roman" w:hAnsi="Times New Roman" w:cs="Times New Roman"/>
        </w:rPr>
      </w:pPr>
    </w:p>
    <w:p w14:paraId="06DA1C7D" w14:textId="7883A419" w:rsidR="004800C1" w:rsidRDefault="004800C1">
      <w:pPr>
        <w:rPr>
          <w:rFonts w:ascii="Times New Roman" w:hAnsi="Times New Roman" w:cs="Times New Roman"/>
        </w:rPr>
      </w:pPr>
    </w:p>
    <w:p w14:paraId="6D3B583A" w14:textId="18B4A0BC" w:rsidR="004800C1" w:rsidRDefault="004800C1">
      <w:pPr>
        <w:rPr>
          <w:rFonts w:ascii="Times New Roman" w:hAnsi="Times New Roman" w:cs="Times New Roman"/>
        </w:rPr>
      </w:pPr>
    </w:p>
    <w:p w14:paraId="648702EB" w14:textId="2A87DB2C" w:rsidR="004800C1" w:rsidRDefault="004800C1">
      <w:pPr>
        <w:rPr>
          <w:rFonts w:ascii="Times New Roman" w:hAnsi="Times New Roman" w:cs="Times New Roman"/>
        </w:rPr>
      </w:pPr>
    </w:p>
    <w:p w14:paraId="38EFECBE" w14:textId="675A12FB" w:rsidR="004800C1" w:rsidRDefault="004800C1">
      <w:pPr>
        <w:rPr>
          <w:rFonts w:ascii="Times New Roman" w:hAnsi="Times New Roman" w:cs="Times New Roman"/>
        </w:rPr>
      </w:pPr>
    </w:p>
    <w:p w14:paraId="05971ED9" w14:textId="11872162" w:rsidR="004800C1" w:rsidRDefault="004800C1">
      <w:pPr>
        <w:rPr>
          <w:rFonts w:ascii="Times New Roman" w:hAnsi="Times New Roman" w:cs="Times New Roman"/>
        </w:rPr>
      </w:pPr>
    </w:p>
    <w:p w14:paraId="08186913" w14:textId="2B83A16C" w:rsidR="004800C1" w:rsidRDefault="004800C1">
      <w:pPr>
        <w:rPr>
          <w:rFonts w:ascii="Times New Roman" w:hAnsi="Times New Roman" w:cs="Times New Roman"/>
        </w:rPr>
      </w:pPr>
    </w:p>
    <w:p w14:paraId="73D46374" w14:textId="35F85453" w:rsidR="004800C1" w:rsidRDefault="004800C1">
      <w:pPr>
        <w:rPr>
          <w:rFonts w:ascii="Times New Roman" w:hAnsi="Times New Roman" w:cs="Times New Roman"/>
        </w:rPr>
      </w:pPr>
    </w:p>
    <w:p w14:paraId="12C7BF4F" w14:textId="1402F44C" w:rsidR="004800C1" w:rsidRDefault="004800C1">
      <w:pPr>
        <w:rPr>
          <w:rFonts w:ascii="Times New Roman" w:hAnsi="Times New Roman" w:cs="Times New Roman"/>
        </w:rPr>
      </w:pPr>
    </w:p>
    <w:p w14:paraId="5062BCBC" w14:textId="76EF49D1" w:rsidR="004800C1" w:rsidRDefault="004800C1">
      <w:pPr>
        <w:rPr>
          <w:rFonts w:ascii="Times New Roman" w:hAnsi="Times New Roman" w:cs="Times New Roman"/>
        </w:rPr>
      </w:pPr>
    </w:p>
    <w:p w14:paraId="54EFC8BE" w14:textId="0DF4F792" w:rsidR="004800C1" w:rsidRDefault="004800C1">
      <w:pPr>
        <w:rPr>
          <w:rFonts w:ascii="Times New Roman" w:hAnsi="Times New Roman" w:cs="Times New Roman"/>
        </w:rPr>
      </w:pPr>
    </w:p>
    <w:p w14:paraId="09CA47A7" w14:textId="302B7A35" w:rsidR="004800C1" w:rsidRDefault="004800C1">
      <w:pPr>
        <w:rPr>
          <w:rFonts w:ascii="Times New Roman" w:hAnsi="Times New Roman" w:cs="Times New Roman"/>
        </w:rPr>
      </w:pPr>
    </w:p>
    <w:p w14:paraId="0EFC0100" w14:textId="74BF03E3" w:rsidR="004800C1" w:rsidRDefault="004800C1">
      <w:pPr>
        <w:rPr>
          <w:rFonts w:ascii="Times New Roman" w:hAnsi="Times New Roman" w:cs="Times New Roman"/>
        </w:rPr>
      </w:pPr>
    </w:p>
    <w:p w14:paraId="5F04FFB8" w14:textId="5DD3112E" w:rsidR="004800C1" w:rsidRDefault="004800C1">
      <w:pPr>
        <w:rPr>
          <w:rFonts w:ascii="Times New Roman" w:hAnsi="Times New Roman" w:cs="Times New Roman"/>
        </w:rPr>
      </w:pPr>
    </w:p>
    <w:p w14:paraId="0546FBAA" w14:textId="0F315618" w:rsidR="004800C1" w:rsidRDefault="004800C1">
      <w:pPr>
        <w:rPr>
          <w:rFonts w:ascii="Times New Roman" w:hAnsi="Times New Roman" w:cs="Times New Roman"/>
        </w:rPr>
      </w:pPr>
    </w:p>
    <w:p w14:paraId="72C08612" w14:textId="5EE458F3" w:rsidR="004800C1" w:rsidRDefault="004800C1">
      <w:pPr>
        <w:rPr>
          <w:rFonts w:ascii="Times New Roman" w:hAnsi="Times New Roman" w:cs="Times New Roman"/>
        </w:rPr>
      </w:pPr>
    </w:p>
    <w:p w14:paraId="79353838" w14:textId="09BAA34D" w:rsidR="004800C1" w:rsidRDefault="004800C1">
      <w:pPr>
        <w:rPr>
          <w:rFonts w:ascii="Times New Roman" w:hAnsi="Times New Roman" w:cs="Times New Roman"/>
        </w:rPr>
      </w:pPr>
    </w:p>
    <w:p w14:paraId="58176443" w14:textId="146E4D63" w:rsidR="004800C1" w:rsidRDefault="004800C1">
      <w:pPr>
        <w:rPr>
          <w:rFonts w:ascii="Times New Roman" w:hAnsi="Times New Roman" w:cs="Times New Roman"/>
        </w:rPr>
      </w:pPr>
    </w:p>
    <w:p w14:paraId="669B89C8" w14:textId="7801AE0C" w:rsidR="004800C1" w:rsidRDefault="004800C1">
      <w:pPr>
        <w:rPr>
          <w:rFonts w:ascii="Times New Roman" w:hAnsi="Times New Roman" w:cs="Times New Roman"/>
        </w:rPr>
      </w:pPr>
    </w:p>
    <w:p w14:paraId="737EEDE1" w14:textId="6778C3C0" w:rsidR="004800C1" w:rsidRDefault="004800C1">
      <w:pPr>
        <w:rPr>
          <w:rFonts w:ascii="Times New Roman" w:hAnsi="Times New Roman" w:cs="Times New Roman"/>
        </w:rPr>
      </w:pPr>
    </w:p>
    <w:p w14:paraId="1EFA9610" w14:textId="0E5B9A37" w:rsidR="004800C1" w:rsidRDefault="004800C1">
      <w:pPr>
        <w:rPr>
          <w:rFonts w:ascii="Times New Roman" w:hAnsi="Times New Roman" w:cs="Times New Roman"/>
        </w:rPr>
      </w:pPr>
    </w:p>
    <w:p w14:paraId="6B37DE82" w14:textId="596019B6" w:rsidR="004800C1" w:rsidRDefault="004800C1">
      <w:pPr>
        <w:rPr>
          <w:rFonts w:ascii="Times New Roman" w:hAnsi="Times New Roman" w:cs="Times New Roman"/>
        </w:rPr>
      </w:pPr>
    </w:p>
    <w:p w14:paraId="56C737F4" w14:textId="33BA6781" w:rsidR="004800C1" w:rsidRDefault="004800C1">
      <w:pPr>
        <w:rPr>
          <w:rFonts w:ascii="Times New Roman" w:hAnsi="Times New Roman" w:cs="Times New Roman"/>
        </w:rPr>
      </w:pPr>
    </w:p>
    <w:p w14:paraId="11218DDE" w14:textId="4F4C347F" w:rsidR="004800C1" w:rsidRDefault="004800C1">
      <w:pPr>
        <w:rPr>
          <w:rFonts w:ascii="Times New Roman" w:hAnsi="Times New Roman" w:cs="Times New Roman"/>
        </w:rPr>
      </w:pPr>
    </w:p>
    <w:p w14:paraId="3986C47A" w14:textId="022C5C15" w:rsidR="004800C1" w:rsidRDefault="004800C1">
      <w:pPr>
        <w:rPr>
          <w:rFonts w:ascii="Times New Roman" w:hAnsi="Times New Roman" w:cs="Times New Roman"/>
        </w:rPr>
      </w:pPr>
    </w:p>
    <w:p w14:paraId="7AD54A59" w14:textId="6392256E" w:rsidR="004800C1" w:rsidRDefault="004800C1">
      <w:pPr>
        <w:rPr>
          <w:rFonts w:ascii="Times New Roman" w:hAnsi="Times New Roman" w:cs="Times New Roman"/>
        </w:rPr>
      </w:pPr>
    </w:p>
    <w:p w14:paraId="78B2C97F" w14:textId="77777777" w:rsidR="004800C1" w:rsidRPr="00065E56" w:rsidRDefault="004800C1">
      <w:pPr>
        <w:rPr>
          <w:rFonts w:ascii="Times New Roman" w:hAnsi="Times New Roman" w:cs="Times New Roman"/>
        </w:rPr>
      </w:pPr>
    </w:p>
    <w:p w14:paraId="30487FC5" w14:textId="685A63E8" w:rsidR="00F66F4E" w:rsidRPr="00065E56" w:rsidRDefault="00F66F4E">
      <w:pPr>
        <w:rPr>
          <w:rFonts w:ascii="Times New Roman" w:hAnsi="Times New Roman" w:cs="Times New Roman"/>
        </w:rPr>
      </w:pPr>
    </w:p>
    <w:p w14:paraId="67492B74" w14:textId="7DE8F37C" w:rsidR="000400EC" w:rsidRDefault="000400EC" w:rsidP="000400EC">
      <w:pPr>
        <w:rPr>
          <w:rFonts w:ascii="Times New Roman" w:hAnsi="Times New Roman" w:cs="Times New Roman"/>
          <w:b/>
          <w:bCs/>
        </w:rPr>
      </w:pPr>
      <w:r w:rsidRPr="00065E56">
        <w:rPr>
          <w:rFonts w:ascii="Times New Roman" w:hAnsi="Times New Roman" w:cs="Times New Roman"/>
          <w:b/>
          <w:bCs/>
        </w:rPr>
        <w:lastRenderedPageBreak/>
        <w:t>Chapter 2</w:t>
      </w:r>
      <w:r w:rsidR="005D6960">
        <w:rPr>
          <w:rFonts w:ascii="Times New Roman" w:hAnsi="Times New Roman" w:cs="Times New Roman"/>
          <w:b/>
          <w:bCs/>
        </w:rPr>
        <w:t>: Literature Review</w:t>
      </w:r>
    </w:p>
    <w:p w14:paraId="6CD1E10B" w14:textId="5B931412" w:rsidR="004800C1" w:rsidRDefault="004800C1" w:rsidP="000400EC">
      <w:pPr>
        <w:rPr>
          <w:rFonts w:ascii="Times New Roman" w:hAnsi="Times New Roman" w:cs="Times New Roman"/>
          <w:b/>
          <w:bCs/>
        </w:rPr>
      </w:pPr>
      <w:r>
        <w:rPr>
          <w:rFonts w:ascii="Times New Roman" w:hAnsi="Times New Roman" w:cs="Times New Roman"/>
          <w:b/>
          <w:bCs/>
        </w:rPr>
        <w:tab/>
      </w:r>
    </w:p>
    <w:p w14:paraId="6A256D4F" w14:textId="2FDDBF36" w:rsidR="001A6BF2" w:rsidRDefault="004800C1" w:rsidP="000400EC">
      <w:pPr>
        <w:spacing w:line="480" w:lineRule="auto"/>
        <w:rPr>
          <w:rFonts w:ascii="Times New Roman" w:hAnsi="Times New Roman" w:cs="Times New Roman"/>
        </w:rPr>
      </w:pPr>
      <w:r>
        <w:rPr>
          <w:rFonts w:ascii="Times New Roman" w:hAnsi="Times New Roman" w:cs="Times New Roman"/>
          <w:b/>
          <w:bCs/>
        </w:rPr>
        <w:tab/>
      </w:r>
      <w:r>
        <w:rPr>
          <w:rFonts w:ascii="Times New Roman" w:hAnsi="Times New Roman" w:cs="Times New Roman"/>
        </w:rPr>
        <w:t>Due to the reduction of Clinical Anatomy contact hours</w:t>
      </w:r>
      <w:r w:rsidR="001A6BF2">
        <w:rPr>
          <w:rFonts w:ascii="Times New Roman" w:hAnsi="Times New Roman" w:cs="Times New Roman"/>
        </w:rPr>
        <w:t>, the increase in demand for active learning techniques and self-directed learning strategies, one avenue of medical education research has focused on online learning. The following review of literature will provide a history of pre-clinical medical education, the major theories of distance education, and an overview of online learning. Additionally, a discussion of early COVID-19 era medical education literature will conclude the chapter.</w:t>
      </w:r>
    </w:p>
    <w:p w14:paraId="278B798B" w14:textId="6EFCA7E2" w:rsidR="000400EC" w:rsidRPr="00065E56" w:rsidRDefault="001A6BF2" w:rsidP="000400EC">
      <w:pPr>
        <w:spacing w:line="480" w:lineRule="auto"/>
        <w:rPr>
          <w:rFonts w:ascii="Times New Roman" w:hAnsi="Times New Roman" w:cs="Times New Roman"/>
        </w:rPr>
      </w:pPr>
      <w:r>
        <w:rPr>
          <w:rFonts w:ascii="Times New Roman" w:hAnsi="Times New Roman" w:cs="Times New Roman"/>
        </w:rPr>
        <w:tab/>
      </w:r>
      <w:r w:rsidR="000400EC" w:rsidRPr="00065E56">
        <w:rPr>
          <w:rFonts w:ascii="Times New Roman" w:hAnsi="Times New Roman" w:cs="Times New Roman"/>
        </w:rPr>
        <w:t>The curricula of American medical and dental education have undergone a radical transformation in the past 250 years. Medical training in the 17</w:t>
      </w:r>
      <w:r w:rsidR="000400EC" w:rsidRPr="00065E56">
        <w:rPr>
          <w:rFonts w:ascii="Times New Roman" w:hAnsi="Times New Roman" w:cs="Times New Roman"/>
          <w:vertAlign w:val="superscript"/>
        </w:rPr>
        <w:t>th</w:t>
      </w:r>
      <w:r w:rsidR="000400EC" w:rsidRPr="00065E56">
        <w:rPr>
          <w:rFonts w:ascii="Times New Roman" w:hAnsi="Times New Roman" w:cs="Times New Roman"/>
        </w:rPr>
        <w:t xml:space="preserve"> century was an extended apprenticeship with little to no guidance on required competencies or uniform mechanisms to assess fitness to practice medicine. Originally a response to widespread poor clinical practices, curricular reform evolved into an evidence-based, systematic process that incorporated the functional portions of a previous movement into a new program and philosophy. Specifically, the past 60 years of curricular reformation focused on aligning medical and dental curricula to concurrent cognitive science research. </w:t>
      </w:r>
    </w:p>
    <w:p w14:paraId="2CC289DC" w14:textId="77777777" w:rsidR="000400EC" w:rsidRPr="00065E56" w:rsidRDefault="000400EC" w:rsidP="000400EC">
      <w:pPr>
        <w:spacing w:line="480" w:lineRule="auto"/>
        <w:rPr>
          <w:rFonts w:ascii="Times New Roman" w:hAnsi="Times New Roman" w:cs="Times New Roman"/>
        </w:rPr>
      </w:pPr>
      <w:r w:rsidRPr="00065E56">
        <w:rPr>
          <w:rFonts w:ascii="Times New Roman" w:hAnsi="Times New Roman" w:cs="Times New Roman"/>
        </w:rPr>
        <w:tab/>
        <w:t xml:space="preserve">Curriculum has multiple meanings, and for this study is defined as a program of teaching and learning which takes place in a formal setting and contains four dimensions: aims, content, methods, and assessment </w:t>
      </w:r>
      <w:r w:rsidRPr="00065E56">
        <w:rPr>
          <w:rFonts w:ascii="Times New Roman" w:hAnsi="Times New Roman" w:cs="Times New Roman"/>
        </w:rPr>
        <w:fldChar w:fldCharType="begin"/>
      </w:r>
      <w:r w:rsidRPr="00065E56">
        <w:rPr>
          <w:rFonts w:ascii="Times New Roman" w:hAnsi="Times New Roman" w:cs="Times New Roman"/>
        </w:rPr>
        <w:instrText xml:space="preserve"> ADDIN ZOTERO_ITEM CSL_CITATION {"citationID":"uqtO55SQ","properties":{"formattedCitation":"(Scott, 2001)","plainCitation":"(Scott, 2001)","noteIndex":0},"citationItems":[{"id":525,"uris":["http://zotero.org/users/local/8fpcHUeo/items/EGP9Y7IX"],"uri":["http://zotero.org/users/local/8fpcHUeo/items/EGP9Y7IX"],"itemData":{"id":525,"type":"entry-encyclopedia","container-title":"International Encyclopedia of the Social &amp; Behavioral Sicneces","ISBN":"978-0-08-043076-8","page":"3195-3198","publisher":"Elsevier, Ltd.","title":"Curriculum Theory","author":[{"family":"Scott","given":"D"}],"accessed":{"date-parts":[["2021",2,25]]},"issued":{"date-parts":[["2001"]]}}}],"schema":"https://github.com/citation-style-language/schema/raw/master/csl-citation.json"} </w:instrText>
      </w:r>
      <w:r w:rsidRPr="00065E56">
        <w:rPr>
          <w:rFonts w:ascii="Times New Roman" w:hAnsi="Times New Roman" w:cs="Times New Roman"/>
        </w:rPr>
        <w:fldChar w:fldCharType="separate"/>
      </w:r>
      <w:r w:rsidRPr="00065E56">
        <w:rPr>
          <w:rFonts w:ascii="Times New Roman" w:hAnsi="Times New Roman" w:cs="Times New Roman"/>
          <w:noProof/>
        </w:rPr>
        <w:t>(Scott, 2001)</w:t>
      </w:r>
      <w:r w:rsidRPr="00065E56">
        <w:rPr>
          <w:rFonts w:ascii="Times New Roman" w:hAnsi="Times New Roman" w:cs="Times New Roman"/>
        </w:rPr>
        <w:fldChar w:fldCharType="end"/>
      </w:r>
      <w:r w:rsidRPr="00065E56">
        <w:rPr>
          <w:rFonts w:ascii="Times New Roman" w:hAnsi="Times New Roman" w:cs="Times New Roman"/>
        </w:rPr>
        <w:t xml:space="preserve">.  The aims of American medical and dental curricula ultimately coalesced, with a recent Harvard University report serving as example: promote critical thinking utilizing expert comprehensive knowledge frameworks. Additionally, Harvard educators aimed to construct curricula that promoted professionalism and self-directed, lifelong learning </w:t>
      </w:r>
      <w:r w:rsidRPr="00065E56">
        <w:rPr>
          <w:rFonts w:ascii="Times New Roman" w:hAnsi="Times New Roman" w:cs="Times New Roman"/>
        </w:rPr>
        <w:fldChar w:fldCharType="begin"/>
      </w:r>
      <w:r w:rsidRPr="00065E56">
        <w:rPr>
          <w:rFonts w:ascii="Times New Roman" w:hAnsi="Times New Roman" w:cs="Times New Roman"/>
        </w:rPr>
        <w:instrText xml:space="preserve"> ADDIN ZOTERO_ITEM CSL_CITATION {"citationID":"2RfJqtky","properties":{"formattedCitation":"(Schwartzstein et al., 2020)","plainCitation":"(Schwartzstein et al., 2020)","noteIndex":0},"citationItems":[{"id":461,"uris":["http://zotero.org/users/local/8fpcHUeo/items/IFC4UDIN"],"uri":["http://zotero.org/users/local/8fpcHUeo/items/IFC4UDIN"],"itemData":{"id":461,"type":"article-journal","container-title":"Academic Medicine","DOI":"10.1097/ACM.0000000000003270","ISSN":"1040-2446","issue":"11","language":"en","page":"1687-1695","source":"DOI.org (Crossref)","title":"The Harvard Medical School Pathways Curriculum: Reimagining Developmentally Appropriate Medical Education for Contemporary Learners","title-short":"The Harvard Medical School Pathways Curriculum","volume":"95","author":[{"family":"Schwartzstein","given":"Richard M."},{"family":"Dienstag","given":"Jules L."},{"family":"King","given":"Randall W."},{"family":"Chang","given":"Bernard S."},{"family":"Flanagan","given":"John G."},{"family":"Besche","given":"Henrike C."},{"family":"Hoenig","given":"Melanie P."},{"family":"Miloslavsky","given":"Eli M."},{"family":"Atkins","given":"K. Meredith"},{"family":"Puig","given":"Alberto"},{"family":"Cockrill","given":"Barbara A."},{"family":"Wittels","given":"Kathleen A."},{"family":"Dalrymple","given":"John L."},{"family":"Gooding","given":"Holly"},{"family":"Hirsh","given":"David A."},{"family":"Alexander","given":"Erik K."},{"family":"Fazio","given":"Sara B."},{"family":"Hundert","given":"Edward M."},{"literal":"for the Pathways Writing Group"}],"issued":{"date-parts":[["2020",11]]}}}],"schema":"https://github.com/citation-style-language/schema/raw/master/csl-citation.json"} </w:instrText>
      </w:r>
      <w:r w:rsidRPr="00065E56">
        <w:rPr>
          <w:rFonts w:ascii="Times New Roman" w:hAnsi="Times New Roman" w:cs="Times New Roman"/>
        </w:rPr>
        <w:fldChar w:fldCharType="separate"/>
      </w:r>
      <w:r w:rsidRPr="00065E56">
        <w:rPr>
          <w:rFonts w:ascii="Times New Roman" w:hAnsi="Times New Roman" w:cs="Times New Roman"/>
          <w:noProof/>
        </w:rPr>
        <w:t>(Schwartzstein et al., 2020)</w:t>
      </w:r>
      <w:r w:rsidRPr="00065E56">
        <w:rPr>
          <w:rFonts w:ascii="Times New Roman" w:hAnsi="Times New Roman" w:cs="Times New Roman"/>
        </w:rPr>
        <w:fldChar w:fldCharType="end"/>
      </w:r>
      <w:r w:rsidRPr="00065E56">
        <w:rPr>
          <w:rFonts w:ascii="Times New Roman" w:hAnsi="Times New Roman" w:cs="Times New Roman"/>
        </w:rPr>
        <w:t xml:space="preserve">. Hypothetico-deductive reasoning, or critical thinking based on the scientific method, could only be applied within broad knowledge of the basic sciences. </w:t>
      </w:r>
      <w:r w:rsidRPr="00065E56">
        <w:rPr>
          <w:rFonts w:ascii="Times New Roman" w:hAnsi="Times New Roman" w:cs="Times New Roman"/>
        </w:rPr>
        <w:lastRenderedPageBreak/>
        <w:t xml:space="preserve">Basic sciences are the language of medicine as they are the fundamentals of understanding pathophysiology and the reasoning of drug selection </w:t>
      </w:r>
      <w:r w:rsidRPr="00065E56">
        <w:rPr>
          <w:rFonts w:ascii="Times New Roman" w:hAnsi="Times New Roman" w:cs="Times New Roman"/>
        </w:rPr>
        <w:fldChar w:fldCharType="begin"/>
      </w:r>
      <w:r w:rsidRPr="00065E56">
        <w:rPr>
          <w:rFonts w:ascii="Times New Roman" w:hAnsi="Times New Roman" w:cs="Times New Roman"/>
        </w:rPr>
        <w:instrText xml:space="preserve"> ADDIN ZOTERO_ITEM CSL_CITATION {"citationID":"lD9QzcFz","properties":{"formattedCitation":"(Ganguly et al., 2019)","plainCitation":"(Ganguly et al., 2019)","noteIndex":0},"citationItems":[{"id":459,"uris":["http://zotero.org/users/local/8fpcHUeo/items/4FBZ7ZEC"],"uri":["http://zotero.org/users/local/8fpcHUeo/items/4FBZ7ZEC"],"itemData":{"id":459,"type":"article-journal","abstract":"Over the years, the medical curriculum has been changed to accommodate a variety of evolving disciplines and an exploding scientiﬁc knowledge of the basic sciences to prepare “a competent physician” of the 21st century. Therefore, we must be innovative in our approach of curricular development if we wish to continue to incorporate new basic sciences knowledge in the face of decreasing contact hours to satisfy the buzz word, “integration”. Certainly, the challenges are phenomenal. The question how to best integrate basic sciences, is not easy to answer as the objectives of the courses and outcome vary from one medical school to another and the fact is, one size does not ﬁt all. However, if we believe that basic sciences are the language of medicine and foundation of clinical knowledge, then we must resolve this ongoing dilemma by introducing basic sciences through a better alignment in a given curriculum. The purpose of this review is to evaluate different curricular models for their basic sciences content and address their strengths and weaknesses. In addition, we will introduce a spiral design to integrate basic sciences for senior students. Finally, we will provide some insight as to how learning and retention of basic science content can be sustained.","container-title":"Canadian Journal of Physiology and Pharmacology","DOI":"10.1139/cjpp-2018-0428","ISSN":"0008-4212, 1205-7541","issue":"4","journalAbbreviation":"Can. J. Physiol. Pharmacol.","language":"en","page":"293-296","source":"DOI.org (Crossref)","title":"Medical education dilemma: How can we best accommodate basic sciences in a curriculum for 21st century medical students?","title-short":"Medical education dilemma","volume":"97","author":[{"family":"Ganguly","given":"Paul"},{"family":"Yaqinuddin","given":"Ahmed"},{"family":"Al-Kattan","given":"Wael"},{"family":"Kemahli","given":"Sabri"},{"family":"AlKattan","given":"Khaled"}],"issued":{"date-parts":[["2019",4]]}}}],"schema":"https://github.com/citation-style-language/schema/raw/master/csl-citation.json"} </w:instrText>
      </w:r>
      <w:r w:rsidRPr="00065E56">
        <w:rPr>
          <w:rFonts w:ascii="Times New Roman" w:hAnsi="Times New Roman" w:cs="Times New Roman"/>
        </w:rPr>
        <w:fldChar w:fldCharType="separate"/>
      </w:r>
      <w:r w:rsidRPr="00065E56">
        <w:rPr>
          <w:rFonts w:ascii="Times New Roman" w:hAnsi="Times New Roman" w:cs="Times New Roman"/>
          <w:noProof/>
        </w:rPr>
        <w:t>(Ganguly et al., 2019)</w:t>
      </w:r>
      <w:r w:rsidRPr="00065E56">
        <w:rPr>
          <w:rFonts w:ascii="Times New Roman" w:hAnsi="Times New Roman" w:cs="Times New Roman"/>
        </w:rPr>
        <w:fldChar w:fldCharType="end"/>
      </w:r>
      <w:r w:rsidRPr="00065E56">
        <w:rPr>
          <w:rFonts w:ascii="Times New Roman" w:hAnsi="Times New Roman" w:cs="Times New Roman"/>
        </w:rPr>
        <w:t>.</w:t>
      </w:r>
    </w:p>
    <w:p w14:paraId="3E2F97E3" w14:textId="77777777" w:rsidR="000400EC" w:rsidRPr="00065E56" w:rsidRDefault="000400EC" w:rsidP="000400EC">
      <w:pPr>
        <w:spacing w:line="480" w:lineRule="auto"/>
        <w:rPr>
          <w:rFonts w:ascii="Times New Roman" w:hAnsi="Times New Roman" w:cs="Times New Roman"/>
        </w:rPr>
      </w:pPr>
      <w:r w:rsidRPr="00065E56">
        <w:rPr>
          <w:rFonts w:ascii="Times New Roman" w:hAnsi="Times New Roman" w:cs="Times New Roman"/>
          <w:b/>
          <w:bCs/>
          <w:color w:val="4472C4" w:themeColor="accent1"/>
        </w:rPr>
        <w:tab/>
      </w:r>
      <w:r w:rsidRPr="00065E56">
        <w:rPr>
          <w:rFonts w:ascii="Times New Roman" w:hAnsi="Times New Roman" w:cs="Times New Roman"/>
        </w:rPr>
        <w:t xml:space="preserve">Anatomy education in the health professions has been subject to scrutiny and change during the past thirty years for multiple reasons. Anatomy is a basic science traditionally taught by lecture and dissection laboratory in the didactic, or pre-clinical phase of a program. Introductory clinical skills and reasoning were integrated into anatomy curriculum over the past 35 years to promote the critical thinking capabilities of students progressing onto the clinical phase </w:t>
      </w:r>
      <w:r w:rsidRPr="00065E56">
        <w:rPr>
          <w:rFonts w:ascii="Times New Roman" w:hAnsi="Times New Roman" w:cs="Times New Roman"/>
        </w:rPr>
        <w:fldChar w:fldCharType="begin"/>
      </w:r>
      <w:r w:rsidRPr="00065E56">
        <w:rPr>
          <w:rFonts w:ascii="Times New Roman" w:hAnsi="Times New Roman" w:cs="Times New Roman"/>
        </w:rPr>
        <w:instrText xml:space="preserve"> ADDIN ZOTERO_ITEM CSL_CITATION {"citationID":"35eHjCf4","properties":{"formattedCitation":"(Cooke et al., 2010)","plainCitation":"(Cooke et al., 2010)","noteIndex":0},"citationItems":[{"id":270,"uris":["http://zotero.org/users/local/8fpcHUeo/items/FY9K5II3"],"uri":["http://zotero.org/users/local/8fpcHUeo/items/FY9K5II3"],"itemData":{"id":270,"type":"book","abstract":"\"Emerging from a study of physician education by the Carnegie Foundation for the Advancement of Teaching, Educating Physicians calls for a major overhaul of the present approach to preparing doctors for their careers. The text addresses key issues for the future of the field and takes a comprehensive look at the most pressing concerns in physician education today. Like the Carnegie Foundation's revolutionizing Flexner Report of 1910, Educating Physicians is destined to change the way administrators and faculty in medical schools and programs prepare their physicians for the future\"--Provided by publisher","call-number":"R745 .C936 2010","collection-title":"The preparation for the professions series","edition":"1st ed","event-place":"San Francisco, CA","ISBN":"978-0-470-45797-9","language":"en","note":"OCLC: ocn475440701","number-of-pages":"304","publisher":"Jossey-Bass","publisher-place":"San Francisco, CA","source":"Library of Congress ISBN","title":"Educating physicians: a call for reform of medical school and residency","title-short":"Educating physicians","author":[{"family":"Cooke","given":"Molly"},{"family":"Irby","given":"David M."},{"family":"O'Brien","given":"Bridget C."}],"issued":{"date-parts":[["2010"]]}}}],"schema":"https://github.com/citation-style-language/schema/raw/master/csl-citation.json"} </w:instrText>
      </w:r>
      <w:r w:rsidRPr="00065E56">
        <w:rPr>
          <w:rFonts w:ascii="Times New Roman" w:hAnsi="Times New Roman" w:cs="Times New Roman"/>
        </w:rPr>
        <w:fldChar w:fldCharType="separate"/>
      </w:r>
      <w:r w:rsidRPr="00065E56">
        <w:rPr>
          <w:rFonts w:ascii="Times New Roman" w:hAnsi="Times New Roman" w:cs="Times New Roman"/>
          <w:noProof/>
        </w:rPr>
        <w:t>(Cooke et al., 2010)</w:t>
      </w:r>
      <w:r w:rsidRPr="00065E56">
        <w:rPr>
          <w:rFonts w:ascii="Times New Roman" w:hAnsi="Times New Roman" w:cs="Times New Roman"/>
        </w:rPr>
        <w:fldChar w:fldCharType="end"/>
      </w:r>
      <w:r w:rsidRPr="00065E56">
        <w:rPr>
          <w:rFonts w:ascii="Times New Roman" w:hAnsi="Times New Roman" w:cs="Times New Roman"/>
        </w:rPr>
        <w:t xml:space="preserve">. Additionally, medical knowledge is projected to double every 73 days by 2020 </w:t>
      </w:r>
      <w:r w:rsidRPr="00065E56">
        <w:rPr>
          <w:rFonts w:ascii="Times New Roman" w:hAnsi="Times New Roman" w:cs="Times New Roman"/>
        </w:rPr>
        <w:fldChar w:fldCharType="begin"/>
      </w:r>
      <w:r w:rsidRPr="00065E56">
        <w:rPr>
          <w:rFonts w:ascii="Times New Roman" w:hAnsi="Times New Roman" w:cs="Times New Roman"/>
        </w:rPr>
        <w:instrText xml:space="preserve"> ADDIN ZOTERO_ITEM CSL_CITATION {"citationID":"29mVieKP","properties":{"formattedCitation":"(Densen, n.d.)","plainCitation":"(Densen, n.d.)","dontUpdate":true,"noteIndex":0},"citationItems":[{"id":275,"uris":["http://zotero.org/users/local/8fpcHUeo/items/MAN5KW6G"],"uri":["http://zotero.org/users/local/8fpcHUeo/items/MAN5KW6G"],"itemData":{"id":275,"type":"article-journal","container-title":"Transactions of the American Clinical and Climatological Association","language":"en","page":"48-58","source":"Zotero","title":"Challenges and Opportunities Facing Medical Education","volume":"122","author":[{"family":"Densen","given":"Peter"}],"issued":{"date-parts":[["2011"]]}}}],"schema":"https://github.com/citation-style-language/schema/raw/master/csl-citation.json"} </w:instrText>
      </w:r>
      <w:r w:rsidRPr="00065E56">
        <w:rPr>
          <w:rFonts w:ascii="Times New Roman" w:hAnsi="Times New Roman" w:cs="Times New Roman"/>
        </w:rPr>
        <w:fldChar w:fldCharType="separate"/>
      </w:r>
      <w:r w:rsidRPr="00065E56">
        <w:rPr>
          <w:rFonts w:ascii="Times New Roman" w:hAnsi="Times New Roman" w:cs="Times New Roman"/>
          <w:noProof/>
        </w:rPr>
        <w:t>(Densen, 2011)</w:t>
      </w:r>
      <w:r w:rsidRPr="00065E56">
        <w:rPr>
          <w:rFonts w:ascii="Times New Roman" w:hAnsi="Times New Roman" w:cs="Times New Roman"/>
        </w:rPr>
        <w:fldChar w:fldCharType="end"/>
      </w:r>
      <w:r w:rsidRPr="00065E56">
        <w:rPr>
          <w:rFonts w:ascii="Times New Roman" w:hAnsi="Times New Roman" w:cs="Times New Roman"/>
        </w:rPr>
        <w:t xml:space="preserve">. Integration and exponential growth of medical knowledge prompted administrators nationwide to cut the number of contact hours devoted to gross anatomy in favor of seemingly more relevant content </w:t>
      </w:r>
      <w:r w:rsidRPr="00065E56">
        <w:rPr>
          <w:rFonts w:ascii="Times New Roman" w:hAnsi="Times New Roman" w:cs="Times New Roman"/>
        </w:rPr>
        <w:fldChar w:fldCharType="begin"/>
      </w:r>
      <w:r w:rsidRPr="00065E56">
        <w:rPr>
          <w:rFonts w:ascii="Times New Roman" w:hAnsi="Times New Roman" w:cs="Times New Roman"/>
        </w:rPr>
        <w:instrText xml:space="preserve"> ADDIN ZOTERO_ITEM CSL_CITATION {"citationID":"tcfRprkK","properties":{"formattedCitation":"(Drake et al., 2009; McBride &amp; Drake, 2018)","plainCitation":"(Drake et al., 2009; McBride &amp; Drake, 2018)","noteIndex":0},"citationItems":[{"id":268,"uris":["http://zotero.org/users/local/8fpcHUeo/items/HPNC6XTM"],"uri":["http://zotero.org/users/local/8fpcHUeo/items/HPNC6XTM"],"itemData":{"id":268,"type":"article-journal","container-title":"Anatomical Sciences Education","DOI":"10.1002/ase.117","ISSN":"19359772, 19359780","issue":"6","journalAbbreviation":"Anat Sci Ed","language":"en","page":"253-259","source":"DOI.org (Crossref)","title":"Medical education in the anatomical sciences: The winds of change continue to blow","title-short":"Medical education in the anatomical sciences","volume":"2","author":[{"family":"Drake","given":"Richard L."},{"family":"McBride","given":"Jennifer M."},{"family":"Lachman","given":"Nirusha"},{"family":"Pawlina","given":"Wojciech"}],"issued":{"date-parts":[["2009",11]]}}},{"id":528,"uris":["http://zotero.org/users/local/8fpcHUeo/items/ZDM6VDSV"],"uri":["http://zotero.org/users/local/8fpcHUeo/items/ZDM6VDSV"],"itemData":{"id":528,"type":"article-journal","container-title":"Anatomical Sciences Education","DOI":"10.1002/ase.1760","ISSN":"19359772","issue":"1","journalAbbreviation":"American Association of Anatomists","language":"en","page":"7-14","source":"DOI.org (Crossref)","title":"National survey on anatomical sciences in medical education: Anatomical Sciences in Medical Education","title-short":"National survey on anatomical sciences in medical education","volume":"11","author":[{"family":"McBride","given":"Jennifer M."},{"family":"Drake","given":"Richard L."}],"issued":{"date-parts":[["2018",1]]}}}],"schema":"https://github.com/citation-style-language/schema/raw/master/csl-citation.json"} </w:instrText>
      </w:r>
      <w:r w:rsidRPr="00065E56">
        <w:rPr>
          <w:rFonts w:ascii="Times New Roman" w:hAnsi="Times New Roman" w:cs="Times New Roman"/>
        </w:rPr>
        <w:fldChar w:fldCharType="separate"/>
      </w:r>
      <w:r w:rsidRPr="00065E56">
        <w:rPr>
          <w:rFonts w:ascii="Times New Roman" w:hAnsi="Times New Roman" w:cs="Times New Roman"/>
          <w:noProof/>
        </w:rPr>
        <w:t>(Drake et al., 2009; McBride &amp; Drake, 2018)</w:t>
      </w:r>
      <w:r w:rsidRPr="00065E56">
        <w:rPr>
          <w:rFonts w:ascii="Times New Roman" w:hAnsi="Times New Roman" w:cs="Times New Roman"/>
        </w:rPr>
        <w:fldChar w:fldCharType="end"/>
      </w:r>
      <w:r w:rsidRPr="00065E56">
        <w:rPr>
          <w:rFonts w:ascii="Times New Roman" w:hAnsi="Times New Roman" w:cs="Times New Roman"/>
        </w:rPr>
        <w:t xml:space="preserve">. More recently, research promoting constructivist learning methods permeated medical education, prompting an evaluation of the didactic years’ teaching methodologies </w:t>
      </w:r>
      <w:r w:rsidRPr="00065E56">
        <w:rPr>
          <w:rFonts w:ascii="Times New Roman" w:hAnsi="Times New Roman" w:cs="Times New Roman"/>
        </w:rPr>
        <w:fldChar w:fldCharType="begin"/>
      </w:r>
      <w:r w:rsidRPr="00065E56">
        <w:rPr>
          <w:rFonts w:ascii="Times New Roman" w:hAnsi="Times New Roman" w:cs="Times New Roman"/>
        </w:rPr>
        <w:instrText xml:space="preserve"> ADDIN ZOTERO_ITEM CSL_CITATION {"citationID":"54nUnhiY","properties":{"formattedCitation":"(Cooke et al., 2010)","plainCitation":"(Cooke et al., 2010)","noteIndex":0},"citationItems":[{"id":270,"uris":["http://zotero.org/users/local/8fpcHUeo/items/FY9K5II3"],"uri":["http://zotero.org/users/local/8fpcHUeo/items/FY9K5II3"],"itemData":{"id":270,"type":"book","abstract":"\"Emerging from a study of physician education by the Carnegie Foundation for the Advancement of Teaching, Educating Physicians calls for a major overhaul of the present approach to preparing doctors for their careers. The text addresses key issues for the future of the field and takes a comprehensive look at the most pressing concerns in physician education today. Like the Carnegie Foundation's revolutionizing Flexner Report of 1910, Educating Physicians is destined to change the way administrators and faculty in medical schools and programs prepare their physicians for the future\"--Provided by publisher","call-number":"R745 .C936 2010","collection-title":"The preparation for the professions series","edition":"1st ed","event-place":"San Francisco, CA","ISBN":"978-0-470-45797-9","language":"en","note":"OCLC: ocn475440701","number-of-pages":"304","publisher":"Jossey-Bass","publisher-place":"San Francisco, CA","source":"Library of Congress ISBN","title":"Educating physicians: a call for reform of medical school and residency","title-short":"Educating physicians","author":[{"family":"Cooke","given":"Molly"},{"family":"Irby","given":"David M."},{"family":"O'Brien","given":"Bridget C."}],"issued":{"date-parts":[["2010"]]}}}],"schema":"https://github.com/citation-style-language/schema/raw/master/csl-citation.json"} </w:instrText>
      </w:r>
      <w:r w:rsidRPr="00065E56">
        <w:rPr>
          <w:rFonts w:ascii="Times New Roman" w:hAnsi="Times New Roman" w:cs="Times New Roman"/>
        </w:rPr>
        <w:fldChar w:fldCharType="separate"/>
      </w:r>
      <w:r w:rsidRPr="00065E56">
        <w:rPr>
          <w:rFonts w:ascii="Times New Roman" w:hAnsi="Times New Roman" w:cs="Times New Roman"/>
          <w:noProof/>
        </w:rPr>
        <w:t>(Cooke et al., 2010)</w:t>
      </w:r>
      <w:r w:rsidRPr="00065E56">
        <w:rPr>
          <w:rFonts w:ascii="Times New Roman" w:hAnsi="Times New Roman" w:cs="Times New Roman"/>
        </w:rPr>
        <w:fldChar w:fldCharType="end"/>
      </w:r>
      <w:r w:rsidRPr="00065E56">
        <w:rPr>
          <w:rFonts w:ascii="Times New Roman" w:hAnsi="Times New Roman" w:cs="Times New Roman"/>
        </w:rPr>
        <w:t>. Acknowledging the impossibility of teaching the volume of knowledge available to students, accrediting bodies such as the Accreditation Review Commission on Education for the Physician Assistant (ARC-PA, 2018) and the Commission on Dental Accreditation (</w:t>
      </w:r>
      <w:r w:rsidRPr="00065E56">
        <w:rPr>
          <w:rFonts w:ascii="Times New Roman" w:hAnsi="Times New Roman" w:cs="Times New Roman"/>
          <w:color w:val="000000" w:themeColor="text1"/>
        </w:rPr>
        <w:t xml:space="preserve">CODA, 2016) </w:t>
      </w:r>
      <w:r w:rsidRPr="00065E56">
        <w:rPr>
          <w:rFonts w:ascii="Times New Roman" w:hAnsi="Times New Roman" w:cs="Times New Roman"/>
        </w:rPr>
        <w:t xml:space="preserve">included directives for the development of self-directed and self-regulated learning (SDL, SRL) skills for life-long learning. </w:t>
      </w:r>
    </w:p>
    <w:p w14:paraId="42E2A692" w14:textId="24DD10A5" w:rsidR="000400EC" w:rsidRPr="00065E56" w:rsidRDefault="000400EC" w:rsidP="000400EC">
      <w:pPr>
        <w:spacing w:line="480" w:lineRule="auto"/>
        <w:rPr>
          <w:rFonts w:ascii="Times New Roman" w:hAnsi="Times New Roman" w:cs="Times New Roman"/>
        </w:rPr>
      </w:pPr>
      <w:r w:rsidRPr="00065E56">
        <w:rPr>
          <w:rFonts w:ascii="Times New Roman" w:hAnsi="Times New Roman" w:cs="Times New Roman"/>
        </w:rPr>
        <w:tab/>
      </w:r>
      <w:r w:rsidR="00481076">
        <w:rPr>
          <w:rFonts w:ascii="Times New Roman" w:hAnsi="Times New Roman" w:cs="Times New Roman"/>
        </w:rPr>
        <w:t>O</w:t>
      </w:r>
      <w:r w:rsidR="00481076" w:rsidRPr="00065E56">
        <w:rPr>
          <w:rFonts w:ascii="Times New Roman" w:hAnsi="Times New Roman" w:cs="Times New Roman"/>
        </w:rPr>
        <w:t xml:space="preserve">nline learning </w:t>
      </w:r>
      <w:r w:rsidR="00481076">
        <w:rPr>
          <w:rFonts w:ascii="Times New Roman" w:hAnsi="Times New Roman" w:cs="Times New Roman"/>
        </w:rPr>
        <w:t>is o</w:t>
      </w:r>
      <w:r w:rsidRPr="00065E56">
        <w:rPr>
          <w:rFonts w:ascii="Times New Roman" w:hAnsi="Times New Roman" w:cs="Times New Roman"/>
        </w:rPr>
        <w:t>ne strategy that anatomy educators utilized to resolve these time constraints and pedagogical cha</w:t>
      </w:r>
      <w:r w:rsidR="00481076">
        <w:rPr>
          <w:rFonts w:ascii="Times New Roman" w:hAnsi="Times New Roman" w:cs="Times New Roman"/>
        </w:rPr>
        <w:t>lle</w:t>
      </w:r>
      <w:r w:rsidRPr="00065E56">
        <w:rPr>
          <w:rFonts w:ascii="Times New Roman" w:hAnsi="Times New Roman" w:cs="Times New Roman"/>
        </w:rPr>
        <w:t xml:space="preserve">nges. Online learning has multiple definitions but can generally be defined as a learning method taking place in geographically separate areas and/or time via technology </w:t>
      </w:r>
      <w:r w:rsidRPr="00065E56">
        <w:rPr>
          <w:rFonts w:ascii="Times New Roman" w:hAnsi="Times New Roman" w:cs="Times New Roman"/>
        </w:rPr>
        <w:fldChar w:fldCharType="begin"/>
      </w:r>
      <w:r w:rsidRPr="00065E56">
        <w:rPr>
          <w:rFonts w:ascii="Times New Roman" w:hAnsi="Times New Roman" w:cs="Times New Roman"/>
        </w:rPr>
        <w:instrText xml:space="preserve"> ADDIN ZOTERO_ITEM CSL_CITATION {"citationID":"6ryAOKgd","properties":{"formattedCitation":"(J. L. Moore et al., 2011)","plainCitation":"(J. L. Moore et al., 2011)","dontUpdate":true,"noteIndex":0},"citationItems":[{"id":252,"uris":["http://zotero.org/users/local/8fpcHUeo/items/676ITKM7"],"uri":["http://zotero.org/users/local/8fpcHUeo/items/676ITKM7"],"itemData":{"id":252,"type":"article-journal","abstract":"It is not uncommon that researchers face difﬁculties when performing meaningful cross-study comparisons for research. Research associated with the distance learning realm can be even more difﬁcult to use as there are different environments with a variety of characteristics. We implemented a mixed-method analysis of research articles to ﬁnd out how they deﬁne the learning environment. In addition, we surveyed 43 persons and discovered that there was inconsistent use of terminology for different types of delivery modes. The results reveal that there are different expectations and perceptions of learning environment labels: distance learning, e-Learning, and online learning.","container-title":"The Internet and Higher Education","DOI":"10.1016/j.iheduc.2010.10.001","ISSN":"10967516","issue":"2","journalAbbreviation":"The Internet and Higher Education","language":"en","page":"129-135","source":"DOI.org (Crossref)","title":"e-Learning, online learning, and distance learning environments: Are they the same?","title-short":"e-Learning, online learning, and distance learning environments","volume":"14","author":[{"family":"Moore","given":"Joi L."},{"family":"Dickson-Deane","given":"Camille"},{"family":"Galyen","given":"Krista"}],"issued":{"date-parts":[["2011",3]]}}}],"schema":"https://github.com/citation-style-language/schema/raw/master/csl-citation.json"} </w:instrText>
      </w:r>
      <w:r w:rsidRPr="00065E56">
        <w:rPr>
          <w:rFonts w:ascii="Times New Roman" w:hAnsi="Times New Roman" w:cs="Times New Roman"/>
        </w:rPr>
        <w:fldChar w:fldCharType="separate"/>
      </w:r>
      <w:r w:rsidRPr="00065E56">
        <w:rPr>
          <w:rFonts w:ascii="Times New Roman" w:hAnsi="Times New Roman" w:cs="Times New Roman"/>
          <w:noProof/>
        </w:rPr>
        <w:t>(J. L.Moore et al., 2011)</w:t>
      </w:r>
      <w:r w:rsidRPr="00065E56">
        <w:rPr>
          <w:rFonts w:ascii="Times New Roman" w:hAnsi="Times New Roman" w:cs="Times New Roman"/>
        </w:rPr>
        <w:fldChar w:fldCharType="end"/>
      </w:r>
      <w:r w:rsidRPr="00065E56">
        <w:rPr>
          <w:rFonts w:ascii="Times New Roman" w:hAnsi="Times New Roman" w:cs="Times New Roman"/>
        </w:rPr>
        <w:t xml:space="preserve">. This literature review begins with a summarization of the history of medical and dental curriculum reforms. </w:t>
      </w:r>
      <w:r w:rsidR="0019586C">
        <w:rPr>
          <w:rFonts w:ascii="Times New Roman" w:hAnsi="Times New Roman" w:cs="Times New Roman"/>
        </w:rPr>
        <w:t xml:space="preserve">Generally, </w:t>
      </w:r>
      <w:r w:rsidRPr="00065E56">
        <w:rPr>
          <w:rFonts w:ascii="Times New Roman" w:hAnsi="Times New Roman" w:cs="Times New Roman"/>
        </w:rPr>
        <w:t xml:space="preserve">medical education </w:t>
      </w:r>
      <w:r w:rsidRPr="00065E56">
        <w:rPr>
          <w:rFonts w:ascii="Times New Roman" w:hAnsi="Times New Roman" w:cs="Times New Roman"/>
        </w:rPr>
        <w:lastRenderedPageBreak/>
        <w:t xml:space="preserve">curriculum reforms </w:t>
      </w:r>
      <w:r w:rsidRPr="00065E56">
        <w:rPr>
          <w:rFonts w:ascii="Times New Roman" w:hAnsi="Times New Roman" w:cs="Times New Roman"/>
          <w:i/>
          <w:iCs/>
        </w:rPr>
        <w:t>are</w:t>
      </w:r>
      <w:r w:rsidRPr="00065E56">
        <w:rPr>
          <w:rFonts w:ascii="Times New Roman" w:hAnsi="Times New Roman" w:cs="Times New Roman"/>
        </w:rPr>
        <w:t xml:space="preserve"> dental education curriculum reforms </w:t>
      </w:r>
      <w:r w:rsidRPr="00065E56">
        <w:rPr>
          <w:rFonts w:ascii="Times New Roman" w:hAnsi="Times New Roman" w:cs="Times New Roman"/>
        </w:rPr>
        <w:fldChar w:fldCharType="begin"/>
      </w:r>
      <w:r w:rsidRPr="00065E56">
        <w:rPr>
          <w:rFonts w:ascii="Times New Roman" w:hAnsi="Times New Roman" w:cs="Times New Roman"/>
        </w:rPr>
        <w:instrText xml:space="preserve"> ADDIN ZOTERO_ITEM CSL_CITATION {"citationID":"KlGZYERX","properties":{"formattedCitation":"(Kassebaum &amp; Tedesco, 2017; Lantz &amp; Shuler, 2017; Pyle, 2012)","plainCitation":"(Kassebaum &amp; Tedesco, 2017; Lantz &amp; Shuler, 2017; Pyle, 2012)","noteIndex":0},"citationItems":[{"id":473,"uris":["http://zotero.org/users/local/8fpcHUeo/items/QMS9HTZK"],"uri":["http://zotero.org/users/local/8fpcHUeo/items/QMS9HTZK"],"itemData":{"id":473,"type":"article-journal","container-title":"Journal of Dental Education","DOI":"10.21815/JDE.017.002","ISSN":"00220337","issue":"8","journalAbbreviation":"Journal of Dental Education","language":"en","page":"eS13-eS21","source":"DOI.org (Crossref)","title":"The 21 &lt;sup&gt;st&lt;/sup&gt; -Century Dental Curriculum: A Framework for Understanding Current Models","title-short":"The 21 &lt;sup&gt;st&lt;/sup&gt; -Century Dental Curriculum","volume":"81","author":[{"family":"Kassebaum","given":"Denise K."},{"family":"Tedesco","given":"Lisa A."}],"issued":{"date-parts":[["2017",8]]}}},{"id":356,"uris":["http://zotero.org/users/local/8fpcHUeo/items/X3DZERTA"],"uri":["http://zotero.org/users/local/8fpcHUeo/items/X3DZERTA"],"itemData":{"id":356,"type":"article-journal","abstract":"Abstract: The purpose of this study was to examine data published over the past two decades to identify trends in the basic sciences curriculum in dental education, provide an analysis of those trends, and compare them with trends in the basic sciences curriculum in medical education. Data published from the American Dental Association (ADA) Surveys of Dental Education, American Dental Education Association (ADEA) Surveys of Dental School Seniors, and two additional surveys were examined. In large part, survey data collected focused on the structure, content, and instructional strategies used in dental education: what was taught and how. Great variability was noted in the total clock hours of instruction and the clock hours of basic sciences instruction reported by dental schools. Moreover, the participation of medical schools in the basic sciences education of dental students appears to have decreased dramatically over the past decade. Although modest progress has been made in implementing some of the curriculum changes recommended in the 1995 Institute of Medicine report such as integrated basic and clinical sciences curricula, adoption of active learning methods, and closer engagement with medical and other health professions education programs, educational effectiveness studies needed to generate data to support evidence-based approaches to curriculum reform are lacking. Overall, trends in the basic sciences curriculum in medical education were similar to those for dental education. Potential drivers of curriculum change were identified, as was recent work in other fields that should encourage reconsideration of dentistry’s approach to basic sciences education. This article was written as part of the project “Advancing Dental Education in the 21st Century.” Dr. Lantz is Professor Emerita and Associate Dean for Academic Affairs Emerita, Department of Periodontics and Oral Medicine, School of Dentistry, University of Michigan; Dr. Shuler is Professor and Dean, Faculty of Dentistry, University of British Columbia. Direct correspondence to Dr. Marilyn S. Lantz, School of Dentistry, University of Michigan, 1011 N. University Ave., Ann Arbor, MI 48109-1078; 734-763-2105; mslantz@umich.edu.","container-title":"Journal of Dental Education","DOI":"10.21815/JDE.017.008","ISSN":"00220337","issue":"8","journalAbbreviation":"Journal of Dental Education","language":"en","page":"eS55-eS65","source":"DOI.org (Crossref)","title":"Trends in Basic Sciences Education in Dental Schools, 1999-2016","volume":"81","author":[{"family":"Lantz","given":"Marilyn S."},{"family":"Shuler","given":"Charles F."}],"issued":{"date-parts":[["2017",8]]}}},{"id":513,"uris":["http://zotero.org/users/local/8fpcHUeo/items/LQMQR7DT"],"uri":["http://zotero.org/users/local/8fpcHUeo/items/LQMQR7DT"],"itemData":{"id":513,"type":"article-journal","abstract":"The collective body of work over the last seventy-ive years in the Journal of Dental Education has chronicled the ongoing critical issues and trends in dental education. The evolution of the curriculum has run in its and starts across the twentieth century and into the twenty-irst. Today, there has been a resurgence in the introspective work of the profession to examine what is taught, how it is taught, in what sequence it is taught, and the context relating dental education to other health professions and the global reach of the educational and professional environment. In the context of contemporary times, individual as well as organizational leadership has refocused the educational environment from teaching to learning. This article discusses the types of curricular changes documented in the Journal of Dental Education.","container-title":"Journal of Dental Education","DOI":"10.1002/j.0022-0337.2012.76.1.tb05237.x","ISSN":"00220337","issue":"1","journalAbbreviation":"Journal of Dental Education","language":"en","page":"89-97","source":"DOI.org (Crossref)","title":"New Models of Dental Education and Curricular Change: Their Potential Impact on Dental Education","title-short":"New Models of Dental Education and Curricular Change","volume":"76","author":[{"family":"Pyle","given":"Marsha A."}],"issued":{"date-parts":[["2012",1]]}}}],"schema":"https://github.com/citation-style-language/schema/raw/master/csl-citation.json"} </w:instrText>
      </w:r>
      <w:r w:rsidRPr="00065E56">
        <w:rPr>
          <w:rFonts w:ascii="Times New Roman" w:hAnsi="Times New Roman" w:cs="Times New Roman"/>
        </w:rPr>
        <w:fldChar w:fldCharType="separate"/>
      </w:r>
      <w:r w:rsidRPr="00065E56">
        <w:rPr>
          <w:rFonts w:ascii="Times New Roman" w:hAnsi="Times New Roman" w:cs="Times New Roman"/>
          <w:noProof/>
        </w:rPr>
        <w:t>(Kassebaum &amp; Tedesco, 2017; Lantz &amp; Shuler, 2017; Pyle, 2012)</w:t>
      </w:r>
      <w:r w:rsidRPr="00065E56">
        <w:rPr>
          <w:rFonts w:ascii="Times New Roman" w:hAnsi="Times New Roman" w:cs="Times New Roman"/>
        </w:rPr>
        <w:fldChar w:fldCharType="end"/>
      </w:r>
      <w:r w:rsidRPr="00065E56">
        <w:rPr>
          <w:rFonts w:ascii="Times New Roman" w:hAnsi="Times New Roman" w:cs="Times New Roman"/>
        </w:rPr>
        <w:t>. As such, dental curriculum reform deviations are noted within the framework established by medical curriculum reform in this review. Subsequently, the literature review defines and discusses the theoretical framework of online learning, expands the rationale for utilizing online learning strategies, reviews the research in online anatomy education, and concludes with a discussion of the necessity of emergency remote teaching (ERT) research to guide anatomy educators on how to adjust their curriculum to reflect the best practices of online education.</w:t>
      </w:r>
    </w:p>
    <w:p w14:paraId="7023776E" w14:textId="2424688F" w:rsidR="000400EC" w:rsidRPr="005D6960" w:rsidRDefault="005D6960" w:rsidP="005D6960">
      <w:pPr>
        <w:spacing w:line="480" w:lineRule="auto"/>
        <w:rPr>
          <w:rFonts w:ascii="Times New Roman" w:hAnsi="Times New Roman" w:cs="Times New Roman"/>
          <w:b/>
          <w:bCs/>
        </w:rPr>
      </w:pPr>
      <w:r>
        <w:rPr>
          <w:rFonts w:ascii="Times New Roman" w:hAnsi="Times New Roman" w:cs="Times New Roman"/>
          <w:b/>
          <w:bCs/>
        </w:rPr>
        <w:tab/>
      </w:r>
      <w:r w:rsidR="000400EC" w:rsidRPr="00065E56">
        <w:rPr>
          <w:rFonts w:ascii="Times New Roman" w:hAnsi="Times New Roman" w:cs="Times New Roman"/>
          <w:b/>
          <w:bCs/>
        </w:rPr>
        <w:t>History of American medical and dental education.</w:t>
      </w:r>
      <w:r>
        <w:rPr>
          <w:rFonts w:ascii="Times New Roman" w:hAnsi="Times New Roman" w:cs="Times New Roman"/>
          <w:b/>
          <w:bCs/>
        </w:rPr>
        <w:t xml:space="preserve"> </w:t>
      </w:r>
      <w:r w:rsidR="000400EC" w:rsidRPr="00065E56">
        <w:rPr>
          <w:rFonts w:ascii="Times New Roman" w:hAnsi="Times New Roman" w:cs="Times New Roman"/>
        </w:rPr>
        <w:t xml:space="preserve">Colonial American health professions education varied considerably. Though 2 universities with medical schools existed in 1765, the majority of medical students apprenticed to a local physician, attended a proprietary school, or self-studied and began practicing medicine </w:t>
      </w:r>
      <w:r w:rsidR="000400EC" w:rsidRPr="00065E56">
        <w:rPr>
          <w:rFonts w:ascii="Times New Roman" w:hAnsi="Times New Roman" w:cs="Times New Roman"/>
        </w:rPr>
        <w:fldChar w:fldCharType="begin"/>
      </w:r>
      <w:r w:rsidR="000400EC" w:rsidRPr="00065E56">
        <w:rPr>
          <w:rFonts w:ascii="Times New Roman" w:hAnsi="Times New Roman" w:cs="Times New Roman"/>
        </w:rPr>
        <w:instrText xml:space="preserve"> ADDIN ZOTERO_ITEM CSL_CITATION {"citationID":"BU8dZERr","properties":{"formattedCitation":"(Flexner, 1910)","plainCitation":"(Flexner, 1910)","noteIndex":0},"citationItems":[{"id":470,"uris":["http://zotero.org/users/local/8fpcHUeo/items/IBCJWWCQ"],"uri":["http://zotero.org/users/local/8fpcHUeo/items/IBCJWWCQ"],"itemData":{"id":470,"type":"article","publisher":"The Carnegie Foundation for the Advancement of Teaching","title":"Medical Education in the United States and Canada","author":[{"family":"Flexner","given":"Abraham"}],"issued":{"date-parts":[["1910"]]}}}],"schema":"https://github.com/citation-style-language/schema/raw/master/csl-citation.json"} </w:instrText>
      </w:r>
      <w:r w:rsidR="000400EC" w:rsidRPr="00065E56">
        <w:rPr>
          <w:rFonts w:ascii="Times New Roman" w:hAnsi="Times New Roman" w:cs="Times New Roman"/>
        </w:rPr>
        <w:fldChar w:fldCharType="separate"/>
      </w:r>
      <w:r w:rsidR="000400EC" w:rsidRPr="00065E56">
        <w:rPr>
          <w:rFonts w:ascii="Times New Roman" w:hAnsi="Times New Roman" w:cs="Times New Roman"/>
          <w:noProof/>
        </w:rPr>
        <w:t>(Flexner, 1910)</w:t>
      </w:r>
      <w:r w:rsidR="000400EC" w:rsidRPr="00065E56">
        <w:rPr>
          <w:rFonts w:ascii="Times New Roman" w:hAnsi="Times New Roman" w:cs="Times New Roman"/>
        </w:rPr>
        <w:fldChar w:fldCharType="end"/>
      </w:r>
      <w:r w:rsidR="000400EC" w:rsidRPr="00065E56">
        <w:rPr>
          <w:rFonts w:ascii="Times New Roman" w:hAnsi="Times New Roman" w:cs="Times New Roman"/>
        </w:rPr>
        <w:t xml:space="preserve">. Dentistry was considered a trade due to the mechanical aspects of tooth repair, thus apprenticeship was the only option until proprietary dental schools opened </w:t>
      </w:r>
      <w:r w:rsidR="000400EC" w:rsidRPr="00065E56">
        <w:rPr>
          <w:rFonts w:ascii="Times New Roman" w:hAnsi="Times New Roman" w:cs="Times New Roman"/>
        </w:rPr>
        <w:fldChar w:fldCharType="begin"/>
      </w:r>
      <w:r w:rsidR="000400EC" w:rsidRPr="00065E56">
        <w:rPr>
          <w:rFonts w:ascii="Times New Roman" w:hAnsi="Times New Roman" w:cs="Times New Roman"/>
        </w:rPr>
        <w:instrText xml:space="preserve"> ADDIN ZOTERO_ITEM CSL_CITATION {"citationID":"4t3Kv83Y","properties":{"formattedCitation":"(Santangelo, 1981)","plainCitation":"(Santangelo, 1981)","noteIndex":0},"citationItems":[{"id":523,"uris":["http://zotero.org/users/local/8fpcHUeo/items/ZMEE2PU4"],"uri":["http://zotero.org/users/local/8fpcHUeo/items/ZMEE2PU4"],"itemData":{"id":523,"type":"article-journal","container-title":"Journal of Dental Education","issue":"10","page":"619-627","title":"The history and development of United States dental education","volume":"45","author":[{"family":"Santangelo","given":"MV"}],"issued":{"date-parts":[["1981"]]}}}],"schema":"https://github.com/citation-style-language/schema/raw/master/csl-citation.json"} </w:instrText>
      </w:r>
      <w:r w:rsidR="000400EC" w:rsidRPr="00065E56">
        <w:rPr>
          <w:rFonts w:ascii="Times New Roman" w:hAnsi="Times New Roman" w:cs="Times New Roman"/>
        </w:rPr>
        <w:fldChar w:fldCharType="separate"/>
      </w:r>
      <w:r w:rsidR="000400EC" w:rsidRPr="00065E56">
        <w:rPr>
          <w:rFonts w:ascii="Times New Roman" w:hAnsi="Times New Roman" w:cs="Times New Roman"/>
          <w:noProof/>
        </w:rPr>
        <w:t>(Santangelo, 1981)</w:t>
      </w:r>
      <w:r w:rsidR="000400EC" w:rsidRPr="00065E56">
        <w:rPr>
          <w:rFonts w:ascii="Times New Roman" w:hAnsi="Times New Roman" w:cs="Times New Roman"/>
        </w:rPr>
        <w:fldChar w:fldCharType="end"/>
      </w:r>
      <w:r w:rsidR="000400EC" w:rsidRPr="00065E56">
        <w:rPr>
          <w:rFonts w:ascii="Times New Roman" w:hAnsi="Times New Roman" w:cs="Times New Roman"/>
        </w:rPr>
        <w:t xml:space="preserve">. Many dentists of the time received no training, and quackery within both dentistry and medicine were common occurrences. No schooling was accredited, and no physicians or dentists were assessed for licensure. As a result, little incentive existed to attend a university </w:t>
      </w:r>
      <w:r w:rsidR="000400EC" w:rsidRPr="00065E56">
        <w:rPr>
          <w:rFonts w:ascii="Times New Roman" w:hAnsi="Times New Roman" w:cs="Times New Roman"/>
        </w:rPr>
        <w:fldChar w:fldCharType="begin"/>
      </w:r>
      <w:r w:rsidR="000400EC" w:rsidRPr="00065E56">
        <w:rPr>
          <w:rFonts w:ascii="Times New Roman" w:hAnsi="Times New Roman" w:cs="Times New Roman"/>
        </w:rPr>
        <w:instrText xml:space="preserve"> ADDIN ZOTERO_ITEM CSL_CITATION {"citationID":"QkXwMTFe","properties":{"formattedCitation":"(Papa &amp; Harasym, 1999)","plainCitation":"(Papa &amp; Harasym, 1999)","noteIndex":0},"citationItems":[{"id":427,"uris":["http://zotero.org/users/local/8fpcHUeo/items/CN8I44VJ"],"uri":["http://zotero.org/users/local/8fpcHUeo/items/CN8I44VJ"],"itemData":{"id":427,"type":"article-journal","container-title":"Academic Medicine","issue":"2","page":"154-164","title":"Medical Curriculum Reform in North America, 1765 to the Present: A Cognitive Science Perspective","volume":"74","author":[{"family":"Papa","given":"Frank J."},{"family":"Harasym","given":"Peter H."}],"issued":{"date-parts":[["1999"]]}}}],"schema":"https://github.com/citation-style-language/schema/raw/master/csl-citation.json"} </w:instrText>
      </w:r>
      <w:r w:rsidR="000400EC" w:rsidRPr="00065E56">
        <w:rPr>
          <w:rFonts w:ascii="Times New Roman" w:hAnsi="Times New Roman" w:cs="Times New Roman"/>
        </w:rPr>
        <w:fldChar w:fldCharType="separate"/>
      </w:r>
      <w:r w:rsidR="000400EC" w:rsidRPr="00065E56">
        <w:rPr>
          <w:rFonts w:ascii="Times New Roman" w:hAnsi="Times New Roman" w:cs="Times New Roman"/>
          <w:noProof/>
        </w:rPr>
        <w:t>(Papa &amp; Harasym, 1999)</w:t>
      </w:r>
      <w:r w:rsidR="000400EC" w:rsidRPr="00065E56">
        <w:rPr>
          <w:rFonts w:ascii="Times New Roman" w:hAnsi="Times New Roman" w:cs="Times New Roman"/>
        </w:rPr>
        <w:fldChar w:fldCharType="end"/>
      </w:r>
      <w:r w:rsidR="000400EC" w:rsidRPr="00065E56">
        <w:rPr>
          <w:rFonts w:ascii="Times New Roman" w:hAnsi="Times New Roman" w:cs="Times New Roman"/>
        </w:rPr>
        <w:t>. Within this setting, curriculum reform began as a response to disparities in medical training.</w:t>
      </w:r>
    </w:p>
    <w:p w14:paraId="25CBBA1F" w14:textId="34EACEAA" w:rsidR="000400EC" w:rsidRPr="005D6960" w:rsidRDefault="000400EC" w:rsidP="005D6960">
      <w:pPr>
        <w:spacing w:line="480" w:lineRule="auto"/>
        <w:rPr>
          <w:rFonts w:ascii="Times New Roman" w:hAnsi="Times New Roman" w:cs="Times New Roman"/>
          <w:b/>
          <w:bCs/>
          <w:i/>
          <w:iCs/>
        </w:rPr>
      </w:pPr>
      <w:r w:rsidRPr="00065E56">
        <w:rPr>
          <w:rFonts w:ascii="Times New Roman" w:hAnsi="Times New Roman" w:cs="Times New Roman"/>
          <w:b/>
          <w:bCs/>
        </w:rPr>
        <w:tab/>
      </w:r>
      <w:r w:rsidRPr="00065E56">
        <w:rPr>
          <w:rFonts w:ascii="Times New Roman" w:hAnsi="Times New Roman" w:cs="Times New Roman"/>
          <w:b/>
          <w:bCs/>
          <w:i/>
          <w:iCs/>
        </w:rPr>
        <w:t>Apprenticeship-based model, 1765 onward.</w:t>
      </w:r>
      <w:r w:rsidR="005D6960">
        <w:rPr>
          <w:rFonts w:ascii="Times New Roman" w:hAnsi="Times New Roman" w:cs="Times New Roman"/>
          <w:b/>
          <w:bCs/>
          <w:i/>
          <w:iCs/>
        </w:rPr>
        <w:t xml:space="preserve"> </w:t>
      </w:r>
      <w:r w:rsidRPr="00065E56">
        <w:rPr>
          <w:rFonts w:ascii="Times New Roman" w:hAnsi="Times New Roman" w:cs="Times New Roman"/>
        </w:rPr>
        <w:t xml:space="preserve">The apprenticeship-based curriculum model hybridized the concepts of university and apprenticeship into a mostly proprietary system of classroom education followed by practical application. Basic science knowledge was considered irrelevant to the practice of medicine; </w:t>
      </w:r>
      <w:proofErr w:type="gramStart"/>
      <w:r w:rsidRPr="00065E56">
        <w:rPr>
          <w:rFonts w:ascii="Times New Roman" w:hAnsi="Times New Roman" w:cs="Times New Roman"/>
        </w:rPr>
        <w:t>thus</w:t>
      </w:r>
      <w:proofErr w:type="gramEnd"/>
      <w:r w:rsidRPr="00065E56">
        <w:rPr>
          <w:rFonts w:ascii="Times New Roman" w:hAnsi="Times New Roman" w:cs="Times New Roman"/>
        </w:rPr>
        <w:t xml:space="preserve"> the model began with clinical lectures delivered in two repeating, 4-month semesters. Anatomy, physiology, and other sciences were included in </w:t>
      </w:r>
      <w:r w:rsidRPr="00065E56">
        <w:rPr>
          <w:rFonts w:ascii="Times New Roman" w:hAnsi="Times New Roman" w:cs="Times New Roman"/>
        </w:rPr>
        <w:lastRenderedPageBreak/>
        <w:t xml:space="preserve">these lectures through the narrow scope of clinical application. Upon completing the identical semesters, students apprenticed under a practicing physician for 1-3 years </w:t>
      </w:r>
      <w:r w:rsidRPr="00065E56">
        <w:rPr>
          <w:rFonts w:ascii="Times New Roman" w:hAnsi="Times New Roman" w:cs="Times New Roman"/>
        </w:rPr>
        <w:fldChar w:fldCharType="begin"/>
      </w:r>
      <w:r w:rsidRPr="00065E56">
        <w:rPr>
          <w:rFonts w:ascii="Times New Roman" w:hAnsi="Times New Roman" w:cs="Times New Roman"/>
        </w:rPr>
        <w:instrText xml:space="preserve"> ADDIN ZOTERO_ITEM CSL_CITATION {"citationID":"FguLLGD7","properties":{"formattedCitation":"(Papa &amp; Harasym, 1999)","plainCitation":"(Papa &amp; Harasym, 1999)","noteIndex":0},"citationItems":[{"id":427,"uris":["http://zotero.org/users/local/8fpcHUeo/items/CN8I44VJ"],"uri":["http://zotero.org/users/local/8fpcHUeo/items/CN8I44VJ"],"itemData":{"id":427,"type":"article-journal","container-title":"Academic Medicine","issue":"2","page":"154-164","title":"Medical Curriculum Reform in North America, 1765 to the Present: A Cognitive Science Perspective","volume":"74","author":[{"family":"Papa","given":"Frank J."},{"family":"Harasym","given":"Peter H."}],"issued":{"date-parts":[["1999"]]}}}],"schema":"https://github.com/citation-style-language/schema/raw/master/csl-citation.json"} </w:instrText>
      </w:r>
      <w:r w:rsidRPr="00065E56">
        <w:rPr>
          <w:rFonts w:ascii="Times New Roman" w:hAnsi="Times New Roman" w:cs="Times New Roman"/>
        </w:rPr>
        <w:fldChar w:fldCharType="separate"/>
      </w:r>
      <w:r w:rsidRPr="00065E56">
        <w:rPr>
          <w:rFonts w:ascii="Times New Roman" w:hAnsi="Times New Roman" w:cs="Times New Roman"/>
          <w:noProof/>
        </w:rPr>
        <w:t>(Papa &amp; Harasym, 1999)</w:t>
      </w:r>
      <w:r w:rsidRPr="00065E56">
        <w:rPr>
          <w:rFonts w:ascii="Times New Roman" w:hAnsi="Times New Roman" w:cs="Times New Roman"/>
        </w:rPr>
        <w:fldChar w:fldCharType="end"/>
      </w:r>
      <w:r w:rsidRPr="00065E56">
        <w:rPr>
          <w:rFonts w:ascii="Times New Roman" w:hAnsi="Times New Roman" w:cs="Times New Roman"/>
        </w:rPr>
        <w:t>. Though the ideal master-apprentice relationship generated an exceptional learning experience, the quality of the training depended largely on the depth of the mentor’s experiences and aptitude, and the process remained neither accredited nor standardized. The lack of regulation also meant that students had no impetus to attend a school instead of apprenticing with a local doctor.</w:t>
      </w:r>
    </w:p>
    <w:p w14:paraId="13AFFDEC" w14:textId="77777777" w:rsidR="000400EC" w:rsidRPr="00065E56" w:rsidRDefault="000400EC" w:rsidP="000400EC">
      <w:pPr>
        <w:spacing w:line="480" w:lineRule="auto"/>
        <w:rPr>
          <w:rFonts w:ascii="Times New Roman" w:hAnsi="Times New Roman" w:cs="Times New Roman"/>
        </w:rPr>
      </w:pPr>
      <w:r w:rsidRPr="00065E56">
        <w:rPr>
          <w:rFonts w:ascii="Times New Roman" w:hAnsi="Times New Roman" w:cs="Times New Roman"/>
        </w:rPr>
        <w:tab/>
        <w:t xml:space="preserve">Dentists, apprenticeship-trained or self-taught, first gained the opportunity of formal dental education in 1840 when the Baltimore College of Dental Surgery opened. There were four proprietary dental schools by 1865. The initial slow growth of dental schools was attributed to resistance to forgo apprenticeships for a costlier alternative, though by 1900 there were 57 institutions </w:t>
      </w:r>
      <w:r w:rsidRPr="00065E56">
        <w:rPr>
          <w:rFonts w:ascii="Times New Roman" w:hAnsi="Times New Roman" w:cs="Times New Roman"/>
        </w:rPr>
        <w:fldChar w:fldCharType="begin"/>
      </w:r>
      <w:r w:rsidRPr="00065E56">
        <w:rPr>
          <w:rFonts w:ascii="Times New Roman" w:hAnsi="Times New Roman" w:cs="Times New Roman"/>
        </w:rPr>
        <w:instrText xml:space="preserve"> ADDIN ZOTERO_ITEM CSL_CITATION {"citationID":"cFDSrmFC","properties":{"unsorted":true,"formattedCitation":"(Institute of Medicine, 1995)","plainCitation":"(Institute of Medicine, 1995)","noteIndex":0},"citationItems":[{"id":524,"uris":["http://zotero.org/users/local/8fpcHUeo/items/BE8CZBHA"],"uri":["http://zotero.org/users/local/8fpcHUeo/items/BE8CZBHA"],"itemData":{"id":524,"type":"book","ISBN":"978-0-309-05195-8","publisher":"The National Academies Press","title":"Dental Education at the Crossroads: Challenges and Change","URL":"https://doi.org/10.17226/4925.","author":[{"family":"Institute of Medicine","given":""}],"issued":{"date-parts":[["1995"]]}}}],"schema":"https://github.com/citation-style-language/schema/raw/master/csl-citation.json"} </w:instrText>
      </w:r>
      <w:r w:rsidRPr="00065E56">
        <w:rPr>
          <w:rFonts w:ascii="Times New Roman" w:hAnsi="Times New Roman" w:cs="Times New Roman"/>
        </w:rPr>
        <w:fldChar w:fldCharType="separate"/>
      </w:r>
      <w:r w:rsidRPr="00065E56">
        <w:rPr>
          <w:rFonts w:ascii="Times New Roman" w:hAnsi="Times New Roman" w:cs="Times New Roman"/>
          <w:noProof/>
        </w:rPr>
        <w:t>(Institute of Medicine, 1995)</w:t>
      </w:r>
      <w:r w:rsidRPr="00065E56">
        <w:rPr>
          <w:rFonts w:ascii="Times New Roman" w:hAnsi="Times New Roman" w:cs="Times New Roman"/>
        </w:rPr>
        <w:fldChar w:fldCharType="end"/>
      </w:r>
      <w:r w:rsidRPr="00065E56">
        <w:rPr>
          <w:rFonts w:ascii="Times New Roman" w:hAnsi="Times New Roman" w:cs="Times New Roman"/>
        </w:rPr>
        <w:t xml:space="preserve">. The dental school curriculum, though not uniform, was entirely clinical as tradesmen were not thought to be in need of basic science education. Ultimately, dentistry would have to overcome its ‘trade’ reputation in order to be considered a profession </w:t>
      </w:r>
      <w:r w:rsidRPr="00065E56">
        <w:rPr>
          <w:rFonts w:ascii="Times New Roman" w:hAnsi="Times New Roman" w:cs="Times New Roman"/>
        </w:rPr>
        <w:fldChar w:fldCharType="begin"/>
      </w:r>
      <w:r w:rsidRPr="00065E56">
        <w:rPr>
          <w:rFonts w:ascii="Times New Roman" w:hAnsi="Times New Roman" w:cs="Times New Roman"/>
        </w:rPr>
        <w:instrText xml:space="preserve"> ADDIN ZOTERO_ITEM CSL_CITATION {"citationID":"Z7y8qj1P","properties":{"formattedCitation":"(Gies, 1926)","plainCitation":"(Gies, 1926)","noteIndex":0},"citationItems":[{"id":507,"uris":["http://zotero.org/users/local/8fpcHUeo/items/Q2NMRTJP"],"uri":["http://zotero.org/users/local/8fpcHUeo/items/Q2NMRTJP"],"itemData":{"id":507,"type":"report","event-place":"New York, NY","page":"699","publisher":"The Carnegie Foundation for the Advancement of Teaching","publisher-place":"New York, NY","title":"Dental Education in the United States and Canada","author":[{"family":"Gies","given":"William"}],"issued":{"date-parts":[["1926"]]}}}],"schema":"https://github.com/citation-style-language/schema/raw/master/csl-citation.json"} </w:instrText>
      </w:r>
      <w:r w:rsidRPr="00065E56">
        <w:rPr>
          <w:rFonts w:ascii="Times New Roman" w:hAnsi="Times New Roman" w:cs="Times New Roman"/>
        </w:rPr>
        <w:fldChar w:fldCharType="separate"/>
      </w:r>
      <w:r w:rsidRPr="00065E56">
        <w:rPr>
          <w:rFonts w:ascii="Times New Roman" w:hAnsi="Times New Roman" w:cs="Times New Roman"/>
          <w:noProof/>
        </w:rPr>
        <w:t>(Gies, 1926)</w:t>
      </w:r>
      <w:r w:rsidRPr="00065E56">
        <w:rPr>
          <w:rFonts w:ascii="Times New Roman" w:hAnsi="Times New Roman" w:cs="Times New Roman"/>
        </w:rPr>
        <w:fldChar w:fldCharType="end"/>
      </w:r>
      <w:r w:rsidRPr="00065E56">
        <w:rPr>
          <w:rFonts w:ascii="Times New Roman" w:hAnsi="Times New Roman" w:cs="Times New Roman"/>
        </w:rPr>
        <w:t>.</w:t>
      </w:r>
    </w:p>
    <w:p w14:paraId="61AD0539" w14:textId="77777777" w:rsidR="000400EC" w:rsidRPr="00065E56" w:rsidRDefault="000400EC" w:rsidP="000400EC">
      <w:pPr>
        <w:spacing w:line="480" w:lineRule="auto"/>
        <w:rPr>
          <w:rFonts w:ascii="Times New Roman" w:hAnsi="Times New Roman" w:cs="Times New Roman"/>
        </w:rPr>
      </w:pPr>
      <w:r w:rsidRPr="00065E56">
        <w:rPr>
          <w:rFonts w:ascii="Times New Roman" w:hAnsi="Times New Roman" w:cs="Times New Roman"/>
        </w:rPr>
        <w:tab/>
        <w:t xml:space="preserve">By the 1850s, textbooks and a primitive American Medical Association served to provide the genesis of standardization of content knowledge and medical education programming, respectively, but the apprenticeship-based curriculum model still promoted extreme variations in the quality of training received by students </w:t>
      </w:r>
      <w:r w:rsidRPr="00065E56">
        <w:rPr>
          <w:rFonts w:ascii="Times New Roman" w:hAnsi="Times New Roman" w:cs="Times New Roman"/>
        </w:rPr>
        <w:fldChar w:fldCharType="begin"/>
      </w:r>
      <w:r w:rsidRPr="00065E56">
        <w:rPr>
          <w:rFonts w:ascii="Times New Roman" w:hAnsi="Times New Roman" w:cs="Times New Roman"/>
        </w:rPr>
        <w:instrText xml:space="preserve"> ADDIN ZOTERO_ITEM CSL_CITATION {"citationID":"ayjWE3No","properties":{"formattedCitation":"(Custers &amp; Cate, 2018)","plainCitation":"(Custers &amp; Cate, 2018)","noteIndex":0},"citationItems":[{"id":465,"uris":["http://zotero.org/users/local/8fpcHUeo/items/YV3QR4MJ"],"uri":["http://zotero.org/users/local/8fpcHUeo/items/YV3QR4MJ"],"itemData":{"id":465,"type":"article-journal","abstract":"In this article, the authors present a historic overview of the development of medical education in the United States and Europe (in particular the Netherlands), as it relates to the issues of time (duration of the course) and proficiency (performance requirements and examinations). This overview is necessarily limited and based largely on post hoc interpretation, as historic data on time frames are not well documented and the issue of competence has only recently been addressed.","container-title":"Academic Medicine","DOI":"10.1097/ACM.0000000000002079","ISSN":"1040-2446","issue":"3S","journalAbbreviation":"Academic Medicine","language":"en","page":"S49-S54","source":"DOI.org (Crossref)","title":"The History of Medical Education in Europe and the United States, With Respect to Time and Proficiency:","title-short":"The History of Medical Education in Europe and the United States, With Respect to Time and Proficiency","volume":"93","author":[{"family":"Custers","given":"Eugène J.F.M."},{"family":"Cate","given":"Olle","dropping-particle":"ten"}],"issued":{"date-parts":[["2018",3]]}}}],"schema":"https://github.com/citation-style-language/schema/raw/master/csl-citation.json"} </w:instrText>
      </w:r>
      <w:r w:rsidRPr="00065E56">
        <w:rPr>
          <w:rFonts w:ascii="Times New Roman" w:hAnsi="Times New Roman" w:cs="Times New Roman"/>
        </w:rPr>
        <w:fldChar w:fldCharType="separate"/>
      </w:r>
      <w:r w:rsidRPr="00065E56">
        <w:rPr>
          <w:rFonts w:ascii="Times New Roman" w:hAnsi="Times New Roman" w:cs="Times New Roman"/>
          <w:noProof/>
        </w:rPr>
        <w:t>(Custers &amp; Cate, 2018)</w:t>
      </w:r>
      <w:r w:rsidRPr="00065E56">
        <w:rPr>
          <w:rFonts w:ascii="Times New Roman" w:hAnsi="Times New Roman" w:cs="Times New Roman"/>
        </w:rPr>
        <w:fldChar w:fldCharType="end"/>
      </w:r>
      <w:r w:rsidRPr="00065E56">
        <w:rPr>
          <w:rFonts w:ascii="Times New Roman" w:hAnsi="Times New Roman" w:cs="Times New Roman"/>
        </w:rPr>
        <w:t xml:space="preserve">. Similarly, a fledgling American Dental Association was organized in 1861 to promote the regulation and professional stature of dentistry </w:t>
      </w:r>
      <w:r w:rsidRPr="00065E56">
        <w:rPr>
          <w:rFonts w:ascii="Times New Roman" w:hAnsi="Times New Roman" w:cs="Times New Roman"/>
        </w:rPr>
        <w:fldChar w:fldCharType="begin"/>
      </w:r>
      <w:r w:rsidRPr="00065E56">
        <w:rPr>
          <w:rFonts w:ascii="Times New Roman" w:hAnsi="Times New Roman" w:cs="Times New Roman"/>
        </w:rPr>
        <w:instrText xml:space="preserve"> ADDIN ZOTERO_ITEM CSL_CITATION {"citationID":"wjXyFeYc","properties":{"formattedCitation":"(Santangelo, 1981)","plainCitation":"(Santangelo, 1981)","noteIndex":0},"citationItems":[{"id":523,"uris":["http://zotero.org/users/local/8fpcHUeo/items/ZMEE2PU4"],"uri":["http://zotero.org/users/local/8fpcHUeo/items/ZMEE2PU4"],"itemData":{"id":523,"type":"article-journal","container-title":"Journal of Dental Education","issue":"10","page":"619-627","title":"The history and development of United States dental education","volume":"45","author":[{"family":"Santangelo","given":"MV"}],"issued":{"date-parts":[["1981"]]}}}],"schema":"https://github.com/citation-style-language/schema/raw/master/csl-citation.json"} </w:instrText>
      </w:r>
      <w:r w:rsidRPr="00065E56">
        <w:rPr>
          <w:rFonts w:ascii="Times New Roman" w:hAnsi="Times New Roman" w:cs="Times New Roman"/>
        </w:rPr>
        <w:fldChar w:fldCharType="separate"/>
      </w:r>
      <w:r w:rsidRPr="00065E56">
        <w:rPr>
          <w:rFonts w:ascii="Times New Roman" w:hAnsi="Times New Roman" w:cs="Times New Roman"/>
          <w:noProof/>
        </w:rPr>
        <w:t>(Santangelo, 1981)</w:t>
      </w:r>
      <w:r w:rsidRPr="00065E56">
        <w:rPr>
          <w:rFonts w:ascii="Times New Roman" w:hAnsi="Times New Roman" w:cs="Times New Roman"/>
        </w:rPr>
        <w:fldChar w:fldCharType="end"/>
      </w:r>
      <w:r w:rsidRPr="00065E56">
        <w:rPr>
          <w:rFonts w:ascii="Times New Roman" w:hAnsi="Times New Roman" w:cs="Times New Roman"/>
        </w:rPr>
        <w:t xml:space="preserve">. Even with organizational supports, the most significant drawback of the apprentice-ship based model was the lack of clinical competency assessment of new graduates </w:t>
      </w:r>
      <w:r w:rsidRPr="00065E56">
        <w:rPr>
          <w:rFonts w:ascii="Times New Roman" w:hAnsi="Times New Roman" w:cs="Times New Roman"/>
        </w:rPr>
        <w:fldChar w:fldCharType="begin"/>
      </w:r>
      <w:r w:rsidRPr="00065E56">
        <w:rPr>
          <w:rFonts w:ascii="Times New Roman" w:hAnsi="Times New Roman" w:cs="Times New Roman"/>
        </w:rPr>
        <w:instrText xml:space="preserve"> ADDIN ZOTERO_ITEM CSL_CITATION {"citationID":"szd6FyQC","properties":{"formattedCitation":"(Papa &amp; Harasym, 1999)","plainCitation":"(Papa &amp; Harasym, 1999)","noteIndex":0},"citationItems":[{"id":427,"uris":["http://zotero.org/users/local/8fpcHUeo/items/CN8I44VJ"],"uri":["http://zotero.org/users/local/8fpcHUeo/items/CN8I44VJ"],"itemData":{"id":427,"type":"article-journal","container-title":"Academic Medicine","issue":"2","page":"154-164","title":"Medical Curriculum Reform in North America, 1765 to the Present: A Cognitive Science Perspective","volume":"74","author":[{"family":"Papa","given":"Frank J."},{"family":"Harasym","given":"Peter H."}],"issued":{"date-parts":[["1999"]]}}}],"schema":"https://github.com/citation-style-language/schema/raw/master/csl-citation.json"} </w:instrText>
      </w:r>
      <w:r w:rsidRPr="00065E56">
        <w:rPr>
          <w:rFonts w:ascii="Times New Roman" w:hAnsi="Times New Roman" w:cs="Times New Roman"/>
        </w:rPr>
        <w:fldChar w:fldCharType="separate"/>
      </w:r>
      <w:r w:rsidRPr="00065E56">
        <w:rPr>
          <w:rFonts w:ascii="Times New Roman" w:hAnsi="Times New Roman" w:cs="Times New Roman"/>
          <w:noProof/>
        </w:rPr>
        <w:t>(Papa &amp; Harasym, 1999)</w:t>
      </w:r>
      <w:r w:rsidRPr="00065E56">
        <w:rPr>
          <w:rFonts w:ascii="Times New Roman" w:hAnsi="Times New Roman" w:cs="Times New Roman"/>
        </w:rPr>
        <w:fldChar w:fldCharType="end"/>
      </w:r>
      <w:r w:rsidRPr="00065E56">
        <w:rPr>
          <w:rFonts w:ascii="Times New Roman" w:hAnsi="Times New Roman" w:cs="Times New Roman"/>
        </w:rPr>
        <w:t xml:space="preserve">. The extreme variations in training, lack of basic science </w:t>
      </w:r>
      <w:r w:rsidRPr="00065E56">
        <w:rPr>
          <w:rFonts w:ascii="Times New Roman" w:hAnsi="Times New Roman" w:cs="Times New Roman"/>
        </w:rPr>
        <w:lastRenderedPageBreak/>
        <w:t>education, and lack of assessment led leaders of both the medical and dental professions to call for significant adjustments to be made to American medical and dental education.</w:t>
      </w:r>
    </w:p>
    <w:p w14:paraId="3753FA07" w14:textId="58A7F55C" w:rsidR="000400EC" w:rsidRPr="00065E56" w:rsidRDefault="000400EC" w:rsidP="000400EC">
      <w:pPr>
        <w:spacing w:line="480" w:lineRule="auto"/>
        <w:rPr>
          <w:rFonts w:ascii="Times New Roman" w:hAnsi="Times New Roman" w:cs="Times New Roman"/>
        </w:rPr>
      </w:pPr>
      <w:r w:rsidRPr="00065E56">
        <w:rPr>
          <w:rFonts w:ascii="Times New Roman" w:hAnsi="Times New Roman" w:cs="Times New Roman"/>
        </w:rPr>
        <w:tab/>
      </w:r>
      <w:r w:rsidRPr="00065E56">
        <w:rPr>
          <w:rFonts w:ascii="Times New Roman" w:hAnsi="Times New Roman" w:cs="Times New Roman"/>
          <w:b/>
          <w:bCs/>
          <w:i/>
          <w:iCs/>
        </w:rPr>
        <w:t>Discipline-based model, 1871 onward.</w:t>
      </w:r>
      <w:r w:rsidR="005D6960">
        <w:rPr>
          <w:rFonts w:ascii="Times New Roman" w:hAnsi="Times New Roman" w:cs="Times New Roman"/>
        </w:rPr>
        <w:t xml:space="preserve"> </w:t>
      </w:r>
      <w:r w:rsidR="0019586C">
        <w:rPr>
          <w:rFonts w:ascii="Times New Roman" w:hAnsi="Times New Roman" w:cs="Times New Roman"/>
        </w:rPr>
        <w:t>The</w:t>
      </w:r>
      <w:r w:rsidRPr="00065E56">
        <w:rPr>
          <w:rFonts w:ascii="Times New Roman" w:hAnsi="Times New Roman" w:cs="Times New Roman"/>
        </w:rPr>
        <w:t xml:space="preserve"> apprenticeship-based model</w:t>
      </w:r>
      <w:r w:rsidR="0019586C">
        <w:rPr>
          <w:rFonts w:ascii="Times New Roman" w:hAnsi="Times New Roman" w:cs="Times New Roman"/>
        </w:rPr>
        <w:t xml:space="preserve"> had severe</w:t>
      </w:r>
      <w:r w:rsidRPr="00065E56">
        <w:rPr>
          <w:rFonts w:ascii="Times New Roman" w:hAnsi="Times New Roman" w:cs="Times New Roman"/>
        </w:rPr>
        <w:t xml:space="preserve"> limitations</w:t>
      </w:r>
      <w:r w:rsidR="0019586C">
        <w:rPr>
          <w:rFonts w:ascii="Times New Roman" w:hAnsi="Times New Roman" w:cs="Times New Roman"/>
        </w:rPr>
        <w:t>. S</w:t>
      </w:r>
      <w:r w:rsidRPr="00065E56">
        <w:rPr>
          <w:rFonts w:ascii="Times New Roman" w:hAnsi="Times New Roman" w:cs="Times New Roman"/>
        </w:rPr>
        <w:t>everal schools</w:t>
      </w:r>
      <w:r w:rsidR="0019586C">
        <w:rPr>
          <w:rFonts w:ascii="Times New Roman" w:hAnsi="Times New Roman" w:cs="Times New Roman"/>
        </w:rPr>
        <w:t xml:space="preserve"> in America</w:t>
      </w:r>
      <w:r w:rsidRPr="00065E56">
        <w:rPr>
          <w:rFonts w:ascii="Times New Roman" w:hAnsi="Times New Roman" w:cs="Times New Roman"/>
        </w:rPr>
        <w:t xml:space="preserve"> looked to European models of medical education, with Johns Hopkins emerging as an early adopter. Medical schools adopting the discipline-based model were typically housed within universities already, and basic science disciplines such as anatomy and chemistry were added to clinical application coursework. Most medical schools, however, did not fully make the shift toward the new model until the release of the Flexner Report in 1910 </w:t>
      </w:r>
      <w:r w:rsidRPr="00065E56">
        <w:rPr>
          <w:rFonts w:ascii="Times New Roman" w:hAnsi="Times New Roman" w:cs="Times New Roman"/>
        </w:rPr>
        <w:fldChar w:fldCharType="begin"/>
      </w:r>
      <w:r w:rsidRPr="00065E56">
        <w:rPr>
          <w:rFonts w:ascii="Times New Roman" w:hAnsi="Times New Roman" w:cs="Times New Roman"/>
        </w:rPr>
        <w:instrText xml:space="preserve"> ADDIN ZOTERO_ITEM CSL_CITATION {"citationID":"i6tgI78l","properties":{"formattedCitation":"(Cooke et al., 2006)","plainCitation":"(Cooke et al., 2006)","noteIndex":0},"citationItems":[{"id":443,"uris":["http://zotero.org/users/local/8fpcHUeo/items/64YXJ9BV"],"uri":["http://zotero.org/users/local/8fpcHUeo/items/64YXJ9BV"],"itemData":{"id":443,"type":"article-journal","container-title":"New England Journal of Medicine","DOI":"10.1056/NEJMra055445","ISSN":"0028-4793, 1533-4406","issue":"13","journalAbbreviation":"N Engl J Med","language":"en","page":"1339-1344","source":"DOI.org (Crossref)","title":"American Medical Education 100 Years after the Flexner Report","volume":"355","editor":[{"family":"Cox","given":"Malcolm"},{"family":"Irby","given":"David M."}],"author":[{"family":"Cooke","given":"Molly"},{"family":"Irby","given":"David M."},{"family":"Sullivan","given":"William"},{"family":"Ludmerer","given":"Kenneth M."}],"issued":{"date-parts":[["2006",9,28]]}}}],"schema":"https://github.com/citation-style-language/schema/raw/master/csl-citation.json"} </w:instrText>
      </w:r>
      <w:r w:rsidRPr="00065E56">
        <w:rPr>
          <w:rFonts w:ascii="Times New Roman" w:hAnsi="Times New Roman" w:cs="Times New Roman"/>
        </w:rPr>
        <w:fldChar w:fldCharType="separate"/>
      </w:r>
      <w:r w:rsidRPr="00065E56">
        <w:rPr>
          <w:rFonts w:ascii="Times New Roman" w:hAnsi="Times New Roman" w:cs="Times New Roman"/>
          <w:noProof/>
        </w:rPr>
        <w:t>(Cooke et al., 2006)</w:t>
      </w:r>
      <w:r w:rsidRPr="00065E56">
        <w:rPr>
          <w:rFonts w:ascii="Times New Roman" w:hAnsi="Times New Roman" w:cs="Times New Roman"/>
        </w:rPr>
        <w:fldChar w:fldCharType="end"/>
      </w:r>
      <w:r w:rsidRPr="00065E56">
        <w:rPr>
          <w:rFonts w:ascii="Times New Roman" w:hAnsi="Times New Roman" w:cs="Times New Roman"/>
        </w:rPr>
        <w:t xml:space="preserve">. </w:t>
      </w:r>
    </w:p>
    <w:p w14:paraId="2BABAC3F" w14:textId="77777777" w:rsidR="000400EC" w:rsidRPr="00065E56" w:rsidRDefault="000400EC" w:rsidP="000400EC">
      <w:pPr>
        <w:spacing w:line="480" w:lineRule="auto"/>
        <w:rPr>
          <w:rFonts w:ascii="Times New Roman" w:hAnsi="Times New Roman" w:cs="Times New Roman"/>
        </w:rPr>
      </w:pPr>
      <w:r w:rsidRPr="00065E56">
        <w:rPr>
          <w:rFonts w:ascii="Times New Roman" w:hAnsi="Times New Roman" w:cs="Times New Roman"/>
        </w:rPr>
        <w:tab/>
        <w:t>The Flexner Report was the result of a comprehensive research study of American medical schools commissioned by the Carnegie Foundation. The American Medical Association, concerned about the poor quality of physicians graduating from unregulated medical schools, approached the Carnegie Foundation for the Advancement of Teaching to survey medical education institutions and develop recommendations based on the evidence</w:t>
      </w:r>
      <w:r w:rsidRPr="00065E56">
        <w:rPr>
          <w:rFonts w:ascii="Times New Roman" w:hAnsi="Times New Roman" w:cs="Times New Roman"/>
          <w:color w:val="FF0000"/>
        </w:rPr>
        <w:t xml:space="preserve"> </w:t>
      </w:r>
      <w:r w:rsidRPr="00065E56">
        <w:rPr>
          <w:rFonts w:ascii="Times New Roman" w:hAnsi="Times New Roman" w:cs="Times New Roman"/>
          <w:color w:val="000000" w:themeColor="text1"/>
        </w:rPr>
        <w:fldChar w:fldCharType="begin"/>
      </w:r>
      <w:r w:rsidRPr="00065E56">
        <w:rPr>
          <w:rFonts w:ascii="Times New Roman" w:hAnsi="Times New Roman" w:cs="Times New Roman"/>
          <w:color w:val="000000" w:themeColor="text1"/>
        </w:rPr>
        <w:instrText xml:space="preserve"> ADDIN ZOTERO_ITEM CSL_CITATION {"citationID":"8tPRZ5vs","properties":{"formattedCitation":"(Drake, 2014)","plainCitation":"(Drake, 2014)","noteIndex":0},"citationItems":[{"id":35,"uris":["http://zotero.org/users/local/8fpcHUeo/items/6YATCXX3"],"uri":["http://zotero.org/users/local/8fpcHUeo/items/6YATCXX3"],"itemData":{"id":35,"type":"article-journal","abstract":"During the last decade of the 20th century and the ﬁrst decade of the 21st century, curricular reform has been a popular theme. In fact, reform on the current scale has not occurred since the early 1900s, when Abraham Flexner released his landmark report ‘Medical Education in the United States and Canada’. His report, suggesting major changes in how physicians were educated, became the norm and few changes occurred until the last quarter of the 20th century. During this period increased demands on medical school curriculums due to the explosion of knowledge in biomedical sciences and the pressure to add additional clinical experiences increased the momentum for curriculum reform. In 1984 an Association of American Medical Colleges (AAMC) report, ‘Physicians for the Twenty-First Century: The Report of the Panel on the General Professional Education of the Physician (GPEP) and College Preparation for Medicine’, discussed many items related to reforming medical education including the value of integration, increased use of active learning formats, more selfdirected learning, improved communication skills and increased problem-solving activities. This was followed by a report released in 1993 entitled ‘Educating Medical Students: Assessing Change in Medical Education – The Road to Implementation’ (ACME-TRI), which identiﬁed educational problems by surveying medical school deans, suggested ways to deal with these issues and presented a plan of action. Recently, the Carnegie Foundation for the Advancement of Teaching released ‘Education Physicians: A Call for Reform of Medical School and Residency’ with additional suggestions. At this point the question that might be asked is – Where is all this going and how is it going to affect anatomy education? Key words: anatomical sciences education; curriculum reform; history of American medical education; medical education.","container-title":"Journal of Anatomy","DOI":"10.1111/joa.12054","ISSN":"00218782","issue":"3","language":"en","page":"256-260","source":"Crossref","title":"A retrospective and prospective look at medical education in the United States: trends shaping anatomical sciences education","title-short":"A retrospective and prospective look at medical education in the United States","volume":"224","author":[{"family":"Drake","given":"Richard L."}],"issued":{"date-parts":[["2014",3]]}}}],"schema":"https://github.com/citation-style-language/schema/raw/master/csl-citation.json"} </w:instrText>
      </w:r>
      <w:r w:rsidRPr="00065E56">
        <w:rPr>
          <w:rFonts w:ascii="Times New Roman" w:hAnsi="Times New Roman" w:cs="Times New Roman"/>
          <w:color w:val="000000" w:themeColor="text1"/>
        </w:rPr>
        <w:fldChar w:fldCharType="separate"/>
      </w:r>
      <w:r w:rsidRPr="00065E56">
        <w:rPr>
          <w:rFonts w:ascii="Times New Roman" w:hAnsi="Times New Roman" w:cs="Times New Roman"/>
          <w:noProof/>
          <w:color w:val="000000" w:themeColor="text1"/>
        </w:rPr>
        <w:t>(Drake, 2014)</w:t>
      </w:r>
      <w:r w:rsidRPr="00065E56">
        <w:rPr>
          <w:rFonts w:ascii="Times New Roman" w:hAnsi="Times New Roman" w:cs="Times New Roman"/>
          <w:color w:val="000000" w:themeColor="text1"/>
        </w:rPr>
        <w:fldChar w:fldCharType="end"/>
      </w:r>
      <w:r w:rsidRPr="00065E56">
        <w:rPr>
          <w:rFonts w:ascii="Times New Roman" w:hAnsi="Times New Roman" w:cs="Times New Roman"/>
          <w:color w:val="000000" w:themeColor="text1"/>
        </w:rPr>
        <w:t xml:space="preserve">. </w:t>
      </w:r>
      <w:r w:rsidRPr="00065E56">
        <w:rPr>
          <w:rFonts w:ascii="Times New Roman" w:hAnsi="Times New Roman" w:cs="Times New Roman"/>
        </w:rPr>
        <w:t xml:space="preserve">Flexner, a rigorous social scientist, validated much of the European model, and made several recommendations for both program structuring and curriculum content. Flexner recommended medical education institutions should pursue university affiliation and curriculum expansion to include basic science. With the expanded volume of knowledge, Flexner advocated a standard timeline of two years of basic science followed by two years of clinical application </w:t>
      </w:r>
      <w:r w:rsidRPr="00065E56">
        <w:rPr>
          <w:rFonts w:ascii="Times New Roman" w:hAnsi="Times New Roman" w:cs="Times New Roman"/>
        </w:rPr>
        <w:fldChar w:fldCharType="begin"/>
      </w:r>
      <w:r w:rsidRPr="00065E56">
        <w:rPr>
          <w:rFonts w:ascii="Times New Roman" w:hAnsi="Times New Roman" w:cs="Times New Roman"/>
        </w:rPr>
        <w:instrText xml:space="preserve"> ADDIN ZOTERO_ITEM CSL_CITATION {"citationID":"O2SHfv28","properties":{"formattedCitation":"(Flexner, 1910)","plainCitation":"(Flexner, 1910)","noteIndex":0},"citationItems":[{"id":470,"uris":["http://zotero.org/users/local/8fpcHUeo/items/IBCJWWCQ"],"uri":["http://zotero.org/users/local/8fpcHUeo/items/IBCJWWCQ"],"itemData":{"id":470,"type":"article","publisher":"The Carnegie Foundation for the Advancement of Teaching","title":"Medical Education in the United States and Canada","author":[{"family":"Flexner","given":"Abraham"}],"issued":{"date-parts":[["1910"]]}}}],"schema":"https://github.com/citation-style-language/schema/raw/master/csl-citation.json"} </w:instrText>
      </w:r>
      <w:r w:rsidRPr="00065E56">
        <w:rPr>
          <w:rFonts w:ascii="Times New Roman" w:hAnsi="Times New Roman" w:cs="Times New Roman"/>
        </w:rPr>
        <w:fldChar w:fldCharType="separate"/>
      </w:r>
      <w:r w:rsidRPr="00065E56">
        <w:rPr>
          <w:rFonts w:ascii="Times New Roman" w:hAnsi="Times New Roman" w:cs="Times New Roman"/>
          <w:noProof/>
        </w:rPr>
        <w:t>(Flexner, 1910)</w:t>
      </w:r>
      <w:r w:rsidRPr="00065E56">
        <w:rPr>
          <w:rFonts w:ascii="Times New Roman" w:hAnsi="Times New Roman" w:cs="Times New Roman"/>
        </w:rPr>
        <w:fldChar w:fldCharType="end"/>
      </w:r>
      <w:r w:rsidRPr="00065E56">
        <w:rPr>
          <w:rFonts w:ascii="Times New Roman" w:hAnsi="Times New Roman" w:cs="Times New Roman"/>
        </w:rPr>
        <w:t>. Additionally, he established the model of using data to drive curriculum reform.</w:t>
      </w:r>
    </w:p>
    <w:p w14:paraId="73FBAE39" w14:textId="24599ED7" w:rsidR="000400EC" w:rsidRPr="00065E56" w:rsidRDefault="000400EC" w:rsidP="000400EC">
      <w:pPr>
        <w:spacing w:line="480" w:lineRule="auto"/>
        <w:rPr>
          <w:rFonts w:ascii="Times New Roman" w:hAnsi="Times New Roman" w:cs="Times New Roman"/>
        </w:rPr>
      </w:pPr>
      <w:r w:rsidRPr="00065E56">
        <w:rPr>
          <w:rFonts w:ascii="Times New Roman" w:hAnsi="Times New Roman" w:cs="Times New Roman"/>
        </w:rPr>
        <w:tab/>
        <w:t xml:space="preserve">Dental professionals, having witnessed the profound changes in medical education instituted as a result of the Flexner Report, asked the Carnegie Foundation to commission a report for dental education. The </w:t>
      </w:r>
      <w:proofErr w:type="spellStart"/>
      <w:r w:rsidRPr="00065E56">
        <w:rPr>
          <w:rFonts w:ascii="Times New Roman" w:hAnsi="Times New Roman" w:cs="Times New Roman"/>
        </w:rPr>
        <w:t>Gies</w:t>
      </w:r>
      <w:proofErr w:type="spellEnd"/>
      <w:r w:rsidRPr="00065E56">
        <w:rPr>
          <w:rFonts w:ascii="Times New Roman" w:hAnsi="Times New Roman" w:cs="Times New Roman"/>
        </w:rPr>
        <w:t xml:space="preserve"> Report catalogued similar findings to the Flexner Report, </w:t>
      </w:r>
      <w:r w:rsidRPr="00065E56">
        <w:rPr>
          <w:rFonts w:ascii="Times New Roman" w:hAnsi="Times New Roman" w:cs="Times New Roman"/>
        </w:rPr>
        <w:lastRenderedPageBreak/>
        <w:t xml:space="preserve">including the need for research, teaching, and service to function collaboratively for student progress, university affiliation, and a standardization of curriculum </w:t>
      </w:r>
      <w:r w:rsidRPr="00065E56">
        <w:rPr>
          <w:rFonts w:ascii="Times New Roman" w:hAnsi="Times New Roman" w:cs="Times New Roman"/>
        </w:rPr>
        <w:fldChar w:fldCharType="begin"/>
      </w:r>
      <w:r w:rsidRPr="00065E56">
        <w:rPr>
          <w:rFonts w:ascii="Times New Roman" w:hAnsi="Times New Roman" w:cs="Times New Roman"/>
        </w:rPr>
        <w:instrText xml:space="preserve"> ADDIN ZOTERO_ITEM CSL_CITATION {"citationID":"4vbqyMT9","properties":{"formattedCitation":"(Gies, 1926)","plainCitation":"(Gies, 1926)","noteIndex":0},"citationItems":[{"id":507,"uris":["http://zotero.org/users/local/8fpcHUeo/items/Q2NMRTJP"],"uri":["http://zotero.org/users/local/8fpcHUeo/items/Q2NMRTJP"],"itemData":{"id":507,"type":"report","event-place":"New York, NY","page":"699","publisher":"The Carnegie Foundation for the Advancement of Teaching","publisher-place":"New York, NY","title":"Dental Education in the United States and Canada","author":[{"family":"Gies","given":"William"}],"issued":{"date-parts":[["1926"]]}}}],"schema":"https://github.com/citation-style-language/schema/raw/master/csl-citation.json"} </w:instrText>
      </w:r>
      <w:r w:rsidRPr="00065E56">
        <w:rPr>
          <w:rFonts w:ascii="Times New Roman" w:hAnsi="Times New Roman" w:cs="Times New Roman"/>
        </w:rPr>
        <w:fldChar w:fldCharType="separate"/>
      </w:r>
      <w:r w:rsidRPr="00065E56">
        <w:rPr>
          <w:rFonts w:ascii="Times New Roman" w:hAnsi="Times New Roman" w:cs="Times New Roman"/>
          <w:noProof/>
        </w:rPr>
        <w:t>(Gies, 1926)</w:t>
      </w:r>
      <w:r w:rsidRPr="00065E56">
        <w:rPr>
          <w:rFonts w:ascii="Times New Roman" w:hAnsi="Times New Roman" w:cs="Times New Roman"/>
        </w:rPr>
        <w:fldChar w:fldCharType="end"/>
      </w:r>
      <w:r w:rsidRPr="00065E56">
        <w:rPr>
          <w:rFonts w:ascii="Times New Roman" w:hAnsi="Times New Roman" w:cs="Times New Roman"/>
        </w:rPr>
        <w:t xml:space="preserve">. Though the decline of proprietary schools was well underway, </w:t>
      </w:r>
      <w:proofErr w:type="spellStart"/>
      <w:r w:rsidRPr="00065E56">
        <w:rPr>
          <w:rFonts w:ascii="Times New Roman" w:hAnsi="Times New Roman" w:cs="Times New Roman"/>
        </w:rPr>
        <w:t>Gies</w:t>
      </w:r>
      <w:proofErr w:type="spellEnd"/>
      <w:r w:rsidRPr="00065E56">
        <w:rPr>
          <w:rFonts w:ascii="Times New Roman" w:hAnsi="Times New Roman" w:cs="Times New Roman"/>
        </w:rPr>
        <w:t xml:space="preserve"> articulated various steps universities should take to elevate dental education on par with medical education</w:t>
      </w:r>
      <w:r w:rsidR="0019586C">
        <w:rPr>
          <w:rFonts w:ascii="Times New Roman" w:hAnsi="Times New Roman" w:cs="Times New Roman"/>
        </w:rPr>
        <w:t xml:space="preserve"> and</w:t>
      </w:r>
      <w:r w:rsidRPr="00065E56">
        <w:rPr>
          <w:rFonts w:ascii="Times New Roman" w:hAnsi="Times New Roman" w:cs="Times New Roman"/>
        </w:rPr>
        <w:t xml:space="preserve"> includ</w:t>
      </w:r>
      <w:r w:rsidR="0019586C">
        <w:rPr>
          <w:rFonts w:ascii="Times New Roman" w:hAnsi="Times New Roman" w:cs="Times New Roman"/>
        </w:rPr>
        <w:t>ed</w:t>
      </w:r>
      <w:r w:rsidRPr="00065E56">
        <w:rPr>
          <w:rFonts w:ascii="Times New Roman" w:hAnsi="Times New Roman" w:cs="Times New Roman"/>
        </w:rPr>
        <w:t xml:space="preserve"> </w:t>
      </w:r>
      <w:r w:rsidR="0019586C">
        <w:rPr>
          <w:rFonts w:ascii="Times New Roman" w:hAnsi="Times New Roman" w:cs="Times New Roman"/>
        </w:rPr>
        <w:t>similar</w:t>
      </w:r>
      <w:r w:rsidRPr="00065E56">
        <w:rPr>
          <w:rFonts w:ascii="Times New Roman" w:hAnsi="Times New Roman" w:cs="Times New Roman"/>
        </w:rPr>
        <w:t xml:space="preserve"> prerequisite and basic science coursework and research faculty </w:t>
      </w:r>
      <w:r w:rsidRPr="00065E56">
        <w:rPr>
          <w:rFonts w:ascii="Times New Roman" w:hAnsi="Times New Roman" w:cs="Times New Roman"/>
        </w:rPr>
        <w:fldChar w:fldCharType="begin"/>
      </w:r>
      <w:r w:rsidRPr="00065E56">
        <w:rPr>
          <w:rFonts w:ascii="Times New Roman" w:hAnsi="Times New Roman" w:cs="Times New Roman"/>
        </w:rPr>
        <w:instrText xml:space="preserve"> ADDIN ZOTERO_ITEM CSL_CITATION {"citationID":"StSwluEo","properties":{"formattedCitation":"(Institute of Medicine, 1995)","plainCitation":"(Institute of Medicine, 1995)","noteIndex":0},"citationItems":[{"id":524,"uris":["http://zotero.org/users/local/8fpcHUeo/items/BE8CZBHA"],"uri":["http://zotero.org/users/local/8fpcHUeo/items/BE8CZBHA"],"itemData":{"id":524,"type":"book","ISBN":"978-0-309-05195-8","publisher":"The National Academies Press","title":"Dental Education at the Crossroads: Challenges and Change","URL":"https://doi.org/10.17226/4925.","author":[{"family":"Institute of Medicine","given":""}],"issued":{"date-parts":[["1995"]]}}}],"schema":"https://github.com/citation-style-language/schema/raw/master/csl-citation.json"} </w:instrText>
      </w:r>
      <w:r w:rsidRPr="00065E56">
        <w:rPr>
          <w:rFonts w:ascii="Times New Roman" w:hAnsi="Times New Roman" w:cs="Times New Roman"/>
        </w:rPr>
        <w:fldChar w:fldCharType="separate"/>
      </w:r>
      <w:r w:rsidRPr="00065E56">
        <w:rPr>
          <w:rFonts w:ascii="Times New Roman" w:hAnsi="Times New Roman" w:cs="Times New Roman"/>
          <w:noProof/>
        </w:rPr>
        <w:t>(Institute of Medicine, 1995)</w:t>
      </w:r>
      <w:r w:rsidRPr="00065E56">
        <w:rPr>
          <w:rFonts w:ascii="Times New Roman" w:hAnsi="Times New Roman" w:cs="Times New Roman"/>
        </w:rPr>
        <w:fldChar w:fldCharType="end"/>
      </w:r>
      <w:r w:rsidRPr="00065E56">
        <w:rPr>
          <w:rFonts w:ascii="Times New Roman" w:hAnsi="Times New Roman" w:cs="Times New Roman"/>
        </w:rPr>
        <w:t xml:space="preserve">. Premier dentists of the era had long been advocating for the addition of the basic sciences due to their understanding of the relationship between the oral cavity and the body. Additionally, a 4-year curriculum was established, enabling dental faculty to include the same basic coursework as presented by medical faculty </w:t>
      </w:r>
      <w:r w:rsidRPr="00065E56">
        <w:rPr>
          <w:rFonts w:ascii="Times New Roman" w:hAnsi="Times New Roman" w:cs="Times New Roman"/>
        </w:rPr>
        <w:fldChar w:fldCharType="begin"/>
      </w:r>
      <w:r w:rsidRPr="00065E56">
        <w:rPr>
          <w:rFonts w:ascii="Times New Roman" w:hAnsi="Times New Roman" w:cs="Times New Roman"/>
        </w:rPr>
        <w:instrText xml:space="preserve"> ADDIN ZOTERO_ITEM CSL_CITATION {"citationID":"QpFytd83","properties":{"formattedCitation":"(Santangelo, 1981)","plainCitation":"(Santangelo, 1981)","noteIndex":0},"citationItems":[{"id":523,"uris":["http://zotero.org/users/local/8fpcHUeo/items/ZMEE2PU4"],"uri":["http://zotero.org/users/local/8fpcHUeo/items/ZMEE2PU4"],"itemData":{"id":523,"type":"article-journal","container-title":"Journal of Dental Education","issue":"10","page":"619-627","title":"The history and development of United States dental education","volume":"45","author":[{"family":"Santangelo","given":"MV"}],"issued":{"date-parts":[["1981"]]}}}],"schema":"https://github.com/citation-style-language/schema/raw/master/csl-citation.json"} </w:instrText>
      </w:r>
      <w:r w:rsidRPr="00065E56">
        <w:rPr>
          <w:rFonts w:ascii="Times New Roman" w:hAnsi="Times New Roman" w:cs="Times New Roman"/>
        </w:rPr>
        <w:fldChar w:fldCharType="separate"/>
      </w:r>
      <w:r w:rsidRPr="00065E56">
        <w:rPr>
          <w:rFonts w:ascii="Times New Roman" w:hAnsi="Times New Roman" w:cs="Times New Roman"/>
          <w:noProof/>
        </w:rPr>
        <w:t>(Santangelo, 1981)</w:t>
      </w:r>
      <w:r w:rsidRPr="00065E56">
        <w:rPr>
          <w:rFonts w:ascii="Times New Roman" w:hAnsi="Times New Roman" w:cs="Times New Roman"/>
        </w:rPr>
        <w:fldChar w:fldCharType="end"/>
      </w:r>
      <w:r w:rsidRPr="00065E56">
        <w:rPr>
          <w:rFonts w:ascii="Times New Roman" w:hAnsi="Times New Roman" w:cs="Times New Roman"/>
        </w:rPr>
        <w:t xml:space="preserve">. As a result of the </w:t>
      </w:r>
      <w:proofErr w:type="spellStart"/>
      <w:r w:rsidRPr="00065E56">
        <w:rPr>
          <w:rFonts w:ascii="Times New Roman" w:hAnsi="Times New Roman" w:cs="Times New Roman"/>
        </w:rPr>
        <w:t>Gies</w:t>
      </w:r>
      <w:proofErr w:type="spellEnd"/>
      <w:r w:rsidRPr="00065E56">
        <w:rPr>
          <w:rFonts w:ascii="Times New Roman" w:hAnsi="Times New Roman" w:cs="Times New Roman"/>
        </w:rPr>
        <w:t xml:space="preserve"> Report and other professional recommendations, a discipline-based basic science curriculum similar to medical education was then required of dental students </w:t>
      </w:r>
      <w:r w:rsidRPr="00065E56">
        <w:rPr>
          <w:rFonts w:ascii="Times New Roman" w:hAnsi="Times New Roman" w:cs="Times New Roman"/>
        </w:rPr>
        <w:fldChar w:fldCharType="begin"/>
      </w:r>
      <w:r w:rsidRPr="00065E56">
        <w:rPr>
          <w:rFonts w:ascii="Times New Roman" w:hAnsi="Times New Roman" w:cs="Times New Roman"/>
        </w:rPr>
        <w:instrText xml:space="preserve"> ADDIN ZOTERO_ITEM CSL_CITATION {"citationID":"lYYsT3lV","properties":{"formattedCitation":"(Pyle, 2012)","plainCitation":"(Pyle, 2012)","noteIndex":0},"citationItems":[{"id":513,"uris":["http://zotero.org/users/local/8fpcHUeo/items/LQMQR7DT"],"uri":["http://zotero.org/users/local/8fpcHUeo/items/LQMQR7DT"],"itemData":{"id":513,"type":"article-journal","abstract":"The collective body of work over the last seventy-ive years in the Journal of Dental Education has chronicled the ongoing critical issues and trends in dental education. The evolution of the curriculum has run in its and starts across the twentieth century and into the twenty-irst. Today, there has been a resurgence in the introspective work of the profession to examine what is taught, how it is taught, in what sequence it is taught, and the context relating dental education to other health professions and the global reach of the educational and professional environment. In the context of contemporary times, individual as well as organizational leadership has refocused the educational environment from teaching to learning. This article discusses the types of curricular changes documented in the Journal of Dental Education.","container-title":"Journal of Dental Education","DOI":"10.1002/j.0022-0337.2012.76.1.tb05237.x","ISSN":"00220337","issue":"1","journalAbbreviation":"Journal of Dental Education","language":"en","page":"89-97","source":"DOI.org (Crossref)","title":"New Models of Dental Education and Curricular Change: Their Potential Impact on Dental Education","title-short":"New Models of Dental Education and Curricular Change","volume":"76","author":[{"family":"Pyle","given":"Marsha A."}],"issued":{"date-parts":[["2012",1]]}}}],"schema":"https://github.com/citation-style-language/schema/raw/master/csl-citation.json"} </w:instrText>
      </w:r>
      <w:r w:rsidRPr="00065E56">
        <w:rPr>
          <w:rFonts w:ascii="Times New Roman" w:hAnsi="Times New Roman" w:cs="Times New Roman"/>
        </w:rPr>
        <w:fldChar w:fldCharType="separate"/>
      </w:r>
      <w:r w:rsidRPr="00065E56">
        <w:rPr>
          <w:rFonts w:ascii="Times New Roman" w:hAnsi="Times New Roman" w:cs="Times New Roman"/>
          <w:noProof/>
        </w:rPr>
        <w:t>(Pyle, 2012)</w:t>
      </w:r>
      <w:r w:rsidRPr="00065E56">
        <w:rPr>
          <w:rFonts w:ascii="Times New Roman" w:hAnsi="Times New Roman" w:cs="Times New Roman"/>
        </w:rPr>
        <w:fldChar w:fldCharType="end"/>
      </w:r>
      <w:r w:rsidRPr="00065E56">
        <w:rPr>
          <w:rFonts w:ascii="Times New Roman" w:hAnsi="Times New Roman" w:cs="Times New Roman"/>
        </w:rPr>
        <w:t>.</w:t>
      </w:r>
    </w:p>
    <w:p w14:paraId="1957A989" w14:textId="63BC3BB1" w:rsidR="000400EC" w:rsidRPr="00065E56" w:rsidRDefault="000400EC" w:rsidP="000400EC">
      <w:pPr>
        <w:spacing w:line="480" w:lineRule="auto"/>
        <w:rPr>
          <w:rFonts w:ascii="Times New Roman" w:hAnsi="Times New Roman" w:cs="Times New Roman"/>
        </w:rPr>
      </w:pPr>
      <w:r w:rsidRPr="00065E56">
        <w:rPr>
          <w:rFonts w:ascii="Times New Roman" w:hAnsi="Times New Roman" w:cs="Times New Roman"/>
        </w:rPr>
        <w:tab/>
        <w:t xml:space="preserve">One of the positive features of the expanded curriculum of the discipline-based model was the synergy derived from placing basic scientists and clinicians within the same programs. Clinical practice and research, encouraged by Flexner, emerged as a standard feature of the discipline-based model </w:t>
      </w:r>
      <w:r w:rsidRPr="00065E56">
        <w:rPr>
          <w:rFonts w:ascii="Times New Roman" w:hAnsi="Times New Roman" w:cs="Times New Roman"/>
        </w:rPr>
        <w:fldChar w:fldCharType="begin"/>
      </w:r>
      <w:r w:rsidRPr="00065E56">
        <w:rPr>
          <w:rFonts w:ascii="Times New Roman" w:hAnsi="Times New Roman" w:cs="Times New Roman"/>
        </w:rPr>
        <w:instrText xml:space="preserve"> ADDIN ZOTERO_ITEM CSL_CITATION {"citationID":"vLiml3tv","properties":{"formattedCitation":"(Hecker &amp; Violato, 2008)","plainCitation":"(Hecker &amp; Violato, 2008)","noteIndex":0},"citationItems":[{"id":475,"uris":["http://zotero.org/users/local/8fpcHUeo/items/LPVWZ4NU"],"uri":["http://zotero.org/users/local/8fpcHUeo/items/LPVWZ4NU"],"itemData":{"id":475,"type":"article-journal","container-title":"Teaching and Learning in Medicine","DOI":"10.1080/10401330801991915","ISSN":"1040-1334, 1532-8015","issue":"2","journalAbbreviation":"Teaching and Learning in Medicine","language":"en","page":"104-113","source":"DOI.org (Crossref)","title":"How Much Do Differences in Medical Schools Influence Student Performance? A Longitudinal Study Employing Hierarchical Linear Modeling","title-short":"How Much Do Differences in Medical Schools Influence Student Performance?","volume":"20","author":[{"family":"Hecker","given":"Kent"},{"family":"Violato","given":"Claudio"}],"issued":{"date-parts":[["2008",4,10]]}}}],"schema":"https://github.com/citation-style-language/schema/raw/master/csl-citation.json"} </w:instrText>
      </w:r>
      <w:r w:rsidRPr="00065E56">
        <w:rPr>
          <w:rFonts w:ascii="Times New Roman" w:hAnsi="Times New Roman" w:cs="Times New Roman"/>
        </w:rPr>
        <w:fldChar w:fldCharType="separate"/>
      </w:r>
      <w:r w:rsidRPr="00065E56">
        <w:rPr>
          <w:rFonts w:ascii="Times New Roman" w:hAnsi="Times New Roman" w:cs="Times New Roman"/>
          <w:noProof/>
        </w:rPr>
        <w:t>(Hecker &amp; Violato, 2008)</w:t>
      </w:r>
      <w:r w:rsidRPr="00065E56">
        <w:rPr>
          <w:rFonts w:ascii="Times New Roman" w:hAnsi="Times New Roman" w:cs="Times New Roman"/>
        </w:rPr>
        <w:fldChar w:fldCharType="end"/>
      </w:r>
      <w:r w:rsidRPr="00065E56">
        <w:rPr>
          <w:rFonts w:ascii="Times New Roman" w:hAnsi="Times New Roman" w:cs="Times New Roman"/>
        </w:rPr>
        <w:t xml:space="preserve">. Additionally, new teaching methods were developed, with critical thinking and what would come to be called self-regulated learning emerging as essential program objectives. </w:t>
      </w:r>
      <w:r w:rsidR="0019586C">
        <w:rPr>
          <w:rFonts w:ascii="Times New Roman" w:hAnsi="Times New Roman" w:cs="Times New Roman"/>
        </w:rPr>
        <w:t>T</w:t>
      </w:r>
      <w:r w:rsidRPr="00065E56">
        <w:rPr>
          <w:rFonts w:ascii="Times New Roman" w:hAnsi="Times New Roman" w:cs="Times New Roman"/>
        </w:rPr>
        <w:t xml:space="preserve">he focus of medical education shifted from memorizing clinical knowledge to the development of hypothetico-deductive reasoning and autonomous, active learning in an information rich environment </w:t>
      </w:r>
      <w:r w:rsidRPr="00065E56">
        <w:rPr>
          <w:rFonts w:ascii="Times New Roman" w:hAnsi="Times New Roman" w:cs="Times New Roman"/>
        </w:rPr>
        <w:fldChar w:fldCharType="begin"/>
      </w:r>
      <w:r w:rsidRPr="00065E56">
        <w:rPr>
          <w:rFonts w:ascii="Times New Roman" w:hAnsi="Times New Roman" w:cs="Times New Roman"/>
        </w:rPr>
        <w:instrText xml:space="preserve"> ADDIN ZOTERO_ITEM CSL_CITATION {"citationID":"7uWePaRn","properties":{"formattedCitation":"(Papa &amp; Harasym, 1999; Santangelo, 1981)","plainCitation":"(Papa &amp; Harasym, 1999; Santangelo, 1981)","noteIndex":0},"citationItems":[{"id":427,"uris":["http://zotero.org/users/local/8fpcHUeo/items/CN8I44VJ"],"uri":["http://zotero.org/users/local/8fpcHUeo/items/CN8I44VJ"],"itemData":{"id":427,"type":"article-journal","container-title":"Academic Medicine","issue":"2","page":"154-164","title":"Medical Curriculum Reform in North America, 1765 to the Present: A Cognitive Science Perspective","volume":"74","author":[{"family":"Papa","given":"Frank J."},{"family":"Harasym","given":"Peter H."}],"issued":{"date-parts":[["1999"]]}}},{"id":523,"uris":["http://zotero.org/users/local/8fpcHUeo/items/ZMEE2PU4"],"uri":["http://zotero.org/users/local/8fpcHUeo/items/ZMEE2PU4"],"itemData":{"id":523,"type":"article-journal","container-title":"Journal of Dental Education","issue":"10","page":"619-627","title":"The history and development of United States dental education","volume":"45","author":[{"family":"Santangelo","given":"MV"}],"issued":{"date-parts":[["1981"]]}}}],"schema":"https://github.com/citation-style-language/schema/raw/master/csl-citation.json"} </w:instrText>
      </w:r>
      <w:r w:rsidRPr="00065E56">
        <w:rPr>
          <w:rFonts w:ascii="Times New Roman" w:hAnsi="Times New Roman" w:cs="Times New Roman"/>
        </w:rPr>
        <w:fldChar w:fldCharType="separate"/>
      </w:r>
      <w:r w:rsidRPr="00065E56">
        <w:rPr>
          <w:rFonts w:ascii="Times New Roman" w:hAnsi="Times New Roman" w:cs="Times New Roman"/>
          <w:noProof/>
        </w:rPr>
        <w:t>(Papa &amp; Harasym, 1999; Santangelo, 1981)</w:t>
      </w:r>
      <w:r w:rsidRPr="00065E56">
        <w:rPr>
          <w:rFonts w:ascii="Times New Roman" w:hAnsi="Times New Roman" w:cs="Times New Roman"/>
        </w:rPr>
        <w:fldChar w:fldCharType="end"/>
      </w:r>
      <w:r w:rsidRPr="00065E56">
        <w:rPr>
          <w:rFonts w:ascii="Times New Roman" w:hAnsi="Times New Roman" w:cs="Times New Roman"/>
        </w:rPr>
        <w:t xml:space="preserve">. </w:t>
      </w:r>
    </w:p>
    <w:p w14:paraId="530FA4BD" w14:textId="77777777" w:rsidR="000400EC" w:rsidRPr="00065E56" w:rsidRDefault="000400EC" w:rsidP="000400EC">
      <w:pPr>
        <w:spacing w:line="480" w:lineRule="auto"/>
        <w:rPr>
          <w:rFonts w:ascii="Times New Roman" w:hAnsi="Times New Roman" w:cs="Times New Roman"/>
        </w:rPr>
      </w:pPr>
      <w:r w:rsidRPr="00065E56">
        <w:rPr>
          <w:rFonts w:ascii="Times New Roman" w:hAnsi="Times New Roman" w:cs="Times New Roman"/>
        </w:rPr>
        <w:tab/>
        <w:t xml:space="preserve">Though the discipline-based model improved the depth of knowledge and cultivated professional habits of mind, there were limitations. With the strict separation of basic science and clinical application, students had to independently apply basic science information during the </w:t>
      </w:r>
      <w:r w:rsidRPr="00065E56">
        <w:rPr>
          <w:rFonts w:ascii="Times New Roman" w:hAnsi="Times New Roman" w:cs="Times New Roman"/>
        </w:rPr>
        <w:lastRenderedPageBreak/>
        <w:t xml:space="preserve">clinical years </w:t>
      </w:r>
      <w:r w:rsidRPr="00065E56">
        <w:rPr>
          <w:rFonts w:ascii="Times New Roman" w:hAnsi="Times New Roman" w:cs="Times New Roman"/>
        </w:rPr>
        <w:fldChar w:fldCharType="begin"/>
      </w:r>
      <w:r w:rsidRPr="00065E56">
        <w:rPr>
          <w:rFonts w:ascii="Times New Roman" w:hAnsi="Times New Roman" w:cs="Times New Roman"/>
        </w:rPr>
        <w:instrText xml:space="preserve"> ADDIN ZOTERO_ITEM CSL_CITATION {"citationID":"iMnYYI7G","properties":{"formattedCitation":"(Papa &amp; Harasym, 1999)","plainCitation":"(Papa &amp; Harasym, 1999)","noteIndex":0},"citationItems":[{"id":427,"uris":["http://zotero.org/users/local/8fpcHUeo/items/CN8I44VJ"],"uri":["http://zotero.org/users/local/8fpcHUeo/items/CN8I44VJ"],"itemData":{"id":427,"type":"article-journal","container-title":"Academic Medicine","issue":"2","page":"154-164","title":"Medical Curriculum Reform in North America, 1765 to the Present: A Cognitive Science Perspective","volume":"74","author":[{"family":"Papa","given":"Frank J."},{"family":"Harasym","given":"Peter H."}],"issued":{"date-parts":[["1999"]]}}}],"schema":"https://github.com/citation-style-language/schema/raw/master/csl-citation.json"} </w:instrText>
      </w:r>
      <w:r w:rsidRPr="00065E56">
        <w:rPr>
          <w:rFonts w:ascii="Times New Roman" w:hAnsi="Times New Roman" w:cs="Times New Roman"/>
        </w:rPr>
        <w:fldChar w:fldCharType="separate"/>
      </w:r>
      <w:r w:rsidRPr="00065E56">
        <w:rPr>
          <w:rFonts w:ascii="Times New Roman" w:hAnsi="Times New Roman" w:cs="Times New Roman"/>
          <w:noProof/>
        </w:rPr>
        <w:t>(Papa &amp; Harasym, 1999)</w:t>
      </w:r>
      <w:r w:rsidRPr="00065E56">
        <w:rPr>
          <w:rFonts w:ascii="Times New Roman" w:hAnsi="Times New Roman" w:cs="Times New Roman"/>
        </w:rPr>
        <w:fldChar w:fldCharType="end"/>
      </w:r>
      <w:r w:rsidRPr="00065E56">
        <w:rPr>
          <w:rFonts w:ascii="Times New Roman" w:hAnsi="Times New Roman" w:cs="Times New Roman"/>
        </w:rPr>
        <w:t xml:space="preserve">. The assumption that teaching hypothetico-deductive reasoning in the basic sciences would translate to correct clinical reasoning was inaccurate and frustrated both students and faculty. Another issue was the lack of coordination and communication between departments. Combined with a lack of program learning objectives, this led to an absence of scope and sequence of topics within the curriculum </w:t>
      </w:r>
      <w:r w:rsidRPr="00065E56">
        <w:rPr>
          <w:rFonts w:ascii="Times New Roman" w:hAnsi="Times New Roman" w:cs="Times New Roman"/>
        </w:rPr>
        <w:fldChar w:fldCharType="begin"/>
      </w:r>
      <w:r w:rsidRPr="00065E56">
        <w:rPr>
          <w:rFonts w:ascii="Times New Roman" w:hAnsi="Times New Roman" w:cs="Times New Roman"/>
        </w:rPr>
        <w:instrText xml:space="preserve"> ADDIN ZOTERO_ITEM CSL_CITATION {"citationID":"baLIW8xF","properties":{"formattedCitation":"(Ganguly et al., 2019)","plainCitation":"(Ganguly et al., 2019)","noteIndex":0},"citationItems":[{"id":459,"uris":["http://zotero.org/users/local/8fpcHUeo/items/4FBZ7ZEC"],"uri":["http://zotero.org/users/local/8fpcHUeo/items/4FBZ7ZEC"],"itemData":{"id":459,"type":"article-journal","abstract":"Over the years, the medical curriculum has been changed to accommodate a variety of evolving disciplines and an exploding scientiﬁc knowledge of the basic sciences to prepare “a competent physician” of the 21st century. Therefore, we must be innovative in our approach of curricular development if we wish to continue to incorporate new basic sciences knowledge in the face of decreasing contact hours to satisfy the buzz word, “integration”. Certainly, the challenges are phenomenal. The question how to best integrate basic sciences, is not easy to answer as the objectives of the courses and outcome vary from one medical school to another and the fact is, one size does not ﬁt all. However, if we believe that basic sciences are the language of medicine and foundation of clinical knowledge, then we must resolve this ongoing dilemma by introducing basic sciences through a better alignment in a given curriculum. The purpose of this review is to evaluate different curricular models for their basic sciences content and address their strengths and weaknesses. In addition, we will introduce a spiral design to integrate basic sciences for senior students. Finally, we will provide some insight as to how learning and retention of basic science content can be sustained.","container-title":"Canadian Journal of Physiology and Pharmacology","DOI":"10.1139/cjpp-2018-0428","ISSN":"0008-4212, 1205-7541","issue":"4","journalAbbreviation":"Can. J. Physiol. Pharmacol.","language":"en","page":"293-296","source":"DOI.org (Crossref)","title":"Medical education dilemma: How can we best accommodate basic sciences in a curriculum for 21st century medical students?","title-short":"Medical education dilemma","volume":"97","author":[{"family":"Ganguly","given":"Paul"},{"family":"Yaqinuddin","given":"Ahmed"},{"family":"Al-Kattan","given":"Wael"},{"family":"Kemahli","given":"Sabri"},{"family":"AlKattan","given":"Khaled"}],"issued":{"date-parts":[["2019",4]]}}}],"schema":"https://github.com/citation-style-language/schema/raw/master/csl-citation.json"} </w:instrText>
      </w:r>
      <w:r w:rsidRPr="00065E56">
        <w:rPr>
          <w:rFonts w:ascii="Times New Roman" w:hAnsi="Times New Roman" w:cs="Times New Roman"/>
        </w:rPr>
        <w:fldChar w:fldCharType="separate"/>
      </w:r>
      <w:r w:rsidRPr="00065E56">
        <w:rPr>
          <w:rFonts w:ascii="Times New Roman" w:hAnsi="Times New Roman" w:cs="Times New Roman"/>
          <w:noProof/>
        </w:rPr>
        <w:t>(Ganguly et al., 2019)</w:t>
      </w:r>
      <w:r w:rsidRPr="00065E56">
        <w:rPr>
          <w:rFonts w:ascii="Times New Roman" w:hAnsi="Times New Roman" w:cs="Times New Roman"/>
        </w:rPr>
        <w:fldChar w:fldCharType="end"/>
      </w:r>
      <w:r w:rsidRPr="00065E56">
        <w:rPr>
          <w:rFonts w:ascii="Times New Roman" w:hAnsi="Times New Roman" w:cs="Times New Roman"/>
        </w:rPr>
        <w:t>. Ultimately, this put undue cognitive stress on students to apply forgotten information or to apply information in ways students had never practiced. Acknowledgement of these limitations led educators to propose a new model utilizing a concept still researched today: integration.</w:t>
      </w:r>
    </w:p>
    <w:p w14:paraId="38E9B2C7" w14:textId="2AAB2E82" w:rsidR="000400EC" w:rsidRPr="005D6960" w:rsidRDefault="000400EC" w:rsidP="000400EC">
      <w:pPr>
        <w:spacing w:line="480" w:lineRule="auto"/>
        <w:rPr>
          <w:rFonts w:ascii="Times New Roman" w:hAnsi="Times New Roman" w:cs="Times New Roman"/>
          <w:b/>
          <w:bCs/>
          <w:i/>
          <w:iCs/>
        </w:rPr>
      </w:pPr>
      <w:r w:rsidRPr="00065E56">
        <w:rPr>
          <w:rFonts w:ascii="Times New Roman" w:hAnsi="Times New Roman" w:cs="Times New Roman"/>
        </w:rPr>
        <w:tab/>
      </w:r>
      <w:r w:rsidRPr="00065E56">
        <w:rPr>
          <w:rFonts w:ascii="Times New Roman" w:hAnsi="Times New Roman" w:cs="Times New Roman"/>
          <w:b/>
          <w:bCs/>
          <w:i/>
          <w:iCs/>
        </w:rPr>
        <w:t>Organ-system-based model, 1951 onward.</w:t>
      </w:r>
      <w:r w:rsidR="005D6960">
        <w:rPr>
          <w:rFonts w:ascii="Times New Roman" w:hAnsi="Times New Roman" w:cs="Times New Roman"/>
          <w:b/>
          <w:bCs/>
          <w:i/>
          <w:iCs/>
        </w:rPr>
        <w:t xml:space="preserve"> </w:t>
      </w:r>
      <w:r w:rsidRPr="00065E56">
        <w:rPr>
          <w:rFonts w:ascii="Times New Roman" w:hAnsi="Times New Roman" w:cs="Times New Roman"/>
        </w:rPr>
        <w:t xml:space="preserve">Frustrated with the irrelevance of pre-clinical basic science minutiae being taught by departments, educators sought to rearrange and restructure basic science information so that its relevance could be immediately observed by students. By rearranging the curriculum by organ-system, educators integrated anatomy, chemistry, etc. for each organ-system </w:t>
      </w:r>
      <w:r w:rsidRPr="00065E56">
        <w:rPr>
          <w:rFonts w:ascii="Times New Roman" w:hAnsi="Times New Roman" w:cs="Times New Roman"/>
        </w:rPr>
        <w:fldChar w:fldCharType="begin"/>
      </w:r>
      <w:r w:rsidRPr="00065E56">
        <w:rPr>
          <w:rFonts w:ascii="Times New Roman" w:hAnsi="Times New Roman" w:cs="Times New Roman"/>
        </w:rPr>
        <w:instrText xml:space="preserve"> ADDIN ZOTERO_ITEM CSL_CITATION {"citationID":"TkIfQl6O","properties":{"formattedCitation":"(Ganguly et al., 2019)","plainCitation":"(Ganguly et al., 2019)","noteIndex":0},"citationItems":[{"id":459,"uris":["http://zotero.org/users/local/8fpcHUeo/items/4FBZ7ZEC"],"uri":["http://zotero.org/users/local/8fpcHUeo/items/4FBZ7ZEC"],"itemData":{"id":459,"type":"article-journal","abstract":"Over the years, the medical curriculum has been changed to accommodate a variety of evolving disciplines and an exploding scientiﬁc knowledge of the basic sciences to prepare “a competent physician” of the 21st century. Therefore, we must be innovative in our approach of curricular development if we wish to continue to incorporate new basic sciences knowledge in the face of decreasing contact hours to satisfy the buzz word, “integration”. Certainly, the challenges are phenomenal. The question how to best integrate basic sciences, is not easy to answer as the objectives of the courses and outcome vary from one medical school to another and the fact is, one size does not ﬁt all. However, if we believe that basic sciences are the language of medicine and foundation of clinical knowledge, then we must resolve this ongoing dilemma by introducing basic sciences through a better alignment in a given curriculum. The purpose of this review is to evaluate different curricular models for their basic sciences content and address their strengths and weaknesses. In addition, we will introduce a spiral design to integrate basic sciences for senior students. Finally, we will provide some insight as to how learning and retention of basic science content can be sustained.","container-title":"Canadian Journal of Physiology and Pharmacology","DOI":"10.1139/cjpp-2018-0428","ISSN":"0008-4212, 1205-7541","issue":"4","journalAbbreviation":"Can. J. Physiol. Pharmacol.","language":"en","page":"293-296","source":"DOI.org (Crossref)","title":"Medical education dilemma: How can we best accommodate basic sciences in a curriculum for 21st century medical students?","title-short":"Medical education dilemma","volume":"97","author":[{"family":"Ganguly","given":"Paul"},{"family":"Yaqinuddin","given":"Ahmed"},{"family":"Al-Kattan","given":"Wael"},{"family":"Kemahli","given":"Sabri"},{"family":"AlKattan","given":"Khaled"}],"issued":{"date-parts":[["2019",4]]}}}],"schema":"https://github.com/citation-style-language/schema/raw/master/csl-citation.json"} </w:instrText>
      </w:r>
      <w:r w:rsidRPr="00065E56">
        <w:rPr>
          <w:rFonts w:ascii="Times New Roman" w:hAnsi="Times New Roman" w:cs="Times New Roman"/>
        </w:rPr>
        <w:fldChar w:fldCharType="separate"/>
      </w:r>
      <w:r w:rsidRPr="00065E56">
        <w:rPr>
          <w:rFonts w:ascii="Times New Roman" w:hAnsi="Times New Roman" w:cs="Times New Roman"/>
          <w:noProof/>
        </w:rPr>
        <w:t>(Ganguly et al., 2019)</w:t>
      </w:r>
      <w:r w:rsidRPr="00065E56">
        <w:rPr>
          <w:rFonts w:ascii="Times New Roman" w:hAnsi="Times New Roman" w:cs="Times New Roman"/>
        </w:rPr>
        <w:fldChar w:fldCharType="end"/>
      </w:r>
      <w:r w:rsidRPr="00065E56">
        <w:rPr>
          <w:rFonts w:ascii="Times New Roman" w:hAnsi="Times New Roman" w:cs="Times New Roman"/>
        </w:rPr>
        <w:t xml:space="preserve">. Medical educators were hoping that integrating the basic science content together anatomically would translate into better diagnosing skills in the clinical years </w:t>
      </w:r>
      <w:r w:rsidRPr="00065E56">
        <w:rPr>
          <w:rFonts w:ascii="Times New Roman" w:hAnsi="Times New Roman" w:cs="Times New Roman"/>
        </w:rPr>
        <w:fldChar w:fldCharType="begin"/>
      </w:r>
      <w:r w:rsidRPr="00065E56">
        <w:rPr>
          <w:rFonts w:ascii="Times New Roman" w:hAnsi="Times New Roman" w:cs="Times New Roman"/>
        </w:rPr>
        <w:instrText xml:space="preserve"> ADDIN ZOTERO_ITEM CSL_CITATION {"citationID":"ABTfV9MV","properties":{"formattedCitation":"(Hopkins et al., 2015)","plainCitation":"(Hopkins et al., 2015)","noteIndex":0},"citationItems":[{"id":420,"uris":["http://zotero.org/users/local/8fpcHUeo/items/XLRXN569"],"uri":["http://zotero.org/users/local/8fpcHUeo/items/XLRXN569"],"itemData":{"id":420,"type":"article-journal","container-title":"Academic Medicine","DOI":"10.1097/ACM.0000000000000437","ISSN":"1040-2446","issue":"2","journalAbbreviation":"Academic Medicine","language":"en","page":"149-153","source":"DOI.org (Crossref)","title":"Integrating Basic Science Without Integrating Basic Scientists: Reconsidering the Place of Individual Teachers in Curriculum Reform","title-short":"Integrating Basic Science Without Integrating Basic Scientists","volume":"90","author":[{"family":"Hopkins","given":"Robin"},{"family":"Pratt","given":"Daniel"},{"family":"Bowen","given":"Judith L."},{"family":"Regehr","given":"Glenn"}],"issued":{"date-parts":[["2015",2]]}}}],"schema":"https://github.com/citation-style-language/schema/raw/master/csl-citation.json"} </w:instrText>
      </w:r>
      <w:r w:rsidRPr="00065E56">
        <w:rPr>
          <w:rFonts w:ascii="Times New Roman" w:hAnsi="Times New Roman" w:cs="Times New Roman"/>
        </w:rPr>
        <w:fldChar w:fldCharType="separate"/>
      </w:r>
      <w:r w:rsidRPr="00065E56">
        <w:rPr>
          <w:rFonts w:ascii="Times New Roman" w:hAnsi="Times New Roman" w:cs="Times New Roman"/>
          <w:noProof/>
        </w:rPr>
        <w:t>(Hopkins et al., 2015)</w:t>
      </w:r>
      <w:r w:rsidRPr="00065E56">
        <w:rPr>
          <w:rFonts w:ascii="Times New Roman" w:hAnsi="Times New Roman" w:cs="Times New Roman"/>
        </w:rPr>
        <w:fldChar w:fldCharType="end"/>
      </w:r>
      <w:r w:rsidRPr="00065E56">
        <w:rPr>
          <w:rFonts w:ascii="Times New Roman" w:hAnsi="Times New Roman" w:cs="Times New Roman"/>
        </w:rPr>
        <w:t>.</w:t>
      </w:r>
      <w:r w:rsidRPr="00065E56">
        <w:rPr>
          <w:rFonts w:ascii="Times New Roman" w:hAnsi="Times New Roman" w:cs="Times New Roman"/>
        </w:rPr>
        <w:tab/>
      </w:r>
    </w:p>
    <w:p w14:paraId="787C60FE" w14:textId="77777777" w:rsidR="000400EC" w:rsidRPr="00065E56" w:rsidRDefault="000400EC" w:rsidP="000400EC">
      <w:pPr>
        <w:spacing w:line="480" w:lineRule="auto"/>
        <w:rPr>
          <w:rFonts w:ascii="Times New Roman" w:hAnsi="Times New Roman" w:cs="Times New Roman"/>
        </w:rPr>
      </w:pPr>
      <w:r w:rsidRPr="00065E56">
        <w:rPr>
          <w:rFonts w:ascii="Times New Roman" w:hAnsi="Times New Roman" w:cs="Times New Roman"/>
        </w:rPr>
        <w:tab/>
        <w:t xml:space="preserve">The organ-system-based model and its emphasis on integration initiated further institutional change: curriculum committees began to control the educational content rather than individual departments. Department representatives met to determine the most salient basic science information to be learned for each organ-system. Improved coordination and communication between departments did reduce redundancy, but problem solving/diagnosing in the clinical years remained a struggle for students </w:t>
      </w:r>
      <w:r w:rsidRPr="00065E56">
        <w:rPr>
          <w:rFonts w:ascii="Times New Roman" w:hAnsi="Times New Roman" w:cs="Times New Roman"/>
        </w:rPr>
        <w:fldChar w:fldCharType="begin"/>
      </w:r>
      <w:r w:rsidRPr="00065E56">
        <w:rPr>
          <w:rFonts w:ascii="Times New Roman" w:hAnsi="Times New Roman" w:cs="Times New Roman"/>
        </w:rPr>
        <w:instrText xml:space="preserve"> ADDIN ZOTERO_ITEM CSL_CITATION {"citationID":"SOVjPxu6","properties":{"formattedCitation":"(Ganguly et al., 2019)","plainCitation":"(Ganguly et al., 2019)","noteIndex":0},"citationItems":[{"id":459,"uris":["http://zotero.org/users/local/8fpcHUeo/items/4FBZ7ZEC"],"uri":["http://zotero.org/users/local/8fpcHUeo/items/4FBZ7ZEC"],"itemData":{"id":459,"type":"article-journal","abstract":"Over the years, the medical curriculum has been changed to accommodate a variety of evolving disciplines and an exploding scientiﬁc knowledge of the basic sciences to prepare “a competent physician” of the 21st century. Therefore, we must be innovative in our approach of curricular development if we wish to continue to incorporate new basic sciences knowledge in the face of decreasing contact hours to satisfy the buzz word, “integration”. Certainly, the challenges are phenomenal. The question how to best integrate basic sciences, is not easy to answer as the objectives of the courses and outcome vary from one medical school to another and the fact is, one size does not ﬁt all. However, if we believe that basic sciences are the language of medicine and foundation of clinical knowledge, then we must resolve this ongoing dilemma by introducing basic sciences through a better alignment in a given curriculum. The purpose of this review is to evaluate different curricular models for their basic sciences content and address their strengths and weaknesses. In addition, we will introduce a spiral design to integrate basic sciences for senior students. Finally, we will provide some insight as to how learning and retention of basic science content can be sustained.","container-title":"Canadian Journal of Physiology and Pharmacology","DOI":"10.1139/cjpp-2018-0428","ISSN":"0008-4212, 1205-7541","issue":"4","journalAbbreviation":"Can. J. Physiol. Pharmacol.","language":"en","page":"293-296","source":"DOI.org (Crossref)","title":"Medical education dilemma: How can we best accommodate basic sciences in a curriculum for 21st century medical students?","title-short":"Medical education dilemma","volume":"97","author":[{"family":"Ganguly","given":"Paul"},{"family":"Yaqinuddin","given":"Ahmed"},{"family":"Al-Kattan","given":"Wael"},{"family":"Kemahli","given":"Sabri"},{"family":"AlKattan","given":"Khaled"}],"issued":{"date-parts":[["2019",4]]}}}],"schema":"https://github.com/citation-style-language/schema/raw/master/csl-citation.json"} </w:instrText>
      </w:r>
      <w:r w:rsidRPr="00065E56">
        <w:rPr>
          <w:rFonts w:ascii="Times New Roman" w:hAnsi="Times New Roman" w:cs="Times New Roman"/>
        </w:rPr>
        <w:fldChar w:fldCharType="separate"/>
      </w:r>
      <w:r w:rsidRPr="00065E56">
        <w:rPr>
          <w:rFonts w:ascii="Times New Roman" w:hAnsi="Times New Roman" w:cs="Times New Roman"/>
          <w:noProof/>
        </w:rPr>
        <w:t>(Ganguly et al., 2019)</w:t>
      </w:r>
      <w:r w:rsidRPr="00065E56">
        <w:rPr>
          <w:rFonts w:ascii="Times New Roman" w:hAnsi="Times New Roman" w:cs="Times New Roman"/>
        </w:rPr>
        <w:fldChar w:fldCharType="end"/>
      </w:r>
      <w:r w:rsidRPr="00065E56">
        <w:rPr>
          <w:rFonts w:ascii="Times New Roman" w:hAnsi="Times New Roman" w:cs="Times New Roman"/>
        </w:rPr>
        <w:t xml:space="preserve">. Curriculum committees responded by adding independent self-regulated learning modules of basic science content </w:t>
      </w:r>
      <w:r w:rsidRPr="00065E56">
        <w:rPr>
          <w:rFonts w:ascii="Times New Roman" w:hAnsi="Times New Roman" w:cs="Times New Roman"/>
        </w:rPr>
        <w:lastRenderedPageBreak/>
        <w:t xml:space="preserve">during the clinical years of schooling. Due to the self-study aspect of this second iteration of integration, learning objectives were introduced for the first time </w:t>
      </w:r>
      <w:r w:rsidRPr="00065E56">
        <w:rPr>
          <w:rFonts w:ascii="Times New Roman" w:hAnsi="Times New Roman" w:cs="Times New Roman"/>
        </w:rPr>
        <w:fldChar w:fldCharType="begin"/>
      </w:r>
      <w:r w:rsidRPr="00065E56">
        <w:rPr>
          <w:rFonts w:ascii="Times New Roman" w:hAnsi="Times New Roman" w:cs="Times New Roman"/>
        </w:rPr>
        <w:instrText xml:space="preserve"> ADDIN ZOTERO_ITEM CSL_CITATION {"citationID":"x1Hu78LG","properties":{"formattedCitation":"(Papa &amp; Harasym, 1999)","plainCitation":"(Papa &amp; Harasym, 1999)","noteIndex":0},"citationItems":[{"id":427,"uris":["http://zotero.org/users/local/8fpcHUeo/items/CN8I44VJ"],"uri":["http://zotero.org/users/local/8fpcHUeo/items/CN8I44VJ"],"itemData":{"id":427,"type":"article-journal","container-title":"Academic Medicine","issue":"2","page":"154-164","title":"Medical Curriculum Reform in North America, 1765 to the Present: A Cognitive Science Perspective","volume":"74","author":[{"family":"Papa","given":"Frank J."},{"family":"Harasym","given":"Peter H."}],"issued":{"date-parts":[["1999"]]}}}],"schema":"https://github.com/citation-style-language/schema/raw/master/csl-citation.json"} </w:instrText>
      </w:r>
      <w:r w:rsidRPr="00065E56">
        <w:rPr>
          <w:rFonts w:ascii="Times New Roman" w:hAnsi="Times New Roman" w:cs="Times New Roman"/>
        </w:rPr>
        <w:fldChar w:fldCharType="separate"/>
      </w:r>
      <w:r w:rsidRPr="00065E56">
        <w:rPr>
          <w:rFonts w:ascii="Times New Roman" w:hAnsi="Times New Roman" w:cs="Times New Roman"/>
          <w:noProof/>
        </w:rPr>
        <w:t>(Papa &amp; Harasym, 1999)</w:t>
      </w:r>
      <w:r w:rsidRPr="00065E56">
        <w:rPr>
          <w:rFonts w:ascii="Times New Roman" w:hAnsi="Times New Roman" w:cs="Times New Roman"/>
        </w:rPr>
        <w:fldChar w:fldCharType="end"/>
      </w:r>
      <w:r w:rsidRPr="00065E56">
        <w:rPr>
          <w:rFonts w:ascii="Times New Roman" w:hAnsi="Times New Roman" w:cs="Times New Roman"/>
        </w:rPr>
        <w:t xml:space="preserve">.  </w:t>
      </w:r>
    </w:p>
    <w:p w14:paraId="56A1F545" w14:textId="77777777" w:rsidR="000400EC" w:rsidRPr="00065E56" w:rsidRDefault="000400EC" w:rsidP="000400EC">
      <w:pPr>
        <w:spacing w:line="480" w:lineRule="auto"/>
        <w:rPr>
          <w:rFonts w:ascii="Times New Roman" w:hAnsi="Times New Roman" w:cs="Times New Roman"/>
        </w:rPr>
      </w:pPr>
      <w:r w:rsidRPr="00065E56">
        <w:rPr>
          <w:rFonts w:ascii="Times New Roman" w:hAnsi="Times New Roman" w:cs="Times New Roman"/>
        </w:rPr>
        <w:tab/>
        <w:t xml:space="preserve">Dental schools that shared faculty and resources with medical schools may have experienced the shift to the organ-systems-based model, but the model was not identified amongst professional organizations or reports as a necessary curricular change. The literature mainly mentions student dissatisfaction with ‘disconnected’ basic sciences from ‘traditional’ (discipline-based) models and the need for adoption of integration and problem-based learning. </w:t>
      </w:r>
      <w:r w:rsidRPr="00065E56">
        <w:rPr>
          <w:rFonts w:ascii="Times New Roman" w:hAnsi="Times New Roman" w:cs="Times New Roman"/>
        </w:rPr>
        <w:fldChar w:fldCharType="begin"/>
      </w:r>
      <w:r w:rsidRPr="00065E56">
        <w:rPr>
          <w:rFonts w:ascii="Times New Roman" w:hAnsi="Times New Roman" w:cs="Times New Roman"/>
        </w:rPr>
        <w:instrText xml:space="preserve"> ADDIN ZOTERO_ITEM CSL_CITATION {"citationID":"vtU763jq","properties":{"formattedCitation":"(Institute of Medicine, 1995; Pyle, 2012; Santangelo, 1981)","plainCitation":"(Institute of Medicine, 1995; Pyle, 2012; Santangelo, 1981)","noteIndex":0},"citationItems":[{"id":524,"uris":["http://zotero.org/users/local/8fpcHUeo/items/BE8CZBHA"],"uri":["http://zotero.org/users/local/8fpcHUeo/items/BE8CZBHA"],"itemData":{"id":524,"type":"book","ISBN":"978-0-309-05195-8","publisher":"The National Academies Press","title":"Dental Education at the Crossroads: Challenges and Change","URL":"https://doi.org/10.17226/4925.","author":[{"family":"Institute of Medicine","given":""}],"issued":{"date-parts":[["1995"]]}}},{"id":513,"uris":["http://zotero.org/users/local/8fpcHUeo/items/LQMQR7DT"],"uri":["http://zotero.org/users/local/8fpcHUeo/items/LQMQR7DT"],"itemData":{"id":513,"type":"article-journal","abstract":"The collective body of work over the last seventy-ive years in the Journal of Dental Education has chronicled the ongoing critical issues and trends in dental education. The evolution of the curriculum has run in its and starts across the twentieth century and into the twenty-irst. Today, there has been a resurgence in the introspective work of the profession to examine what is taught, how it is taught, in what sequence it is taught, and the context relating dental education to other health professions and the global reach of the educational and professional environment. In the context of contemporary times, individual as well as organizational leadership has refocused the educational environment from teaching to learning. This article discusses the types of curricular changes documented in the Journal of Dental Education.","container-title":"Journal of Dental Education","DOI":"10.1002/j.0022-0337.2012.76.1.tb05237.x","ISSN":"00220337","issue":"1","journalAbbreviation":"Journal of Dental Education","language":"en","page":"89-97","source":"DOI.org (Crossref)","title":"New Models of Dental Education and Curricular Change: Their Potential Impact on Dental Education","title-short":"New Models of Dental Education and Curricular Change","volume":"76","author":[{"family":"Pyle","given":"Marsha A."}],"issued":{"date-parts":[["2012",1]]}}},{"id":523,"uris":["http://zotero.org/users/local/8fpcHUeo/items/ZMEE2PU4"],"uri":["http://zotero.org/users/local/8fpcHUeo/items/ZMEE2PU4"],"itemData":{"id":523,"type":"article-journal","container-title":"Journal of Dental Education","issue":"10","page":"619-627","title":"The history and development of United States dental education","volume":"45","author":[{"family":"Santangelo","given":"MV"}],"issued":{"date-parts":[["1981"]]}}}],"schema":"https://github.com/citation-style-language/schema/raw/master/csl-citation.json"} </w:instrText>
      </w:r>
      <w:r w:rsidRPr="00065E56">
        <w:rPr>
          <w:rFonts w:ascii="Times New Roman" w:hAnsi="Times New Roman" w:cs="Times New Roman"/>
        </w:rPr>
        <w:fldChar w:fldCharType="separate"/>
      </w:r>
      <w:r w:rsidRPr="00065E56">
        <w:rPr>
          <w:rFonts w:ascii="Times New Roman" w:hAnsi="Times New Roman" w:cs="Times New Roman"/>
          <w:noProof/>
        </w:rPr>
        <w:t>(Institute of Medicine, 1995; Pyle, 2012; Santangelo, 1981)</w:t>
      </w:r>
      <w:r w:rsidRPr="00065E56">
        <w:rPr>
          <w:rFonts w:ascii="Times New Roman" w:hAnsi="Times New Roman" w:cs="Times New Roman"/>
        </w:rPr>
        <w:fldChar w:fldCharType="end"/>
      </w:r>
      <w:r w:rsidRPr="00065E56">
        <w:rPr>
          <w:rFonts w:ascii="Times New Roman" w:hAnsi="Times New Roman" w:cs="Times New Roman"/>
        </w:rPr>
        <w:t xml:space="preserve">. Dental schools in the 1940s and 1950s largely focused on research and scientific advancement, and incorporating general physical health and public health into the curriculum </w:t>
      </w:r>
      <w:r w:rsidRPr="00065E56">
        <w:rPr>
          <w:rFonts w:ascii="Times New Roman" w:hAnsi="Times New Roman" w:cs="Times New Roman"/>
        </w:rPr>
        <w:fldChar w:fldCharType="begin"/>
      </w:r>
      <w:r w:rsidRPr="00065E56">
        <w:rPr>
          <w:rFonts w:ascii="Times New Roman" w:hAnsi="Times New Roman" w:cs="Times New Roman"/>
        </w:rPr>
        <w:instrText xml:space="preserve"> ADDIN ZOTERO_ITEM CSL_CITATION {"citationID":"OpQ0q9gY","properties":{"formattedCitation":"(Pyle, 2012; Santangelo, 1981)","plainCitation":"(Pyle, 2012; Santangelo, 1981)","noteIndex":0},"citationItems":[{"id":513,"uris":["http://zotero.org/users/local/8fpcHUeo/items/LQMQR7DT"],"uri":["http://zotero.org/users/local/8fpcHUeo/items/LQMQR7DT"],"itemData":{"id":513,"type":"article-journal","abstract":"The collective body of work over the last seventy-ive years in the Journal of Dental Education has chronicled the ongoing critical issues and trends in dental education. The evolution of the curriculum has run in its and starts across the twentieth century and into the twenty-irst. Today, there has been a resurgence in the introspective work of the profession to examine what is taught, how it is taught, in what sequence it is taught, and the context relating dental education to other health professions and the global reach of the educational and professional environment. In the context of contemporary times, individual as well as organizational leadership has refocused the educational environment from teaching to learning. This article discusses the types of curricular changes documented in the Journal of Dental Education.","container-title":"Journal of Dental Education","DOI":"10.1002/j.0022-0337.2012.76.1.tb05237.x","ISSN":"00220337","issue":"1","journalAbbreviation":"Journal of Dental Education","language":"en","page":"89-97","source":"DOI.org (Crossref)","title":"New Models of Dental Education and Curricular Change: Their Potential Impact on Dental Education","title-short":"New Models of Dental Education and Curricular Change","volume":"76","author":[{"family":"Pyle","given":"Marsha A."}],"issued":{"date-parts":[["2012",1]]}}},{"id":523,"uris":["http://zotero.org/users/local/8fpcHUeo/items/ZMEE2PU4"],"uri":["http://zotero.org/users/local/8fpcHUeo/items/ZMEE2PU4"],"itemData":{"id":523,"type":"article-journal","container-title":"Journal of Dental Education","issue":"10","page":"619-627","title":"The history and development of United States dental education","volume":"45","author":[{"family":"Santangelo","given":"MV"}],"issued":{"date-parts":[["1981"]]}}}],"schema":"https://github.com/citation-style-language/schema/raw/master/csl-citation.json"} </w:instrText>
      </w:r>
      <w:r w:rsidRPr="00065E56">
        <w:rPr>
          <w:rFonts w:ascii="Times New Roman" w:hAnsi="Times New Roman" w:cs="Times New Roman"/>
        </w:rPr>
        <w:fldChar w:fldCharType="separate"/>
      </w:r>
      <w:r w:rsidRPr="00065E56">
        <w:rPr>
          <w:rFonts w:ascii="Times New Roman" w:hAnsi="Times New Roman" w:cs="Times New Roman"/>
          <w:noProof/>
        </w:rPr>
        <w:t>(Pyle, 2012; Santangelo, 1981)</w:t>
      </w:r>
      <w:r w:rsidRPr="00065E56">
        <w:rPr>
          <w:rFonts w:ascii="Times New Roman" w:hAnsi="Times New Roman" w:cs="Times New Roman"/>
        </w:rPr>
        <w:fldChar w:fldCharType="end"/>
      </w:r>
      <w:r w:rsidRPr="00065E56">
        <w:rPr>
          <w:rFonts w:ascii="Times New Roman" w:hAnsi="Times New Roman" w:cs="Times New Roman"/>
        </w:rPr>
        <w:t xml:space="preserve">. </w:t>
      </w:r>
    </w:p>
    <w:p w14:paraId="1E4B41CB" w14:textId="77777777" w:rsidR="000400EC" w:rsidRPr="00065E56" w:rsidRDefault="000400EC" w:rsidP="000400EC">
      <w:pPr>
        <w:spacing w:line="480" w:lineRule="auto"/>
        <w:rPr>
          <w:rFonts w:ascii="Times New Roman" w:hAnsi="Times New Roman" w:cs="Times New Roman"/>
        </w:rPr>
      </w:pPr>
      <w:r w:rsidRPr="00065E56">
        <w:rPr>
          <w:rFonts w:ascii="Times New Roman" w:hAnsi="Times New Roman" w:cs="Times New Roman"/>
        </w:rPr>
        <w:tab/>
        <w:t xml:space="preserve">While the organ-system-based model of medical education effectively streamlined curriculum, the model did not serve to improve problem-solving skills in the clinical years. Integrating content, whether within the basic sciences or the addition of basic science review within the clinical years, did not equate to retention and correct application of the knowledge in a practical situation </w:t>
      </w:r>
      <w:r w:rsidRPr="00065E56">
        <w:rPr>
          <w:rFonts w:ascii="Times New Roman" w:hAnsi="Times New Roman" w:cs="Times New Roman"/>
        </w:rPr>
        <w:fldChar w:fldCharType="begin"/>
      </w:r>
      <w:r w:rsidRPr="00065E56">
        <w:rPr>
          <w:rFonts w:ascii="Times New Roman" w:hAnsi="Times New Roman" w:cs="Times New Roman"/>
        </w:rPr>
        <w:instrText xml:space="preserve"> ADDIN ZOTERO_ITEM CSL_CITATION {"citationID":"ttys1kli","properties":{"formattedCitation":"(Papa &amp; Harasym, 1999)","plainCitation":"(Papa &amp; Harasym, 1999)","noteIndex":0},"citationItems":[{"id":427,"uris":["http://zotero.org/users/local/8fpcHUeo/items/CN8I44VJ"],"uri":["http://zotero.org/users/local/8fpcHUeo/items/CN8I44VJ"],"itemData":{"id":427,"type":"article-journal","container-title":"Academic Medicine","issue":"2","page":"154-164","title":"Medical Curriculum Reform in North America, 1765 to the Present: A Cognitive Science Perspective","volume":"74","author":[{"family":"Papa","given":"Frank J."},{"family":"Harasym","given":"Peter H."}],"issued":{"date-parts":[["1999"]]}}}],"schema":"https://github.com/citation-style-language/schema/raw/master/csl-citation.json"} </w:instrText>
      </w:r>
      <w:r w:rsidRPr="00065E56">
        <w:rPr>
          <w:rFonts w:ascii="Times New Roman" w:hAnsi="Times New Roman" w:cs="Times New Roman"/>
        </w:rPr>
        <w:fldChar w:fldCharType="separate"/>
      </w:r>
      <w:r w:rsidRPr="00065E56">
        <w:rPr>
          <w:rFonts w:ascii="Times New Roman" w:hAnsi="Times New Roman" w:cs="Times New Roman"/>
          <w:noProof/>
        </w:rPr>
        <w:t>(Papa &amp; Harasym, 1999)</w:t>
      </w:r>
      <w:r w:rsidRPr="00065E56">
        <w:rPr>
          <w:rFonts w:ascii="Times New Roman" w:hAnsi="Times New Roman" w:cs="Times New Roman"/>
        </w:rPr>
        <w:fldChar w:fldCharType="end"/>
      </w:r>
      <w:r w:rsidRPr="00065E56">
        <w:rPr>
          <w:rFonts w:ascii="Times New Roman" w:hAnsi="Times New Roman" w:cs="Times New Roman"/>
        </w:rPr>
        <w:t xml:space="preserve">. Both the model and integration have evolved since then, and the organization of content according to organ-systems remains a popular approach within medical education </w:t>
      </w:r>
      <w:r w:rsidRPr="00065E56">
        <w:rPr>
          <w:rFonts w:ascii="Times New Roman" w:hAnsi="Times New Roman" w:cs="Times New Roman"/>
        </w:rPr>
        <w:fldChar w:fldCharType="begin"/>
      </w:r>
      <w:r w:rsidRPr="00065E56">
        <w:rPr>
          <w:rFonts w:ascii="Times New Roman" w:hAnsi="Times New Roman" w:cs="Times New Roman"/>
        </w:rPr>
        <w:instrText xml:space="preserve"> ADDIN ZOTERO_ITEM CSL_CITATION {"citationID":"MXtNWqfI","properties":{"formattedCitation":"(Hecker &amp; Violato, 2008)","plainCitation":"(Hecker &amp; Violato, 2008)","noteIndex":0},"citationItems":[{"id":475,"uris":["http://zotero.org/users/local/8fpcHUeo/items/LPVWZ4NU"],"uri":["http://zotero.org/users/local/8fpcHUeo/items/LPVWZ4NU"],"itemData":{"id":475,"type":"article-journal","container-title":"Teaching and Learning in Medicine","DOI":"10.1080/10401330801991915","ISSN":"1040-1334, 1532-8015","issue":"2","journalAbbreviation":"Teaching and Learning in Medicine","language":"en","page":"104-113","source":"DOI.org (Crossref)","title":"How Much Do Differences in Medical Schools Influence Student Performance? A Longitudinal Study Employing Hierarchical Linear Modeling","title-short":"How Much Do Differences in Medical Schools Influence Student Performance?","volume":"20","author":[{"family":"Hecker","given":"Kent"},{"family":"Violato","given":"Claudio"}],"issued":{"date-parts":[["2008",4,10]]}}}],"schema":"https://github.com/citation-style-language/schema/raw/master/csl-citation.json"} </w:instrText>
      </w:r>
      <w:r w:rsidRPr="00065E56">
        <w:rPr>
          <w:rFonts w:ascii="Times New Roman" w:hAnsi="Times New Roman" w:cs="Times New Roman"/>
        </w:rPr>
        <w:fldChar w:fldCharType="separate"/>
      </w:r>
      <w:r w:rsidRPr="00065E56">
        <w:rPr>
          <w:rFonts w:ascii="Times New Roman" w:hAnsi="Times New Roman" w:cs="Times New Roman"/>
          <w:noProof/>
        </w:rPr>
        <w:t>(Hecker &amp; Violato, 2008)</w:t>
      </w:r>
      <w:r w:rsidRPr="00065E56">
        <w:rPr>
          <w:rFonts w:ascii="Times New Roman" w:hAnsi="Times New Roman" w:cs="Times New Roman"/>
        </w:rPr>
        <w:fldChar w:fldCharType="end"/>
      </w:r>
      <w:r w:rsidRPr="00065E56">
        <w:rPr>
          <w:rFonts w:ascii="Times New Roman" w:hAnsi="Times New Roman" w:cs="Times New Roman"/>
        </w:rPr>
        <w:t xml:space="preserve">. Effective integration methods are still a major topic of medical education research and the impetus of the remaining models </w:t>
      </w:r>
      <w:r w:rsidRPr="00065E56">
        <w:rPr>
          <w:rFonts w:ascii="Times New Roman" w:hAnsi="Times New Roman" w:cs="Times New Roman"/>
        </w:rPr>
        <w:fldChar w:fldCharType="begin"/>
      </w:r>
      <w:r w:rsidRPr="00065E56">
        <w:rPr>
          <w:rFonts w:ascii="Times New Roman" w:hAnsi="Times New Roman" w:cs="Times New Roman"/>
        </w:rPr>
        <w:instrText xml:space="preserve"> ADDIN ZOTERO_ITEM CSL_CITATION {"citationID":"rQO4ekOw","properties":{"formattedCitation":"(Hopkins et al., 2015; Schwartzstein et al., 2020)","plainCitation":"(Hopkins et al., 2015; Schwartzstein et al., 2020)","noteIndex":0},"citationItems":[{"id":420,"uris":["http://zotero.org/users/local/8fpcHUeo/items/XLRXN569"],"uri":["http://zotero.org/users/local/8fpcHUeo/items/XLRXN569"],"itemData":{"id":420,"type":"article-journal","container-title":"Academic Medicine","DOI":"10.1097/ACM.0000000000000437","ISSN":"1040-2446","issue":"2","journalAbbreviation":"Academic Medicine","language":"en","page":"149-153","source":"DOI.org (Crossref)","title":"Integrating Basic Science Without Integrating Basic Scientists: Reconsidering the Place of Individual Teachers in Curriculum Reform","title-short":"Integrating Basic Science Without Integrating Basic Scientists","volume":"90","author":[{"family":"Hopkins","given":"Robin"},{"family":"Pratt","given":"Daniel"},{"family":"Bowen","given":"Judith L."},{"family":"Regehr","given":"Glenn"}],"issued":{"date-parts":[["2015",2]]}}},{"id":461,"uris":["http://zotero.org/users/local/8fpcHUeo/items/IFC4UDIN"],"uri":["http://zotero.org/users/local/8fpcHUeo/items/IFC4UDIN"],"itemData":{"id":461,"type":"article-journal","container-title":"Academic Medicine","DOI":"10.1097/ACM.0000000000003270","ISSN":"1040-2446","issue":"11","language":"en","page":"1687-1695","source":"DOI.org (Crossref)","title":"The Harvard Medical School Pathways Curriculum: Reimagining Developmentally Appropriate Medical Education for Contemporary Learners","title-short":"The Harvard Medical School Pathways Curriculum","volume":"95","author":[{"family":"Schwartzstein","given":"Richard M."},{"family":"Dienstag","given":"Jules L."},{"family":"King","given":"Randall W."},{"family":"Chang","given":"Bernard S."},{"family":"Flanagan","given":"John G."},{"family":"Besche","given":"Henrike C."},{"family":"Hoenig","given":"Melanie P."},{"family":"Miloslavsky","given":"Eli M."},{"family":"Atkins","given":"K. Meredith"},{"family":"Puig","given":"Alberto"},{"family":"Cockrill","given":"Barbara A."},{"family":"Wittels","given":"Kathleen A."},{"family":"Dalrymple","given":"John L."},{"family":"Gooding","given":"Holly"},{"family":"Hirsh","given":"David A."},{"family":"Alexander","given":"Erik K."},{"family":"Fazio","given":"Sara B."},{"family":"Hundert","given":"Edward M."},{"literal":"for the Pathways Writing Group"}],"issued":{"date-parts":[["2020",11]]}}}],"schema":"https://github.com/citation-style-language/schema/raw/master/csl-citation.json"} </w:instrText>
      </w:r>
      <w:r w:rsidRPr="00065E56">
        <w:rPr>
          <w:rFonts w:ascii="Times New Roman" w:hAnsi="Times New Roman" w:cs="Times New Roman"/>
        </w:rPr>
        <w:fldChar w:fldCharType="separate"/>
      </w:r>
      <w:r w:rsidRPr="00065E56">
        <w:rPr>
          <w:rFonts w:ascii="Times New Roman" w:hAnsi="Times New Roman" w:cs="Times New Roman"/>
          <w:noProof/>
        </w:rPr>
        <w:t>(Hopkins et al., 2015; Schwartzstein et al., 2020)</w:t>
      </w:r>
      <w:r w:rsidRPr="00065E56">
        <w:rPr>
          <w:rFonts w:ascii="Times New Roman" w:hAnsi="Times New Roman" w:cs="Times New Roman"/>
        </w:rPr>
        <w:fldChar w:fldCharType="end"/>
      </w:r>
      <w:r w:rsidRPr="00065E56">
        <w:rPr>
          <w:rFonts w:ascii="Times New Roman" w:hAnsi="Times New Roman" w:cs="Times New Roman"/>
        </w:rPr>
        <w:t>.</w:t>
      </w:r>
    </w:p>
    <w:p w14:paraId="391EB4DA" w14:textId="454D1F33" w:rsidR="000400EC" w:rsidRPr="005D6960" w:rsidRDefault="000400EC" w:rsidP="000400EC">
      <w:pPr>
        <w:spacing w:line="480" w:lineRule="auto"/>
        <w:rPr>
          <w:rFonts w:ascii="Times New Roman" w:hAnsi="Times New Roman" w:cs="Times New Roman"/>
          <w:b/>
          <w:bCs/>
          <w:i/>
          <w:iCs/>
        </w:rPr>
      </w:pPr>
      <w:r w:rsidRPr="00065E56">
        <w:rPr>
          <w:rFonts w:ascii="Times New Roman" w:hAnsi="Times New Roman" w:cs="Times New Roman"/>
        </w:rPr>
        <w:tab/>
      </w:r>
      <w:r w:rsidRPr="00065E56">
        <w:rPr>
          <w:rFonts w:ascii="Times New Roman" w:hAnsi="Times New Roman" w:cs="Times New Roman"/>
          <w:b/>
          <w:bCs/>
          <w:i/>
          <w:iCs/>
        </w:rPr>
        <w:t>Problem-based learning model, 1971 onward.</w:t>
      </w:r>
      <w:r w:rsidR="005D6960">
        <w:rPr>
          <w:rFonts w:ascii="Times New Roman" w:hAnsi="Times New Roman" w:cs="Times New Roman"/>
          <w:b/>
          <w:bCs/>
          <w:i/>
          <w:iCs/>
        </w:rPr>
        <w:t xml:space="preserve"> </w:t>
      </w:r>
      <w:r w:rsidRPr="00065E56">
        <w:rPr>
          <w:rFonts w:ascii="Times New Roman" w:hAnsi="Times New Roman" w:cs="Times New Roman"/>
        </w:rPr>
        <w:t xml:space="preserve">The failure of the organ-based-system model to transfer hypothetico-deductive reasoning skills from the basic sciences to clinical application prompted the development of the problem-based learning model. The problem-based learning model integrates basic science information in a clinical reasoning scenario with the goal </w:t>
      </w:r>
      <w:r w:rsidRPr="00065E56">
        <w:rPr>
          <w:rFonts w:ascii="Times New Roman" w:hAnsi="Times New Roman" w:cs="Times New Roman"/>
        </w:rPr>
        <w:lastRenderedPageBreak/>
        <w:t xml:space="preserve">of transferring the reasoning schemata to clinical application later in the program </w:t>
      </w:r>
      <w:r w:rsidRPr="00065E56">
        <w:rPr>
          <w:rFonts w:ascii="Times New Roman" w:hAnsi="Times New Roman" w:cs="Times New Roman"/>
        </w:rPr>
        <w:fldChar w:fldCharType="begin"/>
      </w:r>
      <w:r w:rsidRPr="00065E56">
        <w:rPr>
          <w:rFonts w:ascii="Times New Roman" w:hAnsi="Times New Roman" w:cs="Times New Roman"/>
        </w:rPr>
        <w:instrText xml:space="preserve"> ADDIN ZOTERO_ITEM CSL_CITATION {"citationID":"qOu0yule","properties":{"formattedCitation":"(Hecker &amp; Violato, 2008)","plainCitation":"(Hecker &amp; Violato, 2008)","noteIndex":0},"citationItems":[{"id":475,"uris":["http://zotero.org/users/local/8fpcHUeo/items/LPVWZ4NU"],"uri":["http://zotero.org/users/local/8fpcHUeo/items/LPVWZ4NU"],"itemData":{"id":475,"type":"article-journal","container-title":"Teaching and Learning in Medicine","DOI":"10.1080/10401330801991915","ISSN":"1040-1334, 1532-8015","issue":"2","journalAbbreviation":"Teaching and Learning in Medicine","language":"en","page":"104-113","source":"DOI.org (Crossref)","title":"How Much Do Differences in Medical Schools Influence Student Performance? A Longitudinal Study Employing Hierarchical Linear Modeling","title-short":"How Much Do Differences in Medical Schools Influence Student Performance?","volume":"20","author":[{"family":"Hecker","given":"Kent"},{"family":"Violato","given":"Claudio"}],"issued":{"date-parts":[["2008",4,10]]}}}],"schema":"https://github.com/citation-style-language/schema/raw/master/csl-citation.json"} </w:instrText>
      </w:r>
      <w:r w:rsidRPr="00065E56">
        <w:rPr>
          <w:rFonts w:ascii="Times New Roman" w:hAnsi="Times New Roman" w:cs="Times New Roman"/>
        </w:rPr>
        <w:fldChar w:fldCharType="separate"/>
      </w:r>
      <w:r w:rsidRPr="00065E56">
        <w:rPr>
          <w:rFonts w:ascii="Times New Roman" w:hAnsi="Times New Roman" w:cs="Times New Roman"/>
          <w:noProof/>
        </w:rPr>
        <w:t>(Hecker &amp; Violato, 2008)</w:t>
      </w:r>
      <w:r w:rsidRPr="00065E56">
        <w:rPr>
          <w:rFonts w:ascii="Times New Roman" w:hAnsi="Times New Roman" w:cs="Times New Roman"/>
        </w:rPr>
        <w:fldChar w:fldCharType="end"/>
      </w:r>
      <w:r w:rsidRPr="00065E56">
        <w:rPr>
          <w:rFonts w:ascii="Times New Roman" w:hAnsi="Times New Roman" w:cs="Times New Roman"/>
        </w:rPr>
        <w:t xml:space="preserve">.  Cognitive science was a burgeoning research field in the 1960s and 1970s, and one key outcome was the necessity of context for retention </w:t>
      </w:r>
      <w:r w:rsidRPr="00065E56">
        <w:rPr>
          <w:rFonts w:ascii="Times New Roman" w:hAnsi="Times New Roman" w:cs="Times New Roman"/>
        </w:rPr>
        <w:fldChar w:fldCharType="begin"/>
      </w:r>
      <w:r w:rsidRPr="00065E56">
        <w:rPr>
          <w:rFonts w:ascii="Times New Roman" w:hAnsi="Times New Roman" w:cs="Times New Roman"/>
        </w:rPr>
        <w:instrText xml:space="preserve"> ADDIN ZOTERO_ITEM CSL_CITATION {"citationID":"84dKWO1Y","properties":{"formattedCitation":"({\\i{}How People Learn: Brain, Mind, Experience, and School: Expanded Edition | The National Academies Press}, n.d.)","plainCitation":"(How People Learn: Brain, Mind, Experience, and School: Expanded Edition | The National Academies Press, n.d.)","dontUpdate":true,"noteIndex":0},"citationItems":[{"id":90,"uris":["http://zotero.org/users/local/8fpcHUeo/items/AYA8GTZI"],"uri":["http://zotero.org/users/local/8fpcHUeo/items/AYA8GTZI"],"itemData":{"id":90,"type":"webpage","title":"How People Learn: Brain, Mind, Experience, and School: Expanded Edition | The National Academies Press","URL":"https://www.nap.edu/catalog/9853/how-people-learn-brain-mind-experience-and-school-expanded-edition","accessed":{"date-parts":[["2019",2,23]]}}}],"schema":"https://github.com/citation-style-language/schema/raw/master/csl-citation.json"} </w:instrText>
      </w:r>
      <w:r w:rsidRPr="00065E56">
        <w:rPr>
          <w:rFonts w:ascii="Times New Roman" w:hAnsi="Times New Roman" w:cs="Times New Roman"/>
        </w:rPr>
        <w:fldChar w:fldCharType="separate"/>
      </w:r>
      <w:r w:rsidRPr="00065E56">
        <w:rPr>
          <w:rFonts w:ascii="Times New Roman" w:hAnsi="Times New Roman" w:cs="Times New Roman"/>
        </w:rPr>
        <w:t>(National Research Council, 2000)</w:t>
      </w:r>
      <w:r w:rsidRPr="00065E56">
        <w:rPr>
          <w:rFonts w:ascii="Times New Roman" w:hAnsi="Times New Roman" w:cs="Times New Roman"/>
        </w:rPr>
        <w:fldChar w:fldCharType="end"/>
      </w:r>
      <w:r w:rsidRPr="00065E56">
        <w:rPr>
          <w:rFonts w:ascii="Times New Roman" w:hAnsi="Times New Roman" w:cs="Times New Roman"/>
        </w:rPr>
        <w:t xml:space="preserve">. By providing basic science information with case studies, for example, students perceived how basic science information was necessary to diagnose a patient. By having students work through problems, students generated the classification and categorization outlines, or schemata, necessary to successfully diagnose patients in the clinical years of their education </w:t>
      </w:r>
      <w:r w:rsidRPr="00065E56">
        <w:rPr>
          <w:rFonts w:ascii="Times New Roman" w:hAnsi="Times New Roman" w:cs="Times New Roman"/>
        </w:rPr>
        <w:fldChar w:fldCharType="begin"/>
      </w:r>
      <w:r w:rsidRPr="00065E56">
        <w:rPr>
          <w:rFonts w:ascii="Times New Roman" w:hAnsi="Times New Roman" w:cs="Times New Roman"/>
        </w:rPr>
        <w:instrText xml:space="preserve"> ADDIN ZOTERO_ITEM CSL_CITATION {"citationID":"zN1oeQMw","properties":{"formattedCitation":"(Hecker &amp; Violato, 2008)","plainCitation":"(Hecker &amp; Violato, 2008)","noteIndex":0},"citationItems":[{"id":475,"uris":["http://zotero.org/users/local/8fpcHUeo/items/LPVWZ4NU"],"uri":["http://zotero.org/users/local/8fpcHUeo/items/LPVWZ4NU"],"itemData":{"id":475,"type":"article-journal","container-title":"Teaching and Learning in Medicine","DOI":"10.1080/10401330801991915","ISSN":"1040-1334, 1532-8015","issue":"2","journalAbbreviation":"Teaching and Learning in Medicine","language":"en","page":"104-113","source":"DOI.org (Crossref)","title":"How Much Do Differences in Medical Schools Influence Student Performance? A Longitudinal Study Employing Hierarchical Linear Modeling","title-short":"How Much Do Differences in Medical Schools Influence Student Performance?","volume":"20","author":[{"family":"Hecker","given":"Kent"},{"family":"Violato","given":"Claudio"}],"issued":{"date-parts":[["2008",4,10]]}}}],"schema":"https://github.com/citation-style-language/schema/raw/master/csl-citation.json"} </w:instrText>
      </w:r>
      <w:r w:rsidRPr="00065E56">
        <w:rPr>
          <w:rFonts w:ascii="Times New Roman" w:hAnsi="Times New Roman" w:cs="Times New Roman"/>
        </w:rPr>
        <w:fldChar w:fldCharType="separate"/>
      </w:r>
      <w:r w:rsidRPr="00065E56">
        <w:rPr>
          <w:rFonts w:ascii="Times New Roman" w:hAnsi="Times New Roman" w:cs="Times New Roman"/>
          <w:noProof/>
        </w:rPr>
        <w:t>(Hecker &amp; Violato, 2008)</w:t>
      </w:r>
      <w:r w:rsidRPr="00065E56">
        <w:rPr>
          <w:rFonts w:ascii="Times New Roman" w:hAnsi="Times New Roman" w:cs="Times New Roman"/>
        </w:rPr>
        <w:fldChar w:fldCharType="end"/>
      </w:r>
      <w:r w:rsidRPr="00065E56">
        <w:rPr>
          <w:rFonts w:ascii="Times New Roman" w:hAnsi="Times New Roman" w:cs="Times New Roman"/>
        </w:rPr>
        <w:t xml:space="preserve">. </w:t>
      </w:r>
    </w:p>
    <w:p w14:paraId="6A0CE01E" w14:textId="77777777" w:rsidR="000400EC" w:rsidRPr="00065E56" w:rsidRDefault="000400EC" w:rsidP="000400EC">
      <w:pPr>
        <w:spacing w:line="480" w:lineRule="auto"/>
        <w:rPr>
          <w:rFonts w:ascii="Times New Roman" w:hAnsi="Times New Roman" w:cs="Times New Roman"/>
        </w:rPr>
      </w:pPr>
      <w:r w:rsidRPr="00065E56">
        <w:rPr>
          <w:rFonts w:ascii="Times New Roman" w:hAnsi="Times New Roman" w:cs="Times New Roman"/>
        </w:rPr>
        <w:tab/>
        <w:t xml:space="preserve">Dental faculty particularly appreciated the context that problem-based learning provided to dental students in the pre-clinical years.  As early as 1955, students complained about the uselessness of the basic science curriculum, declaring their impatience about having to wait to get to the material ‘that mattered’ </w:t>
      </w:r>
      <w:r w:rsidRPr="00065E56">
        <w:rPr>
          <w:rFonts w:ascii="Times New Roman" w:hAnsi="Times New Roman" w:cs="Times New Roman"/>
        </w:rPr>
        <w:fldChar w:fldCharType="begin"/>
      </w:r>
      <w:r w:rsidRPr="00065E56">
        <w:rPr>
          <w:rFonts w:ascii="Times New Roman" w:hAnsi="Times New Roman" w:cs="Times New Roman"/>
        </w:rPr>
        <w:instrText xml:space="preserve"> ADDIN ZOTERO_ITEM CSL_CITATION {"citationID":"O00Arbwt","properties":{"formattedCitation":"(Institute of Medicine, 1995)","plainCitation":"(Institute of Medicine, 1995)","noteIndex":0},"citationItems":[{"id":524,"uris":["http://zotero.org/users/local/8fpcHUeo/items/BE8CZBHA"],"uri":["http://zotero.org/users/local/8fpcHUeo/items/BE8CZBHA"],"itemData":{"id":524,"type":"book","ISBN":"978-0-309-05195-8","publisher":"The National Academies Press","title":"Dental Education at the Crossroads: Challenges and Change","URL":"https://doi.org/10.17226/4925.","author":[{"family":"Institute of Medicine","given":""}],"issued":{"date-parts":[["1995"]]}}}],"schema":"https://github.com/citation-style-language/schema/raw/master/csl-citation.json"} </w:instrText>
      </w:r>
      <w:r w:rsidRPr="00065E56">
        <w:rPr>
          <w:rFonts w:ascii="Times New Roman" w:hAnsi="Times New Roman" w:cs="Times New Roman"/>
        </w:rPr>
        <w:fldChar w:fldCharType="separate"/>
      </w:r>
      <w:r w:rsidRPr="00065E56">
        <w:rPr>
          <w:rFonts w:ascii="Times New Roman" w:hAnsi="Times New Roman" w:cs="Times New Roman"/>
          <w:noProof/>
        </w:rPr>
        <w:t>(Institute of Medicine, 1995)</w:t>
      </w:r>
      <w:r w:rsidRPr="00065E56">
        <w:rPr>
          <w:rFonts w:ascii="Times New Roman" w:hAnsi="Times New Roman" w:cs="Times New Roman"/>
        </w:rPr>
        <w:fldChar w:fldCharType="end"/>
      </w:r>
      <w:r w:rsidRPr="00065E56">
        <w:rPr>
          <w:rFonts w:ascii="Times New Roman" w:hAnsi="Times New Roman" w:cs="Times New Roman"/>
        </w:rPr>
        <w:t xml:space="preserve">. In this instance, dental schools were the early adopters of the problem-based model, incorporating clinical cases and problems into their basic sciences before the model became widely utilized in medical schools </w:t>
      </w:r>
      <w:r w:rsidRPr="00065E56">
        <w:rPr>
          <w:rFonts w:ascii="Times New Roman" w:hAnsi="Times New Roman" w:cs="Times New Roman"/>
        </w:rPr>
        <w:fldChar w:fldCharType="begin"/>
      </w:r>
      <w:r w:rsidRPr="00065E56">
        <w:rPr>
          <w:rFonts w:ascii="Times New Roman" w:hAnsi="Times New Roman" w:cs="Times New Roman"/>
        </w:rPr>
        <w:instrText xml:space="preserve"> ADDIN ZOTERO_ITEM CSL_CITATION {"citationID":"pmqTELTR","properties":{"formattedCitation":"(Lantz &amp; Shuler, 2017)","plainCitation":"(Lantz &amp; Shuler, 2017)","noteIndex":0},"citationItems":[{"id":356,"uris":["http://zotero.org/users/local/8fpcHUeo/items/X3DZERTA"],"uri":["http://zotero.org/users/local/8fpcHUeo/items/X3DZERTA"],"itemData":{"id":356,"type":"article-journal","abstract":"Abstract: The purpose of this study was to examine data published over the past two decades to identify trends in the basic sciences curriculum in dental education, provide an analysis of those trends, and compare them with trends in the basic sciences curriculum in medical education. Data published from the American Dental Association (ADA) Surveys of Dental Education, American Dental Education Association (ADEA) Surveys of Dental School Seniors, and two additional surveys were examined. In large part, survey data collected focused on the structure, content, and instructional strategies used in dental education: what was taught and how. Great variability was noted in the total clock hours of instruction and the clock hours of basic sciences instruction reported by dental schools. Moreover, the participation of medical schools in the basic sciences education of dental students appears to have decreased dramatically over the past decade. Although modest progress has been made in implementing some of the curriculum changes recommended in the 1995 Institute of Medicine report such as integrated basic and clinical sciences curricula, adoption of active learning methods, and closer engagement with medical and other health professions education programs, educational effectiveness studies needed to generate data to support evidence-based approaches to curriculum reform are lacking. Overall, trends in the basic sciences curriculum in medical education were similar to those for dental education. Potential drivers of curriculum change were identified, as was recent work in other fields that should encourage reconsideration of dentistry’s approach to basic sciences education. This article was written as part of the project “Advancing Dental Education in the 21st Century.” Dr. Lantz is Professor Emerita and Associate Dean for Academic Affairs Emerita, Department of Periodontics and Oral Medicine, School of Dentistry, University of Michigan; Dr. Shuler is Professor and Dean, Faculty of Dentistry, University of British Columbia. Direct correspondence to Dr. Marilyn S. Lantz, School of Dentistry, University of Michigan, 1011 N. University Ave., Ann Arbor, MI 48109-1078; 734-763-2105; mslantz@umich.edu.","container-title":"Journal of Dental Education","DOI":"10.21815/JDE.017.008","ISSN":"00220337","issue":"8","journalAbbreviation":"Journal of Dental Education","language":"en","page":"eS55-eS65","source":"DOI.org (Crossref)","title":"Trends in Basic Sciences Education in Dental Schools, 1999-2016","volume":"81","author":[{"family":"Lantz","given":"Marilyn S."},{"family":"Shuler","given":"Charles F."}],"issued":{"date-parts":[["2017",8]]}}}],"schema":"https://github.com/citation-style-language/schema/raw/master/csl-citation.json"} </w:instrText>
      </w:r>
      <w:r w:rsidRPr="00065E56">
        <w:rPr>
          <w:rFonts w:ascii="Times New Roman" w:hAnsi="Times New Roman" w:cs="Times New Roman"/>
        </w:rPr>
        <w:fldChar w:fldCharType="separate"/>
      </w:r>
      <w:r w:rsidRPr="00065E56">
        <w:rPr>
          <w:rFonts w:ascii="Times New Roman" w:hAnsi="Times New Roman" w:cs="Times New Roman"/>
          <w:noProof/>
        </w:rPr>
        <w:t>(Lantz &amp; Shuler, 2017)</w:t>
      </w:r>
      <w:r w:rsidRPr="00065E56">
        <w:rPr>
          <w:rFonts w:ascii="Times New Roman" w:hAnsi="Times New Roman" w:cs="Times New Roman"/>
        </w:rPr>
        <w:fldChar w:fldCharType="end"/>
      </w:r>
      <w:r w:rsidRPr="00065E56">
        <w:rPr>
          <w:rFonts w:ascii="Times New Roman" w:hAnsi="Times New Roman" w:cs="Times New Roman"/>
        </w:rPr>
        <w:t xml:space="preserve">. This shift in emphasis from disciplines to active problem-solving also demonstrated the dental profession’s commitment to improving hypothetico-deductive reasoning skills and promoting self-directed learning </w:t>
      </w:r>
      <w:r w:rsidRPr="00065E56">
        <w:rPr>
          <w:rFonts w:ascii="Times New Roman" w:hAnsi="Times New Roman" w:cs="Times New Roman"/>
        </w:rPr>
        <w:fldChar w:fldCharType="begin"/>
      </w:r>
      <w:r w:rsidRPr="00065E56">
        <w:rPr>
          <w:rFonts w:ascii="Times New Roman" w:hAnsi="Times New Roman" w:cs="Times New Roman"/>
        </w:rPr>
        <w:instrText xml:space="preserve"> ADDIN ZOTERO_ITEM CSL_CITATION {"citationID":"eyK0Zbq6","properties":{"formattedCitation":"(Kassebaum &amp; Tedesco, 2017)","plainCitation":"(Kassebaum &amp; Tedesco, 2017)","noteIndex":0},"citationItems":[{"id":473,"uris":["http://zotero.org/users/local/8fpcHUeo/items/QMS9HTZK"],"uri":["http://zotero.org/users/local/8fpcHUeo/items/QMS9HTZK"],"itemData":{"id":473,"type":"article-journal","container-title":"Journal of Dental Education","DOI":"10.21815/JDE.017.002","ISSN":"00220337","issue":"8","journalAbbreviation":"Journal of Dental Education","language":"en","page":"eS13-eS21","source":"DOI.org (Crossref)","title":"The 21 &lt;sup&gt;st&lt;/sup&gt; -Century Dental Curriculum: A Framework for Understanding Current Models","title-short":"The 21 &lt;sup&gt;st&lt;/sup&gt; -Century Dental Curriculum","volume":"81","author":[{"family":"Kassebaum","given":"Denise K."},{"family":"Tedesco","given":"Lisa A."}],"issued":{"date-parts":[["2017",8]]}}}],"schema":"https://github.com/citation-style-language/schema/raw/master/csl-citation.json"} </w:instrText>
      </w:r>
      <w:r w:rsidRPr="00065E56">
        <w:rPr>
          <w:rFonts w:ascii="Times New Roman" w:hAnsi="Times New Roman" w:cs="Times New Roman"/>
        </w:rPr>
        <w:fldChar w:fldCharType="separate"/>
      </w:r>
      <w:r w:rsidRPr="00065E56">
        <w:rPr>
          <w:rFonts w:ascii="Times New Roman" w:hAnsi="Times New Roman" w:cs="Times New Roman"/>
          <w:noProof/>
        </w:rPr>
        <w:t>(Kassebaum &amp; Tedesco, 2017)</w:t>
      </w:r>
      <w:r w:rsidRPr="00065E56">
        <w:rPr>
          <w:rFonts w:ascii="Times New Roman" w:hAnsi="Times New Roman" w:cs="Times New Roman"/>
        </w:rPr>
        <w:fldChar w:fldCharType="end"/>
      </w:r>
      <w:r w:rsidRPr="00065E56">
        <w:rPr>
          <w:rFonts w:ascii="Times New Roman" w:hAnsi="Times New Roman" w:cs="Times New Roman"/>
        </w:rPr>
        <w:t>.</w:t>
      </w:r>
    </w:p>
    <w:p w14:paraId="78C1ED05" w14:textId="2D564C20" w:rsidR="005D6960" w:rsidRDefault="000400EC" w:rsidP="000400EC">
      <w:pPr>
        <w:spacing w:line="480" w:lineRule="auto"/>
        <w:rPr>
          <w:rFonts w:ascii="Times New Roman" w:hAnsi="Times New Roman" w:cs="Times New Roman"/>
        </w:rPr>
      </w:pPr>
      <w:r w:rsidRPr="00065E56">
        <w:rPr>
          <w:rFonts w:ascii="Times New Roman" w:hAnsi="Times New Roman" w:cs="Times New Roman"/>
        </w:rPr>
        <w:tab/>
        <w:t xml:space="preserve">The cognitive research literature promoted students as active learners and more self-directing participants; however, exposure to clinically oriented problems did not create the proper schemata for differential diagnosis in a clinical setting. Students used case-specific knowledge to solve cases rather than an </w:t>
      </w:r>
      <w:proofErr w:type="gramStart"/>
      <w:r w:rsidRPr="00065E56">
        <w:rPr>
          <w:rFonts w:ascii="Times New Roman" w:hAnsi="Times New Roman" w:cs="Times New Roman"/>
        </w:rPr>
        <w:t>overarching schemata</w:t>
      </w:r>
      <w:proofErr w:type="gramEnd"/>
      <w:r w:rsidRPr="00065E56">
        <w:rPr>
          <w:rFonts w:ascii="Times New Roman" w:hAnsi="Times New Roman" w:cs="Times New Roman"/>
        </w:rPr>
        <w:t xml:space="preserve">. For example, hypertension has multiple causes, and a case study usually presents one origin of a symptom. Unless students were exposed to all of the causes of hypertension, they would use the case-specific information rather </w:t>
      </w:r>
      <w:r w:rsidRPr="00065E56">
        <w:rPr>
          <w:rFonts w:ascii="Times New Roman" w:hAnsi="Times New Roman" w:cs="Times New Roman"/>
        </w:rPr>
        <w:lastRenderedPageBreak/>
        <w:t xml:space="preserve">than the entire classification system of hypertension to diagnose. Experts, however, use the schemata associated with symptomology to consider all possible outcomes. By narrowing the focus too far initially, students exclude potential solutions. Ultimately, medical educators recognized an insufficient hypothetico-deductive reasoning skills in their clinical students due to an incomplete schemata </w:t>
      </w:r>
      <w:r w:rsidRPr="00065E56">
        <w:rPr>
          <w:rFonts w:ascii="Times New Roman" w:hAnsi="Times New Roman" w:cs="Times New Roman"/>
        </w:rPr>
        <w:fldChar w:fldCharType="begin"/>
      </w:r>
      <w:r w:rsidRPr="00065E56">
        <w:rPr>
          <w:rFonts w:ascii="Times New Roman" w:hAnsi="Times New Roman" w:cs="Times New Roman"/>
        </w:rPr>
        <w:instrText xml:space="preserve"> ADDIN ZOTERO_ITEM CSL_CITATION {"citationID":"tbfF01x8","properties":{"formattedCitation":"(Papa &amp; Harasym, 1999)","plainCitation":"(Papa &amp; Harasym, 1999)","noteIndex":0},"citationItems":[{"id":427,"uris":["http://zotero.org/users/local/8fpcHUeo/items/CN8I44VJ"],"uri":["http://zotero.org/users/local/8fpcHUeo/items/CN8I44VJ"],"itemData":{"id":427,"type":"article-journal","container-title":"Academic Medicine","issue":"2","page":"154-164","title":"Medical Curriculum Reform in North America, 1765 to the Present: A Cognitive Science Perspective","volume":"74","author":[{"family":"Papa","given":"Frank J."},{"family":"Harasym","given":"Peter H."}],"issued":{"date-parts":[["1999"]]}}}],"schema":"https://github.com/citation-style-language/schema/raw/master/csl-citation.json"} </w:instrText>
      </w:r>
      <w:r w:rsidRPr="00065E56">
        <w:rPr>
          <w:rFonts w:ascii="Times New Roman" w:hAnsi="Times New Roman" w:cs="Times New Roman"/>
        </w:rPr>
        <w:fldChar w:fldCharType="separate"/>
      </w:r>
      <w:r w:rsidRPr="00065E56">
        <w:rPr>
          <w:rFonts w:ascii="Times New Roman" w:hAnsi="Times New Roman" w:cs="Times New Roman"/>
          <w:noProof/>
        </w:rPr>
        <w:t>(Papa &amp; Harasym, 1999)</w:t>
      </w:r>
      <w:r w:rsidRPr="00065E56">
        <w:rPr>
          <w:rFonts w:ascii="Times New Roman" w:hAnsi="Times New Roman" w:cs="Times New Roman"/>
        </w:rPr>
        <w:fldChar w:fldCharType="end"/>
      </w:r>
      <w:r w:rsidRPr="00065E56">
        <w:rPr>
          <w:rFonts w:ascii="Times New Roman" w:hAnsi="Times New Roman" w:cs="Times New Roman"/>
        </w:rPr>
        <w:t>.</w:t>
      </w:r>
    </w:p>
    <w:p w14:paraId="746E88A5" w14:textId="666EAA34" w:rsidR="000400EC" w:rsidRPr="005D6960" w:rsidRDefault="005D6960" w:rsidP="000400EC">
      <w:pPr>
        <w:spacing w:line="480" w:lineRule="auto"/>
        <w:rPr>
          <w:rFonts w:ascii="Times New Roman" w:hAnsi="Times New Roman" w:cs="Times New Roman"/>
          <w:b/>
          <w:bCs/>
          <w:i/>
          <w:iCs/>
        </w:rPr>
      </w:pPr>
      <w:r>
        <w:rPr>
          <w:rFonts w:ascii="Times New Roman" w:hAnsi="Times New Roman" w:cs="Times New Roman"/>
        </w:rPr>
        <w:tab/>
      </w:r>
      <w:r w:rsidR="000400EC" w:rsidRPr="00065E56">
        <w:rPr>
          <w:rFonts w:ascii="Times New Roman" w:hAnsi="Times New Roman" w:cs="Times New Roman"/>
          <w:b/>
          <w:bCs/>
          <w:i/>
          <w:iCs/>
        </w:rPr>
        <w:t xml:space="preserve">Clinical Presentation Curriculum Model, 1991 onward. </w:t>
      </w:r>
      <w:r w:rsidR="000400EC" w:rsidRPr="00065E56">
        <w:rPr>
          <w:rFonts w:ascii="Times New Roman" w:hAnsi="Times New Roman" w:cs="Times New Roman"/>
        </w:rPr>
        <w:t xml:space="preserve">With the evidence that medical students were not building or transferring adequate schemata, medical educators at the University of Calgary devised a curriculum that incorporated the functional concepts of cognitive research with medical content knowledge from a different perspective. Rather than present problems, organ-systems, or disciplines, educators began presenting symptoms, or the clinical presentation, first. Educators also presented students with the schemata, called decision trees, that experts work through in order to obtain a proper diagnosis </w:t>
      </w:r>
      <w:r w:rsidR="000400EC" w:rsidRPr="00065E56">
        <w:rPr>
          <w:rFonts w:ascii="Times New Roman" w:hAnsi="Times New Roman" w:cs="Times New Roman"/>
        </w:rPr>
        <w:fldChar w:fldCharType="begin"/>
      </w:r>
      <w:r w:rsidR="000400EC" w:rsidRPr="00065E56">
        <w:rPr>
          <w:rFonts w:ascii="Times New Roman" w:hAnsi="Times New Roman" w:cs="Times New Roman"/>
        </w:rPr>
        <w:instrText xml:space="preserve"> ADDIN ZOTERO_ITEM CSL_CITATION {"citationID":"dpcIAS31","properties":{"formattedCitation":"(Ganguly et al., 2019)","plainCitation":"(Ganguly et al., 2019)","noteIndex":0},"citationItems":[{"id":459,"uris":["http://zotero.org/users/local/8fpcHUeo/items/4FBZ7ZEC"],"uri":["http://zotero.org/users/local/8fpcHUeo/items/4FBZ7ZEC"],"itemData":{"id":459,"type":"article-journal","abstract":"Over the years, the medical curriculum has been changed to accommodate a variety of evolving disciplines and an exploding scientiﬁc knowledge of the basic sciences to prepare “a competent physician” of the 21st century. Therefore, we must be innovative in our approach of curricular development if we wish to continue to incorporate new basic sciences knowledge in the face of decreasing contact hours to satisfy the buzz word, “integration”. Certainly, the challenges are phenomenal. The question how to best integrate basic sciences, is not easy to answer as the objectives of the courses and outcome vary from one medical school to another and the fact is, one size does not ﬁt all. However, if we believe that basic sciences are the language of medicine and foundation of clinical knowledge, then we must resolve this ongoing dilemma by introducing basic sciences through a better alignment in a given curriculum. The purpose of this review is to evaluate different curricular models for their basic sciences content and address their strengths and weaknesses. In addition, we will introduce a spiral design to integrate basic sciences for senior students. Finally, we will provide some insight as to how learning and retention of basic science content can be sustained.","container-title":"Canadian Journal of Physiology and Pharmacology","DOI":"10.1139/cjpp-2018-0428","ISSN":"0008-4212, 1205-7541","issue":"4","journalAbbreviation":"Can. J. Physiol. Pharmacol.","language":"en","page":"293-296","source":"DOI.org (Crossref)","title":"Medical education dilemma: How can we best accommodate basic sciences in a curriculum for 21st century medical students?","title-short":"Medical education dilemma","volume":"97","author":[{"family":"Ganguly","given":"Paul"},{"family":"Yaqinuddin","given":"Ahmed"},{"family":"Al-Kattan","given":"Wael"},{"family":"Kemahli","given":"Sabri"},{"family":"AlKattan","given":"Khaled"}],"issued":{"date-parts":[["2019",4]]}}}],"schema":"https://github.com/citation-style-language/schema/raw/master/csl-citation.json"} </w:instrText>
      </w:r>
      <w:r w:rsidR="000400EC" w:rsidRPr="00065E56">
        <w:rPr>
          <w:rFonts w:ascii="Times New Roman" w:hAnsi="Times New Roman" w:cs="Times New Roman"/>
        </w:rPr>
        <w:fldChar w:fldCharType="separate"/>
      </w:r>
      <w:r w:rsidR="000400EC" w:rsidRPr="00065E56">
        <w:rPr>
          <w:rFonts w:ascii="Times New Roman" w:hAnsi="Times New Roman" w:cs="Times New Roman"/>
          <w:noProof/>
        </w:rPr>
        <w:t>(Ganguly et al., 2019)</w:t>
      </w:r>
      <w:r w:rsidR="000400EC" w:rsidRPr="00065E56">
        <w:rPr>
          <w:rFonts w:ascii="Times New Roman" w:hAnsi="Times New Roman" w:cs="Times New Roman"/>
        </w:rPr>
        <w:fldChar w:fldCharType="end"/>
      </w:r>
      <w:r w:rsidR="000400EC" w:rsidRPr="00065E56">
        <w:rPr>
          <w:rFonts w:ascii="Times New Roman" w:hAnsi="Times New Roman" w:cs="Times New Roman"/>
        </w:rPr>
        <w:t xml:space="preserve">. Terminal (competency) and enabling (basic science) objectives, in conjunction with decision trees, delimited and scaffolded information </w:t>
      </w:r>
      <w:r w:rsidR="000400EC" w:rsidRPr="00065E56">
        <w:rPr>
          <w:rFonts w:ascii="Times New Roman" w:hAnsi="Times New Roman" w:cs="Times New Roman"/>
        </w:rPr>
        <w:fldChar w:fldCharType="begin"/>
      </w:r>
      <w:r w:rsidR="000400EC" w:rsidRPr="00065E56">
        <w:rPr>
          <w:rFonts w:ascii="Times New Roman" w:hAnsi="Times New Roman" w:cs="Times New Roman"/>
        </w:rPr>
        <w:instrText xml:space="preserve"> ADDIN ZOTERO_ITEM CSL_CITATION {"citationID":"Esa9WiJL","properties":{"formattedCitation":"(Hecker &amp; Violato, 2008)","plainCitation":"(Hecker &amp; Violato, 2008)","noteIndex":0},"citationItems":[{"id":475,"uris":["http://zotero.org/users/local/8fpcHUeo/items/LPVWZ4NU"],"uri":["http://zotero.org/users/local/8fpcHUeo/items/LPVWZ4NU"],"itemData":{"id":475,"type":"article-journal","container-title":"Teaching and Learning in Medicine","DOI":"10.1080/10401330801991915","ISSN":"1040-1334, 1532-8015","issue":"2","journalAbbreviation":"Teaching and Learning in Medicine","language":"en","page":"104-113","source":"DOI.org (Crossref)","title":"How Much Do Differences in Medical Schools Influence Student Performance? A Longitudinal Study Employing Hierarchical Linear Modeling","title-short":"How Much Do Differences in Medical Schools Influence Student Performance?","volume":"20","author":[{"family":"Hecker","given":"Kent"},{"family":"Violato","given":"Claudio"}],"issued":{"date-parts":[["2008",4,10]]}}}],"schema":"https://github.com/citation-style-language/schema/raw/master/csl-citation.json"} </w:instrText>
      </w:r>
      <w:r w:rsidR="000400EC" w:rsidRPr="00065E56">
        <w:rPr>
          <w:rFonts w:ascii="Times New Roman" w:hAnsi="Times New Roman" w:cs="Times New Roman"/>
        </w:rPr>
        <w:fldChar w:fldCharType="separate"/>
      </w:r>
      <w:r w:rsidR="000400EC" w:rsidRPr="00065E56">
        <w:rPr>
          <w:rFonts w:ascii="Times New Roman" w:hAnsi="Times New Roman" w:cs="Times New Roman"/>
          <w:noProof/>
        </w:rPr>
        <w:t>(Hecker &amp; Violato, 2008)</w:t>
      </w:r>
      <w:r w:rsidR="000400EC" w:rsidRPr="00065E56">
        <w:rPr>
          <w:rFonts w:ascii="Times New Roman" w:hAnsi="Times New Roman" w:cs="Times New Roman"/>
        </w:rPr>
        <w:fldChar w:fldCharType="end"/>
      </w:r>
      <w:r w:rsidR="000400EC" w:rsidRPr="00065E56">
        <w:rPr>
          <w:rFonts w:ascii="Times New Roman" w:hAnsi="Times New Roman" w:cs="Times New Roman"/>
        </w:rPr>
        <w:t xml:space="preserve">. Basic science served to explain the anatomy, physiological mechanisms, etc. for each potential cause of a symptom </w:t>
      </w:r>
      <w:r w:rsidR="000400EC" w:rsidRPr="00065E56">
        <w:rPr>
          <w:rFonts w:ascii="Times New Roman" w:hAnsi="Times New Roman" w:cs="Times New Roman"/>
        </w:rPr>
        <w:fldChar w:fldCharType="begin"/>
      </w:r>
      <w:r w:rsidR="000400EC" w:rsidRPr="00065E56">
        <w:rPr>
          <w:rFonts w:ascii="Times New Roman" w:hAnsi="Times New Roman" w:cs="Times New Roman"/>
        </w:rPr>
        <w:instrText xml:space="preserve"> ADDIN ZOTERO_ITEM CSL_CITATION {"citationID":"vOloqLtO","properties":{"formattedCitation":"(Ganguly et al., 2019)","plainCitation":"(Ganguly et al., 2019)","noteIndex":0},"citationItems":[{"id":459,"uris":["http://zotero.org/users/local/8fpcHUeo/items/4FBZ7ZEC"],"uri":["http://zotero.org/users/local/8fpcHUeo/items/4FBZ7ZEC"],"itemData":{"id":459,"type":"article-journal","abstract":"Over the years, the medical curriculum has been changed to accommodate a variety of evolving disciplines and an exploding scientiﬁc knowledge of the basic sciences to prepare “a competent physician” of the 21st century. Therefore, we must be innovative in our approach of curricular development if we wish to continue to incorporate new basic sciences knowledge in the face of decreasing contact hours to satisfy the buzz word, “integration”. Certainly, the challenges are phenomenal. The question how to best integrate basic sciences, is not easy to answer as the objectives of the courses and outcome vary from one medical school to another and the fact is, one size does not ﬁt all. However, if we believe that basic sciences are the language of medicine and foundation of clinical knowledge, then we must resolve this ongoing dilemma by introducing basic sciences through a better alignment in a given curriculum. The purpose of this review is to evaluate different curricular models for their basic sciences content and address their strengths and weaknesses. In addition, we will introduce a spiral design to integrate basic sciences for senior students. Finally, we will provide some insight as to how learning and retention of basic science content can be sustained.","container-title":"Canadian Journal of Physiology and Pharmacology","DOI":"10.1139/cjpp-2018-0428","ISSN":"0008-4212, 1205-7541","issue":"4","journalAbbreviation":"Can. J. Physiol. Pharmacol.","language":"en","page":"293-296","source":"DOI.org (Crossref)","title":"Medical education dilemma: How can we best accommodate basic sciences in a curriculum for 21st century medical students?","title-short":"Medical education dilemma","volume":"97","author":[{"family":"Ganguly","given":"Paul"},{"family":"Yaqinuddin","given":"Ahmed"},{"family":"Al-Kattan","given":"Wael"},{"family":"Kemahli","given":"Sabri"},{"family":"AlKattan","given":"Khaled"}],"issued":{"date-parts":[["2019",4]]}}}],"schema":"https://github.com/citation-style-language/schema/raw/master/csl-citation.json"} </w:instrText>
      </w:r>
      <w:r w:rsidR="000400EC" w:rsidRPr="00065E56">
        <w:rPr>
          <w:rFonts w:ascii="Times New Roman" w:hAnsi="Times New Roman" w:cs="Times New Roman"/>
        </w:rPr>
        <w:fldChar w:fldCharType="separate"/>
      </w:r>
      <w:r w:rsidR="000400EC" w:rsidRPr="00065E56">
        <w:rPr>
          <w:rFonts w:ascii="Times New Roman" w:hAnsi="Times New Roman" w:cs="Times New Roman"/>
          <w:noProof/>
        </w:rPr>
        <w:t>(Ganguly et al., 2019)</w:t>
      </w:r>
      <w:r w:rsidR="000400EC" w:rsidRPr="00065E56">
        <w:rPr>
          <w:rFonts w:ascii="Times New Roman" w:hAnsi="Times New Roman" w:cs="Times New Roman"/>
        </w:rPr>
        <w:fldChar w:fldCharType="end"/>
      </w:r>
      <w:r w:rsidR="000400EC" w:rsidRPr="00065E56">
        <w:rPr>
          <w:rFonts w:ascii="Times New Roman" w:hAnsi="Times New Roman" w:cs="Times New Roman"/>
        </w:rPr>
        <w:t xml:space="preserve">. Essentially serving to make expert thought processes explicit, the clinical presentation model’s primary advantage is that the schemata for each symptom had already been taught; students did not need to restructure their basic science knowledge in their clinical years </w:t>
      </w:r>
      <w:r w:rsidR="000400EC" w:rsidRPr="00065E56">
        <w:rPr>
          <w:rFonts w:ascii="Times New Roman" w:hAnsi="Times New Roman" w:cs="Times New Roman"/>
        </w:rPr>
        <w:fldChar w:fldCharType="begin"/>
      </w:r>
      <w:r w:rsidR="000400EC" w:rsidRPr="00065E56">
        <w:rPr>
          <w:rFonts w:ascii="Times New Roman" w:hAnsi="Times New Roman" w:cs="Times New Roman"/>
        </w:rPr>
        <w:instrText xml:space="preserve"> ADDIN ZOTERO_ITEM CSL_CITATION {"citationID":"nGQiJUXA","properties":{"formattedCitation":"(Papa &amp; Harasym, 1999)","plainCitation":"(Papa &amp; Harasym, 1999)","noteIndex":0},"citationItems":[{"id":427,"uris":["http://zotero.org/users/local/8fpcHUeo/items/CN8I44VJ"],"uri":["http://zotero.org/users/local/8fpcHUeo/items/CN8I44VJ"],"itemData":{"id":427,"type":"article-journal","container-title":"Academic Medicine","issue":"2","page":"154-164","title":"Medical Curriculum Reform in North America, 1765 to the Present: A Cognitive Science Perspective","volume":"74","author":[{"family":"Papa","given":"Frank J."},{"family":"Harasym","given":"Peter H."}],"issued":{"date-parts":[["1999"]]}}}],"schema":"https://github.com/citation-style-language/schema/raw/master/csl-citation.json"} </w:instrText>
      </w:r>
      <w:r w:rsidR="000400EC" w:rsidRPr="00065E56">
        <w:rPr>
          <w:rFonts w:ascii="Times New Roman" w:hAnsi="Times New Roman" w:cs="Times New Roman"/>
        </w:rPr>
        <w:fldChar w:fldCharType="separate"/>
      </w:r>
      <w:r w:rsidR="000400EC" w:rsidRPr="00065E56">
        <w:rPr>
          <w:rFonts w:ascii="Times New Roman" w:hAnsi="Times New Roman" w:cs="Times New Roman"/>
          <w:noProof/>
        </w:rPr>
        <w:t>(Papa &amp; Harasym, 1999)</w:t>
      </w:r>
      <w:r w:rsidR="000400EC" w:rsidRPr="00065E56">
        <w:rPr>
          <w:rFonts w:ascii="Times New Roman" w:hAnsi="Times New Roman" w:cs="Times New Roman"/>
        </w:rPr>
        <w:fldChar w:fldCharType="end"/>
      </w:r>
      <w:r w:rsidR="000400EC" w:rsidRPr="00065E56">
        <w:rPr>
          <w:rFonts w:ascii="Times New Roman" w:hAnsi="Times New Roman" w:cs="Times New Roman"/>
        </w:rPr>
        <w:t xml:space="preserve">. </w:t>
      </w:r>
    </w:p>
    <w:p w14:paraId="0C073479" w14:textId="5E3DB411" w:rsidR="000400EC" w:rsidRPr="005D6960" w:rsidRDefault="000400EC" w:rsidP="000400EC">
      <w:pPr>
        <w:spacing w:line="480" w:lineRule="auto"/>
        <w:rPr>
          <w:rFonts w:ascii="Times New Roman" w:hAnsi="Times New Roman" w:cs="Times New Roman"/>
          <w:b/>
          <w:bCs/>
          <w:i/>
          <w:iCs/>
        </w:rPr>
      </w:pPr>
      <w:r w:rsidRPr="00065E56">
        <w:rPr>
          <w:rFonts w:ascii="Times New Roman" w:hAnsi="Times New Roman" w:cs="Times New Roman"/>
        </w:rPr>
        <w:tab/>
      </w:r>
      <w:r w:rsidRPr="00001861">
        <w:rPr>
          <w:rFonts w:ascii="Times New Roman" w:hAnsi="Times New Roman" w:cs="Times New Roman"/>
          <w:b/>
          <w:bCs/>
        </w:rPr>
        <w:t>Curriculum in modern medical and dental education.</w:t>
      </w:r>
      <w:r w:rsidRPr="00065E56">
        <w:rPr>
          <w:rFonts w:ascii="Times New Roman" w:hAnsi="Times New Roman" w:cs="Times New Roman"/>
          <w:b/>
          <w:bCs/>
          <w:i/>
          <w:iCs/>
        </w:rPr>
        <w:t xml:space="preserve"> </w:t>
      </w:r>
      <w:r w:rsidRPr="00065E56">
        <w:rPr>
          <w:rFonts w:ascii="Times New Roman" w:hAnsi="Times New Roman" w:cs="Times New Roman"/>
        </w:rPr>
        <w:t>In reality, few schools strictly adopt one curricul</w:t>
      </w:r>
      <w:r w:rsidR="0019586C">
        <w:rPr>
          <w:rFonts w:ascii="Times New Roman" w:hAnsi="Times New Roman" w:cs="Times New Roman"/>
        </w:rPr>
        <w:t>ar</w:t>
      </w:r>
      <w:r w:rsidRPr="00065E56">
        <w:rPr>
          <w:rFonts w:ascii="Times New Roman" w:hAnsi="Times New Roman" w:cs="Times New Roman"/>
        </w:rPr>
        <w:t xml:space="preserve"> model. Most schools operate as a hybrid, with components of each curricul</w:t>
      </w:r>
      <w:r w:rsidR="0019586C">
        <w:rPr>
          <w:rFonts w:ascii="Times New Roman" w:hAnsi="Times New Roman" w:cs="Times New Roman"/>
        </w:rPr>
        <w:t>ar</w:t>
      </w:r>
      <w:r w:rsidRPr="00065E56">
        <w:rPr>
          <w:rFonts w:ascii="Times New Roman" w:hAnsi="Times New Roman" w:cs="Times New Roman"/>
        </w:rPr>
        <w:t xml:space="preserve"> model blended into a cohesive program.  Competency-based medical education draws from the reconceptualization of curriculum as terminal performance objectives in the clinical </w:t>
      </w:r>
      <w:r w:rsidRPr="00065E56">
        <w:rPr>
          <w:rFonts w:ascii="Times New Roman" w:hAnsi="Times New Roman" w:cs="Times New Roman"/>
        </w:rPr>
        <w:lastRenderedPageBreak/>
        <w:t xml:space="preserve">presentation model but may utilize organ-systems-based models for the basic science years </w:t>
      </w:r>
      <w:r w:rsidRPr="00065E56">
        <w:rPr>
          <w:rFonts w:ascii="Times New Roman" w:hAnsi="Times New Roman" w:cs="Times New Roman"/>
        </w:rPr>
        <w:fldChar w:fldCharType="begin"/>
      </w:r>
      <w:r w:rsidRPr="00065E56">
        <w:rPr>
          <w:rFonts w:ascii="Times New Roman" w:hAnsi="Times New Roman" w:cs="Times New Roman"/>
        </w:rPr>
        <w:instrText xml:space="preserve"> ADDIN ZOTERO_ITEM CSL_CITATION {"citationID":"RDINNsth","properties":{"formattedCitation":"(Ganguly et al., 2019)","plainCitation":"(Ganguly et al., 2019)","noteIndex":0},"citationItems":[{"id":459,"uris":["http://zotero.org/users/local/8fpcHUeo/items/4FBZ7ZEC"],"uri":["http://zotero.org/users/local/8fpcHUeo/items/4FBZ7ZEC"],"itemData":{"id":459,"type":"article-journal","abstract":"Over the years, the medical curriculum has been changed to accommodate a variety of evolving disciplines and an exploding scientiﬁc knowledge of the basic sciences to prepare “a competent physician” of the 21st century. Therefore, we must be innovative in our approach of curricular development if we wish to continue to incorporate new basic sciences knowledge in the face of decreasing contact hours to satisfy the buzz word, “integration”. Certainly, the challenges are phenomenal. The question how to best integrate basic sciences, is not easy to answer as the objectives of the courses and outcome vary from one medical school to another and the fact is, one size does not ﬁt all. However, if we believe that basic sciences are the language of medicine and foundation of clinical knowledge, then we must resolve this ongoing dilemma by introducing basic sciences through a better alignment in a given curriculum. The purpose of this review is to evaluate different curricular models for their basic sciences content and address their strengths and weaknesses. In addition, we will introduce a spiral design to integrate basic sciences for senior students. Finally, we will provide some insight as to how learning and retention of basic science content can be sustained.","container-title":"Canadian Journal of Physiology and Pharmacology","DOI":"10.1139/cjpp-2018-0428","ISSN":"0008-4212, 1205-7541","issue":"4","journalAbbreviation":"Can. J. Physiol. Pharmacol.","language":"en","page":"293-296","source":"DOI.org (Crossref)","title":"Medical education dilemma: How can we best accommodate basic sciences in a curriculum for 21st century medical students?","title-short":"Medical education dilemma","volume":"97","author":[{"family":"Ganguly","given":"Paul"},{"family":"Yaqinuddin","given":"Ahmed"},{"family":"Al-Kattan","given":"Wael"},{"family":"Kemahli","given":"Sabri"},{"family":"AlKattan","given":"Khaled"}],"issued":{"date-parts":[["2019",4]]}}}],"schema":"https://github.com/citation-style-language/schema/raw/master/csl-citation.json"} </w:instrText>
      </w:r>
      <w:r w:rsidRPr="00065E56">
        <w:rPr>
          <w:rFonts w:ascii="Times New Roman" w:hAnsi="Times New Roman" w:cs="Times New Roman"/>
        </w:rPr>
        <w:fldChar w:fldCharType="separate"/>
      </w:r>
      <w:r w:rsidRPr="00065E56">
        <w:rPr>
          <w:rFonts w:ascii="Times New Roman" w:hAnsi="Times New Roman" w:cs="Times New Roman"/>
          <w:noProof/>
        </w:rPr>
        <w:t>(Ganguly et al., 2019)</w:t>
      </w:r>
      <w:r w:rsidRPr="00065E56">
        <w:rPr>
          <w:rFonts w:ascii="Times New Roman" w:hAnsi="Times New Roman" w:cs="Times New Roman"/>
        </w:rPr>
        <w:fldChar w:fldCharType="end"/>
      </w:r>
      <w:r w:rsidRPr="00065E56">
        <w:rPr>
          <w:rFonts w:ascii="Times New Roman" w:hAnsi="Times New Roman" w:cs="Times New Roman"/>
        </w:rPr>
        <w:t xml:space="preserve">. Undergraduate medical education still follows the four-year pattern of two basic science years plus two clinical science years founded in the disciplined-based model </w:t>
      </w:r>
      <w:r w:rsidRPr="00065E56">
        <w:rPr>
          <w:rFonts w:ascii="Times New Roman" w:hAnsi="Times New Roman" w:cs="Times New Roman"/>
        </w:rPr>
        <w:fldChar w:fldCharType="begin"/>
      </w:r>
      <w:r w:rsidRPr="00065E56">
        <w:rPr>
          <w:rFonts w:ascii="Times New Roman" w:hAnsi="Times New Roman" w:cs="Times New Roman"/>
        </w:rPr>
        <w:instrText xml:space="preserve"> ADDIN ZOTERO_ITEM CSL_CITATION {"citationID":"zsG5x3rp","properties":{"formattedCitation":"(Flexner, 1910)","plainCitation":"(Flexner, 1910)","noteIndex":0},"citationItems":[{"id":470,"uris":["http://zotero.org/users/local/8fpcHUeo/items/IBCJWWCQ"],"uri":["http://zotero.org/users/local/8fpcHUeo/items/IBCJWWCQ"],"itemData":{"id":470,"type":"article","publisher":"The Carnegie Foundation for the Advancement of Teaching","title":"Medical Education in the United States and Canada","author":[{"family":"Flexner","given":"Abraham"}],"issued":{"date-parts":[["1910"]]}}}],"schema":"https://github.com/citation-style-language/schema/raw/master/csl-citation.json"} </w:instrText>
      </w:r>
      <w:r w:rsidRPr="00065E56">
        <w:rPr>
          <w:rFonts w:ascii="Times New Roman" w:hAnsi="Times New Roman" w:cs="Times New Roman"/>
        </w:rPr>
        <w:fldChar w:fldCharType="separate"/>
      </w:r>
      <w:r w:rsidRPr="00065E56">
        <w:rPr>
          <w:rFonts w:ascii="Times New Roman" w:hAnsi="Times New Roman" w:cs="Times New Roman"/>
          <w:noProof/>
        </w:rPr>
        <w:t>(Flexner, 1910)</w:t>
      </w:r>
      <w:r w:rsidRPr="00065E56">
        <w:rPr>
          <w:rFonts w:ascii="Times New Roman" w:hAnsi="Times New Roman" w:cs="Times New Roman"/>
        </w:rPr>
        <w:fldChar w:fldCharType="end"/>
      </w:r>
      <w:r w:rsidR="0019586C">
        <w:rPr>
          <w:rFonts w:ascii="Times New Roman" w:hAnsi="Times New Roman" w:cs="Times New Roman"/>
        </w:rPr>
        <w:t>.</w:t>
      </w:r>
      <w:r w:rsidRPr="00065E56">
        <w:rPr>
          <w:rFonts w:ascii="Times New Roman" w:hAnsi="Times New Roman" w:cs="Times New Roman"/>
        </w:rPr>
        <w:t xml:space="preserve"> </w:t>
      </w:r>
      <w:r w:rsidR="0019586C">
        <w:rPr>
          <w:rFonts w:ascii="Times New Roman" w:hAnsi="Times New Roman" w:cs="Times New Roman"/>
        </w:rPr>
        <w:t>I</w:t>
      </w:r>
      <w:r w:rsidRPr="00065E56">
        <w:rPr>
          <w:rFonts w:ascii="Times New Roman" w:hAnsi="Times New Roman" w:cs="Times New Roman"/>
        </w:rPr>
        <w:t xml:space="preserve">ntegration, originating in the organ-systems-based model, is present in the majority of medical and dental education programs. </w:t>
      </w:r>
      <w:r w:rsidR="0019586C">
        <w:rPr>
          <w:rFonts w:ascii="Times New Roman" w:hAnsi="Times New Roman" w:cs="Times New Roman"/>
        </w:rPr>
        <w:t>O</w:t>
      </w:r>
      <w:r w:rsidRPr="00065E56">
        <w:rPr>
          <w:rFonts w:ascii="Times New Roman" w:hAnsi="Times New Roman" w:cs="Times New Roman"/>
        </w:rPr>
        <w:t xml:space="preserve">nly 2% of dental schools reported no integration in a 2015 survey administered by the American Dental Association </w:t>
      </w:r>
      <w:r w:rsidRPr="00065E56">
        <w:rPr>
          <w:rFonts w:ascii="Times New Roman" w:hAnsi="Times New Roman" w:cs="Times New Roman"/>
        </w:rPr>
        <w:fldChar w:fldCharType="begin"/>
      </w:r>
      <w:r w:rsidRPr="00065E56">
        <w:rPr>
          <w:rFonts w:ascii="Times New Roman" w:hAnsi="Times New Roman" w:cs="Times New Roman"/>
        </w:rPr>
        <w:instrText xml:space="preserve"> ADDIN ZOTERO_ITEM CSL_CITATION {"citationID":"9eP4I5ig","properties":{"formattedCitation":"(American Dental Association, 2016)","plainCitation":"(American Dental Association, 2016)","noteIndex":0},"citationItems":[{"id":526,"uris":["http://zotero.org/users/local/8fpcHUeo/items/VDMYVW38"],"uri":["http://zotero.org/users/local/8fpcHUeo/items/VDMYVW38"],"itemData":{"id":526,"type":"article","title":"2015-16 Survey of Dental Education.","URL":"www.ada.org/ SDEA_2015-16_SDE4_final.xlsx","author":[{"family":"American Dental Association","given":""}],"accessed":{"date-parts":[["2021",2,26]]},"issued":{"date-parts":[["2016"]]}}}],"schema":"https://github.com/citation-style-language/schema/raw/master/csl-citation.json"} </w:instrText>
      </w:r>
      <w:r w:rsidRPr="00065E56">
        <w:rPr>
          <w:rFonts w:ascii="Times New Roman" w:hAnsi="Times New Roman" w:cs="Times New Roman"/>
        </w:rPr>
        <w:fldChar w:fldCharType="separate"/>
      </w:r>
      <w:r w:rsidRPr="00065E56">
        <w:rPr>
          <w:rFonts w:ascii="Times New Roman" w:hAnsi="Times New Roman" w:cs="Times New Roman"/>
          <w:noProof/>
        </w:rPr>
        <w:t>(American Dental Association, 2016)</w:t>
      </w:r>
      <w:r w:rsidRPr="00065E56">
        <w:rPr>
          <w:rFonts w:ascii="Times New Roman" w:hAnsi="Times New Roman" w:cs="Times New Roman"/>
        </w:rPr>
        <w:fldChar w:fldCharType="end"/>
      </w:r>
      <w:r w:rsidRPr="00065E56">
        <w:rPr>
          <w:rFonts w:ascii="Times New Roman" w:hAnsi="Times New Roman" w:cs="Times New Roman"/>
        </w:rPr>
        <w:t xml:space="preserve">. In a survey of clinical anatomy educators, 94% of respondents indicated their course was part of a partially or fully integrated medical curriculum </w:t>
      </w:r>
      <w:r w:rsidRPr="00065E56">
        <w:rPr>
          <w:rFonts w:ascii="Times New Roman" w:hAnsi="Times New Roman" w:cs="Times New Roman"/>
        </w:rPr>
        <w:fldChar w:fldCharType="begin"/>
      </w:r>
      <w:r w:rsidRPr="00065E56">
        <w:rPr>
          <w:rFonts w:ascii="Times New Roman" w:hAnsi="Times New Roman" w:cs="Times New Roman"/>
        </w:rPr>
        <w:instrText xml:space="preserve"> ADDIN ZOTERO_ITEM CSL_CITATION {"citationID":"b45kvhuL","properties":{"formattedCitation":"(McBride &amp; Drake, 2018)","plainCitation":"(McBride &amp; Drake, 2018)","noteIndex":0},"citationItems":[{"id":528,"uris":["http://zotero.org/users/local/8fpcHUeo/items/ZDM6VDSV"],"uri":["http://zotero.org/users/local/8fpcHUeo/items/ZDM6VDSV"],"itemData":{"id":528,"type":"article-journal","container-title":"Anatomical Sciences Education","DOI":"10.1002/ase.1760","ISSN":"19359772","issue":"1","journalAbbreviation":"American Association of Anatomists","language":"en","page":"7-14","source":"DOI.org (Crossref)","title":"National survey on anatomical sciences in medical education: Anatomical Sciences in Medical Education","title-short":"National survey on anatomical sciences in medical education","volume":"11","author":[{"family":"McBride","given":"Jennifer M."},{"family":"Drake","given":"Richard L."}],"issued":{"date-parts":[["2018",1]]}}}],"schema":"https://github.com/citation-style-language/schema/raw/master/csl-citation.json"} </w:instrText>
      </w:r>
      <w:r w:rsidRPr="00065E56">
        <w:rPr>
          <w:rFonts w:ascii="Times New Roman" w:hAnsi="Times New Roman" w:cs="Times New Roman"/>
        </w:rPr>
        <w:fldChar w:fldCharType="separate"/>
      </w:r>
      <w:r w:rsidRPr="00065E56">
        <w:rPr>
          <w:rFonts w:ascii="Times New Roman" w:hAnsi="Times New Roman" w:cs="Times New Roman"/>
          <w:noProof/>
        </w:rPr>
        <w:t>(McBride &amp; Drake, 2018)</w:t>
      </w:r>
      <w:r w:rsidRPr="00065E56">
        <w:rPr>
          <w:rFonts w:ascii="Times New Roman" w:hAnsi="Times New Roman" w:cs="Times New Roman"/>
        </w:rPr>
        <w:fldChar w:fldCharType="end"/>
      </w:r>
      <w:r w:rsidRPr="00065E56">
        <w:rPr>
          <w:rFonts w:ascii="Times New Roman" w:hAnsi="Times New Roman" w:cs="Times New Roman"/>
        </w:rPr>
        <w:t xml:space="preserve">. Other concepts, such as community-based education in dentistry, were emphasized as a practical expansion of integration/problem-based learning </w:t>
      </w:r>
      <w:r w:rsidRPr="00065E56">
        <w:rPr>
          <w:rFonts w:ascii="Times New Roman" w:hAnsi="Times New Roman" w:cs="Times New Roman"/>
        </w:rPr>
        <w:fldChar w:fldCharType="begin"/>
      </w:r>
      <w:r w:rsidRPr="00065E56">
        <w:rPr>
          <w:rFonts w:ascii="Times New Roman" w:hAnsi="Times New Roman" w:cs="Times New Roman"/>
        </w:rPr>
        <w:instrText xml:space="preserve"> ADDIN ZOTERO_ITEM CSL_CITATION {"citationID":"VqtymRVQ","properties":{"formattedCitation":"(Kassebaum &amp; Tedesco, 2017)","plainCitation":"(Kassebaum &amp; Tedesco, 2017)","noteIndex":0},"citationItems":[{"id":473,"uris":["http://zotero.org/users/local/8fpcHUeo/items/QMS9HTZK"],"uri":["http://zotero.org/users/local/8fpcHUeo/items/QMS9HTZK"],"itemData":{"id":473,"type":"article-journal","container-title":"Journal of Dental Education","DOI":"10.21815/JDE.017.002","ISSN":"00220337","issue":"8","journalAbbreviation":"Journal of Dental Education","language":"en","page":"eS13-eS21","source":"DOI.org (Crossref)","title":"The 21 &lt;sup&gt;st&lt;/sup&gt; -Century Dental Curriculum: A Framework for Understanding Current Models","title-short":"The 21 &lt;sup&gt;st&lt;/sup&gt; -Century Dental Curriculum","volume":"81","author":[{"family":"Kassebaum","given":"Denise K."},{"family":"Tedesco","given":"Lisa A."}],"issued":{"date-parts":[["2017",8]]}}}],"schema":"https://github.com/citation-style-language/schema/raw/master/csl-citation.json"} </w:instrText>
      </w:r>
      <w:r w:rsidRPr="00065E56">
        <w:rPr>
          <w:rFonts w:ascii="Times New Roman" w:hAnsi="Times New Roman" w:cs="Times New Roman"/>
        </w:rPr>
        <w:fldChar w:fldCharType="separate"/>
      </w:r>
      <w:r w:rsidRPr="00065E56">
        <w:rPr>
          <w:rFonts w:ascii="Times New Roman" w:hAnsi="Times New Roman" w:cs="Times New Roman"/>
          <w:noProof/>
        </w:rPr>
        <w:t>(Kassebaum &amp; Tedesco, 2017)</w:t>
      </w:r>
      <w:r w:rsidRPr="00065E56">
        <w:rPr>
          <w:rFonts w:ascii="Times New Roman" w:hAnsi="Times New Roman" w:cs="Times New Roman"/>
        </w:rPr>
        <w:fldChar w:fldCharType="end"/>
      </w:r>
      <w:r w:rsidRPr="00065E56">
        <w:rPr>
          <w:rFonts w:ascii="Times New Roman" w:hAnsi="Times New Roman" w:cs="Times New Roman"/>
        </w:rPr>
        <w:t xml:space="preserve">. Other schools begin discipline-based for 1 year, then restructure to an organ-systems-based model for the second year. Even the apprenticeship-based model, for all of its faults, is revisited in concept as a “cognitive apprenticeship,” or making tacit information explicit within an authentic learning experience, visualized in the expert schemata (decision trees) of the clinical presentation model </w:t>
      </w:r>
      <w:r w:rsidRPr="00065E56">
        <w:rPr>
          <w:rFonts w:ascii="Times New Roman" w:hAnsi="Times New Roman" w:cs="Times New Roman"/>
        </w:rPr>
        <w:fldChar w:fldCharType="begin"/>
      </w:r>
      <w:r w:rsidRPr="00065E56">
        <w:rPr>
          <w:rFonts w:ascii="Times New Roman" w:hAnsi="Times New Roman" w:cs="Times New Roman"/>
        </w:rPr>
        <w:instrText xml:space="preserve"> ADDIN ZOTERO_ITEM CSL_CITATION {"citationID":"v9w308r1","properties":{"formattedCitation":"(Anstey, 2017)","plainCitation":"(Anstey, 2017)","noteIndex":0},"citationItems":[{"id":18,"uris":["http://zotero.org/users/local/8fpcHUeo/items/58JUX63H"],"uri":["http://zotero.org/users/local/8fpcHUeo/items/58JUX63H"],"itemData":{"id":18,"type":"article-journal","container-title":"Anatomical Sciences Education","DOI":"10.1002/ase.1690","ISSN":"19359772","issue":"6","language":"en","page":"538-548","source":"Crossref","title":"“Applying anatomy to something I care about”: Authentic inquiry learning and student experiences of an inquiry project","title-short":"“Applying anatomy to something I care about”","volume":"10","author":[{"family":"Anstey","given":"Lauren M."}],"issued":{"date-parts":[["2017",11]]}}}],"schema":"https://github.com/citation-style-language/schema/raw/master/csl-citation.json"} </w:instrText>
      </w:r>
      <w:r w:rsidRPr="00065E56">
        <w:rPr>
          <w:rFonts w:ascii="Times New Roman" w:hAnsi="Times New Roman" w:cs="Times New Roman"/>
        </w:rPr>
        <w:fldChar w:fldCharType="separate"/>
      </w:r>
      <w:r w:rsidRPr="00065E56">
        <w:rPr>
          <w:rFonts w:ascii="Times New Roman" w:hAnsi="Times New Roman" w:cs="Times New Roman"/>
          <w:noProof/>
        </w:rPr>
        <w:t>(Anstey, 2017)</w:t>
      </w:r>
      <w:r w:rsidRPr="00065E56">
        <w:rPr>
          <w:rFonts w:ascii="Times New Roman" w:hAnsi="Times New Roman" w:cs="Times New Roman"/>
        </w:rPr>
        <w:fldChar w:fldCharType="end"/>
      </w:r>
      <w:r w:rsidRPr="00065E56">
        <w:rPr>
          <w:rFonts w:ascii="Times New Roman" w:hAnsi="Times New Roman" w:cs="Times New Roman"/>
        </w:rPr>
        <w:t xml:space="preserve">. </w:t>
      </w:r>
    </w:p>
    <w:p w14:paraId="0B74C7BF" w14:textId="77777777" w:rsidR="000400EC" w:rsidRPr="00065E56" w:rsidRDefault="000400EC" w:rsidP="000400EC">
      <w:pPr>
        <w:spacing w:line="480" w:lineRule="auto"/>
        <w:rPr>
          <w:rFonts w:ascii="Times New Roman" w:hAnsi="Times New Roman" w:cs="Times New Roman"/>
        </w:rPr>
      </w:pPr>
      <w:r w:rsidRPr="00065E56">
        <w:rPr>
          <w:rFonts w:ascii="Times New Roman" w:hAnsi="Times New Roman" w:cs="Times New Roman"/>
        </w:rPr>
        <w:tab/>
        <w:t xml:space="preserve">Active learning encompasses a broad range of learner-centered, problem-based curricula, originally conceptualized in the problem-based model and remains a key feature of integrating clinical experiences within the basic sciences regardless of program curriculum model </w:t>
      </w:r>
      <w:r w:rsidRPr="00065E56">
        <w:rPr>
          <w:rFonts w:ascii="Times New Roman" w:hAnsi="Times New Roman" w:cs="Times New Roman"/>
        </w:rPr>
        <w:fldChar w:fldCharType="begin"/>
      </w:r>
      <w:r w:rsidRPr="00065E56">
        <w:rPr>
          <w:rFonts w:ascii="Times New Roman" w:hAnsi="Times New Roman" w:cs="Times New Roman"/>
        </w:rPr>
        <w:instrText xml:space="preserve"> ADDIN ZOTERO_ITEM CSL_CITATION {"citationID":"juMJq7Bd","properties":{"formattedCitation":"(Lantz &amp; Shuler, 2017; Wijnen-Meijer et al., 2020)","plainCitation":"(Lantz &amp; Shuler, 2017; Wijnen-Meijer et al., 2020)","noteIndex":0},"citationItems":[{"id":356,"uris":["http://zotero.org/users/local/8fpcHUeo/items/X3DZERTA"],"uri":["http://zotero.org/users/local/8fpcHUeo/items/X3DZERTA"],"itemData":{"id":356,"type":"article-journal","abstract":"Abstract: The purpose of this study was to examine data published over the past two decades to identify trends in the basic sciences curriculum in dental education, provide an analysis of those trends, and compare them with trends in the basic sciences curriculum in medical education. Data published from the American Dental Association (ADA) Surveys of Dental Education, American Dental Education Association (ADEA) Surveys of Dental School Seniors, and two additional surveys were examined. In large part, survey data collected focused on the structure, content, and instructional strategies used in dental education: what was taught and how. Great variability was noted in the total clock hours of instruction and the clock hours of basic sciences instruction reported by dental schools. Moreover, the participation of medical schools in the basic sciences education of dental students appears to have decreased dramatically over the past decade. Although modest progress has been made in implementing some of the curriculum changes recommended in the 1995 Institute of Medicine report such as integrated basic and clinical sciences curricula, adoption of active learning methods, and closer engagement with medical and other health professions education programs, educational effectiveness studies needed to generate data to support evidence-based approaches to curriculum reform are lacking. Overall, trends in the basic sciences curriculum in medical education were similar to those for dental education. Potential drivers of curriculum change were identified, as was recent work in other fields that should encourage reconsideration of dentistry’s approach to basic sciences education. This article was written as part of the project “Advancing Dental Education in the 21st Century.” Dr. Lantz is Professor Emerita and Associate Dean for Academic Affairs Emerita, Department of Periodontics and Oral Medicine, School of Dentistry, University of Michigan; Dr. Shuler is Professor and Dean, Faculty of Dentistry, University of British Columbia. Direct correspondence to Dr. Marilyn S. Lantz, School of Dentistry, University of Michigan, 1011 N. University Ave., Ann Arbor, MI 48109-1078; 734-763-2105; mslantz@umich.edu.","container-title":"Journal of Dental Education","DOI":"10.21815/JDE.017.008","ISSN":"00220337","issue":"8","journalAbbreviation":"Journal of Dental Education","language":"en","page":"eS55-eS65","source":"DOI.org (Crossref)","title":"Trends in Basic Sciences Education in Dental Schools, 1999-2016","volume":"81","author":[{"family":"Lantz","given":"Marilyn S."},{"family":"Shuler","given":"Charles F."}],"issued":{"date-parts":[["2017",8]]}}},{"id":449,"uris":["http://zotero.org/users/local/8fpcHUeo/items/23T36UKS"],"uri":["http://zotero.org/users/local/8fpcHUeo/items/23T36UKS"],"itemData":{"id":449,"type":"article-journal","abstract":"Curricular integration represents collaborations between disciplines to establish a coherent curriculum and has become the dominant recommendation for medical education in the second half of the twentieth century. Vertical integration specifically is the integration between the clinical and basic science parts throughout the program. Vertically integrated curricula present basic sciences imbedded in a clinical context from the start of medical school. The authors briefly discuss vertical integration in relationship with context theory, motivation theory, professional identity formation, transition to practice and the continuum of education and practice. They conclude that vertical integration, rather than horizontal integration, extends far beyond curriculum structure. They consider vertical integration a philosophy of education, with impact on students’ maturation and engagement with the profession, and which applies not only to undergraduate education but to the lifelong learning of professionals. The definition of vertical integration as “an educational approach that fosters a gradual increase of learner participation in the professional community through a stepwise increase of knowledge-based engagement in practice with graduated responsibilities in patient care” is more comprehensive than its older conceptualization.","container-title":"BMC Medical Education","DOI":"10.1186/s12909-020-02433-6","ISSN":"1472-6920","issue":"1","journalAbbreviation":"BMC Med Educ","language":"en","page":"509","source":"DOI.org (Crossref)","title":"Vertical integration in medical education: the broader perspective","title-short":"Vertical integration in medical education","volume":"20","author":[{"family":"Wijnen-Meijer","given":"Marjo"},{"family":"Broek","given":"Sjoukje","non-dropping-particle":"van den"},{"family":"Koens","given":"Franciska"},{"family":"Cate","given":"Olle","non-dropping-particle":"ten"}],"issued":{"date-parts":[["2020",12]]}}}],"schema":"https://github.com/citation-style-language/schema/raw/master/csl-citation.json"} </w:instrText>
      </w:r>
      <w:r w:rsidRPr="00065E56">
        <w:rPr>
          <w:rFonts w:ascii="Times New Roman" w:hAnsi="Times New Roman" w:cs="Times New Roman"/>
        </w:rPr>
        <w:fldChar w:fldCharType="separate"/>
      </w:r>
      <w:r w:rsidRPr="00065E56">
        <w:rPr>
          <w:rFonts w:ascii="Times New Roman" w:hAnsi="Times New Roman" w:cs="Times New Roman"/>
          <w:noProof/>
        </w:rPr>
        <w:t>(Lantz &amp; Shuler, 2017; Wijnen-Meijer et al., 2020)</w:t>
      </w:r>
      <w:r w:rsidRPr="00065E56">
        <w:rPr>
          <w:rFonts w:ascii="Times New Roman" w:hAnsi="Times New Roman" w:cs="Times New Roman"/>
        </w:rPr>
        <w:fldChar w:fldCharType="end"/>
      </w:r>
      <w:r w:rsidRPr="00065E56">
        <w:rPr>
          <w:rFonts w:ascii="Times New Roman" w:hAnsi="Times New Roman" w:cs="Times New Roman"/>
        </w:rPr>
        <w:t xml:space="preserve">. Similarly, integrating basic sciences within the clinical years frequently employs a spiral design of revisiting a topic for just-in-time teaching prior to a clinical experience. Both integration concepts are frequent topics of medical education research </w:t>
      </w:r>
      <w:r w:rsidRPr="00065E56">
        <w:rPr>
          <w:rFonts w:ascii="Times New Roman" w:hAnsi="Times New Roman" w:cs="Times New Roman"/>
        </w:rPr>
        <w:fldChar w:fldCharType="begin"/>
      </w:r>
      <w:r w:rsidRPr="00065E56">
        <w:rPr>
          <w:rFonts w:ascii="Times New Roman" w:hAnsi="Times New Roman" w:cs="Times New Roman"/>
        </w:rPr>
        <w:instrText xml:space="preserve"> ADDIN ZOTERO_ITEM CSL_CITATION {"citationID":"DVX1CNsV","properties":{"formattedCitation":"(Brauer &amp; Ferguson, 2015; Lantz &amp; Shuler, 2017)","plainCitation":"(Brauer &amp; Ferguson, 2015; Lantz &amp; Shuler, 2017)","noteIndex":0},"citationItems":[{"id":447,"uris":["http://zotero.org/users/local/8fpcHUeo/items/5BP8X6M6"],"uri":["http://zotero.org/users/local/8fpcHUeo/items/5BP8X6M6"],"itemData":{"id":447,"type":"article-journal","abstract":"The popularity of the term ‘‘integrated curriculum’’ has grown immensely in medical education over the last two decades, but what does this term mean and how do we go about its design, implementation, and evaluation? Definitions and application of the term vary greatly in the literature, spanning from the integration of content within a single lecture to the integration of a medical school’s comprehensive curriculum. Taking into account the integrated curriculum’s historic and evolving base of knowledge and theory, its support from many national medical education organizations, and the ever-increasing body of published examples, we deem it necessary to present a guide to review and promote further development of the integrated curriculum movement in medical education with an international perspective. We introduce the history and theory behind integration and provide theoretical models alongside published examples of common variations of an integrated curriculum. In addition, we identify three areas of particular need when developing an ideal integrated curriculum, leading us to propose the use of a new, clarified definition of ‘‘integrated curriculum’’, and offer a review of strategies to evaluate the impact of an integrated curriculum on the learner. This Guide is presented to assist educators in the design, implementation, and evaluation of a thoroughly integrated medical school curriculum.","container-title":"Medical Teacher","DOI":"10.3109/0142159X.2014.970998","ISSN":"0142-159X, 1466-187X","issue":"4","journalAbbreviation":"Medical Teacher","language":"en","page":"312-322","source":"DOI.org (Crossref)","title":"The integrated curriculum in medical education: AMEE Guide No. 96","title-short":"The integrated curriculum in medical education","volume":"37","author":[{"family":"Brauer","given":"David G."},{"family":"Ferguson","given":"Kristi J."}],"issued":{"date-parts":[["2015",4,3]]}}},{"id":356,"uris":["http://zotero.org/users/local/8fpcHUeo/items/X3DZERTA"],"uri":["http://zotero.org/users/local/8fpcHUeo/items/X3DZERTA"],"itemData":{"id":356,"type":"article-journal","abstract":"Abstract: The purpose of this study was to examine data published over the past two decades to identify trends in the basic sciences curriculum in dental education, provide an analysis of those trends, and compare them with trends in the basic sciences curriculum in medical education. Data published from the American Dental Association (ADA) Surveys of Dental Education, American Dental Education Association (ADEA) Surveys of Dental School Seniors, and two additional surveys were examined. In large part, survey data collected focused on the structure, content, and instructional strategies used in dental education: what was taught and how. Great variability was noted in the total clock hours of instruction and the clock hours of basic sciences instruction reported by dental schools. Moreover, the participation of medical schools in the basic sciences education of dental students appears to have decreased dramatically over the past decade. Although modest progress has been made in implementing some of the curriculum changes recommended in the 1995 Institute of Medicine report such as integrated basic and clinical sciences curricula, adoption of active learning methods, and closer engagement with medical and other health professions education programs, educational effectiveness studies needed to generate data to support evidence-based approaches to curriculum reform are lacking. Overall, trends in the basic sciences curriculum in medical education were similar to those for dental education. Potential drivers of curriculum change were identified, as was recent work in other fields that should encourage reconsideration of dentistry’s approach to basic sciences education. This article was written as part of the project “Advancing Dental Education in the 21st Century.” Dr. Lantz is Professor Emerita and Associate Dean for Academic Affairs Emerita, Department of Periodontics and Oral Medicine, School of Dentistry, University of Michigan; Dr. Shuler is Professor and Dean, Faculty of Dentistry, University of British Columbia. Direct correspondence to Dr. Marilyn S. Lantz, School of Dentistry, University of Michigan, 1011 N. University Ave., Ann Arbor, MI 48109-1078; 734-763-2105; mslantz@umich.edu.","container-title":"Journal of Dental Education","DOI":"10.21815/JDE.017.008","ISSN":"00220337","issue":"8","journalAbbreviation":"Journal of Dental Education","language":"en","page":"eS55-eS65","source":"DOI.org (Crossref)","title":"Trends in Basic Sciences Education in Dental Schools, 1999-2016","volume":"81","author":[{"family":"Lantz","given":"Marilyn S."},{"family":"Shuler","given":"Charles F."}],"issued":{"date-parts":[["2017",8]]}}}],"schema":"https://github.com/citation-style-language/schema/raw/master/csl-citation.json"} </w:instrText>
      </w:r>
      <w:r w:rsidRPr="00065E56">
        <w:rPr>
          <w:rFonts w:ascii="Times New Roman" w:hAnsi="Times New Roman" w:cs="Times New Roman"/>
        </w:rPr>
        <w:fldChar w:fldCharType="separate"/>
      </w:r>
      <w:r w:rsidRPr="00065E56">
        <w:rPr>
          <w:rFonts w:ascii="Times New Roman" w:hAnsi="Times New Roman" w:cs="Times New Roman"/>
          <w:noProof/>
        </w:rPr>
        <w:t>(Brauer &amp; Ferguson, 2015; Lantz &amp; Shuler, 2017)</w:t>
      </w:r>
      <w:r w:rsidRPr="00065E56">
        <w:rPr>
          <w:rFonts w:ascii="Times New Roman" w:hAnsi="Times New Roman" w:cs="Times New Roman"/>
        </w:rPr>
        <w:fldChar w:fldCharType="end"/>
      </w:r>
      <w:r w:rsidRPr="00065E56">
        <w:rPr>
          <w:rFonts w:ascii="Times New Roman" w:hAnsi="Times New Roman" w:cs="Times New Roman"/>
        </w:rPr>
        <w:t xml:space="preserve">. </w:t>
      </w:r>
    </w:p>
    <w:p w14:paraId="1A1FB04C" w14:textId="77777777" w:rsidR="000400EC" w:rsidRPr="00065E56" w:rsidRDefault="000400EC" w:rsidP="000400EC">
      <w:pPr>
        <w:spacing w:line="480" w:lineRule="auto"/>
        <w:rPr>
          <w:rFonts w:ascii="Times New Roman" w:hAnsi="Times New Roman" w:cs="Times New Roman"/>
        </w:rPr>
      </w:pPr>
      <w:r w:rsidRPr="00065E56">
        <w:rPr>
          <w:rFonts w:ascii="Times New Roman" w:hAnsi="Times New Roman" w:cs="Times New Roman"/>
        </w:rPr>
        <w:lastRenderedPageBreak/>
        <w:tab/>
        <w:t>The University of Oklahoma Health Sciences Center follows a modified organ-systems-based curricular structure. Clinical anatomy is offered first for dental and PA students as an introductory course before the rotation of organ-systems coursework begins. This provides students with the basic vocabulary and introductory clinical skills to be successful. Active learning such as PBL is incorporated to promote integration between the pre-clinical and clinical program components. For the clinical anatomy course at the University of Oklahoma Health Sciences Center, active learning took place during cadaveric dissection until the summer of 2020. Cadaveric dissection was replaced with an online flipped laboratory to ensure the safety of faculty and students during the 2020-2021 COVID-19 pandemic. The following sections explain the theory and rationale of utilizing online learning.</w:t>
      </w:r>
    </w:p>
    <w:p w14:paraId="40C0697F" w14:textId="67F2E578" w:rsidR="000400EC" w:rsidRPr="00065E56" w:rsidRDefault="000400EC" w:rsidP="000400EC">
      <w:pPr>
        <w:spacing w:line="480" w:lineRule="auto"/>
        <w:rPr>
          <w:rFonts w:ascii="Times New Roman" w:hAnsi="Times New Roman" w:cs="Times New Roman"/>
        </w:rPr>
      </w:pPr>
      <w:r w:rsidRPr="00065E56">
        <w:rPr>
          <w:rFonts w:ascii="Times New Roman" w:hAnsi="Times New Roman" w:cs="Times New Roman"/>
        </w:rPr>
        <w:tab/>
      </w:r>
      <w:r w:rsidRPr="00065E56">
        <w:rPr>
          <w:rFonts w:ascii="Times New Roman" w:hAnsi="Times New Roman" w:cs="Times New Roman"/>
          <w:b/>
          <w:bCs/>
        </w:rPr>
        <w:t>Definitions and theoretical framework of online learning.</w:t>
      </w:r>
      <w:r w:rsidR="005D6960">
        <w:rPr>
          <w:rFonts w:ascii="Times New Roman" w:hAnsi="Times New Roman" w:cs="Times New Roman"/>
        </w:rPr>
        <w:t xml:space="preserve"> </w:t>
      </w:r>
      <w:r w:rsidRPr="00065E56">
        <w:rPr>
          <w:rFonts w:ascii="Times New Roman" w:hAnsi="Times New Roman" w:cs="Times New Roman"/>
        </w:rPr>
        <w:t xml:space="preserve">Distance education is defined as instructional methods in which teaching and learning take place in geographically separate areas through a communication medium </w:t>
      </w:r>
      <w:r w:rsidRPr="00065E56">
        <w:rPr>
          <w:rFonts w:ascii="Times New Roman" w:hAnsi="Times New Roman" w:cs="Times New Roman"/>
        </w:rPr>
        <w:fldChar w:fldCharType="begin"/>
      </w:r>
      <w:r w:rsidRPr="00065E56">
        <w:rPr>
          <w:rFonts w:ascii="Times New Roman" w:hAnsi="Times New Roman" w:cs="Times New Roman"/>
        </w:rPr>
        <w:instrText xml:space="preserve"> ADDIN ZOTERO_ITEM CSL_CITATION {"citationID":"EtfgfzTx","properties":{"formattedCitation":"(Moore &amp; Diehl, William C., n.d.)","plainCitation":"(Moore &amp; Diehl, William C., n.d.)","dontUpdate":true,"noteIndex":0},"citationItems":[{"id":138,"uris":["http://zotero.org/users/local/8fpcHUeo/items/3JDA36LL"],"uri":["http://zotero.org/users/local/8fpcHUeo/items/3JDA36LL"],"itemData":{"id":138,"type":"book","edition":"Fourth","ISBN":"978-1-138-23900-5","publisher":"Routledge","title":"Handbook of Distance Education","author":[{"family":"Moore","given":"Michael G."},{"family":"Diehl, William C.","given":""}]}}],"schema":"https://github.com/citation-style-language/schema/raw/master/csl-citation.json"} </w:instrText>
      </w:r>
      <w:r w:rsidRPr="00065E56">
        <w:rPr>
          <w:rFonts w:ascii="Times New Roman" w:hAnsi="Times New Roman" w:cs="Times New Roman"/>
        </w:rPr>
        <w:fldChar w:fldCharType="separate"/>
      </w:r>
      <w:r w:rsidRPr="00065E56">
        <w:rPr>
          <w:rFonts w:ascii="Times New Roman" w:hAnsi="Times New Roman" w:cs="Times New Roman"/>
          <w:noProof/>
        </w:rPr>
        <w:t>(Moore, 2019)</w:t>
      </w:r>
      <w:r w:rsidRPr="00065E56">
        <w:rPr>
          <w:rFonts w:ascii="Times New Roman" w:hAnsi="Times New Roman" w:cs="Times New Roman"/>
        </w:rPr>
        <w:fldChar w:fldCharType="end"/>
      </w:r>
      <w:r w:rsidRPr="00065E56">
        <w:rPr>
          <w:rFonts w:ascii="Times New Roman" w:hAnsi="Times New Roman" w:cs="Times New Roman"/>
        </w:rPr>
        <w:t xml:space="preserve">. Historically, the communication medium was written correspondence, video, or radio, but the most common medium today is some type of online communication from a web-enabled electronic device. Combining the concept of distance education with modern technology gives rise to online learning, defined previously </w:t>
      </w:r>
      <w:r w:rsidR="0019586C">
        <w:rPr>
          <w:rFonts w:ascii="Times New Roman" w:hAnsi="Times New Roman" w:cs="Times New Roman"/>
        </w:rPr>
        <w:t>(C</w:t>
      </w:r>
      <w:r w:rsidRPr="00065E56">
        <w:rPr>
          <w:rFonts w:ascii="Times New Roman" w:hAnsi="Times New Roman" w:cs="Times New Roman"/>
        </w:rPr>
        <w:t>hapter 1</w:t>
      </w:r>
      <w:r w:rsidR="0019586C">
        <w:rPr>
          <w:rFonts w:ascii="Times New Roman" w:hAnsi="Times New Roman" w:cs="Times New Roman"/>
        </w:rPr>
        <w:t>)</w:t>
      </w:r>
      <w:r w:rsidRPr="00065E56">
        <w:rPr>
          <w:rFonts w:ascii="Times New Roman" w:hAnsi="Times New Roman" w:cs="Times New Roman"/>
        </w:rPr>
        <w:t>.</w:t>
      </w:r>
    </w:p>
    <w:p w14:paraId="309C0ACC" w14:textId="77777777" w:rsidR="000400EC" w:rsidRPr="00065E56" w:rsidRDefault="000400EC" w:rsidP="000400EC">
      <w:pPr>
        <w:spacing w:line="480" w:lineRule="auto"/>
        <w:rPr>
          <w:rFonts w:ascii="Times New Roman" w:hAnsi="Times New Roman" w:cs="Times New Roman"/>
        </w:rPr>
      </w:pPr>
      <w:r w:rsidRPr="00065E56">
        <w:rPr>
          <w:rFonts w:ascii="Times New Roman" w:hAnsi="Times New Roman" w:cs="Times New Roman"/>
        </w:rPr>
        <w:tab/>
        <w:t xml:space="preserve">Two common ways to describe online learning is by temporality and the amount of the course that is conducted online. Temporality refers to whether or not teacher and student (or student and student) interactions are conducted in real time </w:t>
      </w:r>
      <w:r w:rsidRPr="00065E56">
        <w:rPr>
          <w:rFonts w:ascii="Times New Roman" w:hAnsi="Times New Roman" w:cs="Times New Roman"/>
        </w:rPr>
        <w:fldChar w:fldCharType="begin"/>
      </w:r>
      <w:r w:rsidRPr="00065E56">
        <w:rPr>
          <w:rFonts w:ascii="Times New Roman" w:hAnsi="Times New Roman" w:cs="Times New Roman"/>
        </w:rPr>
        <w:instrText xml:space="preserve"> ADDIN ZOTERO_ITEM CSL_CITATION {"citationID":"WxsRsFLi","properties":{"formattedCitation":"(Singh &amp; Thurman, 2019)","plainCitation":"(Singh &amp; Thurman, 2019)","noteIndex":0},"citationItems":[{"id":261,"uris":["http://zotero.org/users/local/8fpcHUeo/items/H9VANUMW"],"uri":["http://zotero.org/users/local/8fpcHUeo/items/H9VANUMW"],"itemData":{"id":261,"type":"article-journal","abstract":"Online learning as a concept and as a keyword has consistently been a focus of education research for over two decades. In this paper, we present results from a systematic literature review for the deﬁnitions of online learning because the concept of online learning, though often deﬁned, has a range of meanings attached to it. Authors and scholars use the term to mean very distinct, if not contradictory concepts. We conducted systematic literature for over the last 30 years (1988 to 2018) to investigate the number and content of deﬁnitions of online learning. We collected 46 deﬁnitions from 37 resources and conducted a content analysis on these sets of deﬁnitions. Content analysis of the collected deﬁnitions led to an understanding of the core elements for deﬁning online learning, the confusion surrounding the terms and the synonyms used for online learning. An evolution of the deﬁnition of the concept of online learning was also mapped to the evolution of technology in the last three decades.","container-title":"American Journal of Distance Education","DOI":"10.1080/08923647.2019.1663082","ISSN":"0892-3647, 1538-9286","issue":"4","journalAbbreviation":"American Journal of Distance Education","language":"en","page":"289-306","source":"DOI.org (Crossref)","title":"How Many Ways Can We Define Online Learning? A Systematic Literature Review of Definitions of Online Learning (1988-2018)","title-short":"How Many Ways Can We Define Online Learning?","volume":"33","author":[{"family":"Singh","given":"Vandana"},{"family":"Thurman","given":"Alexander"}],"issued":{"date-parts":[["2019",10,2]]}}}],"schema":"https://github.com/citation-style-language/schema/raw/master/csl-citation.json"} </w:instrText>
      </w:r>
      <w:r w:rsidRPr="00065E56">
        <w:rPr>
          <w:rFonts w:ascii="Times New Roman" w:hAnsi="Times New Roman" w:cs="Times New Roman"/>
        </w:rPr>
        <w:fldChar w:fldCharType="separate"/>
      </w:r>
      <w:r w:rsidRPr="00065E56">
        <w:rPr>
          <w:rFonts w:ascii="Times New Roman" w:hAnsi="Times New Roman" w:cs="Times New Roman"/>
          <w:noProof/>
        </w:rPr>
        <w:t>(Singh &amp; Thurman, 2019)</w:t>
      </w:r>
      <w:r w:rsidRPr="00065E56">
        <w:rPr>
          <w:rFonts w:ascii="Times New Roman" w:hAnsi="Times New Roman" w:cs="Times New Roman"/>
        </w:rPr>
        <w:fldChar w:fldCharType="end"/>
      </w:r>
      <w:r w:rsidRPr="00065E56">
        <w:rPr>
          <w:rFonts w:ascii="Times New Roman" w:hAnsi="Times New Roman" w:cs="Times New Roman"/>
        </w:rPr>
        <w:t xml:space="preserve">. Courses (or portions of a course) conducted in real time are considered synchronous. Asynchronous courses (or portions of a course) maintain interactions through discussion boards, email, or other forms of delayed correspondence. Courses that are completely online are frequently described as </w:t>
      </w:r>
      <w:r w:rsidRPr="00065E56">
        <w:rPr>
          <w:rFonts w:ascii="Times New Roman" w:hAnsi="Times New Roman" w:cs="Times New Roman"/>
        </w:rPr>
        <w:lastRenderedPageBreak/>
        <w:t xml:space="preserve">“fully” online </w:t>
      </w:r>
      <w:r w:rsidRPr="00065E56">
        <w:rPr>
          <w:rFonts w:ascii="Times New Roman" w:hAnsi="Times New Roman" w:cs="Times New Roman"/>
        </w:rPr>
        <w:fldChar w:fldCharType="begin"/>
      </w:r>
      <w:r w:rsidRPr="00065E56">
        <w:rPr>
          <w:rFonts w:ascii="Times New Roman" w:hAnsi="Times New Roman" w:cs="Times New Roman"/>
        </w:rPr>
        <w:instrText xml:space="preserve"> ADDIN ZOTERO_ITEM CSL_CITATION {"citationID":"VfWhv0AC","properties":{"formattedCitation":"(Taylor et al., 2020)","plainCitation":"(Taylor et al., 2020)","noteIndex":0},"citationItems":[{"id":210,"uris":["http://zotero.org/users/local/8fpcHUeo/items/CVVSZEZY"],"uri":["http://zotero.org/users/local/8fpcHUeo/items/CVVSZEZY"],"itemData":{"id":210,"type":"article-journal","abstract":"COVID-19 is a strong disruptive force that has not only inﬂuenced our global health and economy but also has changed the way we teach, learn and communicate with our students. It has disturbed the regular education pattern and the standard practices that we adapted over many years. The challenge is beyond changing the mode of delivering instructions from face to face to online. The real challenge is in creating a culture that supports the adoption of innovative practices, which require diﬀerent skills and competences from the teacher, student, mentor and administrator, and at the same time maintaining the quality of the products. In other words, changing what was exceptional to be the norm over a short period of time. This article describes our approach \"Open Learning\" in managing such change. Our over-riding philosophy is about ensuring that students have high quality resources, and the enthusiasm and learning skills to beneﬁt from them. At the same time we want to optimise the use of the available online applications and learning management system so that their use is within the capability of our faculty. This paper describes the evolution of our approach and the principles upon which it has been based. Our experiences over the past few months will transform the educational experience of our students over the years to come.","container-title":"MedEdPublish","DOI":"10.15694/mep.2020.000076.1","ISSN":"23127996","issue":"1","journalAbbreviation":"MedEdPublish","language":"en","source":"DOI.org (Crossref)","title":"Transformation to learning from a distance","URL":"https://www.mededpublish.org/manuscripts/2999","volume":"9","author":[{"family":"Taylor","given":"David"},{"family":"Grant","given":"Janet"},{"family":"Hamdy","given":"Hossam"},{"family":"Grant","given":"Leonard"},{"family":"Marei","given":"Hesham"},{"family":"Venkatramana","given":"Manda"}],"accessed":{"date-parts":[["2020",9,15]]},"issued":{"date-parts":[["2020"]]}}}],"schema":"https://github.com/citation-style-language/schema/raw/master/csl-citation.json"} </w:instrText>
      </w:r>
      <w:r w:rsidRPr="00065E56">
        <w:rPr>
          <w:rFonts w:ascii="Times New Roman" w:hAnsi="Times New Roman" w:cs="Times New Roman"/>
        </w:rPr>
        <w:fldChar w:fldCharType="separate"/>
      </w:r>
      <w:r w:rsidRPr="00065E56">
        <w:rPr>
          <w:rFonts w:ascii="Times New Roman" w:hAnsi="Times New Roman" w:cs="Times New Roman"/>
          <w:noProof/>
        </w:rPr>
        <w:t>(Taylor et al., 2020)</w:t>
      </w:r>
      <w:r w:rsidRPr="00065E56">
        <w:rPr>
          <w:rFonts w:ascii="Times New Roman" w:hAnsi="Times New Roman" w:cs="Times New Roman"/>
        </w:rPr>
        <w:fldChar w:fldCharType="end"/>
      </w:r>
      <w:r w:rsidRPr="00065E56">
        <w:rPr>
          <w:rFonts w:ascii="Times New Roman" w:hAnsi="Times New Roman" w:cs="Times New Roman"/>
        </w:rPr>
        <w:t xml:space="preserve">, and partially online courses are commonly called blended learning courses </w:t>
      </w:r>
      <w:r w:rsidRPr="00065E56">
        <w:rPr>
          <w:rFonts w:ascii="Times New Roman" w:hAnsi="Times New Roman" w:cs="Times New Roman"/>
        </w:rPr>
        <w:fldChar w:fldCharType="begin"/>
      </w:r>
      <w:r w:rsidRPr="00065E56">
        <w:rPr>
          <w:rFonts w:ascii="Times New Roman" w:hAnsi="Times New Roman" w:cs="Times New Roman"/>
        </w:rPr>
        <w:instrText xml:space="preserve"> ADDIN ZOTERO_ITEM CSL_CITATION {"citationID":"cZ5sicOD","properties":{"formattedCitation":"(Ngan et al., 2018)","plainCitation":"(Ngan et al., 2018)","noteIndex":0},"citationItems":[{"id":259,"uris":["http://zotero.org/users/local/8fpcHUeo/items/6AB85WPM"],"uri":["http://zotero.org/users/local/8fpcHUeo/items/6AB85WPM"],"itemData":{"id":259,"type":"article-journal","abstract":"Purpose: Anatomy is a basic science for health professions curricula. Recent research suggests that the innovative blended learning approach (classroom learning plus use of online learning) outperforms conventional didactic teaching by facilitating effective learning. This study explores the feasibility of adopting blended learning in anatomy teaching and evaluates the learning experiences of students.\nMethod: Courseware called electronic Professional Study (ePS) was developed and used for teaching anatomy of the cardiovascular system for non-medical students. ePS composed of three condensed, recorded course lectures, revision guides, and gamiﬁed quizzes. These were placed on the Web platform for students to watch before didactic lecture. Scheduled class periods were dedicated to participating in active-learning exercises. By the end of the academic semester, the courseware evaluation was implemented using a set of 5-point Likert scale questions. The e-questionnaire was distributed to a convenience sample of Year-2 full-time undergraduate students majoring in pharmacy enrolled in an introductory course in anatomy and physiology. Multiple linear regression was conducted to examine the relationship between courseware usage and examination results.\nResults: All enrolled students (n ¼ 53) completed and returned the questionnaire. About 38% used the courseware less than ten times during the semester, and 7.5% never used it. e-Questionnaire shows that a majority agreed that the courseware content was clearly presented and easy to navigate. Multiple regression shows that courseware usage did not contribute signiﬁcantly to the performance.\nConclusions: Blended learning was perceived positively by most students. However, no effect on learning could be established. &amp; 2017 King Saud bin Abdulaziz University for Health Sciences. Production and Hosting by Elsevier B.V. This is an open access article under the CC BY-NC-ND license (http://creativecommons.org/licenses/by-nc-nd/4.0/).","container-title":"Health Professions Education","DOI":"10.1016/j.hpe.2017.11.001","ISSN":"24523011","issue":"2","journalAbbreviation":"Health Professions Education","language":"en","page":"149-158","source":"DOI.org (Crossref)","title":"Blended Learning in Anatomy Teaching for Non-Medical Students: An Innovative Approach to the Health Professions Education","title-short":"Blended Learning in Anatomy Teaching for Non-Medical Students","volume":"4","author":[{"family":"Ngan","given":"Olivia Miu Yung"},{"family":"Tang","given":"Taylor Lik Hang"},{"family":"Chan","given":"Aden Ka Yin"},{"family":"Chen","given":"Daisy Minghui"},{"family":"Tang","given":"Mei Kuen"}],"issued":{"date-parts":[["2018",6]]}}}],"schema":"https://github.com/citation-style-language/schema/raw/master/csl-citation.json"} </w:instrText>
      </w:r>
      <w:r w:rsidRPr="00065E56">
        <w:rPr>
          <w:rFonts w:ascii="Times New Roman" w:hAnsi="Times New Roman" w:cs="Times New Roman"/>
        </w:rPr>
        <w:fldChar w:fldCharType="separate"/>
      </w:r>
      <w:r w:rsidRPr="00065E56">
        <w:rPr>
          <w:rFonts w:ascii="Times New Roman" w:hAnsi="Times New Roman" w:cs="Times New Roman"/>
          <w:noProof/>
        </w:rPr>
        <w:t>(Ngan et al., 2018)</w:t>
      </w:r>
      <w:r w:rsidRPr="00065E56">
        <w:rPr>
          <w:rFonts w:ascii="Times New Roman" w:hAnsi="Times New Roman" w:cs="Times New Roman"/>
        </w:rPr>
        <w:fldChar w:fldCharType="end"/>
      </w:r>
      <w:r w:rsidRPr="00065E56">
        <w:rPr>
          <w:rFonts w:ascii="Times New Roman" w:hAnsi="Times New Roman" w:cs="Times New Roman"/>
        </w:rPr>
        <w:t xml:space="preserve">. The percentage of the course conducted online varies widely, but any course that has an online component is considered blended learning. </w:t>
      </w:r>
    </w:p>
    <w:p w14:paraId="6D570FE5" w14:textId="0E92E7BA" w:rsidR="000400EC" w:rsidRPr="00065E56" w:rsidRDefault="000400EC" w:rsidP="000400EC">
      <w:pPr>
        <w:spacing w:line="480" w:lineRule="auto"/>
        <w:rPr>
          <w:rFonts w:ascii="Times New Roman" w:hAnsi="Times New Roman" w:cs="Times New Roman"/>
        </w:rPr>
      </w:pPr>
      <w:r w:rsidRPr="00065E56">
        <w:rPr>
          <w:rFonts w:ascii="Times New Roman" w:hAnsi="Times New Roman" w:cs="Times New Roman"/>
        </w:rPr>
        <w:tab/>
        <w:t xml:space="preserve">Online coursework conducted as a temporary shift of instructional delivery due to a crisis is called emergency remote teaching (ERT) </w:t>
      </w:r>
      <w:r w:rsidRPr="00065E56">
        <w:rPr>
          <w:rFonts w:ascii="Times New Roman" w:hAnsi="Times New Roman" w:cs="Times New Roman"/>
        </w:rPr>
        <w:fldChar w:fldCharType="begin"/>
      </w:r>
      <w:r w:rsidRPr="00065E56">
        <w:rPr>
          <w:rFonts w:ascii="Times New Roman" w:hAnsi="Times New Roman" w:cs="Times New Roman"/>
        </w:rPr>
        <w:instrText xml:space="preserve"> ADDIN ZOTERO_ITEM CSL_CITATION {"citationID":"P6b1P3qf","properties":{"formattedCitation":"(Rapanta et al., 2020)","plainCitation":"(Rapanta et al., 2020)","noteIndex":0},"citationItems":[{"id":263,"uris":["http://zotero.org/users/local/8fpcHUeo/items/9WJESES7"],"uri":["http://zotero.org/users/local/8fpcHUeo/items/9WJESES7"],"itemData":{"id":263,"type":"article-journal","abstract":"The Covid-19 pandemic has raised significant challenges for the higher education community worldwide. A particular challenge has been the urgent and unexpected request for previously face-to-face university courses to be taught online. Online teaching and learning imply a certain pedagogical content knowledge (PCK), mainly related to designing and organising for better learning experiences and creating distinctive learning environments, with the help of digital technologies. With this article, we provide some expert insights into this online-learning-related PCK, with the goal of helping non-expert university teachers (i.e. those who have little experience with online learning) to navigate in these challenging times. Our findings point at the design of learning activities with certain characteristics, the combination of three types of presence (social, cognitive and facilitatory) and the need for adapting assessment to the new learning requirements. We end with a reflection on how responding to a crisis (as best we can) may precipitate enhanced teaching and learning practices in the postdigital era.","container-title":"Postdigital Science and Education","DOI":"10.1007/s42438-020-00155-y","ISSN":"2524-485X, 2524-4868","journalAbbreviation":"Postdigit Sci Educ","language":"en","source":"DOI.org (Crossref)","title":"Online University Teaching During and After the Covid-19 Crisis: Refocusing Teacher Presence and Learning Activity","title-short":"Online University Teaching During and After the Covid-19 Crisis","URL":"http://link.springer.com/10.1007/s42438-020-00155-y","author":[{"family":"Rapanta","given":"Chrysi"},{"family":"Botturi","given":"Luca"},{"family":"Goodyear","given":"Peter"},{"family":"Guàrdia","given":"Lourdes"},{"family":"Koole","given":"Marguerite"}],"accessed":{"date-parts":[["2020",9,23]]},"issued":{"date-parts":[["2020",7,7]]}}}],"schema":"https://github.com/citation-style-language/schema/raw/master/csl-citation.json"} </w:instrText>
      </w:r>
      <w:r w:rsidRPr="00065E56">
        <w:rPr>
          <w:rFonts w:ascii="Times New Roman" w:hAnsi="Times New Roman" w:cs="Times New Roman"/>
        </w:rPr>
        <w:fldChar w:fldCharType="separate"/>
      </w:r>
      <w:r w:rsidRPr="00065E56">
        <w:rPr>
          <w:rFonts w:ascii="Times New Roman" w:hAnsi="Times New Roman" w:cs="Times New Roman"/>
          <w:noProof/>
        </w:rPr>
        <w:t>(Rapanta et al., 2020)</w:t>
      </w:r>
      <w:r w:rsidRPr="00065E56">
        <w:rPr>
          <w:rFonts w:ascii="Times New Roman" w:hAnsi="Times New Roman" w:cs="Times New Roman"/>
        </w:rPr>
        <w:fldChar w:fldCharType="end"/>
      </w:r>
      <w:r w:rsidRPr="00065E56">
        <w:rPr>
          <w:rFonts w:ascii="Times New Roman" w:hAnsi="Times New Roman" w:cs="Times New Roman"/>
        </w:rPr>
        <w:t xml:space="preserve">. Emergency remote teaching differs from online learning in that curriculum planning for ERT consists of moving materials created for face-to-face (F2F) coursework </w:t>
      </w:r>
      <w:r w:rsidR="0019586C">
        <w:rPr>
          <w:rFonts w:ascii="Times New Roman" w:hAnsi="Times New Roman" w:cs="Times New Roman"/>
        </w:rPr>
        <w:t xml:space="preserve">to an </w:t>
      </w:r>
      <w:r w:rsidRPr="00065E56">
        <w:rPr>
          <w:rFonts w:ascii="Times New Roman" w:hAnsi="Times New Roman" w:cs="Times New Roman"/>
        </w:rPr>
        <w:t xml:space="preserve">online </w:t>
      </w:r>
      <w:r w:rsidR="0019586C">
        <w:rPr>
          <w:rFonts w:ascii="Times New Roman" w:hAnsi="Times New Roman" w:cs="Times New Roman"/>
        </w:rPr>
        <w:t xml:space="preserve">presentation </w:t>
      </w:r>
      <w:r w:rsidRPr="00065E56">
        <w:rPr>
          <w:rFonts w:ascii="Times New Roman" w:hAnsi="Times New Roman" w:cs="Times New Roman"/>
        </w:rPr>
        <w:t xml:space="preserve">rather than </w:t>
      </w:r>
      <w:r w:rsidR="0019586C">
        <w:rPr>
          <w:rFonts w:ascii="Times New Roman" w:hAnsi="Times New Roman" w:cs="Times New Roman"/>
        </w:rPr>
        <w:t xml:space="preserve">the more rigorous </w:t>
      </w:r>
      <w:r w:rsidRPr="00065E56">
        <w:rPr>
          <w:rFonts w:ascii="Times New Roman" w:hAnsi="Times New Roman" w:cs="Times New Roman"/>
        </w:rPr>
        <w:t xml:space="preserve">creating or curating materials for the online classroom specifically. Additionally, online courses are typically planned 9 months to two years in advance, whereas ERT situations usually have 2 months or less to prepare </w:t>
      </w:r>
      <w:r w:rsidRPr="00065E56">
        <w:rPr>
          <w:rFonts w:ascii="Times New Roman" w:hAnsi="Times New Roman" w:cs="Times New Roman"/>
        </w:rPr>
        <w:fldChar w:fldCharType="begin"/>
      </w:r>
      <w:r w:rsidRPr="00065E56">
        <w:rPr>
          <w:rFonts w:ascii="Times New Roman" w:hAnsi="Times New Roman" w:cs="Times New Roman"/>
        </w:rPr>
        <w:instrText xml:space="preserve"> ADDIN ZOTERO_ITEM CSL_CITATION {"citationID":"tJyMuC3Z","properties":{"formattedCitation":"(Hodges et al., n.d.)","plainCitation":"(Hodges et al., n.d.)","dontUpdate":true,"noteIndex":0},"citationItems":[{"id":222,"uris":["http://zotero.org/users/local/8fpcHUeo/items/QNTCGBNM"],"uri":["http://zotero.org/users/local/8fpcHUeo/items/QNTCGBNM"],"itemData":{"id":222,"type":"article-journal","language":"en","page":"12","source":"Zotero","title":"The Difference Between Emergency Remote Teaching and Online Learning","author":[{"family":"Hodges","given":"Charles"},{"family":"Moore","given":"Stephanie"},{"family":"Lockee","given":"Barb"},{"family":"Trust","given":"Torrey"},{"family":"Bond","given":"Aaron"}]}}],"schema":"https://github.com/citation-style-language/schema/raw/master/csl-citation.json"} </w:instrText>
      </w:r>
      <w:r w:rsidRPr="00065E56">
        <w:rPr>
          <w:rFonts w:ascii="Times New Roman" w:hAnsi="Times New Roman" w:cs="Times New Roman"/>
        </w:rPr>
        <w:fldChar w:fldCharType="separate"/>
      </w:r>
      <w:r w:rsidRPr="00065E56">
        <w:rPr>
          <w:rFonts w:ascii="Times New Roman" w:hAnsi="Times New Roman" w:cs="Times New Roman"/>
          <w:noProof/>
        </w:rPr>
        <w:t>(Hodges et al., 2020)</w:t>
      </w:r>
      <w:r w:rsidRPr="00065E56">
        <w:rPr>
          <w:rFonts w:ascii="Times New Roman" w:hAnsi="Times New Roman" w:cs="Times New Roman"/>
        </w:rPr>
        <w:fldChar w:fldCharType="end"/>
      </w:r>
      <w:r w:rsidRPr="00065E56">
        <w:rPr>
          <w:rFonts w:ascii="Times New Roman" w:hAnsi="Times New Roman" w:cs="Times New Roman"/>
        </w:rPr>
        <w:t xml:space="preserve">. Educators that experience ERT do not have the opportunity to optimize their curricula for minimal transactional distance (Moore, 2019). </w:t>
      </w:r>
    </w:p>
    <w:p w14:paraId="4009B196" w14:textId="77777777" w:rsidR="000400EC" w:rsidRPr="00065E56" w:rsidRDefault="000400EC" w:rsidP="000400EC">
      <w:pPr>
        <w:spacing w:line="480" w:lineRule="auto"/>
        <w:rPr>
          <w:rFonts w:ascii="Times New Roman" w:hAnsi="Times New Roman" w:cs="Times New Roman"/>
          <w:b/>
          <w:bCs/>
        </w:rPr>
      </w:pPr>
      <w:r w:rsidRPr="00065E56">
        <w:rPr>
          <w:rFonts w:ascii="Times New Roman" w:hAnsi="Times New Roman" w:cs="Times New Roman"/>
        </w:rPr>
        <w:tab/>
        <w:t xml:space="preserve">Moore’s Theory of Transactional Distance provides a theoretical framework for online course design.  ‘Transaction’ encompasses the relationship between the behaviors of teachers and learners in which they are geographically separated and have to communicate through a technology </w:t>
      </w:r>
      <w:r w:rsidRPr="00065E56">
        <w:rPr>
          <w:rFonts w:ascii="Times New Roman" w:hAnsi="Times New Roman" w:cs="Times New Roman"/>
        </w:rPr>
        <w:fldChar w:fldCharType="begin"/>
      </w:r>
      <w:r w:rsidRPr="00065E56">
        <w:rPr>
          <w:rFonts w:ascii="Times New Roman" w:hAnsi="Times New Roman" w:cs="Times New Roman"/>
        </w:rPr>
        <w:instrText xml:space="preserve"> ADDIN ZOTERO_ITEM CSL_CITATION {"citationID":"bhjvbf5M","properties":{"formattedCitation":"(Moore &amp; Diehl, William C., n.d.)","plainCitation":"(Moore &amp; Diehl, William C., n.d.)","dontUpdate":true,"noteIndex":0},"citationItems":[{"id":138,"uris":["http://zotero.org/users/local/8fpcHUeo/items/3JDA36LL"],"uri":["http://zotero.org/users/local/8fpcHUeo/items/3JDA36LL"],"itemData":{"id":138,"type":"book","edition":"Fourth","ISBN":"978-1-138-23900-5","publisher":"Routledge","title":"Handbook of Distance Education","author":[{"family":"Moore","given":"Michael G."},{"family":"Diehl, William C.","given":""}]}}],"schema":"https://github.com/citation-style-language/schema/raw/master/csl-citation.json"} </w:instrText>
      </w:r>
      <w:r w:rsidRPr="00065E56">
        <w:rPr>
          <w:rFonts w:ascii="Times New Roman" w:hAnsi="Times New Roman" w:cs="Times New Roman"/>
        </w:rPr>
        <w:fldChar w:fldCharType="separate"/>
      </w:r>
      <w:r w:rsidRPr="00065E56">
        <w:rPr>
          <w:rFonts w:ascii="Times New Roman" w:hAnsi="Times New Roman" w:cs="Times New Roman"/>
          <w:noProof/>
        </w:rPr>
        <w:t>(Simonson et al., 2011)</w:t>
      </w:r>
      <w:r w:rsidRPr="00065E56">
        <w:rPr>
          <w:rFonts w:ascii="Times New Roman" w:hAnsi="Times New Roman" w:cs="Times New Roman"/>
        </w:rPr>
        <w:fldChar w:fldCharType="end"/>
      </w:r>
      <w:r w:rsidRPr="00065E56">
        <w:rPr>
          <w:rFonts w:ascii="Times New Roman" w:hAnsi="Times New Roman" w:cs="Times New Roman"/>
        </w:rPr>
        <w:t xml:space="preserve">. The separation necessitates patterns of behavior regarding course organization and communication between instructors and students. The goal, according to Moore, is to use the course organization and communication patterns to bridge a psychological distance, or a distance or gap in the student’s understanding (2019). Students participate in this relationship by exercising autonomy, or making personal decisions about what, how, and how much to learn. </w:t>
      </w:r>
    </w:p>
    <w:p w14:paraId="4EEEA8D3" w14:textId="4F1CCD68" w:rsidR="000400EC" w:rsidRPr="00065E56" w:rsidRDefault="000400EC" w:rsidP="000400EC">
      <w:pPr>
        <w:spacing w:line="480" w:lineRule="auto"/>
        <w:rPr>
          <w:rFonts w:ascii="Times New Roman" w:hAnsi="Times New Roman" w:cs="Times New Roman"/>
        </w:rPr>
      </w:pPr>
      <w:r w:rsidRPr="00065E56">
        <w:rPr>
          <w:rFonts w:ascii="Times New Roman" w:hAnsi="Times New Roman" w:cs="Times New Roman"/>
        </w:rPr>
        <w:tab/>
        <w:t xml:space="preserve">Course organization, </w:t>
      </w:r>
      <w:r w:rsidR="0019586C">
        <w:rPr>
          <w:rFonts w:ascii="Times New Roman" w:hAnsi="Times New Roman" w:cs="Times New Roman"/>
        </w:rPr>
        <w:t>or</w:t>
      </w:r>
      <w:r w:rsidRPr="00065E56">
        <w:rPr>
          <w:rFonts w:ascii="Times New Roman" w:hAnsi="Times New Roman" w:cs="Times New Roman"/>
        </w:rPr>
        <w:t xml:space="preserve"> structure, influences both dialogue and student autonomy. Structure can be highly flexible, such as a discussion-based course with a co-constructed syllabus. More rigid structures of course organization allow less student input, and these courses </w:t>
      </w:r>
      <w:r w:rsidRPr="00065E56">
        <w:rPr>
          <w:rFonts w:ascii="Times New Roman" w:hAnsi="Times New Roman" w:cs="Times New Roman"/>
        </w:rPr>
        <w:lastRenderedPageBreak/>
        <w:t xml:space="preserve">are less responsive to student input regarding educational objectives, teaching strategies, or assessment (Moore, 2019). Clinical Anatomy, similar to other medical education didactic coursework, </w:t>
      </w:r>
      <w:r w:rsidR="0019586C">
        <w:rPr>
          <w:rFonts w:ascii="Times New Roman" w:hAnsi="Times New Roman" w:cs="Times New Roman"/>
        </w:rPr>
        <w:t>tend to be</w:t>
      </w:r>
      <w:r w:rsidRPr="00065E56">
        <w:rPr>
          <w:rFonts w:ascii="Times New Roman" w:hAnsi="Times New Roman" w:cs="Times New Roman"/>
        </w:rPr>
        <w:t xml:space="preserve"> more rigid in program structure due to external competencies and standards required to practice the profession. According to Moore, transactional distance is increased in this type of class. </w:t>
      </w:r>
    </w:p>
    <w:p w14:paraId="34CF7E9F" w14:textId="77777777" w:rsidR="000400EC" w:rsidRPr="00065E56" w:rsidRDefault="000400EC" w:rsidP="000400EC">
      <w:pPr>
        <w:spacing w:line="480" w:lineRule="auto"/>
        <w:rPr>
          <w:rFonts w:ascii="Times New Roman" w:hAnsi="Times New Roman" w:cs="Times New Roman"/>
        </w:rPr>
      </w:pPr>
      <w:r w:rsidRPr="00065E56">
        <w:rPr>
          <w:rFonts w:ascii="Times New Roman" w:hAnsi="Times New Roman" w:cs="Times New Roman"/>
        </w:rPr>
        <w:tab/>
        <w:t>Dialogue is a synergistic, constructive interaction between teachers and students. Active listening and mutual contributions are the hallmarks of a highly dialogic classroom (Moore, 2019). Dialogue depends on a number of factors (like class size), but the structure of the course is the primary determinant. Courses designed for students to listen, watch, or read without opportunity for discussion is an example of the course structure dictating the dialogue. Transactional distance increases with decreased dialogue.</w:t>
      </w:r>
    </w:p>
    <w:p w14:paraId="173956AE" w14:textId="613CC030" w:rsidR="000400EC" w:rsidRPr="00065E56" w:rsidRDefault="000400EC" w:rsidP="000400EC">
      <w:pPr>
        <w:spacing w:line="480" w:lineRule="auto"/>
        <w:rPr>
          <w:rFonts w:ascii="Times New Roman" w:hAnsi="Times New Roman" w:cs="Times New Roman"/>
        </w:rPr>
      </w:pPr>
      <w:r w:rsidRPr="00065E56">
        <w:rPr>
          <w:rFonts w:ascii="Times New Roman" w:hAnsi="Times New Roman" w:cs="Times New Roman"/>
        </w:rPr>
        <w:tab/>
        <w:t xml:space="preserve">The key to successful online education is aligning the structure and dialogue of the course with overarching educational objectives </w:t>
      </w:r>
      <w:r w:rsidR="00875529">
        <w:rPr>
          <w:rFonts w:ascii="Times New Roman" w:hAnsi="Times New Roman" w:cs="Times New Roman"/>
        </w:rPr>
        <w:t>that may guide</w:t>
      </w:r>
      <w:r w:rsidRPr="00065E56">
        <w:rPr>
          <w:rFonts w:ascii="Times New Roman" w:hAnsi="Times New Roman" w:cs="Times New Roman"/>
        </w:rPr>
        <w:t xml:space="preserve"> learner autonomy. As transactional distance increases, learner autonomy needs increase as well. A misalignment of structure, dialogue, or autonomy results in a suboptimal experience for students </w:t>
      </w:r>
      <w:r w:rsidRPr="00065E56">
        <w:rPr>
          <w:rFonts w:ascii="Times New Roman" w:hAnsi="Times New Roman" w:cs="Times New Roman"/>
        </w:rPr>
        <w:fldChar w:fldCharType="begin"/>
      </w:r>
      <w:r w:rsidRPr="00065E56">
        <w:rPr>
          <w:rFonts w:ascii="Times New Roman" w:hAnsi="Times New Roman" w:cs="Times New Roman"/>
        </w:rPr>
        <w:instrText xml:space="preserve"> ADDIN ZOTERO_ITEM CSL_CITATION {"citationID":"dLtfbZgG","properties":{"formattedCitation":"(Peters, 1998)","plainCitation":"(Peters, 1998)","noteIndex":0},"citationItems":[{"id":250,"uris":["http://zotero.org/users/local/8fpcHUeo/items/MJYMFNSE"],"uri":["http://zotero.org/users/local/8fpcHUeo/items/MJYMFNSE"],"itemData":{"id":250,"type":"book","event-place":"London","publisher":"Kogan Page Limited","publisher-place":"London","title":"Learning and Teaching in Distance Education: Analyses and. Interpretations from an International Perspective.","author":[{"family":"Peters","given":"O."}],"issued":{"date-parts":[["1998"]]}}}],"schema":"https://github.com/citation-style-language/schema/raw/master/csl-citation.json"} </w:instrText>
      </w:r>
      <w:r w:rsidRPr="00065E56">
        <w:rPr>
          <w:rFonts w:ascii="Times New Roman" w:hAnsi="Times New Roman" w:cs="Times New Roman"/>
        </w:rPr>
        <w:fldChar w:fldCharType="separate"/>
      </w:r>
      <w:r w:rsidRPr="00065E56">
        <w:rPr>
          <w:rFonts w:ascii="Times New Roman" w:hAnsi="Times New Roman" w:cs="Times New Roman"/>
          <w:noProof/>
        </w:rPr>
        <w:t>(Peters, 1998)</w:t>
      </w:r>
      <w:r w:rsidRPr="00065E56">
        <w:rPr>
          <w:rFonts w:ascii="Times New Roman" w:hAnsi="Times New Roman" w:cs="Times New Roman"/>
        </w:rPr>
        <w:fldChar w:fldCharType="end"/>
      </w:r>
      <w:r w:rsidRPr="00065E56">
        <w:rPr>
          <w:rFonts w:ascii="Times New Roman" w:hAnsi="Times New Roman" w:cs="Times New Roman"/>
        </w:rPr>
        <w:t xml:space="preserve">. </w:t>
      </w:r>
    </w:p>
    <w:p w14:paraId="59532367" w14:textId="375BCAB3" w:rsidR="00001861" w:rsidRPr="00001861" w:rsidRDefault="00001861" w:rsidP="000400EC">
      <w:pPr>
        <w:spacing w:line="480" w:lineRule="auto"/>
        <w:rPr>
          <w:rFonts w:ascii="Times New Roman" w:hAnsi="Times New Roman" w:cs="Times New Roman"/>
          <w:b/>
          <w:bCs/>
        </w:rPr>
      </w:pPr>
      <w:r>
        <w:tab/>
      </w:r>
      <w:r w:rsidRPr="00001861">
        <w:rPr>
          <w:rFonts w:ascii="Times New Roman" w:hAnsi="Times New Roman" w:cs="Times New Roman"/>
        </w:rPr>
        <w:t xml:space="preserve">Moore refers to three interactions affecting dialogue and structure: learner-content, learner-instructor, and learner-learner </w:t>
      </w:r>
      <w:r w:rsidRPr="00001861">
        <w:rPr>
          <w:rFonts w:ascii="Times New Roman" w:hAnsi="Times New Roman" w:cs="Times New Roman"/>
        </w:rPr>
        <w:fldChar w:fldCharType="begin"/>
      </w:r>
      <w:r w:rsidRPr="00001861">
        <w:rPr>
          <w:rFonts w:ascii="Times New Roman" w:hAnsi="Times New Roman" w:cs="Times New Roman"/>
        </w:rPr>
        <w:instrText xml:space="preserve"> ADDIN ZOTERO_ITEM CSL_CITATION {"citationID":"1amzX15m","properties":{"formattedCitation":"(M. G. Moore, 1989)","plainCitation":"(M. G. Moore, 1989)","dontUpdate":true,"noteIndex":0},"citationItems":[{"id":251,"uris":["http://zotero.org/users/local/8fpcHUeo/items/574V6LGW"],"uri":["http://zotero.org/users/local/8fpcHUeo/items/574V6LGW"],"itemData":{"id":251,"type":"article-journal","container-title":"American Journal of Distance Education","DOI":"10.1080/08923648909526659","ISSN":"0892-3647, 1538-9286","issue":"2","journalAbbreviation":"American Journal of Distance Education","language":"en","page":"1-7","source":"DOI.org (Crossref)","title":"Editorial: Three types of interaction","title-short":"Editorial","volume":"3","author":[{"family":"Moore","given":"Michael G."}],"issued":{"date-parts":[["1989",1]]}}}],"schema":"https://github.com/citation-style-language/schema/raw/master/csl-citation.json"} </w:instrText>
      </w:r>
      <w:r w:rsidRPr="00001861">
        <w:rPr>
          <w:rFonts w:ascii="Times New Roman" w:hAnsi="Times New Roman" w:cs="Times New Roman"/>
        </w:rPr>
        <w:fldChar w:fldCharType="separate"/>
      </w:r>
      <w:r w:rsidRPr="00001861">
        <w:rPr>
          <w:rFonts w:ascii="Times New Roman" w:hAnsi="Times New Roman" w:cs="Times New Roman"/>
          <w:noProof/>
        </w:rPr>
        <w:t>(Moore, 1989)</w:t>
      </w:r>
      <w:r w:rsidRPr="00001861">
        <w:rPr>
          <w:rFonts w:ascii="Times New Roman" w:hAnsi="Times New Roman" w:cs="Times New Roman"/>
        </w:rPr>
        <w:fldChar w:fldCharType="end"/>
      </w:r>
      <w:r w:rsidRPr="00001861">
        <w:rPr>
          <w:rFonts w:ascii="Times New Roman" w:hAnsi="Times New Roman" w:cs="Times New Roman"/>
        </w:rPr>
        <w:t>. Educators create presentations, activities, and assessments to facilitate interactions between the learner and the content. Moore especially invites scrutiny of this interaction in distance education at the point where students are trying to apply information for the first time, stating they are particularly vulnerable to misapplication or misconception without proper scaffolding (2019). Simonson affirms the significance of learners</w:t>
      </w:r>
      <w:r>
        <w:rPr>
          <w:rFonts w:ascii="Times New Roman" w:hAnsi="Times New Roman" w:cs="Times New Roman"/>
          <w:b/>
          <w:bCs/>
        </w:rPr>
        <w:t xml:space="preserve"> </w:t>
      </w:r>
      <w:r w:rsidRPr="00001861">
        <w:rPr>
          <w:rFonts w:ascii="Times New Roman" w:hAnsi="Times New Roman" w:cs="Times New Roman"/>
        </w:rPr>
        <w:t xml:space="preserve">not merely receiving the material but interacting with it for improved retention </w:t>
      </w:r>
      <w:r w:rsidRPr="00001861">
        <w:rPr>
          <w:rFonts w:ascii="Times New Roman" w:hAnsi="Times New Roman" w:cs="Times New Roman"/>
        </w:rPr>
        <w:fldChar w:fldCharType="begin"/>
      </w:r>
      <w:r w:rsidRPr="00001861">
        <w:rPr>
          <w:rFonts w:ascii="Times New Roman" w:hAnsi="Times New Roman" w:cs="Times New Roman"/>
        </w:rPr>
        <w:instrText xml:space="preserve"> ADDIN ZOTERO_ITEM CSL_CITATION {"citationID":"X0UVaWWP","properties":{"formattedCitation":"(Simonson, 2019)","plainCitation":"(Simonson, 2019)","dontUpdate":true,"noteIndex":0},"citationItems":[{"id":266,"uris":["http://zotero.org/users/local/8fpcHUeo/items/GHHUDYHF"],"uri":["http://zotero.org/users/local/8fpcHUeo/items/GHHUDYHF"],"itemData":{"id":266,"type":"article-journal","issue":"2","language":"en","page":"16","source":"Zotero","title":"RESEARCH IN DISTANCE EDUCATION","volume":"20","author":[{"family":"Simonson","given":"Michael"}],"issued":{"date-parts":[["2019"]]}}}],"schema":"https://github.com/citation-style-language/schema/raw/master/csl-citation.json"} </w:instrText>
      </w:r>
      <w:r w:rsidRPr="00001861">
        <w:rPr>
          <w:rFonts w:ascii="Times New Roman" w:hAnsi="Times New Roman" w:cs="Times New Roman"/>
        </w:rPr>
        <w:fldChar w:fldCharType="separate"/>
      </w:r>
      <w:r w:rsidRPr="00001861">
        <w:rPr>
          <w:rFonts w:ascii="Times New Roman" w:hAnsi="Times New Roman" w:cs="Times New Roman"/>
          <w:noProof/>
        </w:rPr>
        <w:t>(2019)</w:t>
      </w:r>
      <w:r w:rsidRPr="00001861">
        <w:rPr>
          <w:rFonts w:ascii="Times New Roman" w:hAnsi="Times New Roman" w:cs="Times New Roman"/>
        </w:rPr>
        <w:fldChar w:fldCharType="end"/>
      </w:r>
      <w:r w:rsidRPr="00001861">
        <w:rPr>
          <w:rFonts w:ascii="Times New Roman" w:hAnsi="Times New Roman" w:cs="Times New Roman"/>
        </w:rPr>
        <w:t>. Learner</w:t>
      </w:r>
      <w:r>
        <w:rPr>
          <w:rFonts w:ascii="Times New Roman" w:hAnsi="Times New Roman" w:cs="Times New Roman"/>
        </w:rPr>
        <w:t xml:space="preserve"> </w:t>
      </w:r>
      <w:r w:rsidRPr="00001861">
        <w:rPr>
          <w:rFonts w:ascii="Times New Roman" w:hAnsi="Times New Roman" w:cs="Times New Roman"/>
        </w:rPr>
        <w:lastRenderedPageBreak/>
        <w:t>instructor interactions should serve to provide opportunities for students to engage with instructors, sometimes about content or student autonomy support, but also by modeling</w:t>
      </w:r>
    </w:p>
    <w:p w14:paraId="2CED96EF" w14:textId="77777777" w:rsidR="00001861" w:rsidRPr="00001861" w:rsidRDefault="00001861" w:rsidP="00001861">
      <w:pPr>
        <w:pStyle w:val="NormalWeb"/>
        <w:spacing w:line="480" w:lineRule="auto"/>
      </w:pPr>
      <w:r w:rsidRPr="00001861">
        <w:t xml:space="preserve">appropriate behaviors. Learner-learner interactions are more age dependent; however, regardless of age, a community of inquiry suited to the needs of students promotes engagement and motivation </w:t>
      </w:r>
      <w:r w:rsidRPr="00001861">
        <w:fldChar w:fldCharType="begin"/>
      </w:r>
      <w:r w:rsidRPr="00001861">
        <w:instrText xml:space="preserve"> ADDIN ZOTERO_ITEM CSL_CITATION {"citationID":"uXEJHRyV","properties":{"formattedCitation":"(Fiock, 2020; Reyna, 2020)","plainCitation":"(Fiock, 2020; Reyna, 2020)","noteIndex":0},"citationItems":[{"id":255,"uris":["http://zotero.org/users/local/8fpcHUeo/items/T2F22LRX"],"uri":["http://zotero.org/users/local/8fpcHUeo/items/T2F22LRX"],"itemData":{"id":255,"type":"article-journal","abstract":"This article describes a practical approach for implementing instructional strategies in order to build a Community of Inquiry (CoI) into an online course. Online community building has positive effects on the quality of student learning, increases student engagement, and encourages motivation of students in online courses. The CoI is a theoretical framework focusing on facilitating meaningful learning experiences through three presences: cognitive presence, social presence, and teaching presence. This article will introduce the CoI framework by way of literature review focusing on CoI instructional strategies. Using Sorensen and Baylen’s (2009) seven principles of good practice, the author will structure CoI instructional activities into presence categories for practitioner use.","container-title":"The International Review of Research in Open and Distributed Learning","DOI":"10.19173/irrodl.v20i5.3985","ISSN":"1492-3831","issue":"1","journalAbbreviation":"IRRODL","language":"en","page":"134-152","source":"DOI.org (Crossref)","title":"Designing a Community of Inquiry in Online Courses","volume":"21","author":[{"family":"Fiock","given":"Holly"}],"issued":{"date-parts":[["2020",1,1]]}}},{"id":178,"uris":["http://zotero.org/users/local/8fpcHUeo/items/A9MVELBJ"],"uri":["http://zotero.org/users/local/8fpcHUeo/items/A9MVELBJ"],"itemData":{"id":178,"type":"article-journal","abstract":"The COVID-19 pandemic has caused educational institutions around the world to close their doors and move their teaching and learning into the online space. For many medical educators, who usually rely on face-to-face and blended instruction, this presents a challenge. By rethinking learning design, medical educators can ensure a smooth transition of their subjects into the online space. However, because of the immersive nature of medical education, not all teaching and learning activities can be delivered online. This paper outlines twelve tips using evidence-based educational practices and a student-centred approach. The twelve tips presented and discussed in this paper can help medical educators to transition to online learning and maintain the integrity of their subjects. They can also promote student self-regulation, help develop graduate attributes, and generally enhance learning experiences during pandemic social distancing. Finally, these tips can be used to rethink medical education in the post-pandemic era.","container-title":"MedEdPublish","DOI":"10.15694/mep.2020.000103.1","ISSN":"23127996","issue":"1","journalAbbreviation":"MedEdPublish","language":"en","source":"DOI.org (Crossref)","title":"Twelve Tips for COVID-19 friendly learning design in medical education","URL":"https://www.mededpublish.org/manuscripts/3077","volume":"9","author":[{"family":"Reyna","given":"Jorge"}],"accessed":{"date-parts":[["2020",9,14]]},"issued":{"date-parts":[["2020"]]}}}],"schema":"https://github.com/citation-style-language/schema/raw/master/csl-citation.json"} </w:instrText>
      </w:r>
      <w:r w:rsidRPr="00001861">
        <w:fldChar w:fldCharType="separate"/>
      </w:r>
      <w:r w:rsidRPr="00001861">
        <w:rPr>
          <w:noProof/>
        </w:rPr>
        <w:t>(Fiock, 2020; Reyna, 2020)</w:t>
      </w:r>
      <w:r w:rsidRPr="00001861">
        <w:fldChar w:fldCharType="end"/>
      </w:r>
      <w:r w:rsidRPr="00001861">
        <w:t xml:space="preserve">. </w:t>
      </w:r>
    </w:p>
    <w:p w14:paraId="0DBF1E8A" w14:textId="4A926CFE" w:rsidR="000400EC" w:rsidRPr="00065E56" w:rsidRDefault="000400EC" w:rsidP="000400EC">
      <w:pPr>
        <w:spacing w:line="480" w:lineRule="auto"/>
        <w:rPr>
          <w:rFonts w:ascii="Times New Roman" w:hAnsi="Times New Roman" w:cs="Times New Roman"/>
          <w:b/>
          <w:bCs/>
          <w:i/>
          <w:iCs/>
        </w:rPr>
      </w:pPr>
      <w:r w:rsidRPr="00065E56">
        <w:rPr>
          <w:rFonts w:ascii="Times New Roman" w:hAnsi="Times New Roman" w:cs="Times New Roman"/>
          <w:b/>
          <w:bCs/>
        </w:rPr>
        <w:t>Figure 1</w:t>
      </w:r>
      <w:r w:rsidRPr="00065E56">
        <w:rPr>
          <w:rFonts w:ascii="Times New Roman" w:hAnsi="Times New Roman" w:cs="Times New Roman"/>
          <w:b/>
          <w:bCs/>
          <w:i/>
          <w:iCs/>
        </w:rPr>
        <w:t>.</w:t>
      </w:r>
    </w:p>
    <w:p w14:paraId="780358FD" w14:textId="77777777" w:rsidR="000400EC" w:rsidRPr="00065E56" w:rsidRDefault="000400EC" w:rsidP="000400EC">
      <w:pPr>
        <w:spacing w:line="480" w:lineRule="auto"/>
        <w:rPr>
          <w:rFonts w:ascii="Times New Roman" w:hAnsi="Times New Roman" w:cs="Times New Roman"/>
          <w:i/>
          <w:iCs/>
        </w:rPr>
      </w:pPr>
      <w:r w:rsidRPr="00065E56">
        <w:rPr>
          <w:rFonts w:ascii="Times New Roman" w:hAnsi="Times New Roman" w:cs="Times New Roman"/>
          <w:i/>
          <w:iCs/>
        </w:rPr>
        <w:t>Model of Theory of Transactional Distance</w:t>
      </w:r>
    </w:p>
    <w:p w14:paraId="3379DF57" w14:textId="77777777" w:rsidR="000400EC" w:rsidRPr="00065E56" w:rsidRDefault="000400EC" w:rsidP="000400EC">
      <w:pPr>
        <w:spacing w:line="480" w:lineRule="auto"/>
        <w:rPr>
          <w:rFonts w:ascii="Times New Roman" w:hAnsi="Times New Roman" w:cs="Times New Roman"/>
        </w:rPr>
      </w:pPr>
      <w:r w:rsidRPr="00065E56">
        <w:rPr>
          <w:rFonts w:ascii="Times New Roman" w:hAnsi="Times New Roman" w:cs="Times New Roman"/>
          <w:noProof/>
        </w:rPr>
        <w:drawing>
          <wp:inline distT="0" distB="0" distL="0" distR="0" wp14:anchorId="6ABACE3F" wp14:editId="1B87284C">
            <wp:extent cx="4895081" cy="2564090"/>
            <wp:effectExtent l="0" t="0" r="0" b="1905"/>
            <wp:docPr id="1" name="Picture 1" descr="A close up of a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 up of a device&#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5051947" cy="2646258"/>
                    </a:xfrm>
                    <a:prstGeom prst="rect">
                      <a:avLst/>
                    </a:prstGeom>
                  </pic:spPr>
                </pic:pic>
              </a:graphicData>
            </a:graphic>
          </wp:inline>
        </w:drawing>
      </w:r>
    </w:p>
    <w:p w14:paraId="6579E924" w14:textId="469DC078" w:rsidR="000400EC" w:rsidRPr="00065E56" w:rsidRDefault="000400EC" w:rsidP="000400EC">
      <w:pPr>
        <w:pStyle w:val="NormalWeb"/>
        <w:spacing w:line="480" w:lineRule="auto"/>
      </w:pPr>
      <w:r w:rsidRPr="00065E56">
        <w:tab/>
        <w:t xml:space="preserve"> </w:t>
      </w:r>
    </w:p>
    <w:p w14:paraId="2CA18A72" w14:textId="4B4FFC0B" w:rsidR="000400EC" w:rsidRPr="00065E56" w:rsidRDefault="005D6960" w:rsidP="005D6960">
      <w:pPr>
        <w:pStyle w:val="NormalWeb"/>
        <w:spacing w:line="480" w:lineRule="auto"/>
      </w:pPr>
      <w:r>
        <w:rPr>
          <w:b/>
          <w:bCs/>
        </w:rPr>
        <w:tab/>
      </w:r>
      <w:r w:rsidR="000400EC" w:rsidRPr="00065E56">
        <w:rPr>
          <w:b/>
          <w:bCs/>
        </w:rPr>
        <w:t>Rationale for online learning in anatomy education.</w:t>
      </w:r>
      <w:r>
        <w:t xml:space="preserve"> </w:t>
      </w:r>
      <w:r w:rsidR="000400EC" w:rsidRPr="00065E56">
        <w:t xml:space="preserve">A clinician must be able to obtain, integrate, and interpret multiple sources of information to diagnose a patient: patient history, physical exam, lab work, imaging, patient files, additional health care team members, etc. Students in the health professions practice these skills under supervision during the clinical phase of their program. Utilizing a problem-based or clinical model during the didactic phase of education improved health education by providing authentic learning experiences for newer </w:t>
      </w:r>
      <w:r w:rsidR="000400EC" w:rsidRPr="00065E56">
        <w:lastRenderedPageBreak/>
        <w:t xml:space="preserve">students </w:t>
      </w:r>
      <w:r w:rsidR="000400EC" w:rsidRPr="00065E56">
        <w:fldChar w:fldCharType="begin"/>
      </w:r>
      <w:r w:rsidR="000400EC" w:rsidRPr="00065E56">
        <w:instrText xml:space="preserve"> ADDIN ZOTERO_ITEM CSL_CITATION {"citationID":"kshXFAFm","properties":{"formattedCitation":"(Pawlina &amp; Drake, 2016)","plainCitation":"(Pawlina &amp; Drake, 2016)","noteIndex":0},"citationItems":[{"id":228,"uris":["http://zotero.org/users/local/8fpcHUeo/items/4CI4QWBX"],"uri":["http://zotero.org/users/local/8fpcHUeo/items/4CI4QWBX"],"itemData":{"id":228,"type":"article-journal","container-title":"Anatomical Sciences Education","DOI":"10.1002/ase.1592","ISSN":"19359772","issue":"1","journalAbbreviation":"American Association of Anatomists","language":"en","page":"5-7","source":"DOI.org (Crossref)","title":"Authentic learning in anatomy: A primer on pragmatism: Authentic Learning in Anatomy","title-short":"Authentic learning in anatomy","volume":"9","author":[{"family":"Pawlina","given":"Wojciech"},{"family":"Drake","given":"Richard L."}],"issued":{"date-parts":[["2016",1]]}}}],"schema":"https://github.com/citation-style-language/schema/raw/master/csl-citation.json"} </w:instrText>
      </w:r>
      <w:r w:rsidR="000400EC" w:rsidRPr="00065E56">
        <w:fldChar w:fldCharType="separate"/>
      </w:r>
      <w:r w:rsidR="000400EC" w:rsidRPr="00065E56">
        <w:rPr>
          <w:noProof/>
        </w:rPr>
        <w:t>(Pawlina &amp; Drake, 2016)</w:t>
      </w:r>
      <w:r w:rsidR="000400EC" w:rsidRPr="00065E56">
        <w:fldChar w:fldCharType="end"/>
      </w:r>
      <w:r w:rsidR="000400EC" w:rsidRPr="00065E56">
        <w:t xml:space="preserve"> and early exposure to clinical reasoning and skills </w:t>
      </w:r>
      <w:r w:rsidR="000400EC" w:rsidRPr="00065E56">
        <w:fldChar w:fldCharType="begin"/>
      </w:r>
      <w:r w:rsidR="000400EC" w:rsidRPr="00065E56">
        <w:instrText xml:space="preserve"> ADDIN ZOTERO_ITEM CSL_CITATION {"citationID":"L3tkz5p6","properties":{"formattedCitation":"(Cooke et al., 2010)","plainCitation":"(Cooke et al., 2010)","noteIndex":0},"citationItems":[{"id":270,"uris":["http://zotero.org/users/local/8fpcHUeo/items/FY9K5II3"],"uri":["http://zotero.org/users/local/8fpcHUeo/items/FY9K5II3"],"itemData":{"id":270,"type":"book","abstract":"\"Emerging from a study of physician education by the Carnegie Foundation for the Advancement of Teaching, Educating Physicians calls for a major overhaul of the present approach to preparing doctors for their careers. The text addresses key issues for the future of the field and takes a comprehensive look at the most pressing concerns in physician education today. Like the Carnegie Foundation's revolutionizing Flexner Report of 1910, Educating Physicians is destined to change the way administrators and faculty in medical schools and programs prepare their physicians for the future\"--Provided by publisher","call-number":"R745 .C936 2010","collection-title":"The preparation for the professions series","edition":"1st ed","event-place":"San Francisco, CA","ISBN":"978-0-470-45797-9","language":"en","note":"OCLC: ocn475440701","number-of-pages":"304","publisher":"Jossey-Bass","publisher-place":"San Francisco, CA","source":"Library of Congress ISBN","title":"Educating physicians: a call for reform of medical school and residency","title-short":"Educating physicians","author":[{"family":"Cooke","given":"Molly"},{"family":"Irby","given":"David M."},{"family":"O'Brien","given":"Bridget C."}],"issued":{"date-parts":[["2010"]]}}}],"schema":"https://github.com/citation-style-language/schema/raw/master/csl-citation.json"} </w:instrText>
      </w:r>
      <w:r w:rsidR="000400EC" w:rsidRPr="00065E56">
        <w:fldChar w:fldCharType="separate"/>
      </w:r>
      <w:r w:rsidR="000400EC" w:rsidRPr="00065E56">
        <w:rPr>
          <w:noProof/>
        </w:rPr>
        <w:t>(Cooke et al., 2010)</w:t>
      </w:r>
      <w:r w:rsidR="000400EC" w:rsidRPr="00065E56">
        <w:fldChar w:fldCharType="end"/>
      </w:r>
      <w:r w:rsidR="000400EC" w:rsidRPr="00065E56">
        <w:t xml:space="preserve">. </w:t>
      </w:r>
    </w:p>
    <w:p w14:paraId="4C491320" w14:textId="77777777" w:rsidR="000400EC" w:rsidRPr="00065E56" w:rsidRDefault="000400EC" w:rsidP="000400EC">
      <w:pPr>
        <w:pStyle w:val="NormalWeb"/>
        <w:spacing w:line="480" w:lineRule="auto"/>
      </w:pPr>
      <w:r w:rsidRPr="00065E56">
        <w:tab/>
        <w:t xml:space="preserve">In applying the problem-based or clinical model to anatomy education, educators were implementing a more constructivist philosophy toward education. Constructivism is the view that knowledge is created through human interpretation of experiences. Reality is therefore subjective </w:t>
      </w:r>
      <w:r w:rsidRPr="00065E56">
        <w:fldChar w:fldCharType="begin"/>
      </w:r>
      <w:r w:rsidRPr="00065E56">
        <w:instrText xml:space="preserve"> ADDIN ZOTERO_ITEM CSL_CITATION {"citationID":"BomuGghp","properties":{"formattedCitation":"(Crotty, n.d.)","plainCitation":"(Crotty, n.d.)","dontUpdate":true,"noteIndex":0},"citationItems":[{"id":115,"uris":["http://zotero.org/users/local/8fpcHUeo/items/YVKJ9C5X"],"uri":["http://zotero.org/users/local/8fpcHUeo/items/YVKJ9C5X"],"itemData":{"id":115,"type":"webpage","title":"Foundations of Social Research","author":[{"family":"Crotty","given":"Michael C."}]}}],"schema":"https://github.com/citation-style-language/schema/raw/master/csl-citation.json"} </w:instrText>
      </w:r>
      <w:r w:rsidRPr="00065E56">
        <w:fldChar w:fldCharType="separate"/>
      </w:r>
      <w:r w:rsidRPr="00065E56">
        <w:rPr>
          <w:noProof/>
        </w:rPr>
        <w:t>(Crotty, 2015)</w:t>
      </w:r>
      <w:r w:rsidRPr="00065E56">
        <w:fldChar w:fldCharType="end"/>
      </w:r>
      <w:r w:rsidRPr="00065E56">
        <w:t xml:space="preserve">. Incorporating problem-based learning represents an </w:t>
      </w:r>
      <w:proofErr w:type="spellStart"/>
      <w:r w:rsidRPr="00065E56">
        <w:t>epistemologic</w:t>
      </w:r>
      <w:proofErr w:type="spellEnd"/>
      <w:r w:rsidRPr="00065E56">
        <w:t xml:space="preserve"> paradigm shift. Basic science research is firmly rooted in objectivism; additionally, western medicine is predicated on evidence-based practices. Objectivists maintain that an external reality exists, and only information obtained from carefully controlled observation (preferably experimentation) is valid </w:t>
      </w:r>
      <w:r w:rsidRPr="00065E56">
        <w:fldChar w:fldCharType="begin"/>
      </w:r>
      <w:r w:rsidRPr="00065E56">
        <w:instrText xml:space="preserve"> ADDIN ZOTERO_ITEM CSL_CITATION {"citationID":"VNREgLNx","properties":{"formattedCitation":"(Hiller, n.d.)","plainCitation":"(Hiller, n.d.)","dontUpdate":true,"noteIndex":0},"citationItems":[{"id":277,"uris":["http://zotero.org/users/local/8fpcHUeo/items/LA9BE7W4"],"uri":["http://zotero.org/users/local/8fpcHUeo/items/LA9BE7W4"],"itemData":{"id":277,"type":"article-journal","language":"en","page":"29","source":"Zotero","title":"Epistemological Foundations of Objectivist and Interpretivist Research","author":[{"family":"Hiller","given":"James"}]}}],"schema":"https://github.com/citation-style-language/schema/raw/master/csl-citation.json"} </w:instrText>
      </w:r>
      <w:r w:rsidRPr="00065E56">
        <w:fldChar w:fldCharType="separate"/>
      </w:r>
      <w:r w:rsidRPr="00065E56">
        <w:rPr>
          <w:noProof/>
        </w:rPr>
        <w:t>(Hiller, 2016)</w:t>
      </w:r>
      <w:r w:rsidRPr="00065E56">
        <w:fldChar w:fldCharType="end"/>
      </w:r>
      <w:r w:rsidRPr="00065E56">
        <w:t xml:space="preserve">. With the adoption of problem-based learning pedagogy, anatomy educators had to shift their focus from what educators teach to what students learn </w:t>
      </w:r>
      <w:r w:rsidRPr="00065E56">
        <w:fldChar w:fldCharType="begin"/>
      </w:r>
      <w:r w:rsidRPr="00065E56">
        <w:instrText xml:space="preserve"> ADDIN ZOTERO_ITEM CSL_CITATION {"citationID":"nPcuekd5","properties":{"formattedCitation":"(Drake, 2014; McBride &amp; Drake, 2018)","plainCitation":"(Drake, 2014; McBride &amp; Drake, 2018)","noteIndex":0},"citationItems":[{"id":35,"uris":["http://zotero.org/users/local/8fpcHUeo/items/6YATCXX3"],"uri":["http://zotero.org/users/local/8fpcHUeo/items/6YATCXX3"],"itemData":{"id":35,"type":"article-journal","abstract":"During the last decade of the 20th century and the ﬁrst decade of the 21st century, curricular reform has been a popular theme. In fact, reform on the current scale has not occurred since the early 1900s, when Abraham Flexner released his landmark report ‘Medical Education in the United States and Canada’. His report, suggesting major changes in how physicians were educated, became the norm and few changes occurred until the last quarter of the 20th century. During this period increased demands on medical school curriculums due to the explosion of knowledge in biomedical sciences and the pressure to add additional clinical experiences increased the momentum for curriculum reform. In 1984 an Association of American Medical Colleges (AAMC) report, ‘Physicians for the Twenty-First Century: The Report of the Panel on the General Professional Education of the Physician (GPEP) and College Preparation for Medicine’, discussed many items related to reforming medical education including the value of integration, increased use of active learning formats, more selfdirected learning, improved communication skills and increased problem-solving activities. This was followed by a report released in 1993 entitled ‘Educating Medical Students: Assessing Change in Medical Education – The Road to Implementation’ (ACME-TRI), which identiﬁed educational problems by surveying medical school deans, suggested ways to deal with these issues and presented a plan of action. Recently, the Carnegie Foundation for the Advancement of Teaching released ‘Education Physicians: A Call for Reform of Medical School and Residency’ with additional suggestions. At this point the question that might be asked is – Where is all this going and how is it going to affect anatomy education? Key words: anatomical sciences education; curriculum reform; history of American medical education; medical education.","container-title":"Journal of Anatomy","DOI":"10.1111/joa.12054","ISSN":"00218782","issue":"3","language":"en","page":"256-260","source":"Crossref","title":"A retrospective and prospective look at medical education in the United States: trends shaping anatomical sciences education","title-short":"A retrospective and prospective look at medical education in the United States","volume":"224","author":[{"family":"Drake","given":"Richard L."}],"issued":{"date-parts":[["2014",3]]}}},{"id":528,"uris":["http://zotero.org/users/local/8fpcHUeo/items/ZDM6VDSV"],"uri":["http://zotero.org/users/local/8fpcHUeo/items/ZDM6VDSV"],"itemData":{"id":528,"type":"article-journal","container-title":"Anatomical Sciences Education","DOI":"10.1002/ase.1760","ISSN":"19359772","issue":"1","journalAbbreviation":"American Association of Anatomists","language":"en","page":"7-14","source":"DOI.org (Crossref)","title":"National survey on anatomical sciences in medical education: Anatomical Sciences in Medical Education","title-short":"National survey on anatomical sciences in medical education","volume":"11","author":[{"family":"McBride","given":"Jennifer M."},{"family":"Drake","given":"Richard L."}],"issued":{"date-parts":[["2018",1]]}}}],"schema":"https://github.com/citation-style-language/schema/raw/master/csl-citation.json"} </w:instrText>
      </w:r>
      <w:r w:rsidRPr="00065E56">
        <w:fldChar w:fldCharType="separate"/>
      </w:r>
      <w:r w:rsidRPr="00065E56">
        <w:rPr>
          <w:noProof/>
        </w:rPr>
        <w:t>(Drake, 2014; McBride &amp; Drake, 2018)</w:t>
      </w:r>
      <w:r w:rsidRPr="00065E56">
        <w:fldChar w:fldCharType="end"/>
      </w:r>
      <w:r w:rsidRPr="00065E56">
        <w:t>. The adoption of learner-centered philosophies and methods within medical education is referred to as active learning.</w:t>
      </w:r>
    </w:p>
    <w:p w14:paraId="2A6F990E" w14:textId="77777777" w:rsidR="000400EC" w:rsidRPr="00065E56" w:rsidRDefault="000400EC" w:rsidP="000400EC">
      <w:pPr>
        <w:pStyle w:val="NormalWeb"/>
        <w:spacing w:line="480" w:lineRule="auto"/>
      </w:pPr>
      <w:r w:rsidRPr="00065E56">
        <w:tab/>
        <w:t xml:space="preserve">The exponential increase in medical knowledge forces administrators and educators to continually evaluate the curriculum for relevance. The combination of increased knowledge with the movement to incorporate as much clinical reasoning and skills as possible resulted in a reduction of hours devoted to anatomy. Between 2002 and 2018, national gross anatomy contact hours dropped from averages of 196 to 127 hours </w:t>
      </w:r>
      <w:r w:rsidRPr="00065E56">
        <w:fldChar w:fldCharType="begin"/>
      </w:r>
      <w:r w:rsidRPr="00065E56">
        <w:instrText xml:space="preserve"> ADDIN ZOTERO_ITEM CSL_CITATION {"citationID":"gOzjRUO2","properties":{"formattedCitation":"(Drake et al., 2009; McBride &amp; Drake, 2018)","plainCitation":"(Drake et al., 2009; McBride &amp; Drake, 2018)","noteIndex":0},"citationItems":[{"id":268,"uris":["http://zotero.org/users/local/8fpcHUeo/items/HPNC6XTM"],"uri":["http://zotero.org/users/local/8fpcHUeo/items/HPNC6XTM"],"itemData":{"id":268,"type":"article-journal","container-title":"Anatomical Sciences Education","DOI":"10.1002/ase.117","ISSN":"19359772, 19359780","issue":"6","journalAbbreviation":"Anat Sci Ed","language":"en","page":"253-259","source":"DOI.org (Crossref)","title":"Medical education in the anatomical sciences: The winds of change continue to blow","title-short":"Medical education in the anatomical sciences","volume":"2","author":[{"family":"Drake","given":"Richard L."},{"family":"McBride","given":"Jennifer M."},{"family":"Lachman","given":"Nirusha"},{"family":"Pawlina","given":"Wojciech"}],"issued":{"date-parts":[["2009",11]]}}},{"id":528,"uris":["http://zotero.org/users/local/8fpcHUeo/items/ZDM6VDSV"],"uri":["http://zotero.org/users/local/8fpcHUeo/items/ZDM6VDSV"],"itemData":{"id":528,"type":"article-journal","container-title":"Anatomical Sciences Education","DOI":"10.1002/ase.1760","ISSN":"19359772","issue":"1","journalAbbreviation":"American Association of Anatomists","language":"en","page":"7-14","source":"DOI.org (Crossref)","title":"National survey on anatomical sciences in medical education: Anatomical Sciences in Medical Education","title-short":"National survey on anatomical sciences in medical education","volume":"11","author":[{"family":"McBride","given":"Jennifer M."},{"family":"Drake","given":"Richard L."}],"issued":{"date-parts":[["2018",1]]}}}],"schema":"https://github.com/citation-style-language/schema/raw/master/csl-citation.json"} </w:instrText>
      </w:r>
      <w:r w:rsidRPr="00065E56">
        <w:fldChar w:fldCharType="separate"/>
      </w:r>
      <w:r w:rsidRPr="00065E56">
        <w:rPr>
          <w:noProof/>
        </w:rPr>
        <w:t>(Drake et al., 2009; McBride &amp; Drake, 2018)</w:t>
      </w:r>
      <w:r w:rsidRPr="00065E56">
        <w:fldChar w:fldCharType="end"/>
      </w:r>
      <w:r w:rsidRPr="00065E56">
        <w:t xml:space="preserve">. The decline in anatomy contact hours demonstrates an inverse relationship to the estimated doubling time of medical knowledge: </w:t>
      </w:r>
    </w:p>
    <w:p w14:paraId="164F6D2E" w14:textId="77777777" w:rsidR="000400EC" w:rsidRPr="00065E56" w:rsidRDefault="000400EC" w:rsidP="000400EC">
      <w:pPr>
        <w:pStyle w:val="NormalWeb"/>
        <w:spacing w:line="480" w:lineRule="auto"/>
      </w:pPr>
      <w:r w:rsidRPr="00065E56">
        <w:lastRenderedPageBreak/>
        <w:tab/>
        <w:t xml:space="preserve">It is estimated that the doubling time of medical knowledge in 1950 was 50 years; </w:t>
      </w:r>
      <w:r w:rsidRPr="00065E56">
        <w:tab/>
      </w:r>
      <w:r w:rsidRPr="00065E56">
        <w:tab/>
        <w:t>in 1980, 7 years; and in 2010, 3.5 years. In 2020 it is projected to be 0.2 years—</w:t>
      </w:r>
      <w:r w:rsidRPr="00065E56">
        <w:tab/>
      </w:r>
      <w:r w:rsidRPr="00065E56">
        <w:tab/>
      </w:r>
      <w:r w:rsidRPr="00065E56">
        <w:tab/>
        <w:t>just 73 days. (Densen, 2011)</w:t>
      </w:r>
    </w:p>
    <w:p w14:paraId="001C2EF1" w14:textId="77777777" w:rsidR="000400EC" w:rsidRPr="00065E56" w:rsidRDefault="000400EC" w:rsidP="000400EC">
      <w:pPr>
        <w:pStyle w:val="NormalWeb"/>
        <w:spacing w:line="480" w:lineRule="auto"/>
      </w:pPr>
      <w:r w:rsidRPr="00065E56">
        <w:tab/>
        <w:t xml:space="preserve">Acknowledging this doubling of knowledge also prompted the incorporation of explicit self-directed learning (SDL)/self-regulated learning (SRL) curriculum. SDL and SRL are similar in that they are both skill sets that help students define planning, execution, and monitoring/reflection of goals </w:t>
      </w:r>
      <w:r w:rsidRPr="00065E56">
        <w:fldChar w:fldCharType="begin"/>
      </w:r>
      <w:r w:rsidRPr="00065E56">
        <w:instrText xml:space="preserve"> ADDIN ZOTERO_ITEM CSL_CITATION {"citationID":"brIwkjwQ","properties":{"formattedCitation":"(Saks &amp; Leijen, 2014)","plainCitation":"(Saks &amp; Leijen, 2014)","noteIndex":0},"citationItems":[{"id":279,"uris":["http://zotero.org/users/local/8fpcHUeo/items/UCXJC4GK"],"uri":["http://zotero.org/users/local/8fpcHUeo/items/UCXJC4GK"],"itemData":{"id":279,"type":"article-journal","abstract":"Self-directed (SDL) and self-regulated learning (SRL) skills are important, increasingly in e-learning, but the terms are not clearly distinguished in literature having led to tangled understandings and complications measuring SDL and SRL. The aim of the study is to further explore the similarities and differences between the terms and their usage. Consequently, two research questions were posed: whether and how are SDL and SRL distinguished in empirical studies? What kind of research methods and instruments are used for studying SDL and SRL in e-learning context? To answer the questions the literature review of 30 empirical studies was conducted to compare them on SDL and SRL in the context of e-learning to find overlappings and differences between the concepts and research methods. The studies were compared on the basis of the use of terms, approaches, methods, instruments and analysis.","container-title":"Procedia - Social and Behavioral Sciences","DOI":"10.1016/j.sbspro.2014.01.1155","ISSN":"18770428","journalAbbreviation":"Procedia - Social and Behavioral Sciences","language":"en","page":"190-198","source":"DOI.org (Crossref)","title":"Distinguishing Self-directed and Self-regulated Learning and Measuring them in the E-learning Context","volume":"112","author":[{"family":"Saks","given":"Katrin"},{"family":"Leijen","given":"Äli"}],"issued":{"date-parts":[["2014",2]]}}}],"schema":"https://github.com/citation-style-language/schema/raw/master/csl-citation.json"} </w:instrText>
      </w:r>
      <w:r w:rsidRPr="00065E56">
        <w:fldChar w:fldCharType="separate"/>
      </w:r>
      <w:r w:rsidRPr="00065E56">
        <w:rPr>
          <w:noProof/>
        </w:rPr>
        <w:t>(Saks &amp; Leijen, 2014)</w:t>
      </w:r>
      <w:r w:rsidRPr="00065E56">
        <w:fldChar w:fldCharType="end"/>
      </w:r>
      <w:r w:rsidRPr="00065E56">
        <w:t xml:space="preserve">. SRL is frequently practiced in the school environment as the educator assigns the task and evaluation parameters but allows students the opportunity to independently execute and monitor the progress toward task completion. SDL differs from SRL in that the student determines the task as well as maintains autonomy throughout the process. Learners engaged in SDL also determine their own evaluation methods </w:t>
      </w:r>
      <w:r w:rsidRPr="00065E56">
        <w:fldChar w:fldCharType="begin"/>
      </w:r>
      <w:r w:rsidRPr="00065E56">
        <w:instrText xml:space="preserve"> ADDIN ZOTERO_ITEM CSL_CITATION {"citationID":"ZnPEBL4p","properties":{"formattedCitation":"(Knowles, 1975)","plainCitation":"(Knowles, 1975)","noteIndex":0},"citationItems":[{"id":280,"uris":["http://zotero.org/users/local/8fpcHUeo/items/ZM53H7PW"],"uri":["http://zotero.org/users/local/8fpcHUeo/items/ZM53H7PW"],"itemData":{"id":280,"type":"book","event-place":"Englewood Cliffs","publisher":"Prentice Hall/Cambridge","publisher-place":"Englewood Cliffs","title":"Self-directed learning: A guide for learners and teachers.","author":[{"family":"Knowles","given":"Malcolm"}],"issued":{"date-parts":[["1975"]]}}}],"schema":"https://github.com/citation-style-language/schema/raw/master/csl-citation.json"} </w:instrText>
      </w:r>
      <w:r w:rsidRPr="00065E56">
        <w:fldChar w:fldCharType="separate"/>
      </w:r>
      <w:r w:rsidRPr="00065E56">
        <w:rPr>
          <w:noProof/>
        </w:rPr>
        <w:t>(Knowles, 1975)</w:t>
      </w:r>
      <w:r w:rsidRPr="00065E56">
        <w:fldChar w:fldCharType="end"/>
      </w:r>
      <w:r w:rsidRPr="00065E56">
        <w:t xml:space="preserve">. The ARC-PA (2018) standards state that students should be able to demonstrate appropriate information seeking skills suitable for continuing education, and the American Dental Association (ADA, 2016), standards include a broader set of SDL skills more consistent with Knowles’ definition of SDL. As a result of these factors, anatomy educators sought ways to maximize the amount of content provided to students in ways that honored the shift toward active learning, incorporated appropriate clinical reasoning and skills, acknowledged the reality of fewer contact hours, and provided SRL and SDL opportunities to promote life-long learning. In the past 20 years, online learning has been utilized and investigated as a means of meeting these needs. </w:t>
      </w:r>
    </w:p>
    <w:p w14:paraId="72D732D7" w14:textId="7A8E3160" w:rsidR="000400EC" w:rsidRPr="005D6960" w:rsidRDefault="005D6960" w:rsidP="005D6960">
      <w:pPr>
        <w:pStyle w:val="NormalWeb"/>
        <w:spacing w:line="480" w:lineRule="auto"/>
        <w:rPr>
          <w:b/>
          <w:bCs/>
        </w:rPr>
      </w:pPr>
      <w:r>
        <w:rPr>
          <w:b/>
          <w:bCs/>
        </w:rPr>
        <w:tab/>
      </w:r>
      <w:r w:rsidR="000400EC" w:rsidRPr="00065E56">
        <w:rPr>
          <w:b/>
          <w:bCs/>
        </w:rPr>
        <w:t>Online anatomy education.</w:t>
      </w:r>
      <w:r>
        <w:rPr>
          <w:b/>
          <w:bCs/>
        </w:rPr>
        <w:t xml:space="preserve"> </w:t>
      </w:r>
      <w:r w:rsidR="000400EC" w:rsidRPr="00065E56">
        <w:t xml:space="preserve">Traditional gross anatomy consisted of in-person lecture and laboratory. Students listened to content experts explain anatomy and its relevance to clinical </w:t>
      </w:r>
      <w:r w:rsidR="000400EC" w:rsidRPr="00065E56">
        <w:lastRenderedPageBreak/>
        <w:t xml:space="preserve">practice in lecture, then proceed to lab to contextualize that information. As anatomy educators sought to improve student performance, learner-centered pedagogy became more prevalent </w:t>
      </w:r>
      <w:r w:rsidR="000400EC" w:rsidRPr="00065E56">
        <w:fldChar w:fldCharType="begin"/>
      </w:r>
      <w:r w:rsidR="000400EC" w:rsidRPr="00065E56">
        <w:instrText xml:space="preserve"> ADDIN ZOTERO_ITEM CSL_CITATION {"citationID":"YNu46FQd","properties":{"formattedCitation":"(Aziz et al., 2002)","plainCitation":"(Aziz et al., 2002)","noteIndex":0},"citationItems":[{"id":198,"uris":["http://zotero.org/users/local/8fpcHUeo/items/IEL6KHYB"],"uri":["http://zotero.org/users/local/8fpcHUeo/items/IEL6KHYB"],"itemData":{"id":198,"type":"article-journal","abstract":"Major national and international critiques of the medical curriculum in the 1980s noted the following signiﬁcant ﬂaws: (1) over‐reliance on learning by rote memory, (2) insuﬃcient exercise in analysis and synthesis/conceptualization, and (3) failure to connect the basic and clinical aspects of training. It was argued that the invention of computers and related imaging techniques called to question the traditional instruction based on the facultycentered didactic lecture. In the ensuing reform, which adopted case‐based, small group, problem‐based learning, time allotted to anatomical instruction was severely truncated. Many programs replaced dissection with prosections and computer‐based learning. We argue that cadaver dissection is still necessary for (1) establishing the primacy of the patient, (2) apprehension of the multidimensional body, (3) touch‐mediated perception of the cadaver/patient, (4) anatomical variability, (5) learning the basic language of medicine, (6) competence in diagnostic imaging, (7) cadaver/patient‐centered computer‐assisted learning, (8) peer group learning, (9) training for the medical specialties. Cadaver‐based anatomical education is a prerequisite of optimal training for the use of biomedical informatics. When connected to dissection, medical informatics can expedite and enhance preparation for a patient‐based medical profession. Actual dissection is equally necessary for acquisition of scientiﬁc skills and for a communicative, moral, ethical, and humanistic approach to patient care. Anat Rec (New Anat) 269:20–32, 2002. © 2002 Wiley‐Liss, Inc.","container-title":"The Anatomical Record","DOI":"10.1002/ar.10046","ISSN":"0003-276X, 1097-0185","issue":"1","journalAbbreviation":"Anat. Rec.","language":"en","page":"20-32","source":"DOI.org (Crossref)","title":"The human cadaver in the age of biomedical informatics","volume":"269","author":[{"family":"Aziz","given":"M. Ashraf"},{"family":"Mckenzie","given":"James C."},{"family":"Wilson","given":"James S."},{"family":"Cowie","given":"Robert J."},{"family":"Ayeni","given":"Sylvanus A."},{"family":"Dunn","given":"Barbara K."}],"issued":{"date-parts":[["2002",2,15]]}}}],"schema":"https://github.com/citation-style-language/schema/raw/master/csl-citation.json"} </w:instrText>
      </w:r>
      <w:r w:rsidR="000400EC" w:rsidRPr="00065E56">
        <w:fldChar w:fldCharType="separate"/>
      </w:r>
      <w:r w:rsidR="000400EC" w:rsidRPr="00065E56">
        <w:rPr>
          <w:noProof/>
        </w:rPr>
        <w:t>(Aziz et al., 2002)</w:t>
      </w:r>
      <w:r w:rsidR="000400EC" w:rsidRPr="00065E56">
        <w:fldChar w:fldCharType="end"/>
      </w:r>
      <w:r w:rsidR="000400EC" w:rsidRPr="00065E56">
        <w:t xml:space="preserve">. As a result, modifying lecture content has been an enormous source of anatomy education research. Laboratory time, however, was already devoted to learner-centered, experiential learning and therefore less scrutinized (for curricular changes). A significant exception to this was research investigating fully online anatomy courses, where both lecture and lab content were moved completely online. </w:t>
      </w:r>
    </w:p>
    <w:p w14:paraId="44C659D7" w14:textId="77777777" w:rsidR="000400EC" w:rsidRPr="00065E56" w:rsidRDefault="000400EC" w:rsidP="000400EC">
      <w:pPr>
        <w:pStyle w:val="NormalWeb"/>
        <w:spacing w:line="480" w:lineRule="auto"/>
      </w:pPr>
      <w:r w:rsidRPr="00065E56">
        <w:tab/>
        <w:t xml:space="preserve">Any discussion of online learning in anatomy education research necessitates delineating overlapping research strands. Blended learning and flipped classrooms are two terms describing the same phenomenon: moving basic content online for independent study to prepare for active learning in class </w:t>
      </w:r>
      <w:r w:rsidRPr="00065E56">
        <w:fldChar w:fldCharType="begin"/>
      </w:r>
      <w:r w:rsidRPr="00065E56">
        <w:instrText xml:space="preserve"> ADDIN ZOTERO_ITEM CSL_CITATION {"citationID":"3Saht4X7","properties":{"formattedCitation":"(Kellesarian, 2018)","plainCitation":"(Kellesarian, 2018)","noteIndex":0},"citationItems":[{"id":333,"uris":["http://zotero.org/users/local/8fpcHUeo/items/XTVQ4EDF"],"uri":["http://zotero.org/users/local/8fpcHUeo/items/XTVQ4EDF"],"itemData":{"id":333,"type":"article-journal","abstract":"The development of cognitive knowledge, motor skills, and artistic sense in order to restore lost tooth structure is fundamental for dental professionals. The course of dental anatomy is taught in the initial years of dental school, and is a component of the basic core sciences program in the faculties of dentistry. The learning objectives of the dental anatomy course include identifying anatomical and morphological characteristics of human primary and permanent teeth; identifying and reproducing tooth surface details in order to recognize and diagnose anatomical changes; and developing student’s psychomotor skills for restoring teeth with proper form and function. The majority of dental schools rely on traditional methods to teach dental anatomy, using lectures to convey the theoretical component; whereas the practical component uses two-dimensional drawing of teeth, identiﬁcation of anatomical features in samples of preserved teeth, and carving of teeth. The aim of the present literature review is to summarize different educational strategies proposed or implemented to challenge the traditional approaches of teaching dental anatomy, speciﬁcally the ﬂipped classroom educational model. The goal is to promote this approach as a promising strategy to teaching dental anatomy, in order to foster active learning, critical thinking, and engagement among dental students.","container-title":"Dentistry Journal","DOI":"10.3390/dj6030023","ISSN":"2304-6767","issue":"3","journalAbbreviation":"Dentistry Journal","language":"en","page":"23","source":"DOI.org (Crossref)","title":"Flipping the Dental Anatomy Classroom","volume":"6","author":[{"family":"Kellesarian","given":"Sergio"}],"issued":{"date-parts":[["2018",6,21]]}}}],"schema":"https://github.com/citation-style-language/schema/raw/master/csl-citation.json"} </w:instrText>
      </w:r>
      <w:r w:rsidRPr="00065E56">
        <w:fldChar w:fldCharType="separate"/>
      </w:r>
      <w:r w:rsidRPr="00065E56">
        <w:rPr>
          <w:noProof/>
        </w:rPr>
        <w:t>(Kellesarian, 2018)</w:t>
      </w:r>
      <w:r w:rsidRPr="00065E56">
        <w:fldChar w:fldCharType="end"/>
      </w:r>
      <w:r w:rsidRPr="00065E56">
        <w:t>. Flipped classroom and blended learning research diverges in purpose, however. Blended learning research typically evaluates the impact of what was moved online, while flipped classroom research typically evaluates the impact of what was added to the F2F classroom. Flipped classroom research that illuminated the significance of the online experience was considered for inclusion in this review. Additionally, a multitude of computer-assisted learning/instruction studies exist. A broader category than online learning, computer-assisted learning/instruction is any type of interactive learning on a computer and can include F2F activities (“computer-assisted learning,” 2020). The absence of geographical distance would preclude a study of this topic from inclusion in this review. The rest of this chapter is a synthesis of how online learning was utilized in anatomy education in the literature, namely: blended learning, fully online learning, and emergency remote teaching.</w:t>
      </w:r>
    </w:p>
    <w:p w14:paraId="08717123" w14:textId="0A834351" w:rsidR="000400EC" w:rsidRPr="00065E56" w:rsidRDefault="000400EC" w:rsidP="000400EC">
      <w:pPr>
        <w:pStyle w:val="NormalWeb"/>
        <w:spacing w:line="480" w:lineRule="auto"/>
      </w:pPr>
      <w:r w:rsidRPr="00065E56">
        <w:rPr>
          <w:b/>
          <w:bCs/>
        </w:rPr>
        <w:lastRenderedPageBreak/>
        <w:tab/>
      </w:r>
      <w:r w:rsidRPr="00065E56">
        <w:rPr>
          <w:b/>
          <w:bCs/>
          <w:i/>
          <w:iCs/>
        </w:rPr>
        <w:t>Blended learning - module development.</w:t>
      </w:r>
      <w:r w:rsidRPr="00065E56">
        <w:rPr>
          <w:b/>
          <w:bCs/>
        </w:rPr>
        <w:t xml:space="preserve"> </w:t>
      </w:r>
      <w:r w:rsidRPr="00065E56">
        <w:t xml:space="preserve">Many blended learning studies are evaluations of modules developed for online use. Modules are a prepared series of online materials for students to study independently. Module development frequently emerged as an observed student need, with student perceptions and usage data most commonly collected. Educators created a series of positively-reviewed online anatomy review tutorials for final year dental students prior to examinations </w:t>
      </w:r>
      <w:r w:rsidRPr="00065E56">
        <w:fldChar w:fldCharType="begin"/>
      </w:r>
      <w:r w:rsidRPr="00065E56">
        <w:instrText xml:space="preserve"> ADDIN ZOTERO_ITEM CSL_CITATION {"citationID":"EFnFZWvs","properties":{"formattedCitation":"(Durham et al., 2009)","plainCitation":"(Durham et al., 2009)","noteIndex":0},"citationItems":[{"id":307,"uris":["http://zotero.org/users/local/8fpcHUeo/items/GZ8DVYZT"],"uri":["http://zotero.org/users/local/8fpcHUeo/items/GZ8DVYZT"],"itemData":{"id":307,"type":"article-journal","abstract":"Methods: A 6‐week voluntary virtual program of tutorials for ﬁnal year dental undergraduates, with pre‐ and post‐tutorial testing, was evaluated using a priority sequence model (QualQuan). A purposive sample (n = 15) was taken of the year group (n =  69) and the initial qualitative phase in depth interviews were carried out until data saturation (n = 13). The emergent recurrent themes from the qualitative data were then phrased into a variety of non‐leading questions. These questions were issued in the form of an anonymous electronic questionnaire to the whole student body.\nResults: There was a good uptake of the tutorials with 84% of the students accessing at least one tutorial before sitting their ﬁnal examinations. A response rate of 70% was achieved for the quantitative evaluative questionnaire phase of the study. Overall perceptions of the course were favourable although a number of modiﬁcations were suggested. These included a more concise presentation of the mainstream tutorial text with hyper links to more detailed content. Students also indicated a desire for more line diagrams. These changes, it was suggested, would help with the on‐line readability of the tutorials. The primary focus for the students’ learning appeared to be provided by the preand post‐tutorial tests even though explicit learning outcomes were provided for each tutorial.\nConclusion: This study demonstrates that a well‐designed virtual course can help to vertically integrate, and make clinically relevant, one of the basic sciences underpinning dental surgery. It has shown that formative assessment acts as a powerful tool to focus student attention and direct student learning. This leads to the conclusion that formative assessments have to be designed with as much care and attention as summative assessments.","container-title":"European Journal of Dental Education","DOI":"10.1111/j.1600-0579.2008.00549.x","ISSN":"13965883, 16000579","issue":"2","language":"en","page":"100-109","source":"DOI.org (Crossref)","title":"Evaluation of a virtual anatomy course for clinical undergraduates","volume":"13","author":[{"family":"Durham","given":"J. A."},{"family":"Brettell","given":"S."},{"family":"Summerside","given":"C."},{"family":"McHanwell","given":"S."}],"issued":{"date-parts":[["2009",5]]}}}],"schema":"https://github.com/citation-style-language/schema/raw/master/csl-citation.json"} </w:instrText>
      </w:r>
      <w:r w:rsidRPr="00065E56">
        <w:fldChar w:fldCharType="separate"/>
      </w:r>
      <w:r w:rsidRPr="00065E56">
        <w:rPr>
          <w:noProof/>
        </w:rPr>
        <w:t>(Durham et al., 2009)</w:t>
      </w:r>
      <w:r w:rsidRPr="00065E56">
        <w:fldChar w:fldCharType="end"/>
      </w:r>
      <w:r w:rsidRPr="00065E56">
        <w:t xml:space="preserve">. Similarly, </w:t>
      </w:r>
      <w:r w:rsidRPr="00065E56">
        <w:fldChar w:fldCharType="begin"/>
      </w:r>
      <w:r w:rsidRPr="00065E56">
        <w:instrText xml:space="preserve"> ADDIN ZOTERO_ITEM CSL_CITATION {"citationID":"IpdqsQEU","properties":{"formattedCitation":"(Marker et al., 2010)","plainCitation":"(Marker et al., 2010)","dontUpdate":true,"noteIndex":0},"citationItems":[{"id":303,"uris":["http://zotero.org/users/local/8fpcHUeo/items/Y8RUB28Q"],"uri":["http://zotero.org/users/local/8fpcHUeo/items/Y8RUB28Q"],"itemData":{"id":303,"type":"article-journal","container-title":"Academic Radiology","DOI":"10.1016/j.acra.2010.02.016","ISSN":"10766332","issue":"8","journalAbbreviation":"Academic Radiology","language":"en","page":"1057-1065","source":"DOI.org (Crossref)","title":"Developing a Radiology-Based Teaching Approach for Gross Anatomy in the Digital Era","volume":"17","author":[{"family":"Marker","given":"David R."},{"family":"Bansal","given":"Anshuman K."},{"family":"Juluru","given":"Krishna"},{"family":"Magid","given":"Donna"}],"issued":{"date-parts":[["2010",8]]}}}],"schema":"https://github.com/citation-style-language/schema/raw/master/csl-citation.json"} </w:instrText>
      </w:r>
      <w:r w:rsidRPr="00065E56">
        <w:fldChar w:fldCharType="separate"/>
      </w:r>
      <w:r w:rsidRPr="00065E56">
        <w:rPr>
          <w:noProof/>
        </w:rPr>
        <w:t>Marker</w:t>
      </w:r>
      <w:r w:rsidR="00875529">
        <w:rPr>
          <w:noProof/>
        </w:rPr>
        <w:t xml:space="preserve"> and colleagues</w:t>
      </w:r>
      <w:r w:rsidRPr="00065E56">
        <w:rPr>
          <w:noProof/>
        </w:rPr>
        <w:t xml:space="preserve"> </w:t>
      </w:r>
      <w:r w:rsidRPr="00065E56">
        <w:fldChar w:fldCharType="end"/>
      </w:r>
      <w:r w:rsidRPr="00065E56">
        <w:t xml:space="preserve">adapted online digital images to create a series of annotated, interactive digital anatomy lectures for medical students (2010). Portions of the lectures were subsequently hyperlinked and utilized in F2F lectures as well as housed online for students to review independently. Student surveys indicated 87% were ‘somewhat’ or ‘very’ useful, and 63% asked for more of the interactive modules. </w:t>
      </w:r>
      <w:r w:rsidRPr="00065E56">
        <w:fldChar w:fldCharType="begin"/>
      </w:r>
      <w:r w:rsidRPr="00065E56">
        <w:instrText xml:space="preserve"> ADDIN ZOTERO_ITEM CSL_CITATION {"citationID":"BDDVrK6S","properties":{"formattedCitation":"(Marker et al., 2010)","plainCitation":"(Marker et al., 2010)","noteIndex":0},"citationItems":[{"id":303,"uris":["http://zotero.org/users/local/8fpcHUeo/items/Y8RUB28Q"],"uri":["http://zotero.org/users/local/8fpcHUeo/items/Y8RUB28Q"],"itemData":{"id":303,"type":"article-journal","container-title":"Academic Radiology","DOI":"10.1016/j.acra.2010.02.016","ISSN":"10766332","issue":"8","journalAbbreviation":"Academic Radiology","language":"en","page":"1057-1065","source":"DOI.org (Crossref)","title":"Developing a Radiology-Based Teaching Approach for Gross Anatomy in the Digital Era","volume":"17","author":[{"family":"Marker","given":"David R."},{"family":"Bansal","given":"Anshuman K."},{"family":"Juluru","given":"Krishna"},{"family":"Magid","given":"Donna"}],"issued":{"date-parts":[["2010",8]]}}}],"schema":"https://github.com/citation-style-language/schema/raw/master/csl-citation.json"} </w:instrText>
      </w:r>
      <w:r w:rsidRPr="00065E56">
        <w:fldChar w:fldCharType="separate"/>
      </w:r>
      <w:r w:rsidRPr="00065E56">
        <w:rPr>
          <w:noProof/>
        </w:rPr>
        <w:t>(Marker et al., 2010)</w:t>
      </w:r>
      <w:r w:rsidRPr="00065E56">
        <w:fldChar w:fldCharType="end"/>
      </w:r>
      <w:r w:rsidRPr="00065E56">
        <w:t xml:space="preserve">. </w:t>
      </w:r>
    </w:p>
    <w:p w14:paraId="030E1200" w14:textId="3CE0DEEE" w:rsidR="000400EC" w:rsidRPr="00065E56" w:rsidRDefault="000400EC" w:rsidP="000400EC">
      <w:pPr>
        <w:pStyle w:val="NormalWeb"/>
        <w:spacing w:line="480" w:lineRule="auto"/>
      </w:pPr>
      <w:r w:rsidRPr="00065E56">
        <w:tab/>
        <w:t xml:space="preserve">Other studies </w:t>
      </w:r>
      <w:r w:rsidR="00875529">
        <w:t>measured flipping</w:t>
      </w:r>
      <w:r w:rsidRPr="00065E56">
        <w:t xml:space="preserve"> pre-clinical material</w:t>
      </w:r>
      <w:r w:rsidR="00875529">
        <w:t xml:space="preserve"> that previous students considered difficult</w:t>
      </w:r>
      <w:r w:rsidRPr="00065E56">
        <w:t xml:space="preserve">. Dental students serving as an historical cohort received an autonomic nervous system (ANS) lecture, while the following year students received a flipped online presentation and completed an active learning assignment/discussion in class. Both cohorts took a 10-question quiz to assess knowledge of the ANS. The flipped/blended cohort spent the same amount of planned time on the material, so time spent on materials was </w:t>
      </w:r>
      <w:r w:rsidR="00875529">
        <w:t>controll</w:t>
      </w:r>
      <w:r w:rsidRPr="00065E56">
        <w:t xml:space="preserve">ed as a variable, though researchers </w:t>
      </w:r>
      <w:r w:rsidR="00875529">
        <w:t>did not know</w:t>
      </w:r>
      <w:r w:rsidRPr="00065E56">
        <w:t xml:space="preserve"> if students in the flipped cohort spent additional time re-watching the flipped lecture or reviewed the material in other ways. Xiao </w:t>
      </w:r>
      <w:r w:rsidR="00875529">
        <w:t>and colleagues</w:t>
      </w:r>
      <w:r w:rsidRPr="00065E56">
        <w:t xml:space="preserve"> found the average quiz score to be higher for the flipped/blended vs. non-flipped course at 80% ± 19 vs. 69% ± 23 (p&lt; 0.01), respectively </w:t>
      </w:r>
      <w:r w:rsidRPr="00065E56">
        <w:fldChar w:fldCharType="begin"/>
      </w:r>
      <w:r w:rsidRPr="00065E56">
        <w:instrText xml:space="preserve"> ADDIN ZOTERO_ITEM CSL_CITATION {"citationID":"3kkE8UVG","properties":{"formattedCitation":"(Xiao et al., 2018)","plainCitation":"(Xiao et al., 2018)","noteIndex":0},"citationItems":[{"id":374,"uris":["http://zotero.org/users/local/8fpcHUeo/items/FS9NZ49A"],"uri":["http://zotero.org/users/local/8fpcHUeo/items/FS9NZ49A"],"itemData":{"id":374,"type":"article-journal","abstract":"The flipped classroom has been shown to have positive outcomes in learning. However, relatively little has been reported on the implementation of it in dental education. The purpose of this study was to evaluate the impact of the flipped classroom on predoctoral dental students’ learning. Two consecutive classes of dental students learned the physiology of the autonomic nervous system through the nonflipped (traditional lecture) or the flipped approach. Students’ learning was assessed with an identical quiz at the end of the module. The mean score in the flipped approach was higher than that in the nonflipped approach ( P &lt; 0.01). Mean score on the content-based quiz questions in the flipped approach was higher than that in the nonflipped approach ( P &lt; 0.05). Performance on case-based questions did not show a significant difference ( P = 0.12). Mean quiz performance of the lower 27% scorers in the flipped approach was higher than that in the nonflipped approach ( P &lt; 0.05). Mean quiz performance of the upper 27% scorers showed an increase in the flipped approach as well ( P &lt; 0.05), but to a less extent than that of the lower 27% scorers ( P &lt; 0.01). The flipped approach also increased peer collaboration ( P &lt; 0.01). In summary, the flipped classroom improved dental students’ performance on content-based questions in physiology. The flipped classroom narrowed the performance gap between the low- and high-performing dental students.","container-title":"Advances in Physiology Education","DOI":"10.1152/advan.00104.2018","ISSN":"1043-4046, 1522-1229","issue":"4","journalAbbreviation":"Advances in Physiology Education","language":"en","page":"586-592","source":"DOI.org (Crossref)","title":"Flipped classroom narrows the performance gap between low- and high-performing dental students in physiology","volume":"42","author":[{"family":"Xiao","given":"Nan"},{"family":"Thor","given":"Der"},{"family":"Zheng","given":"Meixun"},{"family":"Baek","given":"Joshua"},{"family":"Kim","given":"Grace"}],"issued":{"date-parts":[["2018",12,1]]}}}],"schema":"https://github.com/citation-style-language/schema/raw/master/csl-citation.json"} </w:instrText>
      </w:r>
      <w:r w:rsidRPr="00065E56">
        <w:fldChar w:fldCharType="separate"/>
      </w:r>
      <w:r w:rsidRPr="00065E56">
        <w:rPr>
          <w:noProof/>
        </w:rPr>
        <w:t>(Xiao et al., 2018)</w:t>
      </w:r>
      <w:r w:rsidRPr="00065E56">
        <w:fldChar w:fldCharType="end"/>
      </w:r>
      <w:r w:rsidRPr="00065E56">
        <w:t>. Xiao’s study indicated a flipped/blended pedagogy was more successful than a non-flipped course for difficult course material, and most students considered the modules to be useful.</w:t>
      </w:r>
    </w:p>
    <w:p w14:paraId="4DD54C03" w14:textId="77777777" w:rsidR="000400EC" w:rsidRPr="00065E56" w:rsidRDefault="000400EC" w:rsidP="000400EC">
      <w:pPr>
        <w:pStyle w:val="NormalWeb"/>
        <w:spacing w:line="480" w:lineRule="auto"/>
      </w:pPr>
      <w:r w:rsidRPr="00065E56">
        <w:lastRenderedPageBreak/>
        <w:tab/>
        <w:t xml:space="preserve">Xiao’s quiz contained 6 content questions and four case-based questions. When separated, the content quiz question results were significantly higher for the flipped/blended approach (83% ± 21) than for the non-flipped approach (73% ± 23) at a p-value of 0.05. Mean scores were not significantly different for the case-based questions. The gap in performance between the upper 27% and lower 27% of students significantly narrowed in the flipped/blended approach, with a 32.3% gap versus a 42.2% gap for the non-flipped cohort (p&lt; 0.01) </w:t>
      </w:r>
      <w:r w:rsidRPr="00065E56">
        <w:fldChar w:fldCharType="begin"/>
      </w:r>
      <w:r w:rsidRPr="00065E56">
        <w:instrText xml:space="preserve"> ADDIN ZOTERO_ITEM CSL_CITATION {"citationID":"FjXyzjdo","properties":{"formattedCitation":"(Xiao et al., 2018)","plainCitation":"(Xiao et al., 2018)","noteIndex":0},"citationItems":[{"id":374,"uris":["http://zotero.org/users/local/8fpcHUeo/items/FS9NZ49A"],"uri":["http://zotero.org/users/local/8fpcHUeo/items/FS9NZ49A"],"itemData":{"id":374,"type":"article-journal","abstract":"The flipped classroom has been shown to have positive outcomes in learning. However, relatively little has been reported on the implementation of it in dental education. The purpose of this study was to evaluate the impact of the flipped classroom on predoctoral dental students’ learning. Two consecutive classes of dental students learned the physiology of the autonomic nervous system through the nonflipped (traditional lecture) or the flipped approach. Students’ learning was assessed with an identical quiz at the end of the module. The mean score in the flipped approach was higher than that in the nonflipped approach ( P &lt; 0.01). Mean score on the content-based quiz questions in the flipped approach was higher than that in the nonflipped approach ( P &lt; 0.05). Performance on case-based questions did not show a significant difference ( P = 0.12). Mean quiz performance of the lower 27% scorers in the flipped approach was higher than that in the nonflipped approach ( P &lt; 0.05). Mean quiz performance of the upper 27% scorers showed an increase in the flipped approach as well ( P &lt; 0.05), but to a less extent than that of the lower 27% scorers ( P &lt; 0.01). The flipped approach also increased peer collaboration ( P &lt; 0.01). In summary, the flipped classroom improved dental students’ performance on content-based questions in physiology. The flipped classroom narrowed the performance gap between the low- and high-performing dental students.","container-title":"Advances in Physiology Education","DOI":"10.1152/advan.00104.2018","ISSN":"1043-4046, 1522-1229","issue":"4","journalAbbreviation":"Advances in Physiology Education","language":"en","page":"586-592","source":"DOI.org (Crossref)","title":"Flipped classroom narrows the performance gap between low- and high-performing dental students in physiology","volume":"42","author":[{"family":"Xiao","given":"Nan"},{"family":"Thor","given":"Der"},{"family":"Zheng","given":"Meixun"},{"family":"Baek","given":"Joshua"},{"family":"Kim","given":"Grace"}],"issued":{"date-parts":[["2018",12,1]]}}}],"schema":"https://github.com/citation-style-language/schema/raw/master/csl-citation.json"} </w:instrText>
      </w:r>
      <w:r w:rsidRPr="00065E56">
        <w:fldChar w:fldCharType="separate"/>
      </w:r>
      <w:r w:rsidRPr="00065E56">
        <w:rPr>
          <w:noProof/>
        </w:rPr>
        <w:t>(Xiao et al., 2018)</w:t>
      </w:r>
      <w:r w:rsidRPr="00065E56">
        <w:fldChar w:fldCharType="end"/>
      </w:r>
      <w:r w:rsidRPr="00065E56">
        <w:t xml:space="preserve">. The improvement in content but not case-based questions is inconsistent with other studies indicating that flipped/blended learning improved learning of more difficult cognitive content but not lower levels </w:t>
      </w:r>
      <w:r w:rsidRPr="00065E56">
        <w:fldChar w:fldCharType="begin"/>
      </w:r>
      <w:r w:rsidRPr="00065E56">
        <w:instrText xml:space="preserve"> ADDIN ZOTERO_ITEM CSL_CITATION {"citationID":"oDoGY5gZ","properties":{"formattedCitation":"(Day, 2018; Deshpande et al., 2020; Morton &amp; Colbert-Getz, 2017)","plainCitation":"(Day, 2018; Deshpande et al., 2020; Morton &amp; Colbert-Getz, 2017)","noteIndex":0},"citationItems":[{"id":66,"uris":["http://zotero.org/users/local/8fpcHUeo/items/22QUYBMN"],"uri":["http://zotero.org/users/local/8fpcHUeo/items/22QUYBMN"],"itemData":{"id":66,"type":"article-journal","container-title":"Anatomical Sciences Education","DOI":"10.1002/ase.1772","ISSN":"19359772","issue":"6","language":"en","page":"565-574","source":"Crossref","title":"A gross anatomy flipped classroom effects performance, retention, and higher-level thinking in lower performing students","volume":"11","author":[{"family":"Day","given":"Leslie J."}],"issued":{"date-parts":[["2018",11]]}}},{"id":370,"uris":["http://zotero.org/users/local/8fpcHUeo/items/YFWJ37KW"],"uri":["http://zotero.org/users/local/8fpcHUeo/items/YFWJ37KW"],"itemData":{"id":370,"type":"article-journal","abstract":"Methods: A 4-week FC curriculum was piloted in a PA behavioral medicine course (n ¼ 34). Before class, students completed online video modules. During class, students completed a pre-class quiz and answered clinical case-based questions in a think-pair-share format.\nResults: Students rated in-class time higher than a lecture-based segment of the same course (p ¼ 0.028). Assessment of achievement emotions demonstrated increased enjoyment (p ¼ 0.028) and decreased boredom (p &lt; 0.001) in the FC curriculum with no difference in anxiety. The FC curriculum produced a 57.2 min increase in pre-class preparation time with no change in post-class studying time. Compared to historical lecture-based controls (n ¼ 35), students in the FC curriculum scored significantly higher on clinical vignette questions (p ¼ 0.019) with equivalent performance on other question formats.\nConclusions: This study offers the first positive outcomes of an FC approach in PA education and provides a framework for improving academic performance while scaling back in-class time.","container-title":"Medical Teacher","DOI":"10.1080/0142159X.2019.1679360","ISSN":"0142-159X, 1466-187X","issue":"3","journalAbbreviation":"Medical Teacher","language":"en","page":"285-290","source":"DOI.org (Crossref)","title":"A unique flipped classroom approach shows promising results in physician assistant education","volume":"42","author":[{"family":"Deshpande","given":"Saarang"},{"family":"Ritzenthaler","given":"David"},{"family":"Sun","given":"Alec"},{"family":"Rudert","given":"Nicole"},{"family":"Lewis","given":"Jensen"}],"issued":{"date-parts":[["2020",3,3]]}}},{"id":339,"uris":["http://zotero.org/users/local/8fpcHUeo/items/MBEEW2RL"],"uri":["http://zotero.org/users/local/8fpcHUeo/items/MBEEW2RL"],"itemData":{"id":339,"type":"article-journal","abstract":"The ﬂipped classroom (FC) model has emerged as an innovative solution to improve student‐centered learning. However, studies measuring student performance of material in the FC relative to the lecture classroom (LC) have shown mixed results. An aim of this study was to determine if the disparity in results of prior research is due to level of cognition (low or high) needed to perform well on the outcome, or course assessment. This study tested the hypothesis that (1) students in a FC would perform better than students in a LC on an assessment requiring higher cognition and (2) there would be no diﬀerence in performance for an assessment requiring lower cognition. To test this hypothesis the performance of 28 multiple choice anatomy items that were part of a ﬁnal examination were compared between two classes of ﬁrst year medical students at the University of Utah School of Medicine. Items were categorized as requiring knowledge (low cognition), application, or analysis (high cognition). Thirty hours of anatomy content was delivered in LC format to 101 students in 2013 and in FC format to 104 students in 2014. Mann Whitney tests indicated FC students performed better than LC students on analysis items, U = 4243.00, P = 0.030, r =  0.19, but there were no diﬀerences in performance between FC and LC students for knowledge, U = 5002.00, P = 0.720 or application, U = 4990.00, P = 0.700, items. The FC may beneﬁt retention when students are expected to analyze material. Anat Sci Educ 10: 170–175. © 2016 American Association of Anatomists.","container-title":"Anatomical Sciences Education","DOI":"10.1002/ase.1635","ISSN":"19359772","issue":"2","journalAbbreviation":"American Association of Anatomists","language":"en","page":"170-175","source":"DOI.org (Crossref)","title":"Measuring the impact of the flipped anatomy classroom: The importance of categorizing an assessment by Bloom's taxonomy: Impact of the Flipped Anatomy Classroom","title-short":"Measuring the impact of the flipped anatomy classroom","volume":"10","author":[{"family":"Morton","given":"David A."},{"family":"Colbert-Getz","given":"Jorie M."}],"issued":{"date-parts":[["2017",3]]}}}],"schema":"https://github.com/citation-style-language/schema/raw/master/csl-citation.json"} </w:instrText>
      </w:r>
      <w:r w:rsidRPr="00065E56">
        <w:fldChar w:fldCharType="separate"/>
      </w:r>
      <w:r w:rsidRPr="00065E56">
        <w:rPr>
          <w:noProof/>
        </w:rPr>
        <w:t>(Day, 2018; Deshpande et al., 2020; Morton &amp; Colbert-Getz, 2017)</w:t>
      </w:r>
      <w:r w:rsidRPr="00065E56">
        <w:fldChar w:fldCharType="end"/>
      </w:r>
      <w:r w:rsidRPr="00065E56">
        <w:t xml:space="preserve">. The improvement in score in the lower 27% is consistent with Day’s results, however. </w:t>
      </w:r>
    </w:p>
    <w:p w14:paraId="0AD1E9E9" w14:textId="77777777" w:rsidR="000400EC" w:rsidRPr="00065E56" w:rsidRDefault="000400EC" w:rsidP="000400EC">
      <w:pPr>
        <w:pStyle w:val="NormalWeb"/>
        <w:spacing w:line="480" w:lineRule="auto"/>
      </w:pPr>
      <w:r w:rsidRPr="00065E56">
        <w:tab/>
        <w:t xml:space="preserve">In a different study, faculty created a four-week flipped/blended curriculum module for PA students in anatomy. Students received online lectures that increased out-of-class preparation time by an average of 57.2 minutes. Students then attended class the next day to participate in CBL and discussion. The students indicated increased enjoyment, reduction of in-class boredom, and scored significantly higher on clinical vignette questions (94.1% versus 87.3%, p= 0.019) than a historical, lecture-based cohort that took the same exam. There was no statistically significant difference between cohorts on the non-clinical vignette exam questions </w:t>
      </w:r>
      <w:r w:rsidRPr="00065E56">
        <w:fldChar w:fldCharType="begin"/>
      </w:r>
      <w:r w:rsidRPr="00065E56">
        <w:instrText xml:space="preserve"> ADDIN ZOTERO_ITEM CSL_CITATION {"citationID":"VysWtklo","properties":{"formattedCitation":"(Deshpande et al., 2020)","plainCitation":"(Deshpande et al., 2020)","noteIndex":0},"citationItems":[{"id":370,"uris":["http://zotero.org/users/local/8fpcHUeo/items/YFWJ37KW"],"uri":["http://zotero.org/users/local/8fpcHUeo/items/YFWJ37KW"],"itemData":{"id":370,"type":"article-journal","abstract":"Methods: A 4-week FC curriculum was piloted in a PA behavioral medicine course (n ¼ 34). Before class, students completed online video modules. During class, students completed a pre-class quiz and answered clinical case-based questions in a think-pair-share format.\nResults: Students rated in-class time higher than a lecture-based segment of the same course (p ¼ 0.028). Assessment of achievement emotions demonstrated increased enjoyment (p ¼ 0.028) and decreased boredom (p &lt; 0.001) in the FC curriculum with no difference in anxiety. The FC curriculum produced a 57.2 min increase in pre-class preparation time with no change in post-class studying time. Compared to historical lecture-based controls (n ¼ 35), students in the FC curriculum scored significantly higher on clinical vignette questions (p ¼ 0.019) with equivalent performance on other question formats.\nConclusions: This study offers the first positive outcomes of an FC approach in PA education and provides a framework for improving academic performance while scaling back in-class time.","container-title":"Medical Teacher","DOI":"10.1080/0142159X.2019.1679360","ISSN":"0142-159X, 1466-187X","issue":"3","journalAbbreviation":"Medical Teacher","language":"en","page":"285-290","source":"DOI.org (Crossref)","title":"A unique flipped classroom approach shows promising results in physician assistant education","volume":"42","author":[{"family":"Deshpande","given":"Saarang"},{"family":"Ritzenthaler","given":"David"},{"family":"Sun","given":"Alec"},{"family":"Rudert","given":"Nicole"},{"family":"Lewis","given":"Jensen"}],"issued":{"date-parts":[["2020",3,3]]}}}],"schema":"https://github.com/citation-style-language/schema/raw/master/csl-citation.json"} </w:instrText>
      </w:r>
      <w:r w:rsidRPr="00065E56">
        <w:fldChar w:fldCharType="separate"/>
      </w:r>
      <w:r w:rsidRPr="00065E56">
        <w:rPr>
          <w:noProof/>
        </w:rPr>
        <w:t>(Deshpande et al., 2020)</w:t>
      </w:r>
      <w:r w:rsidRPr="00065E56">
        <w:fldChar w:fldCharType="end"/>
      </w:r>
      <w:r w:rsidRPr="00065E56">
        <w:t>. The significant results of the separation of test items by cognitive difficulty is complicated by the fact that the flipped/blended cohort spent more time with the material.</w:t>
      </w:r>
    </w:p>
    <w:p w14:paraId="32073975" w14:textId="77777777" w:rsidR="000400EC" w:rsidRPr="00065E56" w:rsidRDefault="000400EC" w:rsidP="000400EC">
      <w:pPr>
        <w:pStyle w:val="NormalWeb"/>
        <w:spacing w:line="480" w:lineRule="auto"/>
      </w:pPr>
      <w:r w:rsidRPr="00065E56">
        <w:tab/>
        <w:t xml:space="preserve">Pilot-testing a larger, planned curriculum change is another use of module development research. A pilot-test of 3 modules combining clinical vignettes, three-dimensional anatomy modules, and gamified quizzing were administered to undergraduate Pharmacy students in Hong </w:t>
      </w:r>
      <w:r w:rsidRPr="00065E56">
        <w:lastRenderedPageBreak/>
        <w:t xml:space="preserve">Kong prior to attending lecture. While 66% of students rated the software helpful to learning, no changes were observed in course grades, and average student GPA correlated to usage frequency data (r=.44) </w:t>
      </w:r>
      <w:r w:rsidRPr="00065E56">
        <w:fldChar w:fldCharType="begin"/>
      </w:r>
      <w:r w:rsidRPr="00065E56">
        <w:instrText xml:space="preserve"> ADDIN ZOTERO_ITEM CSL_CITATION {"citationID":"aXYkTWMn","properties":{"formattedCitation":"(Ngan et al., 2018)","plainCitation":"(Ngan et al., 2018)","noteIndex":0},"citationItems":[{"id":259,"uris":["http://zotero.org/users/local/8fpcHUeo/items/6AB85WPM"],"uri":["http://zotero.org/users/local/8fpcHUeo/items/6AB85WPM"],"itemData":{"id":259,"type":"article-journal","abstract":"Purpose: Anatomy is a basic science for health professions curricula. Recent research suggests that the innovative blended learning approach (classroom learning plus use of online learning) outperforms conventional didactic teaching by facilitating effective learning. This study explores the feasibility of adopting blended learning in anatomy teaching and evaluates the learning experiences of students.\nMethod: Courseware called electronic Professional Study (ePS) was developed and used for teaching anatomy of the cardiovascular system for non-medical students. ePS composed of three condensed, recorded course lectures, revision guides, and gamiﬁed quizzes. These were placed on the Web platform for students to watch before didactic lecture. Scheduled class periods were dedicated to participating in active-learning exercises. By the end of the academic semester, the courseware evaluation was implemented using a set of 5-point Likert scale questions. The e-questionnaire was distributed to a convenience sample of Year-2 full-time undergraduate students majoring in pharmacy enrolled in an introductory course in anatomy and physiology. Multiple linear regression was conducted to examine the relationship between courseware usage and examination results.\nResults: All enrolled students (n ¼ 53) completed and returned the questionnaire. About 38% used the courseware less than ten times during the semester, and 7.5% never used it. e-Questionnaire shows that a majority agreed that the courseware content was clearly presented and easy to navigate. Multiple regression shows that courseware usage did not contribute signiﬁcantly to the performance.\nConclusions: Blended learning was perceived positively by most students. However, no effect on learning could be established. &amp; 2017 King Saud bin Abdulaziz University for Health Sciences. Production and Hosting by Elsevier B.V. This is an open access article under the CC BY-NC-ND license (http://creativecommons.org/licenses/by-nc-nd/4.0/).","container-title":"Health Professions Education","DOI":"10.1016/j.hpe.2017.11.001","ISSN":"24523011","issue":"2","journalAbbreviation":"Health Professions Education","language":"en","page":"149-158","source":"DOI.org (Crossref)","title":"Blended Learning in Anatomy Teaching for Non-Medical Students: An Innovative Approach to the Health Professions Education","title-short":"Blended Learning in Anatomy Teaching for Non-Medical Students","volume":"4","author":[{"family":"Ngan","given":"Olivia Miu Yung"},{"family":"Tang","given":"Taylor Lik Hang"},{"family":"Chan","given":"Aden Ka Yin"},{"family":"Chen","given":"Daisy Minghui"},{"family":"Tang","given":"Mei Kuen"}],"issued":{"date-parts":[["2018",6]]}}}],"schema":"https://github.com/citation-style-language/schema/raw/master/csl-citation.json"} </w:instrText>
      </w:r>
      <w:r w:rsidRPr="00065E56">
        <w:fldChar w:fldCharType="separate"/>
      </w:r>
      <w:r w:rsidRPr="00065E56">
        <w:rPr>
          <w:noProof/>
        </w:rPr>
        <w:t>(Ngan et al., 2018)</w:t>
      </w:r>
      <w:r w:rsidRPr="00065E56">
        <w:fldChar w:fldCharType="end"/>
      </w:r>
      <w:r w:rsidRPr="00065E56">
        <w:t>. The Ngan study reveals issues common to online anatomy education research. The three micro-modules administered to students supplied an insufficient amount of knowledge to be detected by course grades, thus not matching data collection sensitivity to the magnitude of the treatment. The correlation between student GPA and usage frequency indicates a confounding issue. Did the students really learn more with a different pedagogy, or did they just spend more time with the information? Both issues will be encountered again when measuring the effects of blended learning.</w:t>
      </w:r>
    </w:p>
    <w:p w14:paraId="5A33FE9E" w14:textId="77777777" w:rsidR="000400EC" w:rsidRPr="00065E56" w:rsidRDefault="000400EC" w:rsidP="000400EC">
      <w:pPr>
        <w:pStyle w:val="NormalWeb"/>
        <w:spacing w:line="480" w:lineRule="auto"/>
        <w:rPr>
          <w:b/>
          <w:bCs/>
          <w:i/>
          <w:iCs/>
        </w:rPr>
      </w:pPr>
      <w:r w:rsidRPr="00065E56">
        <w:rPr>
          <w:b/>
          <w:bCs/>
          <w:i/>
          <w:iCs/>
        </w:rPr>
        <w:tab/>
        <w:t xml:space="preserve">Blended learning - academic outcomes. </w:t>
      </w:r>
      <w:r w:rsidRPr="00065E56">
        <w:t xml:space="preserve">Blended learning is a popular method of online learning, hypothesized to suit anatomy education well due to the multimodal information delivery </w:t>
      </w:r>
      <w:r w:rsidRPr="00065E56">
        <w:fldChar w:fldCharType="begin"/>
      </w:r>
      <w:r w:rsidRPr="00065E56">
        <w:instrText xml:space="preserve"> ADDIN ZOTERO_ITEM CSL_CITATION {"citationID":"jQugWKTT","properties":{"formattedCitation":"(R. A. Green &amp; Whitburn, 2016)","plainCitation":"(R. A. Green &amp; Whitburn, 2016)","noteIndex":0},"citationItems":[{"id":292,"uris":["http://zotero.org/users/local/8fpcHUeo/items/78QQXIXE"],"uri":["http://zotero.org/users/local/8fpcHUeo/items/78QQXIXE"],"itemData":{"id":292,"type":"article-journal","container-title":"Anatomical Sciences Education","DOI":"10.1002/ase.1602","ISSN":"19359772","issue":"5","journalAbbreviation":"American Association of Anatomists","language":"en","page":"422-430","source":"DOI.org (Crossref)","title":"Impact of introduction of blended learning in gross anatomy on student outcomes: Outcomes of Blended Learning in Gross Anatomy","title-short":"Impact of introduction of blended learning in gross anatomy on student outcomes","volume":"9","author":[{"family":"Green","given":"Rodney A."},{"family":"Whitburn","given":"Laura Y."}],"issued":{"date-parts":[["2016",10]]}}}],"schema":"https://github.com/citation-style-language/schema/raw/master/csl-citation.json"} </w:instrText>
      </w:r>
      <w:r w:rsidRPr="00065E56">
        <w:fldChar w:fldCharType="separate"/>
      </w:r>
      <w:r w:rsidRPr="00065E56">
        <w:rPr>
          <w:noProof/>
        </w:rPr>
        <w:t>(R. A. Green &amp; Whitburn, 2016)</w:t>
      </w:r>
      <w:r w:rsidRPr="00065E56">
        <w:fldChar w:fldCharType="end"/>
      </w:r>
      <w:r w:rsidRPr="00065E56">
        <w:t>. Green and Whitburn further describe how some modes of learning, such as 3-dimensional model rotation videos do not scale up well in a large lecture hall but work optimally when the student has control of the image and screen. Blended learning research as a whole has mixed results; this section begins with a review of positive outcomes, then negative or mixed outcomes, and concludes with studies investigating student perceptions or usage only.</w:t>
      </w:r>
    </w:p>
    <w:p w14:paraId="17BBC752" w14:textId="77777777" w:rsidR="000400EC" w:rsidRPr="00065E56" w:rsidRDefault="000400EC" w:rsidP="000400EC">
      <w:pPr>
        <w:pStyle w:val="NormalWeb"/>
        <w:spacing w:line="480" w:lineRule="auto"/>
      </w:pPr>
      <w:r w:rsidRPr="00065E56">
        <w:tab/>
        <w:t xml:space="preserve">In a large, rigorous meta-analysis designed to quantify the impact of online learning in education generally, comparing 50 cohorts of either blended or fully online student outcomes to their respective F2F cohorts resulted in a mean effect size of +0.2 p &lt; .001 (Means et al., 2013). Interestingly, when blended and fully online cohorts were separated, the effect size for blended learning was found to be +.35 p &lt; .0001, while the online cohort was not significantly different </w:t>
      </w:r>
      <w:r w:rsidRPr="00065E56">
        <w:lastRenderedPageBreak/>
        <w:t xml:space="preserve">+0.05, p = .46 (Means et al., 2013).  Graduate and professional students comprised approximately half of the samples, with the health professions heavily represented. While not a review of online anatomy education specifically, the broad spectrum of students sampled from the 50 cohorts (representing 50 research studies of various disciplines) provides justification for inclusion in this review. </w:t>
      </w:r>
    </w:p>
    <w:p w14:paraId="19DA590D" w14:textId="77777777" w:rsidR="000400EC" w:rsidRPr="00065E56" w:rsidRDefault="000400EC" w:rsidP="000400EC">
      <w:pPr>
        <w:pStyle w:val="NormalWeb"/>
        <w:spacing w:line="480" w:lineRule="auto"/>
      </w:pPr>
      <w:r w:rsidRPr="00065E56">
        <w:tab/>
        <w:t xml:space="preserve">Specific to anatomy education, a three-year planned conversion from F2F to blended learning between 2013 and 2015 </w:t>
      </w:r>
      <w:r w:rsidRPr="00065E56">
        <w:rPr>
          <w:color w:val="000000" w:themeColor="text1"/>
        </w:rPr>
        <w:t xml:space="preserve">resulted in improved outcomes for second year physiotherapy students. The F2F (2013) average scores for lab practical exams (F = 37.26, p &lt; .00) and the final exam (F = 10.86, p &lt; .00) were significantly </w:t>
      </w:r>
      <w:r w:rsidRPr="00065E56">
        <w:t xml:space="preserve">less than the average scores for the partially blended (2014) and completely blended (2015) courses </w:t>
      </w:r>
      <w:r w:rsidRPr="00065E56">
        <w:fldChar w:fldCharType="begin"/>
      </w:r>
      <w:r w:rsidRPr="00065E56">
        <w:instrText xml:space="preserve"> ADDIN ZOTERO_ITEM CSL_CITATION {"citationID":"djLc60wg","properties":{"formattedCitation":"(R. A. Green &amp; Whitburn, 2016)","plainCitation":"(R. A. Green &amp; Whitburn, 2016)","noteIndex":0},"citationItems":[{"id":292,"uris":["http://zotero.org/users/local/8fpcHUeo/items/78QQXIXE"],"uri":["http://zotero.org/users/local/8fpcHUeo/items/78QQXIXE"],"itemData":{"id":292,"type":"article-journal","container-title":"Anatomical Sciences Education","DOI":"10.1002/ase.1602","ISSN":"19359772","issue":"5","journalAbbreviation":"American Association of Anatomists","language":"en","page":"422-430","source":"DOI.org (Crossref)","title":"Impact of introduction of blended learning in gross anatomy on student outcomes: Outcomes of Blended Learning in Gross Anatomy","title-short":"Impact of introduction of blended learning in gross anatomy on student outcomes","volume":"9","author":[{"family":"Green","given":"Rodney A."},{"family":"Whitburn","given":"Laura Y."}],"issued":{"date-parts":[["2016",10]]}}}],"schema":"https://github.com/citation-style-language/schema/raw/master/csl-citation.json"} </w:instrText>
      </w:r>
      <w:r w:rsidRPr="00065E56">
        <w:fldChar w:fldCharType="separate"/>
      </w:r>
      <w:r w:rsidRPr="00065E56">
        <w:rPr>
          <w:noProof/>
        </w:rPr>
        <w:t>(R. A. Green &amp; Whitburn, 2016)</w:t>
      </w:r>
      <w:r w:rsidRPr="00065E56">
        <w:fldChar w:fldCharType="end"/>
      </w:r>
      <w:r w:rsidRPr="00065E56">
        <w:t xml:space="preserve">. The same statistics were applied to the course pre-requisite with no significant differences found between years, lending support that the findings were due to the course changes and not differences in student populations. Green does caution that students felt the workload in 2015 (completely blended) was high, though there is no basis of comparison for the comment (2016). Means et al. similarly cautions that learning conditions are not standardized when assessing most educational research (2013).  </w:t>
      </w:r>
    </w:p>
    <w:p w14:paraId="68970D67" w14:textId="73D18507" w:rsidR="000400EC" w:rsidRPr="00065E56" w:rsidRDefault="000400EC" w:rsidP="000400EC">
      <w:pPr>
        <w:pStyle w:val="NormalWeb"/>
        <w:spacing w:line="480" w:lineRule="auto"/>
      </w:pPr>
      <w:r w:rsidRPr="00065E56">
        <w:tab/>
        <w:t>An</w:t>
      </w:r>
      <w:r w:rsidR="00875529">
        <w:t>other</w:t>
      </w:r>
      <w:r w:rsidRPr="00065E56">
        <w:t xml:space="preserve"> subset of studies sorted exam questions according to a modified Bloom’s Taxonomy </w:t>
      </w:r>
      <w:r w:rsidRPr="00065E56">
        <w:fldChar w:fldCharType="begin"/>
      </w:r>
      <w:r w:rsidRPr="00065E56">
        <w:instrText xml:space="preserve"> ADDIN ZOTERO_ITEM CSL_CITATION {"citationID":"QLefZoGu","properties":{"formattedCitation":"(Anderson &amp; Krathwohl, 2001; Bloom, Benjamin, n.d.)","plainCitation":"(Anderson &amp; Krathwohl, 2001; Bloom, Benjamin, n.d.)","dontUpdate":true,"noteIndex":0},"citationItems":[{"id":382,"uris":["http://zotero.org/users/local/8fpcHUeo/items/QGAJA3KF"],"uri":["http://zotero.org/users/local/8fpcHUeo/items/QGAJA3KF"],"itemData":{"id":382,"type":"book","event-place":"New York","ISBN":"978-0-8013-1903-7","publisher":"Longman","publisher-place":"New York","title":"A Taxonomy for Learning, Teaching, and Assessing: A Revision of Bloom's Taxonomy of Educational Objectives","author":[{"family":"Anderson","given":"Lorin W."},{"family":"Krathwohl","given":"David R."}],"issued":{"date-parts":[["2001"]]}}},{"id":156,"uris":["http://zotero.org/users/local/8fpcHUeo/items/WH9WHRCL"],"uri":["http://zotero.org/users/local/8fpcHUeo/items/WH9WHRCL"],"itemData":{"id":156,"type":"book","ISBN":"ISBN-13: 978-0582280106","title":"Taxonomy of Educational Objectives, Handbook 1: Cognitive Domain","author":[{"family":"Bloom, Benjamin","given":""}]}}],"schema":"https://github.com/citation-style-language/schema/raw/master/csl-citation.json"} </w:instrText>
      </w:r>
      <w:r w:rsidRPr="00065E56">
        <w:fldChar w:fldCharType="separate"/>
      </w:r>
      <w:r w:rsidRPr="00065E56">
        <w:rPr>
          <w:noProof/>
        </w:rPr>
        <w:t>(Anderson &amp; Krathwohl, 2001; Bloom, 1956)</w:t>
      </w:r>
      <w:r w:rsidRPr="00065E56">
        <w:fldChar w:fldCharType="end"/>
      </w:r>
      <w:r w:rsidRPr="00065E56">
        <w:t xml:space="preserve">. Multiple-choice questions were sorted into high and low categories, with ‘high’ representing apply and analyze, and ‘low’ representing remember and understand </w:t>
      </w:r>
      <w:r w:rsidRPr="00065E56">
        <w:fldChar w:fldCharType="begin"/>
      </w:r>
      <w:r w:rsidRPr="00065E56">
        <w:instrText xml:space="preserve"> ADDIN ZOTERO_ITEM CSL_CITATION {"citationID":"8XMkYEwR","properties":{"formattedCitation":"(Morton &amp; Colbert-Getz, 2017)","plainCitation":"(Morton &amp; Colbert-Getz, 2017)","dontUpdate":true,"noteIndex":0},"citationItems":[{"id":339,"uris":["http://zotero.org/users/local/8fpcHUeo/items/MBEEW2RL"],"uri":["http://zotero.org/users/local/8fpcHUeo/items/MBEEW2RL"],"itemData":{"id":339,"type":"article-journal","abstract":"The ﬂipped classroom (FC) model has emerged as an innovative solution to improve student‐centered learning. However, studies measuring student performance of material in the FC relative to the lecture classroom (LC) have shown mixed results. An aim of this study was to determine if the disparity in results of prior research is due to level of cognition (low or high) needed to perform well on the outcome, or course assessment. This study tested the hypothesis that (1) students in a FC would perform better than students in a LC on an assessment requiring higher cognition and (2) there would be no diﬀerence in performance for an assessment requiring lower cognition. To test this hypothesis the performance of 28 multiple choice anatomy items that were part of a ﬁnal examination were compared between two classes of ﬁrst year medical students at the University of Utah School of Medicine. Items were categorized as requiring knowledge (low cognition), application, or analysis (high cognition). Thirty hours of anatomy content was delivered in LC format to 101 students in 2013 and in FC format to 104 students in 2014. Mann Whitney tests indicated FC students performed better than LC students on analysis items, U = 4243.00, P = 0.030, r =  0.19, but there were no diﬀerences in performance between FC and LC students for knowledge, U = 5002.00, P = 0.720 or application, U = 4990.00, P = 0.700, items. The FC may beneﬁt retention when students are expected to analyze material. Anat Sci Educ 10: 170–175. © 2016 American Association of Anatomists.","container-title":"Anatomical Sciences Education","DOI":"10.1002/ase.1635","ISSN":"19359772","issue":"2","journalAbbreviation":"American Association of Anatomists","language":"en","page":"170-175","source":"DOI.org (Crossref)","title":"Measuring the impact of the flipped anatomy classroom: The importance of categorizing an assessment by Bloom's taxonomy: Impact of the Flipped Anatomy Classroom","title-short":"Measuring the impact of the flipped anatomy classroom","volume":"10","author":[{"family":"Morton","given":"David A."},{"family":"Colbert-Getz","given":"Jorie M."}],"issued":{"date-parts":[["2017",3]]}}}],"schema":"https://github.com/citation-style-language/schema/raw/master/csl-citation.json"} </w:instrText>
      </w:r>
      <w:r w:rsidRPr="00065E56">
        <w:fldChar w:fldCharType="separate"/>
      </w:r>
      <w:r w:rsidRPr="00065E56">
        <w:rPr>
          <w:noProof/>
        </w:rPr>
        <w:t xml:space="preserve">(Morton &amp; Colbert-Getz, 2017; </w:t>
      </w:r>
      <w:r w:rsidRPr="00065E56">
        <w:fldChar w:fldCharType="end"/>
      </w:r>
      <w:r w:rsidRPr="00065E56">
        <w:fldChar w:fldCharType="begin"/>
      </w:r>
      <w:r w:rsidRPr="00065E56">
        <w:instrText xml:space="preserve"> ADDIN ZOTERO_ITEM CSL_CITATION {"citationID":"QhQwFuFn","properties":{"formattedCitation":"(Day, 2018)","plainCitation":"(Day, 2018)","dontUpdate":true,"noteIndex":0},"citationItems":[{"id":66,"uris":["http://zotero.org/users/local/8fpcHUeo/items/22QUYBMN"],"uri":["http://zotero.org/users/local/8fpcHUeo/items/22QUYBMN"],"itemData":{"id":66,"type":"article-journal","container-title":"Anatomical Sciences Education","DOI":"10.1002/ase.1772","ISSN":"19359772","issue":"6","language":"en","page":"565-574","source":"Crossref","title":"A gross anatomy flipped classroom effects performance, retention, and higher-level thinking in lower performing students","volume":"11","author":[{"family":"Day","given":"Leslie J."}],"issued":{"date-parts":[["2018",11]]}}}],"schema":"https://github.com/citation-style-language/schema/raw/master/csl-citation.json"} </w:instrText>
      </w:r>
      <w:r w:rsidRPr="00065E56">
        <w:fldChar w:fldCharType="separate"/>
      </w:r>
      <w:r w:rsidRPr="00065E56">
        <w:rPr>
          <w:noProof/>
        </w:rPr>
        <w:t>Day, 2018)</w:t>
      </w:r>
      <w:r w:rsidRPr="00065E56">
        <w:fldChar w:fldCharType="end"/>
      </w:r>
      <w:r w:rsidRPr="00065E56">
        <w:t xml:space="preserve">. Two years of first year medical students’ exams from a Foundations of Medicine course, which included gross anatomy, were compared. When the ‘high’ Bloom’s questions were resegregated back to apply and </w:t>
      </w:r>
      <w:r w:rsidRPr="00065E56">
        <w:lastRenderedPageBreak/>
        <w:t xml:space="preserve">analyze, the 2014 flipped cohort scored 3% (p = .30, 95% CI -0.5% - 7%) higher for the ‘analyze’ Bloom’s level questions than did the 2013 F2F cohort  </w:t>
      </w:r>
      <w:r w:rsidRPr="00065E56">
        <w:fldChar w:fldCharType="begin"/>
      </w:r>
      <w:r w:rsidRPr="00065E56">
        <w:instrText xml:space="preserve"> ADDIN ZOTERO_ITEM CSL_CITATION {"citationID":"M0nzcKyl","properties":{"formattedCitation":"(Morton &amp; Colbert-Getz, 2017)","plainCitation":"(Morton &amp; Colbert-Getz, 2017)","noteIndex":0},"citationItems":[{"id":339,"uris":["http://zotero.org/users/local/8fpcHUeo/items/MBEEW2RL"],"uri":["http://zotero.org/users/local/8fpcHUeo/items/MBEEW2RL"],"itemData":{"id":339,"type":"article-journal","abstract":"The ﬂipped classroom (FC) model has emerged as an innovative solution to improve student‐centered learning. However, studies measuring student performance of material in the FC relative to the lecture classroom (LC) have shown mixed results. An aim of this study was to determine if the disparity in results of prior research is due to level of cognition (low or high) needed to perform well on the outcome, or course assessment. This study tested the hypothesis that (1) students in a FC would perform better than students in a LC on an assessment requiring higher cognition and (2) there would be no diﬀerence in performance for an assessment requiring lower cognition. To test this hypothesis the performance of 28 multiple choice anatomy items that were part of a ﬁnal examination were compared between two classes of ﬁrst year medical students at the University of Utah School of Medicine. Items were categorized as requiring knowledge (low cognition), application, or analysis (high cognition). Thirty hours of anatomy content was delivered in LC format to 101 students in 2013 and in FC format to 104 students in 2014. Mann Whitney tests indicated FC students performed better than LC students on analysis items, U = 4243.00, P = 0.030, r =  0.19, but there were no diﬀerences in performance between FC and LC students for knowledge, U = 5002.00, P = 0.720 or application, U = 4990.00, P = 0.700, items. The FC may beneﬁt retention when students are expected to analyze material. Anat Sci Educ 10: 170–175. © 2016 American Association of Anatomists.","container-title":"Anatomical Sciences Education","DOI":"10.1002/ase.1635","ISSN":"19359772","issue":"2","journalAbbreviation":"American Association of Anatomists","language":"en","page":"170-175","source":"DOI.org (Crossref)","title":"Measuring the impact of the flipped anatomy classroom: The importance of categorizing an assessment by Bloom's taxonomy: Impact of the Flipped Anatomy Classroom","title-short":"Measuring the impact of the flipped anatomy classroom","volume":"10","author":[{"family":"Morton","given":"David A."},{"family":"Colbert-Getz","given":"Jorie M."}],"issued":{"date-parts":[["2017",3]]}}}],"schema":"https://github.com/citation-style-language/schema/raw/master/csl-citation.json"} </w:instrText>
      </w:r>
      <w:r w:rsidRPr="00065E56">
        <w:fldChar w:fldCharType="separate"/>
      </w:r>
      <w:r w:rsidRPr="00065E56">
        <w:rPr>
          <w:noProof/>
        </w:rPr>
        <w:t>(Morton &amp; Colbert-Getz, 2017)</w:t>
      </w:r>
      <w:r w:rsidRPr="00065E56">
        <w:fldChar w:fldCharType="end"/>
      </w:r>
      <w:r w:rsidRPr="00065E56">
        <w:t>. ‘Low’ Bloom’s level questions were not significantly different between groups. Day had a similar outcome with students in a Doctor of Physical Therapy program; students from the flipped cohort earned a 76.7 ± 15.4% on ‘high’ Bloom’s multiple-choice questions as opposed to 68.0 ± 16.5% from the traditional cohort Mann-Whitney U = 4,076.5, p &lt; 0.001, d = 0.55) (2018). Morton argues that the active learning that ensues from flipping a classroom online ostensibly promotes deeper learning. Assessments reflecting deeper learning should therefore be used to assess efficacy (2016).</w:t>
      </w:r>
    </w:p>
    <w:p w14:paraId="05EA25C7" w14:textId="279F83B0" w:rsidR="000400EC" w:rsidRPr="00065E56" w:rsidRDefault="000400EC" w:rsidP="000400EC">
      <w:pPr>
        <w:pStyle w:val="NormalWeb"/>
        <w:spacing w:line="480" w:lineRule="auto"/>
      </w:pPr>
      <w:r w:rsidRPr="00065E56">
        <w:tab/>
        <w:t xml:space="preserve">Day further identified positive results regarding low performers and long-term outcomes. Pre-matriculation student grade point averages (GPA) were sorted into quartiles. Students in </w:t>
      </w:r>
      <w:proofErr w:type="gramStart"/>
      <w:r w:rsidRPr="00065E56">
        <w:t>the  lowest</w:t>
      </w:r>
      <w:proofErr w:type="gramEnd"/>
      <w:r w:rsidRPr="00065E56">
        <w:t xml:space="preserve"> two quartiles of the flipped cohort (GPA ranges 3.0-3.39 and 3.40-3.59) had significantly higher semester averages than the same quartiles from the traditional cohort (2018). A separate study investigating exam differences between a team-based/blended learning gross anatomy course and previous F2F courses did not find exam score differences </w:t>
      </w:r>
      <w:r w:rsidRPr="00065E56">
        <w:fldChar w:fldCharType="begin"/>
      </w:r>
      <w:r w:rsidRPr="00065E56">
        <w:instrText xml:space="preserve"> ADDIN ZOTERO_ITEM CSL_CITATION {"citationID":"IKc3x06C","properties":{"formattedCitation":"(Nieder et al., 2005)","plainCitation":"(Nieder et al., 2005)","noteIndex":0},"citationItems":[{"id":78,"uris":["http://zotero.org/users/local/8fpcHUeo/items/NQ2RLY3P"],"uri":["http://zotero.org/users/local/8fpcHUeo/items/NQ2RLY3P"],"itemData":{"id":78,"type":"article-journal","container-title":"Clinical Anatomy","DOI":"10.1002/ca.20040","ISSN":"0897-3806, 1098-2353","issue":"1","language":"en","page":"56-63","source":"Crossref","title":"Team-based learning in a medical gross anatomy and embryology course","volume":"18","author":[{"family":"Nieder","given":"Gary L."},{"family":"Parmelee","given":"Dean X."},{"family":"Stolfi","given":"Adrienne"},{"family":"Hudes","given":"Patricia D."}],"issued":{"date-parts":[["2005",1]]}}}],"schema":"https://github.com/citation-style-language/schema/raw/master/csl-citation.json"} </w:instrText>
      </w:r>
      <w:r w:rsidRPr="00065E56">
        <w:fldChar w:fldCharType="separate"/>
      </w:r>
      <w:r w:rsidRPr="00065E56">
        <w:rPr>
          <w:noProof/>
        </w:rPr>
        <w:t>(Nieder et al., 2005)</w:t>
      </w:r>
      <w:r w:rsidRPr="00065E56">
        <w:fldChar w:fldCharType="end"/>
      </w:r>
      <w:r w:rsidRPr="00065E56">
        <w:t xml:space="preserve">. However, significantly less variance in exam scores was found in the blended course, leading </w:t>
      </w:r>
      <w:proofErr w:type="spellStart"/>
      <w:r w:rsidRPr="00065E56">
        <w:t>Nieder</w:t>
      </w:r>
      <w:proofErr w:type="spellEnd"/>
      <w:r w:rsidRPr="00065E56">
        <w:t xml:space="preserve"> </w:t>
      </w:r>
      <w:r w:rsidR="00875529">
        <w:t>and colleagues</w:t>
      </w:r>
      <w:r w:rsidRPr="00065E56">
        <w:t xml:space="preserve"> to support the idea of lower performing students benefitting from a more active learning/blended learning format. For long-term outcomes, Day continued investigating student progress in the subsequent kinesiology course. Semester average scores were significantly higher for the formerly flipped anatomy cohort 88.5 ± 4.6% than for the traditional cohort 86.5 ± 4.6% (Mann-Whitney U, p = 0.029, d = 0.37) (2018). </w:t>
      </w:r>
      <w:r w:rsidR="00875529">
        <w:t>These data seem to support the</w:t>
      </w:r>
      <w:r w:rsidRPr="00065E56">
        <w:t xml:space="preserve"> finding</w:t>
      </w:r>
      <w:r w:rsidR="00875529">
        <w:t>s that</w:t>
      </w:r>
      <w:r w:rsidRPr="00065E56">
        <w:t xml:space="preserve"> aligning program goals of deeper learning to appropriate assessment and </w:t>
      </w:r>
      <w:r w:rsidR="00875529">
        <w:lastRenderedPageBreak/>
        <w:t>indicates</w:t>
      </w:r>
      <w:r w:rsidRPr="00065E56">
        <w:t xml:space="preserve"> long-term retention advantages can be generated from a flipped classroom/blended learning format.</w:t>
      </w:r>
    </w:p>
    <w:p w14:paraId="02B7F25A" w14:textId="77777777" w:rsidR="000400EC" w:rsidRPr="00065E56" w:rsidRDefault="000400EC" w:rsidP="000400EC">
      <w:pPr>
        <w:pStyle w:val="NormalWeb"/>
        <w:spacing w:line="480" w:lineRule="auto"/>
      </w:pPr>
      <w:r w:rsidRPr="00065E56">
        <w:tab/>
        <w:t xml:space="preserve">In a separate Bloom’s test item analysis, researchers flipped/blended half of the lectures in a multi-modal pre-clinical anatomy course for first-year medical students and compared them to an historical cohort that did not flip/blend any lectures. They categorized 17 multiple-choice questions from the musculoskeletal unit exam common to both cohorts according to Bloom’s Taxonomy </w:t>
      </w:r>
      <w:r w:rsidRPr="00065E56">
        <w:fldChar w:fldCharType="begin"/>
      </w:r>
      <w:r w:rsidRPr="00065E56">
        <w:instrText xml:space="preserve"> ADDIN ZOTERO_ITEM CSL_CITATION {"citationID":"FxbsSfeh","properties":{"formattedCitation":"(Anderson &amp; Krathwohl, 2001; Bloom, Benjamin, n.d.)","plainCitation":"(Anderson &amp; Krathwohl, 2001; Bloom, Benjamin, n.d.)","dontUpdate":true,"noteIndex":0},"citationItems":[{"id":382,"uris":["http://zotero.org/users/local/8fpcHUeo/items/QGAJA3KF"],"uri":["http://zotero.org/users/local/8fpcHUeo/items/QGAJA3KF"],"itemData":{"id":382,"type":"book","event-place":"New York","ISBN":"978-0-8013-1903-7","publisher":"Longman","publisher-place":"New York","title":"A Taxonomy for Learning, Teaching, and Assessing: A Revision of Bloom's Taxonomy of Educational Objectives","author":[{"family":"Anderson","given":"Lorin W."},{"family":"Krathwohl","given":"David R."}],"issued":{"date-parts":[["2001"]]}}},{"id":156,"uris":["http://zotero.org/users/local/8fpcHUeo/items/WH9WHRCL"],"uri":["http://zotero.org/users/local/8fpcHUeo/items/WH9WHRCL"],"itemData":{"id":156,"type":"book","ISBN":"ISBN-13: 978-0582280106","title":"Taxonomy of Educational Objectives, Handbook 1: Cognitive Domain","author":[{"family":"Bloom, Benjamin","given":""}]}}],"schema":"https://github.com/citation-style-language/schema/raw/master/csl-citation.json"} </w:instrText>
      </w:r>
      <w:r w:rsidRPr="00065E56">
        <w:fldChar w:fldCharType="separate"/>
      </w:r>
      <w:r w:rsidRPr="00065E56">
        <w:rPr>
          <w:noProof/>
        </w:rPr>
        <w:t>(Anderson &amp; Krathwohl, 2001; Bloom, 1956)</w:t>
      </w:r>
      <w:r w:rsidRPr="00065E56">
        <w:fldChar w:fldCharType="end"/>
      </w:r>
      <w:r w:rsidRPr="00065E56">
        <w:t xml:space="preserve">. Effect sizes for knowledge, apply, and analyze question responses were calculated at 0.43, 1.41, and 1.01 respectively, using Cohen’s d test </w:t>
      </w:r>
      <w:r w:rsidRPr="00065E56">
        <w:fldChar w:fldCharType="begin"/>
      </w:r>
      <w:r w:rsidRPr="00065E56">
        <w:instrText xml:space="preserve"> ADDIN ZOTERO_ITEM CSL_CITATION {"citationID":"2XenPCzl","properties":{"formattedCitation":"(El Sadik &amp; Al Abdulmonem, 2020)","plainCitation":"(El Sadik &amp; Al Abdulmonem, 2020)","noteIndex":0},"citationItems":[{"id":401,"uris":["http://zotero.org/users/local/8fpcHUeo/items/9GCRBZF2"],"uri":["http://zotero.org/users/local/8fpcHUeo/items/9GCRBZF2"],"itemData":{"id":401,"type":"article-journal","container-title":"Anatomical Sciences Education","page":"1-9","title":"Improvement in Student Performance and Perceptions through a Flipped Anatomy Classroom: Shifting from Passive Traditional to Active Blended Learning","volume":"0","author":[{"family":"El Sadik","given":"Abir"},{"family":"Al Abdulmonem","given":"Waleed"}],"issued":{"date-parts":[["2020"]]}}}],"schema":"https://github.com/citation-style-language/schema/raw/master/csl-citation.json"} </w:instrText>
      </w:r>
      <w:r w:rsidRPr="00065E56">
        <w:fldChar w:fldCharType="separate"/>
      </w:r>
      <w:r w:rsidRPr="00065E56">
        <w:rPr>
          <w:noProof/>
        </w:rPr>
        <w:t>(El Sadik &amp; Al Abdulmonem, 2020)</w:t>
      </w:r>
      <w:r w:rsidRPr="00065E56">
        <w:fldChar w:fldCharType="end"/>
      </w:r>
      <w:r w:rsidRPr="00065E56">
        <w:t xml:space="preserve">, potentially indicating a more significant effect in the higher Bloom’s levels when at least a portion of lectures are flipped/blended. </w:t>
      </w:r>
    </w:p>
    <w:p w14:paraId="65D91CDE" w14:textId="77777777" w:rsidR="000400EC" w:rsidRPr="00065E56" w:rsidRDefault="000400EC" w:rsidP="000400EC">
      <w:pPr>
        <w:pStyle w:val="NormalWeb"/>
        <w:spacing w:line="480" w:lineRule="auto"/>
      </w:pPr>
      <w:r w:rsidRPr="00065E56">
        <w:tab/>
        <w:t xml:space="preserve">In a second year undergraduate anatomy course, half of the course content was delivered online with custom videos, worksheets, and activities, with the other half delivered F2F. Students met for 2 hours a week for laboratory and 1 hour for further guided activities for the entire length of the course </w:t>
      </w:r>
      <w:r w:rsidRPr="00065E56">
        <w:fldChar w:fldCharType="begin"/>
      </w:r>
      <w:r w:rsidRPr="00065E56">
        <w:instrText xml:space="preserve"> ADDIN ZOTERO_ITEM CSL_CITATION {"citationID":"ZccLTrqE","properties":{"formattedCitation":"(White et al., 2019)","plainCitation":"(White et al., 2019)","noteIndex":0},"citationItems":[{"id":295,"uris":["http://zotero.org/users/local/8fpcHUeo/items/W9FCA4TW"],"uri":["http://zotero.org/users/local/8fpcHUeo/items/W9FCA4TW"],"itemData":{"id":295,"type":"article-journal","container-title":"Anatomical Sciences Education","DOI":"10.1002/ase.1787","ISSN":"19359772","issue":"1","journalAbbreviation":"American Association of Anatomists","language":"en","page":"43-51","source":"DOI.org (Crossref)","title":"The Effect of Content Delivery Style on Student Performance in Anatomy: Blended Learning and Assessment in Anatomy","title-short":"The Effect of Content Delivery Style on Student Performance in Anatomy","volume":"12","author":[{"family":"White","given":"Lloyd J."},{"family":"McGowan","given":"Heath W."},{"family":"McDonald","given":"Aaron C."}],"issued":{"date-parts":[["2019",1]]}}}],"schema":"https://github.com/citation-style-language/schema/raw/master/csl-citation.json"} </w:instrText>
      </w:r>
      <w:r w:rsidRPr="00065E56">
        <w:fldChar w:fldCharType="separate"/>
      </w:r>
      <w:r w:rsidRPr="00065E56">
        <w:rPr>
          <w:noProof/>
        </w:rPr>
        <w:t>(White et al., 2019)</w:t>
      </w:r>
      <w:r w:rsidRPr="00065E56">
        <w:fldChar w:fldCharType="end"/>
      </w:r>
      <w:r w:rsidRPr="00065E56">
        <w:t>. Four practical exams were administered during the course, with each online and F2F unit equally represented. White found no statistically significant difference in scores but noted increased number of views correlated with increased scores r</w:t>
      </w:r>
      <w:r w:rsidRPr="00065E56">
        <w:rPr>
          <w:vertAlign w:val="superscript"/>
        </w:rPr>
        <w:t xml:space="preserve">2 </w:t>
      </w:r>
      <w:r w:rsidRPr="00065E56">
        <w:t xml:space="preserve">= 0.9174; p &lt; .001 (2019). These results correlate with other studies indicating student use of online content to revise knowledge </w:t>
      </w:r>
      <w:r w:rsidRPr="00065E56">
        <w:fldChar w:fldCharType="begin"/>
      </w:r>
      <w:r w:rsidRPr="00065E56">
        <w:instrText xml:space="preserve"> ADDIN ZOTERO_ITEM CSL_CITATION {"citationID":"H0K7E5pN","properties":{"formattedCitation":"(R. A. Green &amp; Whitburn, 2016)","plainCitation":"(R. A. Green &amp; Whitburn, 2016)","dontUpdate":true,"noteIndex":0},"citationItems":[{"id":292,"uris":["http://zotero.org/users/local/8fpcHUeo/items/78QQXIXE"],"uri":["http://zotero.org/users/local/8fpcHUeo/items/78QQXIXE"],"itemData":{"id":292,"type":"article-journal","container-title":"Anatomical Sciences Education","DOI":"10.1002/ase.1602","ISSN":"19359772","issue":"5","journalAbbreviation":"American Association of Anatomists","language":"en","page":"422-430","source":"DOI.org (Crossref)","title":"Impact of introduction of blended learning in gross anatomy on student outcomes: Outcomes of Blended Learning in Gross Anatomy","title-short":"Impact of introduction of blended learning in gross anatomy on student outcomes","volume":"9","author":[{"family":"Green","given":"Rodney A."},{"family":"Whitburn","given":"Laura Y."}],"issued":{"date-parts":[["2016",10]]}}}],"schema":"https://github.com/citation-style-language/schema/raw/master/csl-citation.json"} </w:instrText>
      </w:r>
      <w:r w:rsidRPr="00065E56">
        <w:fldChar w:fldCharType="separate"/>
      </w:r>
      <w:r w:rsidRPr="00065E56">
        <w:rPr>
          <w:noProof/>
        </w:rPr>
        <w:t xml:space="preserve">(R. A. Green &amp; Whitburn, 2016; </w:t>
      </w:r>
      <w:r w:rsidRPr="00065E56">
        <w:fldChar w:fldCharType="end"/>
      </w:r>
      <w:r w:rsidRPr="00065E56">
        <w:fldChar w:fldCharType="begin"/>
      </w:r>
      <w:r w:rsidRPr="00065E56">
        <w:instrText xml:space="preserve"> ADDIN ZOTERO_ITEM CSL_CITATION {"citationID":"acsY5tEF","properties":{"formattedCitation":"(S. M. Green et al., 2006)","plainCitation":"(S. M. Green et al., 2006)","dontUpdate":true,"noteIndex":0},"citationItems":[{"id":297,"uris":["http://zotero.org/users/local/8fpcHUeo/items/2KISA535"],"uri":["http://zotero.org/users/local/8fpcHUeo/items/2KISA535"],"itemData":{"id":297,"type":"article-journal","abstract":"Students commence nurse education with varying levels of understanding of human anatomy and physiology due to a wide range of previous exposure to the topic. All students, however, are required to attain a broad knowledge of this topic prior to qualiﬁcation.","container-title":"Nurse Education Today","DOI":"10.1016/j.nedt.2005.11.008","ISSN":"02606917","issue":"5","journalAbbreviation":"Nurse Education Today","language":"en","page":"388-395","source":"DOI.org (Crossref)","title":"The development and evaluation of the use of a virtual learning environment (Blackboard 5) to support the learning of pre-qualifying nursing students undertaking a human anatomy and physiology module","volume":"26","author":[{"family":"Green","given":"Sue M."},{"family":"Weaver","given":"Mike"},{"family":"Voegeli","given":"David"},{"family":"Fitzsimmons","given":"Debs"},{"family":"Knowles","given":"Jess"},{"family":"Harrison","given":"Maureen"},{"family":"Shephard","given":"Kerry"}],"issued":{"date-parts":[["2006",7]]}}}],"schema":"https://github.com/citation-style-language/schema/raw/master/csl-citation.json"} </w:instrText>
      </w:r>
      <w:r w:rsidRPr="00065E56">
        <w:fldChar w:fldCharType="separate"/>
      </w:r>
      <w:r w:rsidRPr="00065E56">
        <w:rPr>
          <w:noProof/>
        </w:rPr>
        <w:t>S. M. Green et al., 2006)</w:t>
      </w:r>
      <w:r w:rsidRPr="00065E56">
        <w:fldChar w:fldCharType="end"/>
      </w:r>
      <w:r w:rsidRPr="00065E56">
        <w:t xml:space="preserve">. </w:t>
      </w:r>
    </w:p>
    <w:p w14:paraId="55355700" w14:textId="77777777" w:rsidR="000400EC" w:rsidRPr="00065E56" w:rsidRDefault="000400EC" w:rsidP="000400EC">
      <w:pPr>
        <w:pStyle w:val="NormalWeb"/>
        <w:spacing w:line="480" w:lineRule="auto"/>
      </w:pPr>
      <w:r w:rsidRPr="00065E56">
        <w:tab/>
        <w:t xml:space="preserve">Recent literature reviews yield mixed results. Chen et al. conducted a literature search of 82 articles, nine of which contained effect sizes ranging from d = -0.27 to 1.21, with a median of 0.08. The confidence intervals were inconsistent and included zero, suggesting a lack of flipped/classroom effectiveness over traditional teaching methods </w:t>
      </w:r>
      <w:r w:rsidRPr="00065E56">
        <w:fldChar w:fldCharType="begin"/>
      </w:r>
      <w:r w:rsidRPr="00065E56">
        <w:instrText xml:space="preserve"> ADDIN ZOTERO_ITEM CSL_CITATION {"citationID":"L4sshqfr","properties":{"formattedCitation":"(Chen et al., 2017)","plainCitation":"(Chen et al., 2017)","noteIndex":0},"citationItems":[{"id":407,"uris":["http://zotero.org/users/local/8fpcHUeo/items/5EBTUYM4"],"uri":["http://zotero.org/users/local/8fpcHUeo/items/5EBTUYM4"],"itemData":{"id":407,"type":"article-journal","container-title":"Medical Education","DOI":"10.1111/medu.13272","ISSN":"03080110","issue":"6","journalAbbreviation":"Med Educ","language":"en","page":"585-597","source":"DOI.org (Crossref)","title":"A systematic review of the effectiveness of flipped classrooms in medical education","volume":"51","author":[{"family":"Chen","given":"Fei"},{"family":"Lui","given":"Angela M"},{"family":"Martinelli","given":"Susan M"}],"issued":{"date-parts":[["2017",6]]}}}],"schema":"https://github.com/citation-style-language/schema/raw/master/csl-citation.json"} </w:instrText>
      </w:r>
      <w:r w:rsidRPr="00065E56">
        <w:fldChar w:fldCharType="separate"/>
      </w:r>
      <w:r w:rsidRPr="00065E56">
        <w:rPr>
          <w:noProof/>
        </w:rPr>
        <w:t>(Chen et al., 2017)</w:t>
      </w:r>
      <w:r w:rsidRPr="00065E56">
        <w:fldChar w:fldCharType="end"/>
      </w:r>
      <w:r w:rsidRPr="00065E56">
        <w:t xml:space="preserve">. Authors of </w:t>
      </w:r>
      <w:r w:rsidRPr="00065E56">
        <w:lastRenderedPageBreak/>
        <w:t xml:space="preserve">a narrative literature review of the flipped classroom use in HPE reviewed 24 research articles between 2005 and 2017. Though the majority of studies (17) noted significant improvement in at least one academic outcome, overall the mixed results or lack of significant results prompted researchers to conclude a lack of conclusive evidence for adoption of the flipped classroom pedagogy </w:t>
      </w:r>
      <w:r w:rsidRPr="00065E56">
        <w:fldChar w:fldCharType="begin"/>
      </w:r>
      <w:r w:rsidRPr="00065E56">
        <w:instrText xml:space="preserve"> ADDIN ZOTERO_ITEM CSL_CITATION {"citationID":"qCQBJLls","properties":{"formattedCitation":"(L. Evans et al., 2019)","plainCitation":"(L. Evans et al., 2019)","noteIndex":0},"citationItems":[{"id":403,"uris":["http://zotero.org/users/local/8fpcHUeo/items/K7BCKAWV"],"uri":["http://zotero.org/users/local/8fpcHUeo/items/K7BCKAWV"],"itemData":{"id":403,"type":"article-journal","abstract":"Background: The flipped classroom is an approach to teaching with independent and asynchronous study of content by students and active learning during scheduled class times.\nPurpose: The purpose of this review was to systematically examine research on the use of the flipped classroom approach in health professions education.\nMethods: Eleven electronic databases were searched for peer-reviewed literature from 2005 through September 2017. Inclusion criteria for studies addressed health professions students and quantitative outcomes (quizzes, examinations, course grades).\nResults: Of the 49 articles identified, 24 met the inclusion criteria. The majority of studies (n = 17) noted a significant improvement in at least 1 student academic outcome using the flipped classroom compared with the traditional lecture.\nConclusions: This systematic review of the effects of the flipped classroom approach for the education of health professions students did not reveal compelling evidence for the effectiveness of the method in improving academic outcomes above that of traditional classroom approaches.","container-title":"Nurse Educator","DOI":"10.1097/NNE.0000000000000554","ISSN":"0363-3624","issue":"2","journalAbbreviation":"Nurse Educator","language":"en","page":"74-78","source":"DOI.org (Crossref)","title":"Flipping the Classroom in Health Care Higher Education: A Systematic Review","title-short":"Flipping the Classroom in Health Care Higher Education","volume":"44","author":[{"family":"Evans","given":"Leda"},{"family":"Vanden Bosch","given":"Melodee L."},{"family":"Harrington","given":"Susan"},{"family":"Schoofs","given":"Nancy"},{"family":"Coviak","given":"Cynthia"}],"issued":{"date-parts":[["2019"]]}}}],"schema":"https://github.com/citation-style-language/schema/raw/master/csl-citation.json"} </w:instrText>
      </w:r>
      <w:r w:rsidRPr="00065E56">
        <w:fldChar w:fldCharType="separate"/>
      </w:r>
      <w:r w:rsidRPr="00065E56">
        <w:rPr>
          <w:noProof/>
        </w:rPr>
        <w:t>(L. Evans et al., 2019)</w:t>
      </w:r>
      <w:r w:rsidRPr="00065E56">
        <w:fldChar w:fldCharType="end"/>
      </w:r>
      <w:r w:rsidRPr="00065E56">
        <w:t xml:space="preserve">. Authors did note, however, a lack of consistent terminology and poor quality of some of the included literature as limitations to their conclusions. A systematic meta-analysis of flipped classrooms that required pre-recorded videos prior to mandatory F2F meetings found an overall significant effect in favor of flipped classrooms for HPE (SMD = 0.33, 95% CI 0.21-0.46, p &lt; 0.001), however </w:t>
      </w:r>
      <w:r w:rsidRPr="00065E56">
        <w:fldChar w:fldCharType="begin"/>
      </w:r>
      <w:r w:rsidRPr="00065E56">
        <w:instrText xml:space="preserve"> ADDIN ZOTERO_ITEM CSL_CITATION {"citationID":"KUpcauKF","properties":{"formattedCitation":"(Hew &amp; Lo, 2018)","plainCitation":"(Hew &amp; Lo, 2018)","noteIndex":0},"citationItems":[{"id":405,"uris":["http://zotero.org/users/local/8fpcHUeo/items/XDARXFI8"],"uri":["http://zotero.org/users/local/8fpcHUeo/items/XDARXFI8"],"itemData":{"id":405,"type":"article-journal","abstract":"Background: The use of flipped classroom approach has become increasingly popular in health professions education. However, no meta-analysis has been published that specifically examines the effect of flipped classroom versus traditional classroom on student learning. This study examined the findings of comparative articles through a meta-analysis in order to summarize the overall effects of teaching with the flipped classroom approach. We focused specifically on a set of flipped classroom studies in which pre-recorded videos were provided before face-to-face class meetings. These comparative articles focused on health care professionals including medical students, residents, doctors, nurses, or learners in other health care professions and disciplines (e.g., dental, pharmacy, environmental or occupational health).\nMethod: Using predefined study eligibility criteria, seven electronic databases were searched in mid-April 2017 for relevant articles. Methodological quality was graded using the Medical Education Research Study Quality Instrument (MERSQI). Effect sizes, heterogeneity estimates, analysis of possible moderators, and publication bias were computed using the COMPREHENSIVE META-ANALYSIS software.\nResults: A meta-analysis of 28 eligible comparative studies (between-subject design) showed an overall significant effect in favor of flipped classrooms over traditional classrooms for health professions education (standardized mean difference, SMD = 0.33, 95% confidence interval, CI = 0.21–0.46, p &lt; 0.001), with no evidence of publication bias. In addition, the flipped classroom approach was more effective when instructors used quizzes at the start of each in-class session. More respondents reported they preferred flipped to traditional classrooms.\nConclusions: Current evidence suggests that the flipped classroom approach in health professions education yields a significant improvement in student learning compared with traditional teaching methods.","container-title":"BMC Medical Education","DOI":"10.1186/s12909-018-1144-z","ISSN":"1472-6920","issue":"1","journalAbbreviation":"BMC Med Educ","language":"en","page":"38","source":"DOI.org (Crossref)","title":"Flipped classroom improves student learning in health professions education: a meta-analysis","title-short":"Flipped classroom improves student learning in health professions education","volume":"18","author":[{"family":"Hew","given":"Khe Foon"},{"family":"Lo","given":"Chung Kwan"}],"issued":{"date-parts":[["2018",12]]}}}],"schema":"https://github.com/citation-style-language/schema/raw/master/csl-citation.json"} </w:instrText>
      </w:r>
      <w:r w:rsidRPr="00065E56">
        <w:fldChar w:fldCharType="separate"/>
      </w:r>
      <w:r w:rsidRPr="00065E56">
        <w:rPr>
          <w:noProof/>
        </w:rPr>
        <w:t>(Hew &amp; Lo, 2018)</w:t>
      </w:r>
      <w:r w:rsidRPr="00065E56">
        <w:fldChar w:fldCharType="end"/>
      </w:r>
      <w:r w:rsidRPr="00065E56">
        <w:t>. Perhaps a narrower review improved consistency of findings.</w:t>
      </w:r>
    </w:p>
    <w:p w14:paraId="7A57907C" w14:textId="77777777" w:rsidR="000400EC" w:rsidRPr="00065E56" w:rsidRDefault="000400EC" w:rsidP="000400EC">
      <w:pPr>
        <w:pStyle w:val="NormalWeb"/>
        <w:spacing w:line="480" w:lineRule="auto"/>
      </w:pPr>
      <w:r w:rsidRPr="00065E56">
        <w:tab/>
        <w:t xml:space="preserve">Remote versus F2F synchronous learning was studied in Pharmacy students participating in an anatomy/pharmacy calculations course. The purpose of this study was to determine if their unusual self-pacing curriculum would be effective in a remote location. Students self-pace learning through discrete learning modules and retest to competency </w:t>
      </w:r>
      <w:r w:rsidRPr="00065E56">
        <w:fldChar w:fldCharType="begin"/>
      </w:r>
      <w:r w:rsidRPr="00065E56">
        <w:instrText xml:space="preserve"> ADDIN ZOTERO_ITEM CSL_CITATION {"citationID":"lIyBVyDd","properties":{"formattedCitation":"(Fike et al., 2009)","plainCitation":"(Fike et al., 2009)","noteIndex":0},"citationItems":[{"id":283,"uris":["http://zotero.org/users/local/8fpcHUeo/items/2TNMJM36"],"uri":["http://zotero.org/users/local/8fpcHUeo/items/2TNMJM36"],"itemData":{"id":283,"type":"article-journal","archive":"CINAHL Complete","container-title":"American Journal of Pharmaceutical Education","ISSN":"0002-9459","issue":"5","journalAbbreviation":"American Journal of Pharmaceutical Education","note":"publisher-place: Arlington, Virginia\npublisher: American Association of Colleges of Pharmacy","page":"1-6","source":"EBSCOhost","title":"Achieving Equivalent Academic Performance Between Campuses Using a Distributed Education Model.","volume":"73","author":[{"family":"Fike","given":"David S."},{"family":"McCall","given":"Kenneth L."},{"family":"Raehl","given":"Cynthia L."},{"family":"Smith","given":"Quentin R."},{"family":"Lockman","given":"Paul R."}],"issued":{"date-parts":[["2009",11,10]]}}}],"schema":"https://github.com/citation-style-language/schema/raw/master/csl-citation.json"} </w:instrText>
      </w:r>
      <w:r w:rsidRPr="00065E56">
        <w:fldChar w:fldCharType="separate"/>
      </w:r>
      <w:r w:rsidRPr="00065E56">
        <w:rPr>
          <w:noProof/>
        </w:rPr>
        <w:t>(Fike et al., 2009)</w:t>
      </w:r>
      <w:r w:rsidRPr="00065E56">
        <w:fldChar w:fldCharType="end"/>
      </w:r>
      <w:r w:rsidRPr="00065E56">
        <w:t xml:space="preserve">. No statistically significant differences were obtained, which is consistent with media comparison studies overall: delivery method does not matter </w:t>
      </w:r>
      <w:r w:rsidRPr="00065E56">
        <w:fldChar w:fldCharType="begin"/>
      </w:r>
      <w:r w:rsidRPr="00065E56">
        <w:instrText xml:space="preserve"> ADDIN ZOTERO_ITEM CSL_CITATION {"citationID":"fJbsXUKa","properties":{"formattedCitation":"(M. G. Moore &amp; Diehl, William C., n.d.)","plainCitation":"(M. G. Moore &amp; Diehl, William C., n.d.)","dontUpdate":true,"noteIndex":0},"citationItems":[{"id":138,"uris":["http://zotero.org/users/local/8fpcHUeo/items/3JDA36LL"],"uri":["http://zotero.org/users/local/8fpcHUeo/items/3JDA36LL"],"itemData":{"id":138,"type":"book","edition":"Fourth","ISBN":"978-1-138-23900-5","publisher":"Routledge","title":"Handbook of Distance Education","author":[{"family":"Moore","given":"Michael G."},{"family":"Diehl, William C.","given":""}]}}],"schema":"https://github.com/citation-style-language/schema/raw/master/csl-citation.json"} </w:instrText>
      </w:r>
      <w:r w:rsidRPr="00065E56">
        <w:fldChar w:fldCharType="separate"/>
      </w:r>
      <w:r w:rsidRPr="00065E56">
        <w:rPr>
          <w:noProof/>
        </w:rPr>
        <w:t xml:space="preserve">(M. G. Moore &amp; Diehl, 2019, Means et al., 2013). </w:t>
      </w:r>
      <w:r w:rsidRPr="00065E56">
        <w:fldChar w:fldCharType="end"/>
      </w:r>
      <w:r w:rsidRPr="00065E56">
        <w:t xml:space="preserve">However, this study had no laboratory component to consider. It is unknown whether a clinical anatomy course with a cadaveric dissection laboratory would have a similar outcome. </w:t>
      </w:r>
    </w:p>
    <w:p w14:paraId="0C4EDE0F" w14:textId="77777777" w:rsidR="000400EC" w:rsidRPr="00065E56" w:rsidRDefault="000400EC" w:rsidP="000400EC">
      <w:pPr>
        <w:pStyle w:val="NormalWeb"/>
        <w:spacing w:line="480" w:lineRule="auto"/>
        <w:rPr>
          <w:b/>
          <w:bCs/>
          <w:i/>
          <w:iCs/>
        </w:rPr>
      </w:pPr>
      <w:r w:rsidRPr="00065E56">
        <w:tab/>
      </w:r>
      <w:r w:rsidRPr="00065E56">
        <w:rPr>
          <w:b/>
          <w:bCs/>
          <w:i/>
          <w:iCs/>
        </w:rPr>
        <w:t xml:space="preserve">Blended learning - student perceptions. </w:t>
      </w:r>
      <w:r w:rsidRPr="00065E56">
        <w:t xml:space="preserve">The remainder of this section is categorized by studies investigating student perceptions and usage of materials placed online: no academic outcomes were collected. A few of these studies included a broader perspective, thus including </w:t>
      </w:r>
      <w:r w:rsidRPr="00065E56">
        <w:lastRenderedPageBreak/>
        <w:t xml:space="preserve">laboratory perceptions. These perspectives were included if deemed relevant to fully remote Clinical Anatomy learning. </w:t>
      </w:r>
    </w:p>
    <w:p w14:paraId="48A9A669" w14:textId="77777777" w:rsidR="000400EC" w:rsidRPr="00065E56" w:rsidRDefault="000400EC" w:rsidP="000400EC">
      <w:pPr>
        <w:pStyle w:val="NormalWeb"/>
        <w:spacing w:line="480" w:lineRule="auto"/>
      </w:pPr>
      <w:r w:rsidRPr="00065E56">
        <w:tab/>
        <w:t xml:space="preserve">In 2004, first year medical student educators realized that their radiologic anatomy pedagogy was outmoded by digital imaging techniques. Rather than having a preceptor standing at a light box holding up films, educators created blended learning modules that included pre-lab self-study cases, follow-up cases, and twice weekly F2F optional review sessions. All interactive modules were rated “useful” or “very useful,” and the non-interactive module was modified and was rated “useful” in the following iteration </w:t>
      </w:r>
      <w:r w:rsidRPr="00065E56">
        <w:fldChar w:fldCharType="begin"/>
      </w:r>
      <w:r w:rsidRPr="00065E56">
        <w:instrText xml:space="preserve"> ADDIN ZOTERO_ITEM CSL_CITATION {"citationID":"OJUWMuUO","properties":{"formattedCitation":"(Shaffer &amp; Small, 2004)","plainCitation":"(Shaffer &amp; Small, 2004)","noteIndex":0},"citationItems":[{"id":299,"uris":["http://zotero.org/users/local/8fpcHUeo/items/ETMC5FTJ"],"uri":["http://zotero.org/users/local/8fpcHUeo/items/ETMC5FTJ"],"itemData":{"id":299,"type":"article-journal","container-title":"Academic Radiology","DOI":"10.1016/j.acra.2004.05.018","ISSN":"10766332","issue":"9","journalAbbreviation":"Academic Radiology","language":"en","page":"1059-1070","source":"DOI.org (Crossref)","title":"Blended learning in medical education: Use of an integrated approach with web-based small group modules and didactic instruction for teaching radiologic anatomy1","title-short":"Blended learning in medical education","volume":"11","author":[{"family":"Shaffer","given":"Kitt"},{"family":"Small","given":"Juan E."}],"issued":{"date-parts":[["2004",9]]}}}],"schema":"https://github.com/citation-style-language/schema/raw/master/csl-citation.json"} </w:instrText>
      </w:r>
      <w:r w:rsidRPr="00065E56">
        <w:fldChar w:fldCharType="separate"/>
      </w:r>
      <w:r w:rsidRPr="00065E56">
        <w:rPr>
          <w:noProof/>
        </w:rPr>
        <w:t>(Shaffer &amp; Small, 2004)</w:t>
      </w:r>
      <w:r w:rsidRPr="00065E56">
        <w:fldChar w:fldCharType="end"/>
      </w:r>
      <w:r w:rsidRPr="00065E56">
        <w:t xml:space="preserve"> indicating a preference for active learning. </w:t>
      </w:r>
    </w:p>
    <w:p w14:paraId="2F61F67E" w14:textId="77777777" w:rsidR="000400EC" w:rsidRPr="00065E56" w:rsidRDefault="000400EC" w:rsidP="000400EC">
      <w:pPr>
        <w:pStyle w:val="NormalWeb"/>
        <w:spacing w:line="480" w:lineRule="auto"/>
      </w:pPr>
      <w:r w:rsidRPr="00065E56">
        <w:tab/>
        <w:t xml:space="preserve">Other studies served to reiterate commitments to cadaveric dissection. Similar in idea to </w:t>
      </w:r>
      <w:proofErr w:type="spellStart"/>
      <w:r w:rsidRPr="00065E56">
        <w:t>Fleagle</w:t>
      </w:r>
      <w:proofErr w:type="spellEnd"/>
      <w:r w:rsidRPr="00065E56">
        <w:t xml:space="preserve"> et al. (2018), pre-laboratory preparation and explanation for dissection was flipped to a blended learning format. Surveys of first year medical students revealed students felt more prepared for lab and had a higher quality experience when using the web-based preparation materials. Faculty noted improved efficiency </w:t>
      </w:r>
      <w:r w:rsidRPr="00065E56">
        <w:fldChar w:fldCharType="begin"/>
      </w:r>
      <w:r w:rsidRPr="00065E56">
        <w:instrText xml:space="preserve"> ADDIN ZOTERO_ITEM CSL_CITATION {"citationID":"2kGKig1h","properties":{"formattedCitation":"(Granger et al., 2006)","plainCitation":"(Granger et al., 2006)","noteIndex":0},"citationItems":[{"id":311,"uris":["http://zotero.org/users/local/8fpcHUeo/items/HDU2FRT4"],"uri":["http://zotero.org/users/local/8fpcHUeo/items/HDU2FRT4"],"itemData":{"id":311,"type":"article-journal","abstract":"Teaching anatomy by dissection is under considerable pressure to evolve and/or even be eliminated, and curricular hours in the dissection laboratory are decreasing. As a possible means of easing this pressure, an online interactive anatomy program has been created to enhance the dissection experience, observational learning, and three‐dimensional comprehension of human anatomy. An assessment was made of the utility of the program in preparing students for dissection laboratories and for examinations. The eﬃcacy of the application was evaluated by ﬁrst‐year students and faculty with pre‐ and post‐use surveys in anatomy courses at three medical schools. It was found that students felt better prepared if they utilized the Web site prior to their dissection laboratory, and faculty reported spending less time explaining basic concepts or techniques. It is concluded that a comprehensive online program signiﬁcantly enhances the quality and eﬃciency of instruction in human anatomy in the dissection laboratory and could prove to be a useful tool at other institutions. Anat Rec (Part B: New Anat) 289B:121–127, 2006. © 2006 WileyLiss, Inc.","container-title":"The Anatomical Record Part B: The New Anatomist","DOI":"10.1002/ar.b.20104","ISSN":"1552-4906, 1552-4914","issue":"4","journalAbbreviation":"Anat. Rec.","language":"en","page":"121-127","source":"DOI.org (Crossref)","title":"Use of Web-based materials to enhance anatomy instruction in the health sciences","volume":"289B","author":[{"family":"Granger","given":"Noelle A."},{"family":"Calleson","given":"Diane C."},{"family":"Henson","given":"O.W."},{"family":"Juliano","given":"Eve"},{"family":"Wineski","given":"Lawrence"},{"family":"Mcdaniel","given":"Martha D."},{"family":"Burgoon","given":"Jennifer M."}],"issued":{"date-parts":[["2006",7]]}}}],"schema":"https://github.com/citation-style-language/schema/raw/master/csl-citation.json"} </w:instrText>
      </w:r>
      <w:r w:rsidRPr="00065E56">
        <w:fldChar w:fldCharType="separate"/>
      </w:r>
      <w:r w:rsidRPr="00065E56">
        <w:rPr>
          <w:noProof/>
        </w:rPr>
        <w:t>(Granger et al., 2006)</w:t>
      </w:r>
      <w:r w:rsidRPr="00065E56">
        <w:fldChar w:fldCharType="end"/>
      </w:r>
      <w:r w:rsidRPr="00065E56">
        <w:t xml:space="preserve">. </w:t>
      </w:r>
    </w:p>
    <w:p w14:paraId="5C3A0C46" w14:textId="77777777" w:rsidR="000400EC" w:rsidRPr="00065E56" w:rsidRDefault="000400EC" w:rsidP="000400EC">
      <w:pPr>
        <w:pStyle w:val="NormalWeb"/>
        <w:spacing w:line="480" w:lineRule="auto"/>
      </w:pPr>
      <w:r w:rsidRPr="00065E56">
        <w:tab/>
        <w:t xml:space="preserve">Some students perceive laboratory time to be more valuable than other resources. When asked to rank resources from most to least useful, the largest percentage (29%) of nursing students in an anatomy and physiology course valued laboratory classes as most useful over reading the textbook, making notes, and engaging online materials (9%) </w:t>
      </w:r>
      <w:r w:rsidRPr="00065E56">
        <w:fldChar w:fldCharType="begin"/>
      </w:r>
      <w:r w:rsidRPr="00065E56">
        <w:instrText xml:space="preserve"> ADDIN ZOTERO_ITEM CSL_CITATION {"citationID":"hDtFbYoX","properties":{"formattedCitation":"(Barbagallo et al., 2020)","plainCitation":"(Barbagallo et al., 2020)","noteIndex":0},"citationItems":[{"id":325,"uris":["http://zotero.org/users/local/8fpcHUeo/items/5PJKNCJY"],"uri":["http://zotero.org/users/local/8fpcHUeo/items/5PJKNCJY"],"itemData":{"id":325,"type":"article-journal","abstract":"Blended online and digital learning includes a variety of activities that combine engaging classroom-based education with online learning. The aim of this study is to evaluate undergraduate students' perceptions of a blended online and digital curriculum for anatomy and physiology in the nursing degree program. A quantitative methodology was used with a sample of 100 undergraduate nursing students from a single Australian University. Descriptive statistics are and presented in this article. Of the 100 participants, 90% were enrolled in the standard mode compared to 10% in a flexible mode of delivery. Results indicated that 29% of participants preferred laboratory classes as having the most impact. Participants (46%) also agreed that recorded lectures were useful, with 36% indicating that the online platform was easy to navigate going as far as wanting more online quizzes (49%). More than half of the participants (54%) acknowledged that anatomy and physiology was important for their future careers. The blended online and digital learner preferences in delivering anatomy and physiology–related courses should be adjusted in order for learning to be effective for undergraduate students in the future.","container-title":"CIN: Computers, Informatics, Nursing","DOI":"10.1097/CIN.0000000000000639","ISSN":"1538-9774","language":"en","source":"DOI.org (Crossref)","title":"Evaluation of a Blended Online and Digital Learning Mode of Anatomy and Physiology for Undergraduate Nursing Students","URL":"https://journals.lww.com/10.1097/CIN.0000000000000639","volume":"Publish Ahead of Print","author":[{"family":"Barbagallo","given":"Michael S."},{"family":"Porter","given":"Joanne E."},{"family":"Lamunu","given":"Medina"}],"accessed":{"date-parts":[["2020",9,26]]},"issued":{"date-parts":[["2020",6,8]]}}}],"schema":"https://github.com/citation-style-language/schema/raw/master/csl-citation.json"} </w:instrText>
      </w:r>
      <w:r w:rsidRPr="00065E56">
        <w:fldChar w:fldCharType="separate"/>
      </w:r>
      <w:r w:rsidRPr="00065E56">
        <w:rPr>
          <w:noProof/>
        </w:rPr>
        <w:t>(Barbagallo et al., 2020)</w:t>
      </w:r>
      <w:r w:rsidRPr="00065E56">
        <w:fldChar w:fldCharType="end"/>
      </w:r>
      <w:r w:rsidRPr="00065E56">
        <w:t xml:space="preserve">. Year 1 and year 2 medical students were surveyed as to their learning preferences in gross anatomy since the advent of e-learning (which in this case was some SRL online learning and other electronic materials). While students had generally favorable impressions of online materials, over 90% of students “agreed” or “strongly agreed” that “seeing specimens is essential </w:t>
      </w:r>
      <w:r w:rsidRPr="00065E56">
        <w:lastRenderedPageBreak/>
        <w:t xml:space="preserve">to understanding” </w:t>
      </w:r>
      <w:r w:rsidRPr="00065E56">
        <w:fldChar w:fldCharType="begin"/>
      </w:r>
      <w:r w:rsidRPr="00065E56">
        <w:instrText xml:space="preserve"> ADDIN ZOTERO_ITEM CSL_CITATION {"citationID":"LPNHP3iv","properties":{"formattedCitation":"(Davis et al., 2014)","plainCitation":"(Davis et al., 2014)","noteIndex":0},"citationItems":[{"id":315,"uris":["http://zotero.org/users/local/8fpcHUeo/items/ZEIW5TJX"],"uri":["http://zotero.org/users/local/8fpcHUeo/items/ZEIW5TJX"],"itemData":{"id":315,"type":"article-journal","abstract":"Anatomy teaching methods have evolved as the medical undergraduate curriculum has modernized. Traditional teaching methods of dissection, prosection, tutorials and lectures are now supplemented by anatomical models and e‐learning. Despite these changes, the preferences of medical students and anatomy faculty towards both traditional and contemporary teaching methods and tools are largely unknown. This study quantiﬁed medical student and anatomy faculty opinion on various aspects of anatomical teaching at the Department of Anatomy, University of Bristol, UK. A questionnaire was used to explore the perceived eﬀectiveness of diﬀerent anatomical teaching methods and tools among anatomy faculty (AF) and medical students in year one (Y1) and year two (Y2). A total of 370 preclinical medical students entered the study (76% response rate). Responses were quantiﬁed and intergroup comparisons were made. All students and AF were strongly in favor of access to cadaveric specimens and supported traditional methods of small‐group teaching with medically qualiﬁed demonstrators. Other teaching methods, including elearning, anatomical models and surgical videos, were considered useful educational tools. In several areas there was disharmony between the opinions of AF and medical students. This study emphasizes the importance of collecting student preferences to optimize teaching methods used in the undergraduate anatomy curriculum. Anat Sci Educ 7: 262–272. © 2013 American Association of Anatomists.","container-title":"Anatomical Sciences Education","DOI":"10.1002/ase.1424","ISSN":"19359772","issue":"4","journalAbbreviation":"American Association of Anatomists","language":"en","page":"262-272","source":"DOI.org (Crossref)","title":"Human Anatomy: Let the students tell us how to teach: Human Anatomy-Let the Students Tell Us How to Teach","title-short":"Human Anatomy","volume":"7","author":[{"family":"Davis","given":"Christopher R."},{"family":"Bates","given":"Anthony S."},{"family":"Ellis","given":"Harold"},{"family":"Roberts","given":"Alice M."}],"issued":{"date-parts":[["2014",7,8]]}}}],"schema":"https://github.com/citation-style-language/schema/raw/master/csl-citation.json"} </w:instrText>
      </w:r>
      <w:r w:rsidRPr="00065E56">
        <w:fldChar w:fldCharType="separate"/>
      </w:r>
      <w:r w:rsidRPr="00065E56">
        <w:rPr>
          <w:noProof/>
        </w:rPr>
        <w:t>(Davis et al., 2014)</w:t>
      </w:r>
      <w:r w:rsidRPr="00065E56">
        <w:fldChar w:fldCharType="end"/>
      </w:r>
      <w:r w:rsidRPr="00065E56">
        <w:t xml:space="preserve">. Possibly as significant is the difference between Year 1 and Year 2 groups regarding how helpful e-learning was to them. Only 31% of Year 1 students used SRL e-learning materials, compared to 58% of Year 2 medical students </w:t>
      </w:r>
      <w:r w:rsidRPr="00065E56">
        <w:fldChar w:fldCharType="begin"/>
      </w:r>
      <w:r w:rsidRPr="00065E56">
        <w:instrText xml:space="preserve"> ADDIN ZOTERO_ITEM CSL_CITATION {"citationID":"32R6hSiz","properties":{"formattedCitation":"(Davis et al., 2014)","plainCitation":"(Davis et al., 2014)","noteIndex":0},"citationItems":[{"id":315,"uris":["http://zotero.org/users/local/8fpcHUeo/items/ZEIW5TJX"],"uri":["http://zotero.org/users/local/8fpcHUeo/items/ZEIW5TJX"],"itemData":{"id":315,"type":"article-journal","abstract":"Anatomy teaching methods have evolved as the medical undergraduate curriculum has modernized. Traditional teaching methods of dissection, prosection, tutorials and lectures are now supplemented by anatomical models and e‐learning. Despite these changes, the preferences of medical students and anatomy faculty towards both traditional and contemporary teaching methods and tools are largely unknown. This study quantiﬁed medical student and anatomy faculty opinion on various aspects of anatomical teaching at the Department of Anatomy, University of Bristol, UK. A questionnaire was used to explore the perceived eﬀectiveness of diﬀerent anatomical teaching methods and tools among anatomy faculty (AF) and medical students in year one (Y1) and year two (Y2). A total of 370 preclinical medical students entered the study (76% response rate). Responses were quantiﬁed and intergroup comparisons were made. All students and AF were strongly in favor of access to cadaveric specimens and supported traditional methods of small‐group teaching with medically qualiﬁed demonstrators. Other teaching methods, including elearning, anatomical models and surgical videos, were considered useful educational tools. In several areas there was disharmony between the opinions of AF and medical students. This study emphasizes the importance of collecting student preferences to optimize teaching methods used in the undergraduate anatomy curriculum. Anat Sci Educ 7: 262–272. © 2013 American Association of Anatomists.","container-title":"Anatomical Sciences Education","DOI":"10.1002/ase.1424","ISSN":"19359772","issue":"4","journalAbbreviation":"American Association of Anatomists","language":"en","page":"262-272","source":"DOI.org (Crossref)","title":"Human Anatomy: Let the students tell us how to teach: Human Anatomy-Let the Students Tell Us How to Teach","title-short":"Human Anatomy","volume":"7","author":[{"family":"Davis","given":"Christopher R."},{"family":"Bates","given":"Anthony S."},{"family":"Ellis","given":"Harold"},{"family":"Roberts","given":"Alice M."}],"issued":{"date-parts":[["2014",7,8]]}}}],"schema":"https://github.com/citation-style-language/schema/raw/master/csl-citation.json"} </w:instrText>
      </w:r>
      <w:r w:rsidRPr="00065E56">
        <w:fldChar w:fldCharType="separate"/>
      </w:r>
      <w:r w:rsidRPr="00065E56">
        <w:rPr>
          <w:noProof/>
        </w:rPr>
        <w:t>(Davis et al., 2014)</w:t>
      </w:r>
      <w:r w:rsidRPr="00065E56">
        <w:fldChar w:fldCharType="end"/>
      </w:r>
      <w:r w:rsidRPr="00065E56">
        <w:t xml:space="preserve">. While admittedly this study barely qualifies as an evaluation of online learning, it does show how essential students thought cadaveric dissection was compared to all other forms of learning, including e-learning. The difference in use of e-learning materials between groups indicates competence or maturity may factor into the ability to self-regulate learning with online materials. Both of these points may become salient as the data of the proposed study is analyzed. Though </w:t>
      </w:r>
      <w:r w:rsidRPr="00065E56">
        <w:fldChar w:fldCharType="begin"/>
      </w:r>
      <w:r w:rsidRPr="00065E56">
        <w:instrText xml:space="preserve"> ADDIN ZOTERO_ITEM CSL_CITATION {"citationID":"zBfFHDZd","properties":{"formattedCitation":"(Aziz et al., 2002)","plainCitation":"(Aziz et al., 2002)","dontUpdate":true,"noteIndex":0},"citationItems":[{"id":198,"uris":["http://zotero.org/users/local/8fpcHUeo/items/IEL6KHYB"],"uri":["http://zotero.org/users/local/8fpcHUeo/items/IEL6KHYB"],"itemData":{"id":198,"type":"article-journal","abstract":"Major national and international critiques of the medical curriculum in the 1980s noted the following signiﬁcant ﬂaws: (1) over‐reliance on learning by rote memory, (2) insuﬃcient exercise in analysis and synthesis/conceptualization, and (3) failure to connect the basic and clinical aspects of training. It was argued that the invention of computers and related imaging techniques called to question the traditional instruction based on the facultycentered didactic lecture. In the ensuing reform, which adopted case‐based, small group, problem‐based learning, time allotted to anatomical instruction was severely truncated. Many programs replaced dissection with prosections and computer‐based learning. We argue that cadaver dissection is still necessary for (1) establishing the primacy of the patient, (2) apprehension of the multidimensional body, (3) touch‐mediated perception of the cadaver/patient, (4) anatomical variability, (5) learning the basic language of medicine, (6) competence in diagnostic imaging, (7) cadaver/patient‐centered computer‐assisted learning, (8) peer group learning, (9) training for the medical specialties. Cadaver‐based anatomical education is a prerequisite of optimal training for the use of biomedical informatics. When connected to dissection, medical informatics can expedite and enhance preparation for a patient‐based medical profession. Actual dissection is equally necessary for acquisition of scientiﬁc skills and for a communicative, moral, ethical, and humanistic approach to patient care. Anat Rec (New Anat) 269:20–32, 2002. © 2002 Wiley‐Liss, Inc.","container-title":"The Anatomical Record","DOI":"10.1002/ar.10046","ISSN":"0003-276X, 1097-0185","issue":"1","journalAbbreviation":"Anat. Rec.","language":"en","page":"20-32","source":"DOI.org (Crossref)","title":"The human cadaver in the age of biomedical informatics","volume":"269","author":[{"family":"Aziz","given":"M. Ashraf"},{"family":"Mckenzie","given":"James C."},{"family":"Wilson","given":"James S."},{"family":"Cowie","given":"Robert J."},{"family":"Ayeni","given":"Sylvanus A."},{"family":"Dunn","given":"Barbara K."}],"issued":{"date-parts":[["2002",2,15]]}}}],"schema":"https://github.com/citation-style-language/schema/raw/master/csl-citation.json"} </w:instrText>
      </w:r>
      <w:r w:rsidRPr="00065E56">
        <w:fldChar w:fldCharType="separate"/>
      </w:r>
      <w:r w:rsidRPr="00065E56">
        <w:rPr>
          <w:noProof/>
        </w:rPr>
        <w:t xml:space="preserve">Aziz et al. </w:t>
      </w:r>
      <w:r w:rsidRPr="00065E56">
        <w:fldChar w:fldCharType="end"/>
      </w:r>
      <w:r w:rsidRPr="00065E56">
        <w:t>argued as early as 2002 that cadavers plus ‘technology informatics’ were optimal for learning anatomy, fully online anatomy courses are offered at many universities.</w:t>
      </w:r>
    </w:p>
    <w:p w14:paraId="39F5C4BA" w14:textId="77777777" w:rsidR="000400EC" w:rsidRPr="00065E56" w:rsidRDefault="000400EC" w:rsidP="000400EC">
      <w:pPr>
        <w:pStyle w:val="NormalWeb"/>
        <w:spacing w:line="480" w:lineRule="auto"/>
        <w:rPr>
          <w:b/>
          <w:bCs/>
          <w:i/>
          <w:iCs/>
        </w:rPr>
      </w:pPr>
      <w:r w:rsidRPr="00065E56">
        <w:rPr>
          <w:b/>
          <w:bCs/>
        </w:rPr>
        <w:tab/>
      </w:r>
      <w:r w:rsidRPr="00065E56">
        <w:rPr>
          <w:b/>
          <w:bCs/>
          <w:i/>
          <w:iCs/>
        </w:rPr>
        <w:t xml:space="preserve">Fully online learning. </w:t>
      </w:r>
      <w:r w:rsidRPr="00065E56">
        <w:t xml:space="preserve">Research of fully online anatomy for clinical programs is scant. In 2014, Drake published the results of a survey about the state of anatomy education, and fully online anatomy was not mentioned. In fact, only two of the 65 educators responded that dissection was not part of the student experience, indicating a commitment to at least some F2F teaching. In 2018, 100% of anatomy educators reported using cadavers for dissection, and 44% indicated that students had access to video dissections </w:t>
      </w:r>
      <w:r w:rsidRPr="00065E56">
        <w:fldChar w:fldCharType="begin"/>
      </w:r>
      <w:r w:rsidRPr="00065E56">
        <w:instrText xml:space="preserve"> ADDIN ZOTERO_ITEM CSL_CITATION {"citationID":"EFxqUvSX","properties":{"formattedCitation":"(McBride &amp; Drake, 2018)","plainCitation":"(McBride &amp; Drake, 2018)","noteIndex":0},"citationItems":[{"id":528,"uris":["http://zotero.org/users/local/8fpcHUeo/items/ZDM6VDSV"],"uri":["http://zotero.org/users/local/8fpcHUeo/items/ZDM6VDSV"],"itemData":{"id":528,"type":"article-journal","container-title":"Anatomical Sciences Education","DOI":"10.1002/ase.1760","ISSN":"19359772","issue":"1","journalAbbreviation":"American Association of Anatomists","language":"en","page":"7-14","source":"DOI.org (Crossref)","title":"National survey on anatomical sciences in medical education: Anatomical Sciences in Medical Education","title-short":"National survey on anatomical sciences in medical education","volume":"11","author":[{"family":"McBride","given":"Jennifer M."},{"family":"Drake","given":"Richard L."}],"issued":{"date-parts":[["2018",1]]}}}],"schema":"https://github.com/citation-style-language/schema/raw/master/csl-citation.json"} </w:instrText>
      </w:r>
      <w:r w:rsidRPr="00065E56">
        <w:fldChar w:fldCharType="separate"/>
      </w:r>
      <w:r w:rsidRPr="00065E56">
        <w:rPr>
          <w:noProof/>
        </w:rPr>
        <w:t>(McBride &amp; Drake, 2018)</w:t>
      </w:r>
      <w:r w:rsidRPr="00065E56">
        <w:fldChar w:fldCharType="end"/>
      </w:r>
      <w:r w:rsidRPr="00065E56">
        <w:t>. Non-clinical anatomy programs, however, are responding to demand to learn anatomy online.</w:t>
      </w:r>
    </w:p>
    <w:p w14:paraId="2488F19B" w14:textId="77777777" w:rsidR="000400EC" w:rsidRPr="00065E56" w:rsidRDefault="000400EC" w:rsidP="000400EC">
      <w:pPr>
        <w:pStyle w:val="NormalWeb"/>
        <w:spacing w:line="480" w:lineRule="auto"/>
      </w:pPr>
      <w:r w:rsidRPr="00065E56">
        <w:tab/>
        <w:t xml:space="preserve">A post-graduate Anatomical Sciences degree was offered online beginning in 2015 to meet the demand for a time-flexible program that allowed for professional development and career development opportunities. Certificate and full diploma options are provided to meet that need. Most students (72%) were between the ages of 20-29 and female </w:t>
      </w:r>
      <w:r w:rsidRPr="00065E56">
        <w:fldChar w:fldCharType="begin"/>
      </w:r>
      <w:r w:rsidRPr="00065E56">
        <w:instrText xml:space="preserve"> ADDIN ZOTERO_ITEM CSL_CITATION {"citationID":"PS6HhFGI","properties":{"formattedCitation":"(Kelsey et al., 2020)","plainCitation":"(Kelsey et al., 2020)","noteIndex":0},"citationItems":[{"id":231,"uris":["http://zotero.org/users/local/8fpcHUeo/items/LDV6RRUU"],"uri":["http://zotero.org/users/local/8fpcHUeo/items/LDV6RRUU"],"itemData":{"id":231,"type":"article-journal","abstract":"Background The growing use of online education tools, combined with an increasing demand for anatomical education from non-traditional student cohorts, prompted us to develop a postgraduate Anatomical Sciences degree programme. Taught entirely online, this programme of study allows students from anywhere in the world to study anatomy and related subjects at the University of Edinburgh. Here, the initial three years of programme delivery is described, including an examination of the student cohorts, their geographical location, their background on application and an exploration of qualitative feedback on their programme experience.\nMethods Data collected from the applications of student cohorts from academic year 2015/16 through to 2017/18 were anonymised and analysed to assess student personal characteristics. Also, qualitative student feedback data were obtained from evaluation questionnaires collected anonymously at the end of each course of the programme.\nResults The majority of the Anatomical Sciences students were female (72%) and within the age range 20–29. In addition, despite being accessible all over the world, the majority of the student cohort resided in the UK (50%). Qualitative feedback suggested that online teaching in anatomy was wellreceived and enjoyed, particularly in the form of video lectures and bespoke online resources. Challenges such as the modes of assessment and the lack of exposure to anatomical material were noted.\nConclusion Investigating the backgrounds and opinions of the initial Anatomical Sciences students is a useful method to ensure a high level of delivery as the programme continues. Here, data and feedback for the ﬁrst three years of the programme have been analysed and have highlighted speciﬁc challenges of teaching anatomy online. Finally, the future directions of online education within the anatomical sciences ﬁeld is discussed.","container-title":"Translational Research in Anatomy","DOI":"10.1016/j.tria.2020.100065","ISSN":"2214854X","journalAbbreviation":"Translational Research in Anatomy","language":"en","page":"100065","source":"DOI.org (Crossref)","title":"Anatomical sciences at the University of Edinburgh: Initial experiences of teaching anatomy online","title-short":"Anatomical sciences at the University of Edinburgh","volume":"19","author":[{"family":"Kelsey","given":"Alethea H.C.M."},{"family":"McCulloch","given":"Victoria"},{"family":"Gillingwater","given":"Thomas H."},{"family":"Findlater","given":"Gordon S."},{"family":"Paxton","given":"Jennifer Z."}],"issued":{"date-parts":[["2020",6]]}}}],"schema":"https://github.com/citation-style-language/schema/raw/master/csl-citation.json"} </w:instrText>
      </w:r>
      <w:r w:rsidRPr="00065E56">
        <w:fldChar w:fldCharType="separate"/>
      </w:r>
      <w:r w:rsidRPr="00065E56">
        <w:rPr>
          <w:noProof/>
        </w:rPr>
        <w:t>(Kelsey et al., 2020)</w:t>
      </w:r>
      <w:r w:rsidRPr="00065E56">
        <w:fldChar w:fldCharType="end"/>
      </w:r>
      <w:r w:rsidRPr="00065E56">
        <w:t xml:space="preserve">. The completely asynchronous program was delivered via online video, virtual lab and accompanying </w:t>
      </w:r>
      <w:r w:rsidRPr="00065E56">
        <w:lastRenderedPageBreak/>
        <w:t>workbook, and formative quizzes. Discussion and wiki boards provided opportunities for student collaboration and staff support. Kelsey et al. acknowledged the challenge of providing sufficient materials for online laboratory, and students noted that the lack of physical specimens made learning more difficult (2020).</w:t>
      </w:r>
    </w:p>
    <w:p w14:paraId="34A99F93" w14:textId="77777777" w:rsidR="000400EC" w:rsidRPr="00065E56" w:rsidRDefault="000400EC" w:rsidP="000400EC">
      <w:pPr>
        <w:pStyle w:val="NormalWeb"/>
        <w:spacing w:line="480" w:lineRule="auto"/>
      </w:pPr>
      <w:r w:rsidRPr="00065E56">
        <w:tab/>
        <w:t xml:space="preserve">Creighton offered an online pharmacy program beginning in 2001. All courses were delivered synchronously, and anatomy was required in the first year. Anatomy laboratory was a required 2-week workshop the following summer, so while not technically fully online, there were so few graduate-level fully online courses it was included in this section. Students completed the same assessments as the F2F cohort, and the activities conducted in the classroom were modified to be completed on online discussion boards </w:t>
      </w:r>
      <w:r w:rsidRPr="00065E56">
        <w:fldChar w:fldCharType="begin"/>
      </w:r>
      <w:r w:rsidRPr="00065E56">
        <w:instrText xml:space="preserve"> ADDIN ZOTERO_ITEM CSL_CITATION {"citationID":"9YRSSbNv","properties":{"formattedCitation":"(Limpach et al., 2008)","plainCitation":"(Limpach et al., 2008)","noteIndex":0},"citationItems":[{"id":236,"uris":["http://zotero.org/users/local/8fpcHUeo/items/Y9PGGBTY"],"uri":["http://zotero.org/users/local/8fpcHUeo/items/Y9PGGBTY"],"itemData":{"id":236,"type":"article-journal","container-title":"American Journal of Pharmaceutical Education","DOI":"10.5688/aj7206145","ISSN":"0002-9459, 1553-6467","issue":"6","journalAbbreviation":"Am J Pharm Educ","language":"en","page":"145","source":"DOI.org (Crossref)","title":"Effectiveness of Human Anatomy Education for Pharmacy Students via the Internet","volume":"72","author":[{"family":"Limpach","given":"Aimee L."},{"family":"Bazrafshan","given":"Parham"},{"family":"Turner","given":"Paul D."},{"family":"Monaghan","given":"Michael S."}],"issued":{"date-parts":[["2008",9]]}}}],"schema":"https://github.com/citation-style-language/schema/raw/master/csl-citation.json"} </w:instrText>
      </w:r>
      <w:r w:rsidRPr="00065E56">
        <w:fldChar w:fldCharType="separate"/>
      </w:r>
      <w:r w:rsidRPr="00065E56">
        <w:rPr>
          <w:noProof/>
        </w:rPr>
        <w:t>(Limpach et al., 2008)</w:t>
      </w:r>
      <w:r w:rsidRPr="00065E56">
        <w:fldChar w:fldCharType="end"/>
      </w:r>
      <w:r w:rsidRPr="00065E56">
        <w:t>. Students in the online cohort scored the same or slightly better than the F2F cohort in the four years studied, again indicating neither distance nor delivery affected the classroom experience.  It should be noted that educators did not attempt to move their laboratory online, so a similar outcome is not unexpected. This anatomy course is similar to other fully online anatomy offerings that require an in-person visit to satisfy laboratory requirements, though most are at the undergraduate level.</w:t>
      </w:r>
    </w:p>
    <w:p w14:paraId="6A5BA331" w14:textId="77777777" w:rsidR="000400EC" w:rsidRPr="00065E56" w:rsidRDefault="000400EC" w:rsidP="000400EC">
      <w:pPr>
        <w:pStyle w:val="NormalWeb"/>
        <w:spacing w:line="480" w:lineRule="auto"/>
      </w:pPr>
      <w:r w:rsidRPr="00065E56">
        <w:tab/>
        <w:t xml:space="preserve">Undergraduate online anatomy courses are more common than professional level coursework. Study.com offers a list of universities offering online programs (2020). Though some require visitation to the campus to satisfy an in-person laboratory requirement, many are fully online. The University of Western Ontario sought to offer fully online undergraduate anatomy to meet enrollment demands. Beginning in 2012, a small online cohort (n=20) and a F2F cohort (n=310) swapped content delivery for 1 week. Interviews were conducted to assess experiences, and the difficulty of using online 3D models was noted; students also preferred the </w:t>
      </w:r>
      <w:r w:rsidRPr="00065E56">
        <w:lastRenderedPageBreak/>
        <w:t xml:space="preserve">interaction of F2F laboratory experiences </w:t>
      </w:r>
      <w:r w:rsidRPr="00065E56">
        <w:fldChar w:fldCharType="begin"/>
      </w:r>
      <w:r w:rsidRPr="00065E56">
        <w:instrText xml:space="preserve"> ADDIN ZOTERO_ITEM CSL_CITATION {"citationID":"nEKVPTzm","properties":{"formattedCitation":"(Attardi et al., 2016)","plainCitation":"(Attardi et al., 2016)","noteIndex":0},"citationItems":[{"id":343,"uris":["http://zotero.org/users/local/8fpcHUeo/items/B2XEUR4E"],"uri":["http://zotero.org/users/local/8fpcHUeo/items/B2XEUR4E"],"itemData":{"id":343,"type":"article-journal","container-title":"Anatomical Sciences Education","DOI":"10.1002/ase.1584","ISSN":"19359772","issue":"3","journalAbbreviation":"American Association of Anatomists","language":"en","page":"272-285","source":"DOI.org (Crossref)","title":"Mixed methods student evaluation of an online systemic human anatomy course with laboratory: Mixed Methods Student Evaluation of Online Human Anatomy Course","title-short":"Mixed methods student evaluation of an online systemic human anatomy course with laboratory","volume":"9","author":[{"family":"Attardi","given":"Stefanie M."},{"family":"Choi","given":"Suwhan"},{"family":"Barnett","given":"John"},{"family":"Rogers","given":"Kem A."}],"issued":{"date-parts":[["2016",5,6]]}}}],"schema":"https://github.com/citation-style-language/schema/raw/master/csl-citation.json"} </w:instrText>
      </w:r>
      <w:r w:rsidRPr="00065E56">
        <w:fldChar w:fldCharType="separate"/>
      </w:r>
      <w:r w:rsidRPr="00065E56">
        <w:rPr>
          <w:noProof/>
        </w:rPr>
        <w:t>(Attardi et al., 2016)</w:t>
      </w:r>
      <w:r w:rsidRPr="00065E56">
        <w:fldChar w:fldCharType="end"/>
      </w:r>
      <w:r w:rsidRPr="00065E56">
        <w:t xml:space="preserve">. In the following year, </w:t>
      </w:r>
      <w:proofErr w:type="spellStart"/>
      <w:r w:rsidRPr="00065E56">
        <w:t>Attardi</w:t>
      </w:r>
      <w:proofErr w:type="spellEnd"/>
      <w:r w:rsidRPr="00065E56">
        <w:t xml:space="preserve"> et al. revised the online offering to include laboratory groups that rotated through breakout rooms to work on 3D models with an instructor (2018).  Student responses improved for both 3D modeling usage and interactions, and no significant differences were found in an analysis of exam scores or final grade </w:t>
      </w:r>
      <w:r w:rsidRPr="00065E56">
        <w:fldChar w:fldCharType="begin"/>
      </w:r>
      <w:r w:rsidRPr="00065E56">
        <w:instrText xml:space="preserve"> ADDIN ZOTERO_ITEM CSL_CITATION {"citationID":"kZUhMHM1","properties":{"formattedCitation":"(Attardi et al., 2018)","plainCitation":"(Attardi et al., 2018)","noteIndex":0},"citationItems":[{"id":346,"uris":["http://zotero.org/users/local/8fpcHUeo/items/M72BVDCG"],"uri":["http://zotero.org/users/local/8fpcHUeo/items/M72BVDCG"],"itemData":{"id":346,"type":"article-journal","abstract":"An online section of a face‐to‐face (F2F) undergraduate (bachelor's level) anatomy course with a prosection laboratory was oﬀered in 2013–2014. Lectures for F2F students (353) were broadcast to online students (138) using Blackboard Collaborate (BBC) virtual classroom. Online laboratories were oﬀered using BBC and three‐dimensional (3D) anatomical computer models. This iteration of the course was modiﬁed from the previous year to improve online student–teacher and student–student interactions. Students were divided into laboratory groups that rotated through virtual breakout rooms, giving them the opportunity to interact with three instructors. The objectives were to assess student performance outcomes, perceptions of student–teacher and student–student interactions, methods of peer interaction, and helpfulness of the 3D computer models. Final grades were statistically identical between the online and F2F groups. There were strong, positive correlations between incoming grade average and ﬁnal anatomy grade in both groups, suggesting prior academic performance, and not delivery format, predicts anatomy grades. Quantitative student perception surveys (273 F2F; 101 online) revealed that both groups agreed they were engaged by teachers, could interact socially with teachers and peers, and ask them questions in both the lecture and laboratory sessions, though agreement was signiﬁcantly greater for the F2F students in most comparisons. The most common methods of peer communication were texting, Facebook, and meeting F2F. The perceived helpfulness of the 3D computer models improved from the previous year. While virtual breakout rooms can be used to adequately replace traditional prosection laboratories and improve interactions, they are not equivalent to F2F laboratories.","container-title":"Anatomical Sciences Education","DOI":"10.1002/ase.1776","ISSN":"19359772","issue":"6","journalAbbreviation":"American Association of Anatomists","language":"en","page":"592-604","source":"DOI.org (Crossref)","title":"Improving Online Interactions: Lessons from an Online Anatomy Course with a Laboratory for Undergraduate Students","title-short":"Improving Online Interactions","volume":"11","author":[{"family":"Attardi","given":"Stefanie M."},{"family":"Barbeau","given":"Michele L."},{"family":"Rogers","given":"Kem A."}],"issued":{"date-parts":[["2018",11]]}}}],"schema":"https://github.com/citation-style-language/schema/raw/master/csl-citation.json"} </w:instrText>
      </w:r>
      <w:r w:rsidRPr="00065E56">
        <w:fldChar w:fldCharType="separate"/>
      </w:r>
      <w:r w:rsidRPr="00065E56">
        <w:rPr>
          <w:noProof/>
        </w:rPr>
        <w:t>(Attardi et al., 2018)</w:t>
      </w:r>
      <w:r w:rsidRPr="00065E56">
        <w:fldChar w:fldCharType="end"/>
      </w:r>
      <w:r w:rsidRPr="00065E56">
        <w:t xml:space="preserve">. Preventing student isolation and providing faculty support for lab facilitated student success. </w:t>
      </w:r>
      <w:proofErr w:type="spellStart"/>
      <w:r w:rsidRPr="00065E56">
        <w:t>Attardi</w:t>
      </w:r>
      <w:proofErr w:type="spellEnd"/>
      <w:r w:rsidRPr="00065E56">
        <w:t xml:space="preserve"> also noted the volume of fully online anatomy programs and the paucity of research in 2018.</w:t>
      </w:r>
    </w:p>
    <w:p w14:paraId="58907201" w14:textId="77777777" w:rsidR="000400EC" w:rsidRPr="00065E56" w:rsidRDefault="000400EC" w:rsidP="000400EC">
      <w:pPr>
        <w:pStyle w:val="NormalWeb"/>
        <w:spacing w:line="480" w:lineRule="auto"/>
        <w:rPr>
          <w:b/>
          <w:bCs/>
          <w:i/>
          <w:iCs/>
        </w:rPr>
      </w:pPr>
      <w:r w:rsidRPr="00065E56">
        <w:rPr>
          <w:b/>
          <w:bCs/>
        </w:rPr>
        <w:tab/>
      </w:r>
      <w:r w:rsidRPr="00065E56">
        <w:rPr>
          <w:b/>
          <w:bCs/>
          <w:i/>
          <w:iCs/>
        </w:rPr>
        <w:t xml:space="preserve">Emergency remote teaching. </w:t>
      </w:r>
      <w:r w:rsidRPr="00065E56">
        <w:t xml:space="preserve">Though instructional designers emphatically separate emergency remote teaching (ERT) from online learning </w:t>
      </w:r>
      <w:r w:rsidRPr="00065E56">
        <w:fldChar w:fldCharType="begin"/>
      </w:r>
      <w:r w:rsidRPr="00065E56">
        <w:instrText xml:space="preserve"> ADDIN ZOTERO_ITEM CSL_CITATION {"citationID":"LqgAyzsM","properties":{"formattedCitation":"(Hodges et al., n.d.)","plainCitation":"(Hodges et al., n.d.)","dontUpdate":true,"noteIndex":0},"citationItems":[{"id":222,"uris":["http://zotero.org/users/local/8fpcHUeo/items/QNTCGBNM"],"uri":["http://zotero.org/users/local/8fpcHUeo/items/QNTCGBNM"],"itemData":{"id":222,"type":"article-journal","language":"en","page":"12","source":"Zotero","title":"The Difference Between Emergency Remote Teaching and Online Learning","author":[{"family":"Hodges","given":"Charles"},{"family":"Moore","given":"Stephanie"},{"family":"Lockee","given":"Barb"},{"family":"Trust","given":"Torrey"},{"family":"Bond","given":"Aaron"}]}}],"schema":"https://github.com/citation-style-language/schema/raw/master/csl-citation.json"} </w:instrText>
      </w:r>
      <w:r w:rsidRPr="00065E56">
        <w:fldChar w:fldCharType="separate"/>
      </w:r>
      <w:r w:rsidRPr="00065E56">
        <w:rPr>
          <w:noProof/>
        </w:rPr>
        <w:t>(Hodges et al., 2020)</w:t>
      </w:r>
      <w:r w:rsidRPr="00065E56">
        <w:fldChar w:fldCharType="end"/>
      </w:r>
      <w:r w:rsidRPr="00065E56">
        <w:t xml:space="preserve">, it does occur online and will be included in this review. The literature regarding intersection of ERT and anatomy education thus far has been qualitative, editorial, or descriptive. Several review best practices for ERT </w:t>
      </w:r>
      <w:r w:rsidRPr="00065E56">
        <w:fldChar w:fldCharType="begin"/>
      </w:r>
      <w:r w:rsidRPr="00065E56">
        <w:instrText xml:space="preserve"> ADDIN ZOTERO_ITEM CSL_CITATION {"citationID":"5tNwytLc","properties":{"formattedCitation":"(Cleland et al., 2020; D. J. R. Evans et al., 2020; Reyna, 2020; Taylor et al., 2020)","plainCitation":"(Cleland et al., 2020; D. J. R. Evans et al., 2020; Reyna, 2020; Taylor et al., 2020)","noteIndex":0},"citationItems":[{"id":239,"uris":["http://zotero.org/users/local/8fpcHUeo/items/9YWT9EXE"],"uri":["http://zotero.org/users/local/8fpcHUeo/items/9YWT9EXE"],"itemData":{"id":239,"type":"article-journal","abstract":"Health Professions’ Educators (HPEs) and their learners have to adapt their educational provision to rapidly changing and uncertain circumstances linked to the COVID-19 pandemic. This paper reports on an AMEE-hosted webinar: Adapting to the impact of COVID-19: Sharing stories, sharing practice. Attended by over 500 colleagues from five continents, this webinar focused on the impact of the virus across the continuum of education and training. Short formal presentations on teaching and learning, assessment, selection and postgraduate training generated wide-ranging questions via the Chatbox. A thematic analysis of the Chatbox thread indicated the most pressing concerns and challenges educators were experiencing in having to adapt programmes and learning across the continuum of medical education and training. The main areas of concern were: campus-based teaching and learning; clinical teaching; selection and assessment, and educator needs. While there is clearly no one simple solution to the unprecedented issues medical education and training face currently, there were two over-arching messages. First, this is a time for colleagues across the globe to help and support each other. Second, many local responses and innovations could have the potential to change the shape of medical education and training in the future.","container-title":"Medical Teacher","DOI":"10.1080/0142159X.2020.1757635","ISSN":"0142-159X, 1466-187X","issue":"7","journalAbbreviation":"Medical Teacher","language":"en","page":"772-775","source":"DOI.org (Crossref)","title":"Adapting to the impact of COVID-19: Sharing stories, sharing practice","title-short":"Adapting to the impact of COVID-19","volume":"42","author":[{"family":"Cleland","given":"Jennifer"},{"family":"McKimm","given":"Judy"},{"family":"Fuller","given":"Richard"},{"family":"Taylor","given":"David"},{"family":"Janczukowicz","given":"Janusz"},{"family":"Gibbs","given":"Trevor"}],"issued":{"date-parts":[["2020",7,2]]}}},{"id":176,"uris":["http://zotero.org/users/local/8fpcHUeo/items/8FEEKFA9"],"uri":["http://zotero.org/users/local/8fpcHUeo/items/8FEEKFA9"],"itemData":{"id":176,"type":"article-journal","container-title":"Anatomical Sciences Education","DOI":"10.1002/ase.1963","ISSN":"1935-9772, 1935-9780","issue":"3","journalAbbreviation":"Anat Sci Educ","language":"en","page":"279-283","source":"DOI.org (Crossref)","title":"Going Virtual to Support Anatomy Education: A STOPGAP in the Midst of the Covid‐19 Pandemic","title-short":"Going Virtual to Support Anatomy Education","volume":"13","author":[{"family":"Evans","given":"Darrell J.R."},{"family":"Bay","given":"Boon Huat"},{"family":"Wilson","given":"Timothy D."},{"family":"Smith","given":"Claire F."},{"family":"Lachman","given":"Nirusha"},{"family":"Pawlina","given":"Wojciech"}],"issued":{"date-parts":[["2020",5]]}}},{"id":178,"uris":["http://zotero.org/users/local/8fpcHUeo/items/A9MVELBJ"],"uri":["http://zotero.org/users/local/8fpcHUeo/items/A9MVELBJ"],"itemData":{"id":178,"type":"article-journal","abstract":"The COVID-19 pandemic has caused educational institutions around the world to close their doors and move their teaching and learning into the online space. For many medical educators, who usually rely on face-to-face and blended instruction, this presents a challenge. By rethinking learning design, medical educators can ensure a smooth transition of their subjects into the online space. However, because of the immersive nature of medical education, not all teaching and learning activities can be delivered online. This paper outlines twelve tips using evidence-based educational practices and a student-centred approach. The twelve tips presented and discussed in this paper can help medical educators to transition to online learning and maintain the integrity of their subjects. They can also promote student self-regulation, help develop graduate attributes, and generally enhance learning experiences during pandemic social distancing. Finally, these tips can be used to rethink medical education in the post-pandemic era.","container-title":"MedEdPublish","DOI":"10.15694/mep.2020.000103.1","ISSN":"23127996","issue":"1","journalAbbreviation":"MedEdPublish","language":"en","source":"DOI.org (Crossref)","title":"Twelve Tips for COVID-19 friendly learning design in medical education","URL":"https://www.mededpublish.org/manuscripts/3077","volume":"9","author":[{"family":"Reyna","given":"Jorge"}],"accessed":{"date-parts":[["2020",9,14]]},"issued":{"date-parts":[["2020"]]}}},{"id":210,"uris":["http://zotero.org/users/local/8fpcHUeo/items/CVVSZEZY"],"uri":["http://zotero.org/users/local/8fpcHUeo/items/CVVSZEZY"],"itemData":{"id":210,"type":"article-journal","abstract":"COVID-19 is a strong disruptive force that has not only inﬂuenced our global health and economy but also has changed the way we teach, learn and communicate with our students. It has disturbed the regular education pattern and the standard practices that we adapted over many years. The challenge is beyond changing the mode of delivering instructions from face to face to online. The real challenge is in creating a culture that supports the adoption of innovative practices, which require diﬀerent skills and competences from the teacher, student, mentor and administrator, and at the same time maintaining the quality of the products. In other words, changing what was exceptional to be the norm over a short period of time. This article describes our approach \"Open Learning\" in managing such change. Our over-riding philosophy is about ensuring that students have high quality resources, and the enthusiasm and learning skills to beneﬁt from them. At the same time we want to optimise the use of the available online applications and learning management system so that their use is within the capability of our faculty. This paper describes the evolution of our approach and the principles upon which it has been based. Our experiences over the past few months will transform the educational experience of our students over the years to come.","container-title":"MedEdPublish","DOI":"10.15694/mep.2020.000076.1","ISSN":"23127996","issue":"1","journalAbbreviation":"MedEdPublish","language":"en","source":"DOI.org (Crossref)","title":"Transformation to learning from a distance","URL":"https://www.mededpublish.org/manuscripts/2999","volume":"9","author":[{"family":"Taylor","given":"David"},{"family":"Grant","given":"Janet"},{"family":"Hamdy","given":"Hossam"},{"family":"Grant","given":"Leonard"},{"family":"Marei","given":"Hesham"},{"family":"Venkatramana","given":"Manda"}],"accessed":{"date-parts":[["2020",9,15]]},"issued":{"date-parts":[["2020"]]}}}],"schema":"https://github.com/citation-style-language/schema/raw/master/csl-citation.json"} </w:instrText>
      </w:r>
      <w:r w:rsidRPr="00065E56">
        <w:fldChar w:fldCharType="separate"/>
      </w:r>
      <w:r w:rsidRPr="00065E56">
        <w:rPr>
          <w:noProof/>
        </w:rPr>
        <w:t>(Cleland et al., 2020; D. J. R. Evans et al., 2020; Reyna, 2020; Taylor et al., 2020)</w:t>
      </w:r>
      <w:r w:rsidRPr="00065E56">
        <w:fldChar w:fldCharType="end"/>
      </w:r>
      <w:r w:rsidRPr="00065E56">
        <w:t xml:space="preserve">. </w:t>
      </w:r>
    </w:p>
    <w:p w14:paraId="38727D16" w14:textId="77777777" w:rsidR="000400EC" w:rsidRPr="00065E56" w:rsidRDefault="000400EC" w:rsidP="000400EC">
      <w:pPr>
        <w:pStyle w:val="NormalWeb"/>
        <w:spacing w:line="480" w:lineRule="auto"/>
      </w:pPr>
      <w:r w:rsidRPr="00065E56">
        <w:tab/>
        <w:t xml:space="preserve">Others surveyed faculty in their region and shared what changes were made. Data from surveyed medical schools in the UK and the Republic of Ireland was organized into strengths, weaknesses, opportunities, and threats. Development on new online resources was noted by 71% of the respondents to be a strength, and 50% noted lack of practical sessions and cadaveric exposure to be a weakness </w:t>
      </w:r>
      <w:r w:rsidRPr="00065E56">
        <w:fldChar w:fldCharType="begin"/>
      </w:r>
      <w:r w:rsidRPr="00065E56">
        <w:instrText xml:space="preserve"> ADDIN ZOTERO_ITEM CSL_CITATION {"citationID":"mr4ityfI","properties":{"formattedCitation":"(Longhurst et al., 2020)","plainCitation":"(Longhurst et al., 2020)","noteIndex":0},"citationItems":[{"id":184,"uris":["http://zotero.org/users/local/8fpcHUeo/items/Z43JR25Y"],"uri":["http://zotero.org/users/local/8fpcHUeo/items/Z43JR25Y"],"itemData":{"id":184,"type":"article-journal","abstract":"The Covid‐19 pandemic has driven the fastest changes to higher education across the globe, necessitated by social distancing measures preventing face‐to‐face teaching. This has led to an almost immediate switch to distance learning by higher education institutions. Anatomy faces some unique challenges. Intrinsically, anatomy is a threedimensional subject that requires a sound understanding of the relationships between structures, often achieved by the study of human cadaveric material, models, and virtual resources. This study sought to identify the approaches taken in the United Kingdom and Republic of Ireland to deliver anatomical education through online means. Data were collected from 14 diﬀerent universities in the United Kingdom and Republic of Ireland and compared adopting a thematic analysis approach. Once themes were generated, they were collectively brought together using a strength, weakness, opportunity, threat (SWOT) analysis. Key themes included the opportunity to develop new online resources and the chance to engage in new academic collaborations. Academics frequently mentioned the challenge that time constrains could place on the quality and eﬀectiveness of these resources; especially as in many cases the aim of these resources was to compensate for a lack of exposure to cadaveric exposure. Comparisons of the actions taken by multiple higher education institutions reveal the ways that academics have tried to balance this demand. Discussions will facilitate decisions being made by higher education institutions regarding adapting the curriculum and assessment methods in anatomy.","container-title":"Anatomical Sciences Education","DOI":"10.1002/ase.1967","ISSN":"1935-9772, 1935-9780","issue":"3","journalAbbreviation":"Anat Sci Educ","language":"en","page":"301-311","source":"DOI.org (Crossref)","title":"Strength, Weakness, Opportunity, Threat (SWOT) Analysis of the Adaptations to Anatomical Education in the United Kingdom and Republic of Ireland in Response to the Covid‐19 Pandemic","volume":"13","author":[{"family":"Longhurst","given":"Georga J."},{"family":"Stone","given":"Danya M."},{"family":"Dulohery","given":"Kate"},{"family":"Scully","given":"Deirdre"},{"family":"Campbell","given":"Thomas"},{"family":"Smith","given":"Claire F."}],"issued":{"date-parts":[["2020",5]]}}}],"schema":"https://github.com/citation-style-language/schema/raw/master/csl-citation.json"} </w:instrText>
      </w:r>
      <w:r w:rsidRPr="00065E56">
        <w:fldChar w:fldCharType="separate"/>
      </w:r>
      <w:r w:rsidRPr="00065E56">
        <w:rPr>
          <w:noProof/>
        </w:rPr>
        <w:t>(Longhurst et al., 2020)</w:t>
      </w:r>
      <w:r w:rsidRPr="00065E56">
        <w:fldChar w:fldCharType="end"/>
      </w:r>
      <w:r w:rsidRPr="00065E56">
        <w:t xml:space="preserve">. A survey of Australian and New Zealand anatomy educators revealed similar concern for loss of hands-on opportunities and anticipation for adapting information into new pedagogies </w:t>
      </w:r>
      <w:r w:rsidRPr="00065E56">
        <w:fldChar w:fldCharType="begin"/>
      </w:r>
      <w:r w:rsidRPr="00065E56">
        <w:instrText xml:space="preserve"> ADDIN ZOTERO_ITEM CSL_CITATION {"citationID":"2APIk5R0","properties":{"formattedCitation":"(Pather et al., 2020)","plainCitation":"(Pather et al., 2020)","noteIndex":0},"citationItems":[{"id":182,"uris":["http://zotero.org/users/local/8fpcHUeo/items/AWSL4MP7"],"uri":["http://zotero.org/users/local/8fpcHUeo/items/AWSL4MP7"],"itemData":{"id":182,"type":"article-journal","abstract":"Australian and New Zealand universities commenced a new academic year in February/March 2020 largely with “business as usual.” The subsequent Covid‐19 pandemic imposed unexpected disruptions to anatomical educational practice. Rapid change occurred due to government‐imposed physical distancing regulations from March 2020 that increasingly restricted anatomy laboratory teaching practices. Anatomy educators in both these countries were mobilized to adjust their teaching approaches. This study on anatomy education disruption at pandemic onset within Australia and New Zealand adopts a social constructivist lens. The research question was “What are the perceived disruptions and changes made to anatomy education in Australia and New Zealand during the initial period of the Covid‐19 pandemic, as reﬂected on by anatomy educators?.” Thematic analysis to elucidate “the what and why” of anatomy education was applied to these reﬂections. About 18 anatomy academics from ten institutions participated in this exercise. The analysis revealed loss of integrated “hands‐on” experiences, and impacts on workload, traditional roles, students, pedagogy, and anatomists' personal educational philosophies. The key opportunities recognized for anatomy education included: enabling synchronous teaching across remote sites, expanding oﬀerings into the remote learning space, and embracing new pedagogies. In managing anatomy education's transition in response to the pandemic, six critical elements were identiﬁed: community care, clear communications, clariﬁed expectations, constructive alignment, community of practice, ability to compromise, and adapt and continuity planning. There is no doubt that anatomy education has stepped into a yet unknown future in the island countries of Australia and New Zealand.","container-title":"Anatomical Sciences Education","DOI":"10.1002/ase.1968","ISSN":"1935-9772, 1935-9780","issue":"3","journalAbbreviation":"Anat Sci Educ","language":"en","page":"284-300","source":"DOI.org (Crossref)","title":"Forced Disruption of Anatomy Education in Australia and New Zealand: An Acute Response to the Covid‐19 Pandemic","title-short":"Forced Disruption of Anatomy Education in Australia and New Zealand","volume":"13","author":[{"family":"Pather","given":"Nalini"},{"family":"Blyth","given":"Phil"},{"family":"Chapman","given":"Jamie A."},{"family":"Dayal","given":"Manisha R."},{"family":"Flack","given":"Natasha A.M.S."},{"family":"Fogg","given":"Quentin A."},{"family":"Green","given":"Rodney A."},{"family":"Hulme","given":"Anneliese K."},{"family":"Johnson","given":"Ian P."},{"family":"Meyer","given":"Amanda J."},{"family":"Morley","given":"John W."},{"family":"Shortland","given":"Peter J."},{"family":"Štrkalj","given":"Goran"},{"family":"Štrkalj","given":"Mirjana"},{"family":"Valter","given":"Krisztina"},{"family":"Webb","given":"Alexandra L."},{"family":"Woodley","given":"Stephanie J."},{"family":"Lazarus","given":"Michelle D."}],"issued":{"date-parts":[["2020",5]]}}}],"schema":"https://github.com/citation-style-language/schema/raw/master/csl-citation.json"} </w:instrText>
      </w:r>
      <w:r w:rsidRPr="00065E56">
        <w:fldChar w:fldCharType="separate"/>
      </w:r>
      <w:r w:rsidRPr="00065E56">
        <w:rPr>
          <w:noProof/>
        </w:rPr>
        <w:t>(Pather et al., 2020)</w:t>
      </w:r>
      <w:r w:rsidRPr="00065E56">
        <w:fldChar w:fldCharType="end"/>
      </w:r>
      <w:r w:rsidRPr="00065E56">
        <w:t xml:space="preserve">. </w:t>
      </w:r>
    </w:p>
    <w:p w14:paraId="1B357DFA" w14:textId="77777777" w:rsidR="000400EC" w:rsidRPr="00065E56" w:rsidRDefault="000400EC" w:rsidP="000400EC">
      <w:pPr>
        <w:pStyle w:val="NormalWeb"/>
        <w:spacing w:line="480" w:lineRule="auto"/>
      </w:pPr>
      <w:r w:rsidRPr="00065E56">
        <w:tab/>
        <w:t xml:space="preserve">Community development of both faculty and students was also considered. Cleland’s qualitative analysis of a webinar of anatomy faculty sharing best practices indicated a need for </w:t>
      </w:r>
      <w:r w:rsidRPr="00065E56">
        <w:lastRenderedPageBreak/>
        <w:t xml:space="preserve">support that was echoed in several other papers </w:t>
      </w:r>
      <w:r w:rsidRPr="00065E56">
        <w:fldChar w:fldCharType="begin"/>
      </w:r>
      <w:r w:rsidRPr="00065E56">
        <w:instrText xml:space="preserve"> ADDIN ZOTERO_ITEM CSL_CITATION {"citationID":"f2w0cECs","properties":{"formattedCitation":"(Cleland et al., 2020; Gibbs, 2020; Jones, 2020; Pather et al., 2020)","plainCitation":"(Cleland et al., 2020; Gibbs, 2020; Jones, 2020; Pather et al., 2020)","noteIndex":0},"citationItems":[{"id":239,"uris":["http://zotero.org/users/local/8fpcHUeo/items/9YWT9EXE"],"uri":["http://zotero.org/users/local/8fpcHUeo/items/9YWT9EXE"],"itemData":{"id":239,"type":"article-journal","abstract":"Health Professions’ Educators (HPEs) and their learners have to adapt their educational provision to rapidly changing and uncertain circumstances linked to the COVID-19 pandemic. This paper reports on an AMEE-hosted webinar: Adapting to the impact of COVID-19: Sharing stories, sharing practice. Attended by over 500 colleagues from five continents, this webinar focused on the impact of the virus across the continuum of education and training. Short formal presentations on teaching and learning, assessment, selection and postgraduate training generated wide-ranging questions via the Chatbox. A thematic analysis of the Chatbox thread indicated the most pressing concerns and challenges educators were experiencing in having to adapt programmes and learning across the continuum of medical education and training. The main areas of concern were: campus-based teaching and learning; clinical teaching; selection and assessment, and educator needs. While there is clearly no one simple solution to the unprecedented issues medical education and training face currently, there were two over-arching messages. First, this is a time for colleagues across the globe to help and support each other. Second, many local responses and innovations could have the potential to change the shape of medical education and training in the future.","container-title":"Medical Teacher","DOI":"10.1080/0142159X.2020.1757635","ISSN":"0142-159X, 1466-187X","issue":"7","journalAbbreviation":"Medical Teacher","language":"en","page":"772-775","source":"DOI.org (Crossref)","title":"Adapting to the impact of COVID-19: Sharing stories, sharing practice","title-short":"Adapting to the impact of COVID-19","volume":"42","author":[{"family":"Cleland","given":"Jennifer"},{"family":"McKimm","given":"Judy"},{"family":"Fuller","given":"Richard"},{"family":"Taylor","given":"David"},{"family":"Janczukowicz","given":"Janusz"},{"family":"Gibbs","given":"Trevor"}],"issued":{"date-parts":[["2020",7,2]]}}},{"id":170,"uris":["http://zotero.org/users/local/8fpcHUeo/items/JYAD7GH2"],"uri":["http://zotero.org/users/local/8fpcHUeo/items/JYAD7GH2"],"itemData":{"id":170,"type":"article-journal","container-title":"Medical Teacher","DOI":"10.1080/0142159X.2020.1775967","ISSN":"0142-159X, 1466-187X","issue":"7","journalAbbreviation":"Medical Teacher","language":"en","page":"738-740","source":"DOI.org (Crossref)","title":"The Covid-19 pandemic: Provoking thought and encouraging change","title-short":"The Covid-19 pandemic","volume":"42","author":[{"family":"Gibbs","given":"Trevor"}],"issued":{"date-parts":[["2020",7,2]]}}},{"id":180,"uris":["http://zotero.org/users/local/8fpcHUeo/items/55GP73YW"],"uri":["http://zotero.org/users/local/8fpcHUeo/items/55GP73YW"],"itemData":{"id":180,"type":"article-journal","container-title":"Anatomical Sciences Education","DOI":"10.1002/ase.2003","ISSN":"1935-9772, 1935-9780","issue":"5","journalAbbreviation":"Anat Sci Educ","language":"en","page":"549-555","source":"DOI.org (Crossref)","title":"Ethical Responses to the Covid‐19 Pandemic: Implications for the Ethos and Practice of Anatomy as a Health Science Discipline","title-short":"Ethical Responses to the Covid‐19 Pandemic","volume":"13","author":[{"family":"Jones","given":"David Gareth"}],"issued":{"date-parts":[["2020",9]]}}},{"id":182,"uris":["http://zotero.org/users/local/8fpcHUeo/items/AWSL4MP7"],"uri":["http://zotero.org/users/local/8fpcHUeo/items/AWSL4MP7"],"itemData":{"id":182,"type":"article-journal","abstract":"Australian and New Zealand universities commenced a new academic year in February/March 2020 largely with “business as usual.” The subsequent Covid‐19 pandemic imposed unexpected disruptions to anatomical educational practice. Rapid change occurred due to government‐imposed physical distancing regulations from March 2020 that increasingly restricted anatomy laboratory teaching practices. Anatomy educators in both these countries were mobilized to adjust their teaching approaches. This study on anatomy education disruption at pandemic onset within Australia and New Zealand adopts a social constructivist lens. The research question was “What are the perceived disruptions and changes made to anatomy education in Australia and New Zealand during the initial period of the Covid‐19 pandemic, as reﬂected on by anatomy educators?.” Thematic analysis to elucidate “the what and why” of anatomy education was applied to these reﬂections. About 18 anatomy academics from ten institutions participated in this exercise. The analysis revealed loss of integrated “hands‐on” experiences, and impacts on workload, traditional roles, students, pedagogy, and anatomists' personal educational philosophies. The key opportunities recognized for anatomy education included: enabling synchronous teaching across remote sites, expanding oﬀerings into the remote learning space, and embracing new pedagogies. In managing anatomy education's transition in response to the pandemic, six critical elements were identiﬁed: community care, clear communications, clariﬁed expectations, constructive alignment, community of practice, ability to compromise, and adapt and continuity planning. There is no doubt that anatomy education has stepped into a yet unknown future in the island countries of Australia and New Zealand.","container-title":"Anatomical Sciences Education","DOI":"10.1002/ase.1968","ISSN":"1935-9772, 1935-9780","issue":"3","journalAbbreviation":"Anat Sci Educ","language":"en","page":"284-300","source":"DOI.org (Crossref)","title":"Forced Disruption of Anatomy Education in Australia and New Zealand: An Acute Response to the Covid‐19 Pandemic","title-short":"Forced Disruption of Anatomy Education in Australia and New Zealand","volume":"13","author":[{"family":"Pather","given":"Nalini"},{"family":"Blyth","given":"Phil"},{"family":"Chapman","given":"Jamie A."},{"family":"Dayal","given":"Manisha R."},{"family":"Flack","given":"Natasha A.M.S."},{"family":"Fogg","given":"Quentin A."},{"family":"Green","given":"Rodney A."},{"family":"Hulme","given":"Anneliese K."},{"family":"Johnson","given":"Ian P."},{"family":"Meyer","given":"Amanda J."},{"family":"Morley","given":"John W."},{"family":"Shortland","given":"Peter J."},{"family":"Štrkalj","given":"Goran"},{"family":"Štrkalj","given":"Mirjana"},{"family":"Valter","given":"Krisztina"},{"family":"Webb","given":"Alexandra L."},{"family":"Woodley","given":"Stephanie J."},{"family":"Lazarus","given":"Michelle D."}],"issued":{"date-parts":[["2020",5]]}}}],"schema":"https://github.com/citation-style-language/schema/raw/master/csl-citation.json"} </w:instrText>
      </w:r>
      <w:r w:rsidRPr="00065E56">
        <w:fldChar w:fldCharType="separate"/>
      </w:r>
      <w:r w:rsidRPr="00065E56">
        <w:rPr>
          <w:noProof/>
        </w:rPr>
        <w:t>(Cleland et al., 2020; Gibbs, 2020; Jones, 2020; Pather et al., 2020)</w:t>
      </w:r>
      <w:r w:rsidRPr="00065E56">
        <w:fldChar w:fldCharType="end"/>
      </w:r>
      <w:r w:rsidRPr="00065E56">
        <w:t>. Jones posits several ethical commitments that need to be considered during ERT, not the least of which is a commitment to student well-being and equity (2020). This was described as not short-changing a student academically due to ERT while being responsive to the unusual stressors placed on students during a pandemic. Collectively, the literature on ERT to date is a supportive, asynchronous conversation between anatomy faculty worldwide designed to promote the best educational experience possible in an unprecedented time in history.</w:t>
      </w:r>
    </w:p>
    <w:p w14:paraId="0B5CE1B7" w14:textId="2BE65928" w:rsidR="000400EC" w:rsidRPr="00065E56" w:rsidRDefault="005D6960" w:rsidP="005D6960">
      <w:pPr>
        <w:pStyle w:val="NormalWeb"/>
        <w:spacing w:line="480" w:lineRule="auto"/>
      </w:pPr>
      <w:r>
        <w:tab/>
      </w:r>
      <w:r w:rsidR="000400EC" w:rsidRPr="00065E56">
        <w:rPr>
          <w:b/>
          <w:bCs/>
        </w:rPr>
        <w:t>From emergency remote teaching to online anatomy education best practices.</w:t>
      </w:r>
      <w:r>
        <w:t xml:space="preserve"> </w:t>
      </w:r>
      <w:r w:rsidR="000400EC" w:rsidRPr="00065E56">
        <w:t xml:space="preserve">Cleland’s call requesting educators to document and evaluate ERT acknowledged that crises such as a pandemic force innovation and transformation </w:t>
      </w:r>
      <w:r w:rsidR="000400EC" w:rsidRPr="00065E56">
        <w:fldChar w:fldCharType="begin"/>
      </w:r>
      <w:r w:rsidR="000400EC" w:rsidRPr="00065E56">
        <w:instrText xml:space="preserve"> ADDIN ZOTERO_ITEM CSL_CITATION {"citationID":"BNMf1HFC","properties":{"formattedCitation":"(Cleland et al., 2020)","plainCitation":"(Cleland et al., 2020)","dontUpdate":true,"noteIndex":0},"citationItems":[{"id":239,"uris":["http://zotero.org/users/local/8fpcHUeo/items/9YWT9EXE"],"uri":["http://zotero.org/users/local/8fpcHUeo/items/9YWT9EXE"],"itemData":{"id":239,"type":"article-journal","abstract":"Health Professions’ Educators (HPEs) and their learners have to adapt their educational provision to rapidly changing and uncertain circumstances linked to the COVID-19 pandemic. This paper reports on an AMEE-hosted webinar: Adapting to the impact of COVID-19: Sharing stories, sharing practice. Attended by over 500 colleagues from five continents, this webinar focused on the impact of the virus across the continuum of education and training. Short formal presentations on teaching and learning, assessment, selection and postgraduate training generated wide-ranging questions via the Chatbox. A thematic analysis of the Chatbox thread indicated the most pressing concerns and challenges educators were experiencing in having to adapt programmes and learning across the continuum of medical education and training. The main areas of concern were: campus-based teaching and learning; clinical teaching; selection and assessment, and educator needs. While there is clearly no one simple solution to the unprecedented issues medical education and training face currently, there were two over-arching messages. First, this is a time for colleagues across the globe to help and support each other. Second, many local responses and innovations could have the potential to change the shape of medical education and training in the future.","container-title":"Medical Teacher","DOI":"10.1080/0142159X.2020.1757635","ISSN":"0142-159X, 1466-187X","issue":"7","journalAbbreviation":"Medical Teacher","language":"en","page":"772-775","source":"DOI.org (Crossref)","title":"Adapting to the impact of COVID-19: Sharing stories, sharing practice","title-short":"Adapting to the impact of COVID-19","volume":"42","author":[{"family":"Cleland","given":"Jennifer"},{"family":"McKimm","given":"Judy"},{"family":"Fuller","given":"Richard"},{"family":"Taylor","given":"David"},{"family":"Janczukowicz","given":"Janusz"},{"family":"Gibbs","given":"Trevor"}],"issued":{"date-parts":[["2020",7,2]]}}}],"schema":"https://github.com/citation-style-language/schema/raw/master/csl-citation.json"} </w:instrText>
      </w:r>
      <w:r w:rsidR="000400EC" w:rsidRPr="00065E56">
        <w:fldChar w:fldCharType="separate"/>
      </w:r>
      <w:r w:rsidR="000400EC" w:rsidRPr="00065E56">
        <w:rPr>
          <w:noProof/>
        </w:rPr>
        <w:t>(2020)</w:t>
      </w:r>
      <w:r w:rsidR="000400EC" w:rsidRPr="00065E56">
        <w:fldChar w:fldCharType="end"/>
      </w:r>
      <w:r w:rsidR="000400EC" w:rsidRPr="00065E56">
        <w:t xml:space="preserve">. Anatomy educators worldwide will evaluate their ERT situations and consider what should be kept, modified, or discarded in the coming months and years. Clinical anatomy educators and students repeatedly indicated a strong preference for the cadaveric dissection laboratory experience throughout the review of online learning literature for anatomy. Most cadaveric dissection laboratories are similar to what was described in chapter 1 for F2F students at OUHSC: a small team of students working toward a common goal with expert (and/or near-peer) support available for immediate guidance and feedback. Analysis of dissection experience indicates a learner-centered, constructivist approach with scaffolding to support learner-content interaction, feedback to support learner-instructor interaction, and student teams to support student-student interaction </w:t>
      </w:r>
      <w:r w:rsidR="000400EC" w:rsidRPr="00065E56">
        <w:fldChar w:fldCharType="begin"/>
      </w:r>
      <w:r w:rsidR="000400EC" w:rsidRPr="00065E56">
        <w:instrText xml:space="preserve"> ADDIN ZOTERO_ITEM CSL_CITATION {"citationID":"aANTnauc","properties":{"formattedCitation":"(M. G. Moore, 1989)","plainCitation":"(M. G. Moore, 1989)","noteIndex":0},"citationItems":[{"id":251,"uris":["http://zotero.org/users/local/8fpcHUeo/items/574V6LGW"],"uri":["http://zotero.org/users/local/8fpcHUeo/items/574V6LGW"],"itemData":{"id":251,"type":"article-journal","container-title":"American Journal of Distance Education","DOI":"10.1080/08923648909526659","ISSN":"0892-3647, 1538-9286","issue":"2","journalAbbreviation":"American Journal of Distance Education","language":"en","page":"1-7","source":"DOI.org (Crossref)","title":"Editorial: Three types of interaction","title-short":"Editorial","volume":"3","author":[{"family":"Moore","given":"Michael G."}],"issued":{"date-parts":[["1989",1]]}}}],"schema":"https://github.com/citation-style-language/schema/raw/master/csl-citation.json"} </w:instrText>
      </w:r>
      <w:r w:rsidR="000400EC" w:rsidRPr="00065E56">
        <w:fldChar w:fldCharType="separate"/>
      </w:r>
      <w:r w:rsidR="000400EC" w:rsidRPr="00065E56">
        <w:rPr>
          <w:noProof/>
        </w:rPr>
        <w:t>(M. G. Moore, 1989)</w:t>
      </w:r>
      <w:r w:rsidR="000400EC" w:rsidRPr="00065E56">
        <w:fldChar w:fldCharType="end"/>
      </w:r>
      <w:r w:rsidR="000400EC" w:rsidRPr="00065E56">
        <w:t xml:space="preserve">. </w:t>
      </w:r>
    </w:p>
    <w:p w14:paraId="054BF024" w14:textId="77777777" w:rsidR="000400EC" w:rsidRPr="00065E56" w:rsidRDefault="000400EC" w:rsidP="000400EC">
      <w:pPr>
        <w:pStyle w:val="NormalWeb"/>
        <w:spacing w:line="480" w:lineRule="auto"/>
      </w:pPr>
      <w:r w:rsidRPr="00065E56">
        <w:tab/>
      </w:r>
      <w:proofErr w:type="spellStart"/>
      <w:r w:rsidRPr="00065E56">
        <w:t>Attardi</w:t>
      </w:r>
      <w:proofErr w:type="spellEnd"/>
      <w:r w:rsidRPr="00065E56">
        <w:t xml:space="preserve"> (2018) and Kelsey (2020) demonstrated that non-clinical anatomy content can be successfully delivered online. The concern for clinical anatomy educators is if/how the loss of the physical specimen and the laboratory experience impacts student clinical reasoning and skills </w:t>
      </w:r>
      <w:r w:rsidRPr="00065E56">
        <w:lastRenderedPageBreak/>
        <w:t>development. The distinction is that for the future clinician, all anatomical knowledge is filtered through a lens of clinical application. Clinical applications are featured in cadaveric dissection as each donor brings an open-ended experience and exploration to the laboratory. What’s next for anatomy educators is to empirically determine what online pedagogical methods most closely fulfills both the needs for the three types of interactions as well as the needs for clinical reasoning and skills development.</w:t>
      </w:r>
    </w:p>
    <w:p w14:paraId="4D485391" w14:textId="68FD4C83" w:rsidR="000400EC" w:rsidRDefault="000400EC" w:rsidP="000400EC">
      <w:pPr>
        <w:pStyle w:val="NormalWeb"/>
        <w:spacing w:line="480" w:lineRule="auto"/>
      </w:pPr>
      <w:r w:rsidRPr="00065E56">
        <w:tab/>
        <w:t xml:space="preserve">The proposed study is an analysis of formative and summative exam scores and student perceptions regarding their anatomical knowledge. Summative exams will be assessed by separating clinical application and analysis anatomy questions from lower Bloom’s level questions, similar to previously described research </w:t>
      </w:r>
      <w:r w:rsidRPr="00065E56">
        <w:fldChar w:fldCharType="begin"/>
      </w:r>
      <w:r w:rsidRPr="00065E56">
        <w:instrText xml:space="preserve"> ADDIN ZOTERO_ITEM CSL_CITATION {"citationID":"yrQYpq8t","properties":{"formattedCitation":"(Day, 2018; Morton &amp; Colbert-Getz, 2017)","plainCitation":"(Day, 2018; Morton &amp; Colbert-Getz, 2017)","noteIndex":0},"citationItems":[{"id":66,"uris":["http://zotero.org/users/local/8fpcHUeo/items/22QUYBMN"],"uri":["http://zotero.org/users/local/8fpcHUeo/items/22QUYBMN"],"itemData":{"id":66,"type":"article-journal","container-title":"Anatomical Sciences Education","DOI":"10.1002/ase.1772","ISSN":"19359772","issue":"6","language":"en","page":"565-574","source":"Crossref","title":"A gross anatomy flipped classroom effects performance, retention, and higher-level thinking in lower performing students","volume":"11","author":[{"family":"Day","given":"Leslie J."}],"issued":{"date-parts":[["2018",11]]}}},{"id":339,"uris":["http://zotero.org/users/local/8fpcHUeo/items/MBEEW2RL"],"uri":["http://zotero.org/users/local/8fpcHUeo/items/MBEEW2RL"],"itemData":{"id":339,"type":"article-journal","abstract":"The ﬂipped classroom (FC) model has emerged as an innovative solution to improve student‐centered learning. However, studies measuring student performance of material in the FC relative to the lecture classroom (LC) have shown mixed results. An aim of this study was to determine if the disparity in results of prior research is due to level of cognition (low or high) needed to perform well on the outcome, or course assessment. This study tested the hypothesis that (1) students in a FC would perform better than students in a LC on an assessment requiring higher cognition and (2) there would be no diﬀerence in performance for an assessment requiring lower cognition. To test this hypothesis the performance of 28 multiple choice anatomy items that were part of a ﬁnal examination were compared between two classes of ﬁrst year medical students at the University of Utah School of Medicine. Items were categorized as requiring knowledge (low cognition), application, or analysis (high cognition). Thirty hours of anatomy content was delivered in LC format to 101 students in 2013 and in FC format to 104 students in 2014. Mann Whitney tests indicated FC students performed better than LC students on analysis items, U = 4243.00, P = 0.030, r =  0.19, but there were no diﬀerences in performance between FC and LC students for knowledge, U = 5002.00, P = 0.720 or application, U = 4990.00, P = 0.700, items. The FC may beneﬁt retention when students are expected to analyze material. Anat Sci Educ 10: 170–175. © 2016 American Association of Anatomists.","container-title":"Anatomical Sciences Education","DOI":"10.1002/ase.1635","ISSN":"19359772","issue":"2","journalAbbreviation":"American Association of Anatomists","language":"en","page":"170-175","source":"DOI.org (Crossref)","title":"Measuring the impact of the flipped anatomy classroom: The importance of categorizing an assessment by Bloom's taxonomy: Impact of the Flipped Anatomy Classroom","title-short":"Measuring the impact of the flipped anatomy classroom","volume":"10","author":[{"family":"Morton","given":"David A."},{"family":"Colbert-Getz","given":"Jorie M."}],"issued":{"date-parts":[["2017",3]]}}}],"schema":"https://github.com/citation-style-language/schema/raw/master/csl-citation.json"} </w:instrText>
      </w:r>
      <w:r w:rsidRPr="00065E56">
        <w:fldChar w:fldCharType="separate"/>
      </w:r>
      <w:r w:rsidRPr="00065E56">
        <w:rPr>
          <w:noProof/>
        </w:rPr>
        <w:t>(Day, 2018; Morton &amp; Colbert-Getz, 2017)</w:t>
      </w:r>
      <w:r w:rsidRPr="00065E56">
        <w:fldChar w:fldCharType="end"/>
      </w:r>
      <w:r w:rsidRPr="00065E56">
        <w:t>. Any future investigations of potential long-term effects of clinical anatomy ERT or changes made to convert from ERT to online learning need to be made with knowledge of how students performed academically and how they perceived their anatomical knowledge in the short term. This information may direct anatomy educators toward best practices in a new and unfamiliar pedagogy.</w:t>
      </w:r>
    </w:p>
    <w:p w14:paraId="586D2BE2" w14:textId="41B84FE1" w:rsidR="001A6BF2" w:rsidRPr="00065E56" w:rsidRDefault="001A6BF2" w:rsidP="000400EC">
      <w:pPr>
        <w:pStyle w:val="NormalWeb"/>
        <w:spacing w:line="480" w:lineRule="auto"/>
      </w:pPr>
      <w:r>
        <w:tab/>
        <w:t xml:space="preserve">Though face-to-face instruction has been the norm for Clinical Anatomy, </w:t>
      </w:r>
      <w:r w:rsidR="009F1830">
        <w:t xml:space="preserve">fully </w:t>
      </w:r>
      <w:r>
        <w:t xml:space="preserve">remote </w:t>
      </w:r>
      <w:r w:rsidR="009F1830">
        <w:t>instruction was necessary for the 2020 course and should be evaluated</w:t>
      </w:r>
      <w:r w:rsidR="00436846">
        <w:t xml:space="preserve"> for efficacy and equity</w:t>
      </w:r>
      <w:r w:rsidR="009F1830">
        <w:t xml:space="preserve">. The following chapter will present the methods used to </w:t>
      </w:r>
      <w:r w:rsidR="00436846">
        <w:t>analyze</w:t>
      </w:r>
      <w:r w:rsidR="009F1830">
        <w:t xml:space="preserve"> actual and perceived anatomical knowledge and to determine any relationships between the data. Chapter Four will present the analysis and discussion of the data. The final chapter will present a discussion of </w:t>
      </w:r>
      <w:r w:rsidR="00436846">
        <w:t>conclusions</w:t>
      </w:r>
      <w:r w:rsidR="009F1830">
        <w:t>, including implications for future educators, future research recommendations, and limitations.</w:t>
      </w:r>
    </w:p>
    <w:p w14:paraId="2CA10C0D" w14:textId="77777777" w:rsidR="00A94ACD" w:rsidRDefault="00A94ACD" w:rsidP="00FC398E">
      <w:pPr>
        <w:rPr>
          <w:rFonts w:ascii="Times New Roman" w:hAnsi="Times New Roman" w:cs="Times New Roman"/>
        </w:rPr>
      </w:pPr>
    </w:p>
    <w:p w14:paraId="1D3432DC" w14:textId="50D8EA4A" w:rsidR="00D81E54" w:rsidRDefault="00D81E54" w:rsidP="00FC398E">
      <w:pPr>
        <w:rPr>
          <w:rFonts w:ascii="Times New Roman" w:hAnsi="Times New Roman" w:cs="Times New Roman"/>
          <w:b/>
          <w:bCs/>
        </w:rPr>
      </w:pPr>
      <w:r w:rsidRPr="00065E56">
        <w:rPr>
          <w:rFonts w:ascii="Times New Roman" w:hAnsi="Times New Roman" w:cs="Times New Roman"/>
          <w:b/>
          <w:bCs/>
        </w:rPr>
        <w:lastRenderedPageBreak/>
        <w:t>Chapter 3</w:t>
      </w:r>
      <w:r w:rsidR="00A851A5">
        <w:rPr>
          <w:rFonts w:ascii="Times New Roman" w:hAnsi="Times New Roman" w:cs="Times New Roman"/>
          <w:b/>
          <w:bCs/>
        </w:rPr>
        <w:t>: Materials and Methods</w:t>
      </w:r>
    </w:p>
    <w:p w14:paraId="18CC8686" w14:textId="77777777" w:rsidR="00FC398E" w:rsidRPr="00FC398E" w:rsidRDefault="00FC398E" w:rsidP="00FC398E">
      <w:pPr>
        <w:rPr>
          <w:rFonts w:ascii="Times New Roman" w:hAnsi="Times New Roman" w:cs="Times New Roman"/>
          <w:b/>
          <w:bCs/>
        </w:rPr>
      </w:pPr>
    </w:p>
    <w:p w14:paraId="1978B688" w14:textId="5C5CD000" w:rsidR="00436846" w:rsidRPr="00065E56" w:rsidRDefault="00436846" w:rsidP="00FC398E">
      <w:pPr>
        <w:spacing w:line="480" w:lineRule="auto"/>
        <w:rPr>
          <w:rFonts w:ascii="Times New Roman" w:hAnsi="Times New Roman" w:cs="Times New Roman"/>
        </w:rPr>
      </w:pPr>
      <w:r>
        <w:rPr>
          <w:rFonts w:ascii="Times New Roman" w:hAnsi="Times New Roman" w:cs="Times New Roman"/>
        </w:rPr>
        <w:tab/>
        <w:t>In this chapter, the theoretical framework, methodology, and research design will be discussed</w:t>
      </w:r>
      <w:r w:rsidR="00FC398E">
        <w:rPr>
          <w:rFonts w:ascii="Times New Roman" w:hAnsi="Times New Roman" w:cs="Times New Roman"/>
        </w:rPr>
        <w:t>. A significant portion of the chapter will be devoted to describing the data collection and analysis. Both the statistical analysis of assessment items and the construction and administration of the student perspectives survey will be featured. Kane’s Interpretive-Use Argument framework will provide the structure for a detailed justification of the methods and use of the data.</w:t>
      </w:r>
    </w:p>
    <w:p w14:paraId="768FD2B2" w14:textId="77777777" w:rsidR="00D81E54" w:rsidRPr="00065E56" w:rsidRDefault="00D81E54" w:rsidP="00D81E54">
      <w:pPr>
        <w:spacing w:line="480" w:lineRule="auto"/>
        <w:rPr>
          <w:rFonts w:ascii="Times New Roman" w:hAnsi="Times New Roman" w:cs="Times New Roman"/>
        </w:rPr>
      </w:pPr>
      <w:r w:rsidRPr="00065E56">
        <w:rPr>
          <w:rFonts w:ascii="Times New Roman" w:hAnsi="Times New Roman" w:cs="Times New Roman"/>
        </w:rPr>
        <w:tab/>
        <w:t>Emergency remote teaching (ERT) offers unique opportunities and challenges to educators. One opportunity is the investigation of best practices for online anatomy education. By determining what aspects of ERT were effective, researchers can begin to thoughtfully construct an online curriculum that fully meets student needs in the event moving fully online becomes necessary or desired in the future. Additionally, effective aspects of ERT might be considered for inclusion in face-to-face F2F coursework where appropriate.</w:t>
      </w:r>
    </w:p>
    <w:p w14:paraId="06930063" w14:textId="77777777" w:rsidR="00D81E54" w:rsidRPr="00065E56" w:rsidRDefault="00D81E54" w:rsidP="00D81E54">
      <w:pPr>
        <w:spacing w:line="480" w:lineRule="auto"/>
        <w:rPr>
          <w:rFonts w:ascii="Times New Roman" w:hAnsi="Times New Roman" w:cs="Times New Roman"/>
          <w:b/>
          <w:bCs/>
          <w:color w:val="4472C4" w:themeColor="accent1"/>
        </w:rPr>
      </w:pPr>
      <w:r w:rsidRPr="00065E56">
        <w:rPr>
          <w:rFonts w:ascii="Times New Roman" w:hAnsi="Times New Roman" w:cs="Times New Roman"/>
        </w:rPr>
        <w:tab/>
        <w:t>A central aim of this study was to determine if physician assistant (PA) and dental students’ academic outcomes differed between remote and F2F learners. A necessary early step in determining effective pedagogical practice is assessing student learning. A second aim was to determine students’ perceptions of their anatomical knowledge. Determining how students felt about their learning may offer context for the academic outcomes and help educators acclimate students to fully online learning in the future. The concluding aim was to document to what extent the students’ perceptions related to their academic outcomes. The research proposed in this study addresses the following questions:</w:t>
      </w:r>
    </w:p>
    <w:p w14:paraId="5082840C" w14:textId="77777777" w:rsidR="00D81E54" w:rsidRPr="00065E56" w:rsidRDefault="00D81E54" w:rsidP="00D81E54">
      <w:pPr>
        <w:rPr>
          <w:rFonts w:ascii="Times New Roman" w:hAnsi="Times New Roman" w:cs="Times New Roman"/>
          <w:b/>
          <w:bCs/>
        </w:rPr>
      </w:pPr>
    </w:p>
    <w:p w14:paraId="3A108F09" w14:textId="77777777" w:rsidR="00D81E54" w:rsidRPr="00065E56" w:rsidRDefault="00D81E54" w:rsidP="00D81E54">
      <w:pPr>
        <w:tabs>
          <w:tab w:val="num" w:pos="720"/>
        </w:tabs>
        <w:rPr>
          <w:rFonts w:ascii="Times New Roman" w:hAnsi="Times New Roman" w:cs="Times New Roman"/>
        </w:rPr>
      </w:pPr>
      <w:r w:rsidRPr="00065E56">
        <w:rPr>
          <w:rFonts w:ascii="Times New Roman" w:hAnsi="Times New Roman" w:cs="Times New Roman"/>
        </w:rPr>
        <w:t>1a.</w:t>
      </w:r>
      <w:r w:rsidRPr="00065E56">
        <w:rPr>
          <w:rFonts w:ascii="Times New Roman" w:hAnsi="Times New Roman" w:cs="Times New Roman"/>
        </w:rPr>
        <w:tab/>
        <w:t xml:space="preserve">Do Clinical Anatomy academic outcomes of PA and dental students differ between </w:t>
      </w:r>
      <w:r w:rsidRPr="00065E56">
        <w:rPr>
          <w:rFonts w:ascii="Times New Roman" w:hAnsi="Times New Roman" w:cs="Times New Roman"/>
        </w:rPr>
        <w:tab/>
        <w:t>remote and face-to-face learners?</w:t>
      </w:r>
    </w:p>
    <w:p w14:paraId="284C1B78" w14:textId="77777777" w:rsidR="00D81E54" w:rsidRPr="00065E56" w:rsidRDefault="00D81E54" w:rsidP="00D81E54">
      <w:pPr>
        <w:tabs>
          <w:tab w:val="num" w:pos="720"/>
        </w:tabs>
        <w:rPr>
          <w:rFonts w:ascii="Times New Roman" w:hAnsi="Times New Roman" w:cs="Times New Roman"/>
        </w:rPr>
      </w:pPr>
      <w:r w:rsidRPr="00065E56">
        <w:rPr>
          <w:rFonts w:ascii="Times New Roman" w:hAnsi="Times New Roman" w:cs="Times New Roman"/>
        </w:rPr>
        <w:t>1b.</w:t>
      </w:r>
      <w:r w:rsidRPr="00065E56">
        <w:rPr>
          <w:rFonts w:ascii="Times New Roman" w:hAnsi="Times New Roman" w:cs="Times New Roman"/>
        </w:rPr>
        <w:tab/>
        <w:t>If so, how do the academic outcomes differ?</w:t>
      </w:r>
    </w:p>
    <w:p w14:paraId="0AC6A436" w14:textId="77777777" w:rsidR="00D81E54" w:rsidRPr="00065E56" w:rsidRDefault="00D81E54" w:rsidP="00D81E54">
      <w:pPr>
        <w:tabs>
          <w:tab w:val="num" w:pos="720"/>
        </w:tabs>
        <w:rPr>
          <w:rFonts w:ascii="Times New Roman" w:hAnsi="Times New Roman" w:cs="Times New Roman"/>
        </w:rPr>
      </w:pPr>
    </w:p>
    <w:p w14:paraId="01966863" w14:textId="77777777" w:rsidR="00D81E54" w:rsidRPr="00065E56" w:rsidRDefault="00D81E54" w:rsidP="00D81E54">
      <w:pPr>
        <w:tabs>
          <w:tab w:val="num" w:pos="720"/>
        </w:tabs>
        <w:rPr>
          <w:rFonts w:ascii="Times New Roman" w:hAnsi="Times New Roman" w:cs="Times New Roman"/>
        </w:rPr>
      </w:pPr>
      <w:r w:rsidRPr="00065E56">
        <w:rPr>
          <w:rFonts w:ascii="Times New Roman" w:hAnsi="Times New Roman" w:cs="Times New Roman"/>
        </w:rPr>
        <w:t>2.</w:t>
      </w:r>
      <w:r w:rsidRPr="00065E56">
        <w:rPr>
          <w:rFonts w:ascii="Times New Roman" w:hAnsi="Times New Roman" w:cs="Times New Roman"/>
        </w:rPr>
        <w:tab/>
        <w:t xml:space="preserve">How do PA and dental students perceive their anatomical knowledge upon completion </w:t>
      </w:r>
      <w:r w:rsidRPr="00065E56">
        <w:rPr>
          <w:rFonts w:ascii="Times New Roman" w:hAnsi="Times New Roman" w:cs="Times New Roman"/>
        </w:rPr>
        <w:tab/>
        <w:t xml:space="preserve"> </w:t>
      </w:r>
      <w:r w:rsidRPr="00065E56">
        <w:rPr>
          <w:rFonts w:ascii="Times New Roman" w:hAnsi="Times New Roman" w:cs="Times New Roman"/>
        </w:rPr>
        <w:tab/>
        <w:t xml:space="preserve">of a remote, synchronous Clinical Anatomy course? </w:t>
      </w:r>
    </w:p>
    <w:p w14:paraId="022F5D5C" w14:textId="77777777" w:rsidR="00D81E54" w:rsidRPr="00065E56" w:rsidRDefault="00D81E54" w:rsidP="00D81E54">
      <w:pPr>
        <w:tabs>
          <w:tab w:val="num" w:pos="720"/>
        </w:tabs>
        <w:rPr>
          <w:rFonts w:ascii="Times New Roman" w:hAnsi="Times New Roman" w:cs="Times New Roman"/>
        </w:rPr>
      </w:pPr>
    </w:p>
    <w:p w14:paraId="6E1D3929" w14:textId="77777777" w:rsidR="00D81E54" w:rsidRPr="00065E56" w:rsidRDefault="00D81E54" w:rsidP="00D81E54">
      <w:pPr>
        <w:rPr>
          <w:rFonts w:ascii="Times New Roman" w:hAnsi="Times New Roman" w:cs="Times New Roman"/>
          <w:b/>
          <w:bCs/>
        </w:rPr>
      </w:pPr>
      <w:r w:rsidRPr="00065E56">
        <w:rPr>
          <w:rFonts w:ascii="Times New Roman" w:hAnsi="Times New Roman" w:cs="Times New Roman"/>
        </w:rPr>
        <w:t>3.</w:t>
      </w:r>
      <w:r w:rsidRPr="00065E56">
        <w:rPr>
          <w:rFonts w:ascii="Times New Roman" w:hAnsi="Times New Roman" w:cs="Times New Roman"/>
        </w:rPr>
        <w:tab/>
        <w:t>To what extent do PA and dental student perceptions of anatomical knowledge relate to</w:t>
      </w:r>
      <w:r w:rsidRPr="00065E56">
        <w:rPr>
          <w:rFonts w:ascii="Times New Roman" w:hAnsi="Times New Roman" w:cs="Times New Roman"/>
        </w:rPr>
        <w:tab/>
        <w:t>their academic outcomes?</w:t>
      </w:r>
    </w:p>
    <w:p w14:paraId="7226BBB5" w14:textId="77777777" w:rsidR="00D81E54" w:rsidRPr="00065E56" w:rsidRDefault="00D81E54" w:rsidP="00D81E54">
      <w:pPr>
        <w:tabs>
          <w:tab w:val="num" w:pos="720"/>
        </w:tabs>
        <w:spacing w:line="480" w:lineRule="auto"/>
        <w:rPr>
          <w:rFonts w:ascii="Times New Roman" w:hAnsi="Times New Roman" w:cs="Times New Roman"/>
        </w:rPr>
      </w:pPr>
    </w:p>
    <w:p w14:paraId="52FC104E" w14:textId="77777777" w:rsidR="00D81E54" w:rsidRPr="00065E56" w:rsidRDefault="00D81E54" w:rsidP="00D81E54">
      <w:pPr>
        <w:tabs>
          <w:tab w:val="num" w:pos="720"/>
        </w:tabs>
        <w:spacing w:line="480" w:lineRule="auto"/>
        <w:rPr>
          <w:rFonts w:ascii="Times New Roman" w:hAnsi="Times New Roman" w:cs="Times New Roman"/>
        </w:rPr>
      </w:pPr>
      <w:r w:rsidRPr="00065E56">
        <w:rPr>
          <w:rFonts w:ascii="Times New Roman" w:hAnsi="Times New Roman" w:cs="Times New Roman"/>
        </w:rPr>
        <w:tab/>
        <w:t xml:space="preserve">This study has two components: a statistical analysis of summative and formative exam scores comparing F2F and remote student cohorts, and a compilation of survey data regarding perceptions of anatomical knowledge obtained from the remote student cohort. </w:t>
      </w:r>
    </w:p>
    <w:p w14:paraId="2B0A5C6D" w14:textId="77777777" w:rsidR="00D81E54" w:rsidRPr="00065E56" w:rsidRDefault="00D81E54" w:rsidP="00D81E54">
      <w:pPr>
        <w:spacing w:line="480" w:lineRule="auto"/>
        <w:rPr>
          <w:rFonts w:ascii="Times New Roman" w:hAnsi="Times New Roman" w:cs="Times New Roman"/>
        </w:rPr>
      </w:pPr>
      <w:r w:rsidRPr="00065E56">
        <w:rPr>
          <w:rFonts w:ascii="Times New Roman" w:hAnsi="Times New Roman" w:cs="Times New Roman"/>
        </w:rPr>
        <w:t xml:space="preserve">Beginning with situating the study within a theoretical framework, the discussion continues with an explanation of research design, participants, data collection, and data analysis. </w:t>
      </w:r>
    </w:p>
    <w:p w14:paraId="47887E24" w14:textId="77777777" w:rsidR="00D81E54" w:rsidRPr="00065E56" w:rsidRDefault="00D81E54" w:rsidP="00D81E54">
      <w:pPr>
        <w:spacing w:line="480" w:lineRule="auto"/>
        <w:rPr>
          <w:rFonts w:ascii="Times New Roman" w:hAnsi="Times New Roman" w:cs="Times New Roman"/>
          <w:i/>
          <w:iCs/>
        </w:rPr>
      </w:pPr>
      <w:r w:rsidRPr="00065E56">
        <w:rPr>
          <w:rFonts w:ascii="Times New Roman" w:hAnsi="Times New Roman" w:cs="Times New Roman"/>
          <w:b/>
          <w:bCs/>
          <w:i/>
          <w:iCs/>
        </w:rPr>
        <w:t>Theoretical Framework</w:t>
      </w:r>
    </w:p>
    <w:p w14:paraId="5A5BFBED" w14:textId="77777777" w:rsidR="00D81E54" w:rsidRPr="00065E56" w:rsidRDefault="00D81E54" w:rsidP="00D81E54">
      <w:pPr>
        <w:spacing w:line="480" w:lineRule="auto"/>
        <w:rPr>
          <w:rFonts w:ascii="Times New Roman" w:hAnsi="Times New Roman" w:cs="Times New Roman"/>
        </w:rPr>
      </w:pPr>
      <w:r w:rsidRPr="00065E56">
        <w:rPr>
          <w:rFonts w:ascii="Times New Roman" w:hAnsi="Times New Roman" w:cs="Times New Roman"/>
        </w:rPr>
        <w:tab/>
        <w:t xml:space="preserve">Post-positivism is frequently described as a rejection of positivism. Both dictate that an objective, external reality exists outside of human interpretation, but positivism as a research paradigm dictates that only what can be objectively measured qualifies as reality </w:t>
      </w:r>
      <w:r w:rsidRPr="00065E56">
        <w:rPr>
          <w:rFonts w:ascii="Times New Roman" w:hAnsi="Times New Roman" w:cs="Times New Roman"/>
        </w:rPr>
        <w:fldChar w:fldCharType="begin"/>
      </w:r>
      <w:r w:rsidRPr="00065E56">
        <w:rPr>
          <w:rFonts w:ascii="Times New Roman" w:hAnsi="Times New Roman" w:cs="Times New Roman"/>
        </w:rPr>
        <w:instrText xml:space="preserve"> ADDIN ZOTERO_ITEM CSL_CITATION {"citationID":"X3CXVCUe","properties":{"formattedCitation":"(Crotty, 1998)","plainCitation":"(Crotty, 1998)","dontUpdate":true,"noteIndex":0},"citationItems":[{"id":116,"uris":["http://zotero.org/users/local/8fpcHUeo/items/WV7QKSF3"],"uri":["http://zotero.org/users/local/8fpcHUeo/items/WV7QKSF3"],"itemData":{"id":116,"type":"book","abstract":"Choosing a research method can be bewildering. How can you be sure which methodology is appropriate, or whether your chosen combination of methods is consistent with the theoretical perspective you want to take? This book links methodology and theory with great clarity and precision, showing students and researchers how to navigate the maze of conflicting terminology. The major epistemological stances and theoretical perspectives that colour and shape current social research are detailed and the author reveals the philosophical origins of these schools of inquiry and shows how various disciplines contribute to the practice of social research as it is known today.","edition":"First edition","event-place":"London ; Thousand Oaks, Calif","ISBN":"978-0-7619-6106-2","language":"English","number-of-pages":"256","publisher":"SAGE Publications Ltd","publisher-place":"London ; Thousand Oaks, Calif","source":"Amazon","title":"The Foundations of Social Research","author":[{"family":"Crotty","given":"Michael J."}],"issued":{"date-parts":[["1998",10,15]]}}}],"schema":"https://github.com/citation-style-language/schema/raw/master/csl-citation.json"} </w:instrText>
      </w:r>
      <w:r w:rsidRPr="00065E56">
        <w:rPr>
          <w:rFonts w:ascii="Times New Roman" w:hAnsi="Times New Roman" w:cs="Times New Roman"/>
        </w:rPr>
        <w:fldChar w:fldCharType="separate"/>
      </w:r>
      <w:r w:rsidRPr="00065E56">
        <w:rPr>
          <w:rFonts w:ascii="Times New Roman" w:hAnsi="Times New Roman" w:cs="Times New Roman"/>
          <w:noProof/>
        </w:rPr>
        <w:t>(Crotty, 2015)</w:t>
      </w:r>
      <w:r w:rsidRPr="00065E56">
        <w:rPr>
          <w:rFonts w:ascii="Times New Roman" w:hAnsi="Times New Roman" w:cs="Times New Roman"/>
        </w:rPr>
        <w:fldChar w:fldCharType="end"/>
      </w:r>
      <w:r w:rsidRPr="00065E56">
        <w:rPr>
          <w:rFonts w:ascii="Times New Roman" w:hAnsi="Times New Roman" w:cs="Times New Roman"/>
        </w:rPr>
        <w:t xml:space="preserve">. Positivism historically was a rejection of metaphysical attempts such as alchemy to obtain knowledge; strict adherence to the scientific method was the only way to remove bias and obtain empirical, repeatable, verifiable knowledge. While the resulting scientific method was ultimately accepted as the framework for conducting deductive research, positivism as a research paradigm was eventually considered too absolute and restrictive in its definition of reality. </w:t>
      </w:r>
    </w:p>
    <w:p w14:paraId="15DC8C91" w14:textId="77777777" w:rsidR="00D81E54" w:rsidRPr="00065E56" w:rsidRDefault="00D81E54" w:rsidP="00D81E54">
      <w:pPr>
        <w:spacing w:line="480" w:lineRule="auto"/>
        <w:rPr>
          <w:rFonts w:ascii="Times New Roman" w:hAnsi="Times New Roman" w:cs="Times New Roman"/>
        </w:rPr>
      </w:pPr>
      <w:r w:rsidRPr="00065E56">
        <w:rPr>
          <w:rFonts w:ascii="Times New Roman" w:hAnsi="Times New Roman" w:cs="Times New Roman"/>
        </w:rPr>
        <w:tab/>
        <w:t xml:space="preserve">Post-positivism complicates the tenets of positivism by acknowledging the role of social constructionism in reality. Reality is still external and objective, but humans observe, interpret, and construct their own interpretations of reality (Miller, 2000). Post-positivism as a research paradigm dictates that human interpretation must be acknowledged when conducting research. Post-positivists essentially concede that humans view and therefore research knowledge through </w:t>
      </w:r>
      <w:r w:rsidRPr="00065E56">
        <w:rPr>
          <w:rFonts w:ascii="Times New Roman" w:hAnsi="Times New Roman" w:cs="Times New Roman"/>
        </w:rPr>
        <w:lastRenderedPageBreak/>
        <w:t xml:space="preserve">lenses such as prior knowledge, hypotheses and personal values.  Researchers identify these biases with the intention of minimizing their impact on the validity of the data </w:t>
      </w:r>
      <w:r w:rsidRPr="00065E56">
        <w:rPr>
          <w:rFonts w:ascii="Times New Roman" w:hAnsi="Times New Roman" w:cs="Times New Roman"/>
        </w:rPr>
        <w:fldChar w:fldCharType="begin"/>
      </w:r>
      <w:r w:rsidRPr="00065E56">
        <w:rPr>
          <w:rFonts w:ascii="Times New Roman" w:hAnsi="Times New Roman" w:cs="Times New Roman"/>
        </w:rPr>
        <w:instrText xml:space="preserve"> ADDIN ZOTERO_ITEM CSL_CITATION {"citationID":"EUgHzJ2c","properties":{"formattedCitation":"(Crotty, 1998)","plainCitation":"(Crotty, 1998)","dontUpdate":true,"noteIndex":0},"citationItems":[{"id":116,"uris":["http://zotero.org/users/local/8fpcHUeo/items/WV7QKSF3"],"uri":["http://zotero.org/users/local/8fpcHUeo/items/WV7QKSF3"],"itemData":{"id":116,"type":"book","abstract":"Choosing a research method can be bewildering. How can you be sure which methodology is appropriate, or whether your chosen combination of methods is consistent with the theoretical perspective you want to take? This book links methodology and theory with great clarity and precision, showing students and researchers how to navigate the maze of conflicting terminology. The major epistemological stances and theoretical perspectives that colour and shape current social research are detailed and the author reveals the philosophical origins of these schools of inquiry and shows how various disciplines contribute to the practice of social research as it is known today.","edition":"First edition","event-place":"London ; Thousand Oaks, Calif","ISBN":"978-0-7619-6106-2","language":"English","number-of-pages":"256","publisher":"SAGE Publications Ltd","publisher-place":"London ; Thousand Oaks, Calif","source":"Amazon","title":"The Foundations of Social Research","author":[{"family":"Crotty","given":"Michael J."}],"issued":{"date-parts":[["1998",10,15]]}}}],"schema":"https://github.com/citation-style-language/schema/raw/master/csl-citation.json"} </w:instrText>
      </w:r>
      <w:r w:rsidRPr="00065E56">
        <w:rPr>
          <w:rFonts w:ascii="Times New Roman" w:hAnsi="Times New Roman" w:cs="Times New Roman"/>
        </w:rPr>
        <w:fldChar w:fldCharType="separate"/>
      </w:r>
      <w:r w:rsidRPr="00065E56">
        <w:rPr>
          <w:rFonts w:ascii="Times New Roman" w:hAnsi="Times New Roman" w:cs="Times New Roman"/>
          <w:noProof/>
        </w:rPr>
        <w:t>(Crotty, 2015)</w:t>
      </w:r>
      <w:r w:rsidRPr="00065E56">
        <w:rPr>
          <w:rFonts w:ascii="Times New Roman" w:hAnsi="Times New Roman" w:cs="Times New Roman"/>
        </w:rPr>
        <w:fldChar w:fldCharType="end"/>
      </w:r>
      <w:r w:rsidRPr="00065E56">
        <w:rPr>
          <w:rFonts w:ascii="Times New Roman" w:hAnsi="Times New Roman" w:cs="Times New Roman"/>
        </w:rPr>
        <w:t xml:space="preserve">. Not only does post-positivism recognize constructionism’s role in research construction and analysis, </w:t>
      </w:r>
      <w:proofErr w:type="gramStart"/>
      <w:r w:rsidRPr="00065E56">
        <w:rPr>
          <w:rFonts w:ascii="Times New Roman" w:hAnsi="Times New Roman" w:cs="Times New Roman"/>
        </w:rPr>
        <w:t>constructionism</w:t>
      </w:r>
      <w:proofErr w:type="gramEnd"/>
      <w:r w:rsidRPr="00065E56">
        <w:rPr>
          <w:rFonts w:ascii="Times New Roman" w:hAnsi="Times New Roman" w:cs="Times New Roman"/>
        </w:rPr>
        <w:t xml:space="preserve"> becomes a topic of research itself. By including human interpretation into the concept of reality, post-positivism expands what is knowable by allowing measurement of constructs, perceptions, feelings, and opinions (Miller, 2000). </w:t>
      </w:r>
    </w:p>
    <w:p w14:paraId="49094581" w14:textId="77777777" w:rsidR="00D81E54" w:rsidRPr="00065E56" w:rsidRDefault="00D81E54" w:rsidP="00D81E54">
      <w:pPr>
        <w:spacing w:line="480" w:lineRule="auto"/>
        <w:rPr>
          <w:rFonts w:ascii="Times New Roman" w:hAnsi="Times New Roman" w:cs="Times New Roman"/>
        </w:rPr>
      </w:pPr>
      <w:r w:rsidRPr="00065E56">
        <w:rPr>
          <w:rFonts w:ascii="Times New Roman" w:hAnsi="Times New Roman" w:cs="Times New Roman"/>
        </w:rPr>
        <w:tab/>
        <w:t xml:space="preserve">A </w:t>
      </w:r>
      <w:proofErr w:type="gramStart"/>
      <w:r w:rsidRPr="00065E56">
        <w:rPr>
          <w:rFonts w:ascii="Times New Roman" w:hAnsi="Times New Roman" w:cs="Times New Roman"/>
        </w:rPr>
        <w:t>key concept distinguishing positivists</w:t>
      </w:r>
      <w:proofErr w:type="gramEnd"/>
      <w:r w:rsidRPr="00065E56">
        <w:rPr>
          <w:rFonts w:ascii="Times New Roman" w:hAnsi="Times New Roman" w:cs="Times New Roman"/>
        </w:rPr>
        <w:t xml:space="preserve"> from post-positivists is that post-positivists accept the fallibilism of knowledge. Fallibilism is the understanding that empirical knowledge can be revised upon further observation </w:t>
      </w:r>
      <w:r w:rsidRPr="00065E56">
        <w:rPr>
          <w:rFonts w:ascii="Times New Roman" w:hAnsi="Times New Roman" w:cs="Times New Roman"/>
        </w:rPr>
        <w:fldChar w:fldCharType="begin"/>
      </w:r>
      <w:r w:rsidRPr="00065E56">
        <w:rPr>
          <w:rFonts w:ascii="Times New Roman" w:hAnsi="Times New Roman" w:cs="Times New Roman"/>
        </w:rPr>
        <w:instrText xml:space="preserve"> ADDIN ZOTERO_ITEM CSL_CITATION {"citationID":"CgfnFEVZ","properties":{"formattedCitation":"(Reed, n.d.)","plainCitation":"(Reed, n.d.)","dontUpdate":true,"noteIndex":0},"citationItems":[{"id":152,"uris":["http://zotero.org/users/local/8fpcHUeo/items/DMF4J3PE"],"uri":["http://zotero.org/users/local/8fpcHUeo/items/DMF4J3PE"],"itemData":{"id":152,"type":"article-journal","abstract":"Almost every contemporary theory of knowledge is a version of fallibilism, yet an adequate statement of fallibilism has not yet been provided. Standard deﬁnitions cannot account for fallibilistic knowledge of necessary truths. I consider and reject several attempts to resolve this difﬁculty before arguing that a belief is an instance of fallibilistic knowledge when it could have failed to be knowledge. This is a fully general account of fallibilism that applies to knowledge of necessary truths. Moreover, it reveals, not only the connection between fallibility and error, but the connection between fallibility and accidental truth as well.","language":"en","page":"16","source":"Zotero","title":"How to Think about Fallibilism","author":[{"family":"Reed","given":"Baron"}]}}],"schema":"https://github.com/citation-style-language/schema/raw/master/csl-citation.json"} </w:instrText>
      </w:r>
      <w:r w:rsidRPr="00065E56">
        <w:rPr>
          <w:rFonts w:ascii="Times New Roman" w:hAnsi="Times New Roman" w:cs="Times New Roman"/>
        </w:rPr>
        <w:fldChar w:fldCharType="separate"/>
      </w:r>
      <w:r w:rsidRPr="00065E56">
        <w:rPr>
          <w:rFonts w:ascii="Times New Roman" w:hAnsi="Times New Roman" w:cs="Times New Roman"/>
          <w:noProof/>
        </w:rPr>
        <w:t>(Reed, 2002)</w:t>
      </w:r>
      <w:r w:rsidRPr="00065E56">
        <w:rPr>
          <w:rFonts w:ascii="Times New Roman" w:hAnsi="Times New Roman" w:cs="Times New Roman"/>
        </w:rPr>
        <w:fldChar w:fldCharType="end"/>
      </w:r>
      <w:r w:rsidRPr="00065E56">
        <w:rPr>
          <w:rFonts w:ascii="Times New Roman" w:hAnsi="Times New Roman" w:cs="Times New Roman"/>
        </w:rPr>
        <w:t xml:space="preserve">. Karl Popper promoted the concept of falsification, or the understanding that knowledge cannot be proven, only disproven, over positivism’s verification </w:t>
      </w:r>
      <w:r w:rsidRPr="00065E56">
        <w:rPr>
          <w:rFonts w:ascii="Times New Roman" w:hAnsi="Times New Roman" w:cs="Times New Roman"/>
        </w:rPr>
        <w:fldChar w:fldCharType="begin"/>
      </w:r>
      <w:r w:rsidRPr="00065E56">
        <w:rPr>
          <w:rFonts w:ascii="Times New Roman" w:hAnsi="Times New Roman" w:cs="Times New Roman"/>
        </w:rPr>
        <w:instrText xml:space="preserve"> ADDIN ZOTERO_ITEM CSL_CITATION {"citationID":"hwzmyKQB","properties":{"formattedCitation":"(Popper, 1979)","plainCitation":"(Popper, 1979)","dontUpdate":true,"noteIndex":0},"citationItems":[{"id":7,"uris":["http://zotero.org/users/local/8fpcHUeo/items/FERUB25A"],"uri":["http://zotero.org/users/local/8fpcHUeo/items/FERUB25A"],"itemData":{"id":7,"type":"book","abstract":"The essays in this volume represent an approach to human knowledge that has had a profound influence on many recent thinkers. Popper breaks with a traditional commonsense theory of knowledge that can be traced back to Aristotle. A realist and fallibilist, he argues closely and in simple language that scientific knowledge, once stated in human language, is no longer part of ourselves but a separate entity that grows through critical selection.","ISBN":"978-0-19-875024-6","language":"en","note":"Google-Books-ID: 7tnNugEACAAJ","number-of-pages":"410","publisher":"Clarendon Press","source":"Google Books","title":"Objective Knowledge: An Evolutionary Approach","title-short":"Objective Knowledge","author":[{"family":"Popper","given":"Karl Raimund"}],"issued":{"date-parts":[["1979"]]}}}],"schema":"https://github.com/citation-style-language/schema/raw/master/csl-citation.json"} </w:instrText>
      </w:r>
      <w:r w:rsidRPr="00065E56">
        <w:rPr>
          <w:rFonts w:ascii="Times New Roman" w:hAnsi="Times New Roman" w:cs="Times New Roman"/>
        </w:rPr>
        <w:fldChar w:fldCharType="separate"/>
      </w:r>
      <w:r w:rsidRPr="00065E56">
        <w:rPr>
          <w:rFonts w:ascii="Times New Roman" w:hAnsi="Times New Roman" w:cs="Times New Roman"/>
          <w:noProof/>
        </w:rPr>
        <w:t>(1979)</w:t>
      </w:r>
      <w:r w:rsidRPr="00065E56">
        <w:rPr>
          <w:rFonts w:ascii="Times New Roman" w:hAnsi="Times New Roman" w:cs="Times New Roman"/>
        </w:rPr>
        <w:fldChar w:fldCharType="end"/>
      </w:r>
      <w:r w:rsidRPr="00065E56">
        <w:rPr>
          <w:rFonts w:ascii="Times New Roman" w:hAnsi="Times New Roman" w:cs="Times New Roman"/>
        </w:rPr>
        <w:t>. What humans understand as measurable, objective, empirical facts are only true in the sense that researchers have not been experimentally able to disprove them. In rejecting the concept of verification, Popper changed the language of research from absolutism to probabilism. In other words, hypotheses are supported, not proven. Bias is limited, not eliminated.</w:t>
      </w:r>
    </w:p>
    <w:p w14:paraId="03BC53DD" w14:textId="77777777" w:rsidR="00D81E54" w:rsidRPr="00065E56" w:rsidRDefault="00D81E54" w:rsidP="00D81E54">
      <w:pPr>
        <w:spacing w:line="480" w:lineRule="auto"/>
        <w:rPr>
          <w:rFonts w:ascii="Times New Roman" w:hAnsi="Times New Roman" w:cs="Times New Roman"/>
        </w:rPr>
      </w:pPr>
      <w:r w:rsidRPr="00065E56">
        <w:rPr>
          <w:rFonts w:ascii="Times New Roman" w:hAnsi="Times New Roman" w:cs="Times New Roman"/>
        </w:rPr>
        <w:tab/>
        <w:t>Post-positivism provides a more realistic research paradigm within which to collect social science data (Miller, 2000). By providing a theoretical justification for data collection of human interpretation and/or perception of reality, social scientists and educators are able to measure both external reality and its context within the human experience.  Learning is fundamentally a process of internalizing external information and skills, and this process is unique to each individual. Post-positivism allows researchers to capture the phenomenon of learning from both points of view.</w:t>
      </w:r>
    </w:p>
    <w:p w14:paraId="71460571" w14:textId="77777777" w:rsidR="00346D80" w:rsidRPr="00065E56" w:rsidRDefault="00346D80" w:rsidP="00D81E54">
      <w:pPr>
        <w:rPr>
          <w:rFonts w:ascii="Times New Roman" w:hAnsi="Times New Roman" w:cs="Times New Roman"/>
          <w:b/>
          <w:bCs/>
          <w:i/>
          <w:iCs/>
        </w:rPr>
      </w:pPr>
    </w:p>
    <w:p w14:paraId="43C4E7CE" w14:textId="77777777" w:rsidR="00346D80" w:rsidRPr="00065E56" w:rsidRDefault="00346D80" w:rsidP="00D81E54">
      <w:pPr>
        <w:rPr>
          <w:rFonts w:ascii="Times New Roman" w:hAnsi="Times New Roman" w:cs="Times New Roman"/>
          <w:b/>
          <w:bCs/>
          <w:i/>
          <w:iCs/>
        </w:rPr>
      </w:pPr>
    </w:p>
    <w:p w14:paraId="6AE9EB46" w14:textId="264BC4AD" w:rsidR="00D81E54" w:rsidRPr="00065E56" w:rsidRDefault="00D81E54" w:rsidP="00D81E54">
      <w:pPr>
        <w:rPr>
          <w:rFonts w:ascii="Times New Roman" w:hAnsi="Times New Roman" w:cs="Times New Roman"/>
          <w:b/>
          <w:bCs/>
          <w:i/>
          <w:iCs/>
        </w:rPr>
      </w:pPr>
      <w:r w:rsidRPr="00065E56">
        <w:rPr>
          <w:rFonts w:ascii="Times New Roman" w:hAnsi="Times New Roman" w:cs="Times New Roman"/>
          <w:b/>
          <w:bCs/>
          <w:i/>
          <w:iCs/>
        </w:rPr>
        <w:lastRenderedPageBreak/>
        <w:t>Research Design</w:t>
      </w:r>
    </w:p>
    <w:p w14:paraId="2AF3B9CB" w14:textId="77777777" w:rsidR="00D81E54" w:rsidRPr="00065E56" w:rsidRDefault="00D81E54" w:rsidP="00D81E54">
      <w:pPr>
        <w:rPr>
          <w:rFonts w:ascii="Times New Roman" w:hAnsi="Times New Roman" w:cs="Times New Roman"/>
        </w:rPr>
      </w:pPr>
    </w:p>
    <w:p w14:paraId="122DCAA8" w14:textId="49A43AB1" w:rsidR="00D81E54" w:rsidRDefault="00D81E54" w:rsidP="00D81E54">
      <w:pPr>
        <w:spacing w:line="480" w:lineRule="auto"/>
        <w:rPr>
          <w:rFonts w:ascii="Times New Roman" w:hAnsi="Times New Roman" w:cs="Times New Roman"/>
        </w:rPr>
      </w:pPr>
      <w:r w:rsidRPr="00065E56">
        <w:rPr>
          <w:rFonts w:ascii="Times New Roman" w:hAnsi="Times New Roman" w:cs="Times New Roman"/>
        </w:rPr>
        <w:tab/>
        <w:t xml:space="preserve">This study was a concurrent monomethod multistrand, or ‘multimethod’, design (Teddlie &amp; </w:t>
      </w:r>
      <w:proofErr w:type="spellStart"/>
      <w:r w:rsidRPr="00065E56">
        <w:rPr>
          <w:rFonts w:ascii="Times New Roman" w:hAnsi="Times New Roman" w:cs="Times New Roman"/>
        </w:rPr>
        <w:t>Tashakkori</w:t>
      </w:r>
      <w:proofErr w:type="spellEnd"/>
      <w:r w:rsidRPr="00065E56">
        <w:rPr>
          <w:rFonts w:ascii="Times New Roman" w:hAnsi="Times New Roman" w:cs="Times New Roman"/>
        </w:rPr>
        <w:t>, 2006). Multimethod designs collect either quantitative or qualitative data from multiple sources, then researchers triangulate the results. For this study, summative and formative exam scores of a remote cohort and a F2F cohort were analyzed in order to assess differences in academic outcomes. A Likert-style survey was administered to the remote cohort to assess their perceived anatomical knowledge. The survey’s open response box at the end of the anatomical knowledge section allowed students to leave comments. Textual data from the boxes were analyzed via thematic analysis, and significant findings were added to provide context to otherwise quantitative data. Though a bit of qualitative data was collected, the bulk of the data stems from quantitative sources, thus a QUAN + QUAN research design more accurately describes the study than a mixed methods design</w:t>
      </w:r>
      <w:r w:rsidR="00346D80" w:rsidRPr="00065E56">
        <w:rPr>
          <w:rFonts w:ascii="Times New Roman" w:hAnsi="Times New Roman" w:cs="Times New Roman"/>
        </w:rPr>
        <w:t xml:space="preserve"> (Figure 2)</w:t>
      </w:r>
      <w:r w:rsidRPr="00065E56">
        <w:rPr>
          <w:rFonts w:ascii="Times New Roman" w:hAnsi="Times New Roman" w:cs="Times New Roman"/>
        </w:rPr>
        <w:t xml:space="preserve">. Emergent relationships between the results of the exam score analysis and the survey were assessed to provide a discussion of actual versus perceived anatomical knowledge. </w:t>
      </w:r>
    </w:p>
    <w:p w14:paraId="639F2F8B" w14:textId="77777777" w:rsidR="005D6960" w:rsidRPr="00065E56" w:rsidRDefault="005D6960" w:rsidP="005D6960">
      <w:pPr>
        <w:pStyle w:val="NormalWeb"/>
        <w:rPr>
          <w:b/>
          <w:bCs/>
          <w:i/>
          <w:iCs/>
        </w:rPr>
      </w:pPr>
      <w:r w:rsidRPr="00065E56">
        <w:rPr>
          <w:b/>
          <w:bCs/>
          <w:i/>
          <w:iCs/>
        </w:rPr>
        <w:t>Participants</w:t>
      </w:r>
    </w:p>
    <w:p w14:paraId="311650A6" w14:textId="6CEFE154" w:rsidR="005D6960" w:rsidRPr="005D6960" w:rsidRDefault="005D6960" w:rsidP="005D6960">
      <w:pPr>
        <w:spacing w:line="480" w:lineRule="auto"/>
        <w:rPr>
          <w:rFonts w:ascii="Times New Roman" w:hAnsi="Times New Roman" w:cs="Times New Roman"/>
        </w:rPr>
      </w:pPr>
      <w:r w:rsidRPr="00065E56">
        <w:tab/>
      </w:r>
      <w:r w:rsidRPr="005D6960">
        <w:rPr>
          <w:rFonts w:ascii="Times New Roman" w:hAnsi="Times New Roman" w:cs="Times New Roman"/>
        </w:rPr>
        <w:t xml:space="preserve">This study received expedited approval for human participants by the Institutional Review Board at the University of Oklahoma Health Sciences Center in January 2021 (IRB #12937). Informed consent was waived due to the study’s retrospective nature. The 2019 student participant cohort received F2F instruction, while the 2020 student participant cohort received remote instruction during the COVID-19 pandemic. A compilation of student demographic data (Table 1) indicates similarity between the classes. For PA students, 94% of students were between the ages of 21-30 years old in the 2019 cohort, similar to 91% in the 2020 cohort. </w:t>
      </w:r>
      <w:r w:rsidRPr="005D6960">
        <w:rPr>
          <w:rFonts w:ascii="Times New Roman" w:hAnsi="Times New Roman" w:cs="Times New Roman"/>
        </w:rPr>
        <w:lastRenderedPageBreak/>
        <w:t>Dental student cohorts were similarly close in age, with 88% and 91% of students in the 21-30 years old age category in the 2019 and 2020 cohorts, respectively. The remaining students for all</w:t>
      </w:r>
    </w:p>
    <w:p w14:paraId="5BA7F950" w14:textId="7AE1F756" w:rsidR="005D6960" w:rsidRPr="00065E56" w:rsidRDefault="005D6960" w:rsidP="00D81E54">
      <w:pPr>
        <w:spacing w:line="480" w:lineRule="auto"/>
        <w:rPr>
          <w:rFonts w:ascii="Times New Roman" w:hAnsi="Times New Roman" w:cs="Times New Roman"/>
        </w:rPr>
      </w:pPr>
      <w:r w:rsidRPr="005D6960">
        <w:rPr>
          <w:rFonts w:ascii="Times New Roman" w:hAnsi="Times New Roman" w:cs="Times New Roman"/>
        </w:rPr>
        <w:t>cohorts were aged 31-50. Gender matched closely between PA cohorts: 79% female versus 76% female in 2019 and 2020, respectively. Dental students were not as closely matched between cohorts: 47% of 2019 dental students and 37% of 2020 dental students were female.</w:t>
      </w:r>
    </w:p>
    <w:p w14:paraId="01C44043" w14:textId="6491149D" w:rsidR="00D81E54" w:rsidRPr="00065E56" w:rsidRDefault="00D81E54" w:rsidP="00D81E54">
      <w:pPr>
        <w:spacing w:line="480" w:lineRule="auto"/>
        <w:rPr>
          <w:rFonts w:ascii="Times New Roman" w:hAnsi="Times New Roman" w:cs="Times New Roman"/>
          <w:b/>
          <w:bCs/>
        </w:rPr>
      </w:pPr>
      <w:r w:rsidRPr="00065E56">
        <w:rPr>
          <w:rFonts w:ascii="Times New Roman" w:hAnsi="Times New Roman" w:cs="Times New Roman"/>
          <w:b/>
          <w:bCs/>
        </w:rPr>
        <w:t xml:space="preserve">Figure </w:t>
      </w:r>
      <w:r w:rsidR="00346D80" w:rsidRPr="00065E56">
        <w:rPr>
          <w:rFonts w:ascii="Times New Roman" w:hAnsi="Times New Roman" w:cs="Times New Roman"/>
          <w:b/>
          <w:bCs/>
        </w:rPr>
        <w:t>2</w:t>
      </w:r>
    </w:p>
    <w:p w14:paraId="60E20AC7" w14:textId="7D5EE529" w:rsidR="00D81E54" w:rsidRPr="00065E56" w:rsidRDefault="00067B76" w:rsidP="00D81E54">
      <w:pPr>
        <w:spacing w:line="480" w:lineRule="auto"/>
        <w:rPr>
          <w:rFonts w:ascii="Times New Roman" w:hAnsi="Times New Roman" w:cs="Times New Roman"/>
          <w:i/>
          <w:iCs/>
        </w:rPr>
      </w:pPr>
      <w:r w:rsidRPr="00065E56">
        <w:rPr>
          <w:rFonts w:ascii="Times New Roman" w:hAnsi="Times New Roman" w:cs="Times New Roman"/>
          <w:noProof/>
        </w:rPr>
        <mc:AlternateContent>
          <mc:Choice Requires="wps">
            <w:drawing>
              <wp:anchor distT="0" distB="0" distL="114300" distR="114300" simplePos="0" relativeHeight="251663360" behindDoc="0" locked="0" layoutInCell="1" allowOverlap="1" wp14:anchorId="1F071A89" wp14:editId="26E6E521">
                <wp:simplePos x="0" y="0"/>
                <wp:positionH relativeFrom="column">
                  <wp:posOffset>3119354</wp:posOffset>
                </wp:positionH>
                <wp:positionV relativeFrom="paragraph">
                  <wp:posOffset>311084</wp:posOffset>
                </wp:positionV>
                <wp:extent cx="2614295" cy="1916898"/>
                <wp:effectExtent l="0" t="0" r="1905" b="1270"/>
                <wp:wrapNone/>
                <wp:docPr id="8" name="Rounded Rectangle 8"/>
                <wp:cNvGraphicFramePr/>
                <a:graphic xmlns:a="http://schemas.openxmlformats.org/drawingml/2006/main">
                  <a:graphicData uri="http://schemas.microsoft.com/office/word/2010/wordprocessingShape">
                    <wps:wsp>
                      <wps:cNvSpPr/>
                      <wps:spPr>
                        <a:xfrm>
                          <a:off x="0" y="0"/>
                          <a:ext cx="2614295" cy="1916898"/>
                        </a:xfrm>
                        <a:prstGeom prst="round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237FF51" w14:textId="77777777" w:rsidR="001C607A" w:rsidRDefault="001C607A" w:rsidP="00D81E54">
                            <w:pPr>
                              <w:jc w:val="center"/>
                            </w:pPr>
                          </w:p>
                          <w:p w14:paraId="494A9DDE" w14:textId="77777777" w:rsidR="001C607A" w:rsidRDefault="001C607A" w:rsidP="00D81E54">
                            <w:pPr>
                              <w:jc w:val="center"/>
                            </w:pPr>
                          </w:p>
                          <w:p w14:paraId="4E972683" w14:textId="77777777" w:rsidR="001C607A" w:rsidRDefault="001C607A" w:rsidP="00D81E54">
                            <w:pPr>
                              <w:jc w:val="center"/>
                            </w:pPr>
                            <w:r>
                              <w:t xml:space="preserve">Summer 2020 </w:t>
                            </w:r>
                          </w:p>
                          <w:p w14:paraId="17AD59C4" w14:textId="77777777" w:rsidR="001C607A" w:rsidRDefault="001C607A" w:rsidP="00D81E54">
                            <w:pPr>
                              <w:jc w:val="center"/>
                            </w:pPr>
                            <w:r>
                              <w:t>Remote Clinical Anatomy Anatomical Knowledge Survey</w:t>
                            </w:r>
                          </w:p>
                          <w:p w14:paraId="70597670" w14:textId="77777777" w:rsidR="001C607A" w:rsidRDefault="001C607A" w:rsidP="00D81E54">
                            <w:pPr>
                              <w:jc w:val="center"/>
                            </w:pPr>
                          </w:p>
                          <w:p w14:paraId="33219668" w14:textId="77777777" w:rsidR="001C607A" w:rsidRPr="00CA2652" w:rsidRDefault="001C607A" w:rsidP="00D81E54">
                            <w:pPr>
                              <w:jc w:val="center"/>
                              <w:rPr>
                                <w:sz w:val="32"/>
                                <w:szCs w:val="32"/>
                              </w:rPr>
                            </w:pPr>
                            <w:r w:rsidRPr="00CA2652">
                              <w:rPr>
                                <w:sz w:val="32"/>
                                <w:szCs w:val="32"/>
                              </w:rPr>
                              <w:t>QUAN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F071A89" id="Rounded Rectangle 8" o:spid="_x0000_s1026" style="position:absolute;margin-left:245.6pt;margin-top:24.5pt;width:205.85pt;height:150.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liB0jgIAAGoFAAAOAAAAZHJzL2Uyb0RvYy54bWysVFFP4zAMfj/p/kOU96PrNDg20aEJxOkk&#13;&#10;BGiAeM7SZK2UxrkkW7v79WenXUGA7uF0e8ic2P5sf7V9cdk1hu2VDzXYgucnE86UlVDWdlvw56eb&#13;&#10;b+echShsKQxYVfCDCvxy+fXLResWagoVmFJ5hiA2LFpX8CpGt8iyICvViHACTllUavCNiHj126z0&#13;&#10;okX0xmTTyeQsa8GXzoNUIeDrda/ky4SvtZLxXuugIjMFx9xiOn06N3Rmywux2HrhqloOaYh/yKIR&#13;&#10;tcWgI9S1iILtfP0BqqmlhwA6nkhoMtC6lirVgNXkk3fVPFbCqVQLkhPcSFP4f7Dybv/gWV0WHD+U&#13;&#10;FQ1+ojXsbKlKtkbyhN0axc6JptaFBVo/ugc/3AKKVHOnfUP/WA3rErWHkVrVRSbxcXqWz6bzU84k&#13;&#10;6vJ5fnY+T6jZq7vzIf5Q0DASCu4pDcoh8Sr2tyFiXLQ/2lFIY+m0cFMb02vpJaNc++ySFA9G9dZr&#13;&#10;pbFYyiehpjZTV8azvcAGEVIqG/NeVYlS9c+nE/wRBRh89Eg3YxGQkDXGH7EHAGrhj9g9zGBPrip1&#13;&#10;6eg8+VtivfPokSKDjaNzU1vwnwEYrGqI3NsfSeqpIZZit+nQhMQNlAfsCg/9uAQnb2r8JrcixAfh&#13;&#10;cT5wknDm4z0e2kBbcBgkzirwvz97J3tsW9Ry1uK8FTz82gmvODM/LTb0PJ/NaEDTZXb6fYoX/1az&#13;&#10;eauxu+YK8IvluF2cTCLZR3MUtYfmBVfDiqKiSliJsQsuoz9ermK/B3C5SLVaJTMcSifirX10ksCJ&#13;&#10;YGq3p+5FeDc0ZsSevoPjbIrFu9bsbcnTwmoXQdepb195HajHgU49NCwf2hhv78nqdUUu/wAAAP//&#13;&#10;AwBQSwMEFAAGAAgAAAAhANBWle3mAAAADwEAAA8AAABkcnMvZG93bnJldi54bWxMj09PwzAMxe9I&#13;&#10;fIfISNxYssLQ0jWdGH/EAXHYViZxy5qsLTRO1WRd+fZ4J7hYtvz8/H7ZcnQtG2wfGo8KphMBzGLp&#13;&#10;TYOVgmL7cjMHFqJGo1uPVsGPDbDMLy8ynRp/wrUdNrFiZIIh1QrqGLuU81DW1ukw8Z1F2h1873Sk&#13;&#10;sa+46fWJzF3LEyHuudMN0odad/axtuX35ugU7OYfQ7eS77uv9eGVbz9Xz7O3olDq+mp8WlB5WACL&#13;&#10;dox/F3BmoPyQU7C9P6IJrFVwJ6cJSc8NgZFAikQC2yu4nQkJPM/4f478FwAA//8DAFBLAQItABQA&#13;&#10;BgAIAAAAIQC2gziS/gAAAOEBAAATAAAAAAAAAAAAAAAAAAAAAABbQ29udGVudF9UeXBlc10ueG1s&#13;&#10;UEsBAi0AFAAGAAgAAAAhADj9If/WAAAAlAEAAAsAAAAAAAAAAAAAAAAALwEAAF9yZWxzLy5yZWxz&#13;&#10;UEsBAi0AFAAGAAgAAAAhAAaWIHSOAgAAagUAAA4AAAAAAAAAAAAAAAAALgIAAGRycy9lMm9Eb2Mu&#13;&#10;eG1sUEsBAi0AFAAGAAgAAAAhANBWle3mAAAADwEAAA8AAAAAAAAAAAAAAAAA6AQAAGRycy9kb3du&#13;&#10;cmV2LnhtbFBLBQYAAAAABAAEAPMAAAD7BQAAAAA=&#13;&#10;" fillcolor="#4472c4 [3204]" stroked="f" strokeweight="1pt">
                <v:stroke joinstyle="miter"/>
                <v:textbox>
                  <w:txbxContent>
                    <w:p w14:paraId="5237FF51" w14:textId="77777777" w:rsidR="001C607A" w:rsidRDefault="001C607A" w:rsidP="00D81E54">
                      <w:pPr>
                        <w:jc w:val="center"/>
                      </w:pPr>
                    </w:p>
                    <w:p w14:paraId="494A9DDE" w14:textId="77777777" w:rsidR="001C607A" w:rsidRDefault="001C607A" w:rsidP="00D81E54">
                      <w:pPr>
                        <w:jc w:val="center"/>
                      </w:pPr>
                    </w:p>
                    <w:p w14:paraId="4E972683" w14:textId="77777777" w:rsidR="001C607A" w:rsidRDefault="001C607A" w:rsidP="00D81E54">
                      <w:pPr>
                        <w:jc w:val="center"/>
                      </w:pPr>
                      <w:r>
                        <w:t xml:space="preserve">Summer 2020 </w:t>
                      </w:r>
                    </w:p>
                    <w:p w14:paraId="17AD59C4" w14:textId="77777777" w:rsidR="001C607A" w:rsidRDefault="001C607A" w:rsidP="00D81E54">
                      <w:pPr>
                        <w:jc w:val="center"/>
                      </w:pPr>
                      <w:r>
                        <w:t>Remote Clinical Anatomy Anatomical Knowledge Survey</w:t>
                      </w:r>
                    </w:p>
                    <w:p w14:paraId="70597670" w14:textId="77777777" w:rsidR="001C607A" w:rsidRDefault="001C607A" w:rsidP="00D81E54">
                      <w:pPr>
                        <w:jc w:val="center"/>
                      </w:pPr>
                    </w:p>
                    <w:p w14:paraId="33219668" w14:textId="77777777" w:rsidR="001C607A" w:rsidRPr="00CA2652" w:rsidRDefault="001C607A" w:rsidP="00D81E54">
                      <w:pPr>
                        <w:jc w:val="center"/>
                        <w:rPr>
                          <w:sz w:val="32"/>
                          <w:szCs w:val="32"/>
                        </w:rPr>
                      </w:pPr>
                      <w:r w:rsidRPr="00CA2652">
                        <w:rPr>
                          <w:sz w:val="32"/>
                          <w:szCs w:val="32"/>
                        </w:rPr>
                        <w:t>QUAN</w:t>
                      </w:r>
                    </w:p>
                  </w:txbxContent>
                </v:textbox>
              </v:roundrect>
            </w:pict>
          </mc:Fallback>
        </mc:AlternateContent>
      </w:r>
      <w:r w:rsidRPr="00065E56">
        <w:rPr>
          <w:rFonts w:ascii="Times New Roman" w:hAnsi="Times New Roman" w:cs="Times New Roman"/>
          <w:noProof/>
        </w:rPr>
        <mc:AlternateContent>
          <mc:Choice Requires="wps">
            <w:drawing>
              <wp:anchor distT="0" distB="0" distL="114300" distR="114300" simplePos="0" relativeHeight="251660288" behindDoc="0" locked="0" layoutInCell="1" allowOverlap="1" wp14:anchorId="36198164" wp14:editId="4CE57D3D">
                <wp:simplePos x="0" y="0"/>
                <wp:positionH relativeFrom="column">
                  <wp:posOffset>8021</wp:posOffset>
                </wp:positionH>
                <wp:positionV relativeFrom="paragraph">
                  <wp:posOffset>319238</wp:posOffset>
                </wp:positionV>
                <wp:extent cx="2672080" cy="1884947"/>
                <wp:effectExtent l="0" t="0" r="0" b="0"/>
                <wp:wrapNone/>
                <wp:docPr id="5" name="Rounded Rectangle 5"/>
                <wp:cNvGraphicFramePr/>
                <a:graphic xmlns:a="http://schemas.openxmlformats.org/drawingml/2006/main">
                  <a:graphicData uri="http://schemas.microsoft.com/office/word/2010/wordprocessingShape">
                    <wps:wsp>
                      <wps:cNvSpPr/>
                      <wps:spPr>
                        <a:xfrm>
                          <a:off x="0" y="0"/>
                          <a:ext cx="2672080" cy="1884947"/>
                        </a:xfrm>
                        <a:prstGeom prst="round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C857BA1" w14:textId="77777777" w:rsidR="001C607A" w:rsidRDefault="001C607A" w:rsidP="00D81E54">
                            <w:pPr>
                              <w:jc w:val="center"/>
                            </w:pPr>
                          </w:p>
                          <w:p w14:paraId="07E4AF1A" w14:textId="77777777" w:rsidR="001C607A" w:rsidRDefault="001C607A" w:rsidP="00D81E54">
                            <w:pPr>
                              <w:jc w:val="center"/>
                            </w:pPr>
                          </w:p>
                          <w:p w14:paraId="6B1E233A" w14:textId="77777777" w:rsidR="001C607A" w:rsidRDefault="001C607A" w:rsidP="00D81E54">
                            <w:pPr>
                              <w:jc w:val="center"/>
                            </w:pPr>
                          </w:p>
                          <w:p w14:paraId="7E3A5D68" w14:textId="77777777" w:rsidR="001C607A" w:rsidRDefault="001C607A" w:rsidP="00D81E54">
                            <w:pPr>
                              <w:jc w:val="center"/>
                            </w:pPr>
                          </w:p>
                          <w:p w14:paraId="201E4A02" w14:textId="77777777" w:rsidR="001C607A" w:rsidRDefault="001C607A" w:rsidP="00D81E54">
                            <w:pPr>
                              <w:jc w:val="center"/>
                            </w:pPr>
                          </w:p>
                          <w:p w14:paraId="4509DF81" w14:textId="77777777" w:rsidR="001C607A" w:rsidRDefault="001C607A" w:rsidP="00D81E54">
                            <w:pPr>
                              <w:jc w:val="center"/>
                            </w:pPr>
                          </w:p>
                          <w:p w14:paraId="26D03B38" w14:textId="77777777" w:rsidR="001C607A" w:rsidRPr="00CA2652" w:rsidRDefault="001C607A" w:rsidP="00D81E54">
                            <w:pPr>
                              <w:jc w:val="center"/>
                              <w:rPr>
                                <w:sz w:val="32"/>
                                <w:szCs w:val="32"/>
                              </w:rPr>
                            </w:pPr>
                            <w:r w:rsidRPr="00CA2652">
                              <w:rPr>
                                <w:sz w:val="32"/>
                                <w:szCs w:val="32"/>
                              </w:rPr>
                              <w:t>QUAN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6198164" id="Rounded Rectangle 5" o:spid="_x0000_s1027" style="position:absolute;margin-left:.65pt;margin-top:25.15pt;width:210.4pt;height:148.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laqdjwIAAHEFAAAOAAAAZHJzL2Uyb0RvYy54bWysVN9P2zAQfp+0/8Hy+0hatVAqUlSBmCYh&#13;&#10;QMDEs+vYTSTb59luk+6v39lOAwK0h2l5cGzf3Xc//N1dXPZakb1wvgVT0clJSYkwHOrWbCv68/nm&#13;&#10;24ISH5ipmQIjKnoQnl6uvn656OxSTKEBVQtHEMT4ZWcr2oRgl0XheSM08ydghUGhBKdZwKPbFrVj&#13;&#10;HaJrVUzL8rTowNXWARfe4+11FtJVwpdS8HAvpReBqIpibCGtLq2buBarC7bcOmablg9hsH+IQrPW&#13;&#10;oNMR6poFRnau/QClW+7AgwwnHHQBUrZcpBwwm0n5LpunhlmRcsHieDuWyf8/WH63f3CkrSs6p8Qw&#13;&#10;jU/0CDtTi5o8YvGY2SpB5rFMnfVL1H6yD244edzGnHvpdPxjNqRPpT2MpRV9IBwvp6dn03KBL8BR&#13;&#10;NlksZuezs4havJpb58N3AZrETUVdDCPGkOrK9rc+ZP2jXnSpTFwN3LRKZWm8KWKsObq0Cwclsvaj&#13;&#10;kJhsjCehJpqJK+XIniFBGOfChEkWNawW+Xpe4jcEO1qk0JVBwIgs0f+IPQBECn/EzlEO+tFUJJaO&#13;&#10;xuXfAsvGo0XyDCaMxro14D4DUJjV4DnrH4uUSxOrFPpNn4iQNOPNBuoDksNB7hpv+U2LT3PLfHhg&#13;&#10;DtsEnxNbP9zjIhV0FYVhR0kD7vdn91Ef2YtSSjpsu4r6XzvmBCXqh0Fen09ms9in6TCbI2kocW8l&#13;&#10;m7cSs9NXgA83wSFjedpG/aCOW+lAv+CEWEevKGKGo++K8uCOh6uQxwHOGC7W66SGvWlZuDVPlkfw&#13;&#10;WOfIuuf+hTk78DMgte/g2KJs+Y6hWTdaGljvAsg20fe1rsMLYF8nKg0zKA6Ot+ek9TopV38AAAD/&#13;&#10;/wMAUEsDBBQABgAIAAAAIQAg1Jtx5AAAAA0BAAAPAAAAZHJzL2Rvd25yZXYueG1sTE9NT8JAEL2b&#13;&#10;+B82Y+JNti0gWLol4kc4GA9AIfG2tENb7c423aXUf+940stMXt7M+0iWg2lEj52rLSkIRwEIpNwW&#13;&#10;NZUKst3r3RyE85oK3VhCBd/oYJleXyU6LuyFNthvfSlYhFysFVTet7GULq/QaDeyLRJzJ9sZ7Rl2&#13;&#10;pSw6fWFx08goCO6l0TWxQ6VbfKow/9qejYLDfN+3q4f3w+fmtJa7j9XL9C3LlLq9GZ4XPB4XIDwO&#13;&#10;/u8Dfjtwfkg52NGeqXCiYTzmQwXTgDfTkygKQRwVjCezEGSayP8t0h8AAAD//wMAUEsBAi0AFAAG&#13;&#10;AAgAAAAhALaDOJL+AAAA4QEAABMAAAAAAAAAAAAAAAAAAAAAAFtDb250ZW50X1R5cGVzXS54bWxQ&#13;&#10;SwECLQAUAAYACAAAACEAOP0h/9YAAACUAQAACwAAAAAAAAAAAAAAAAAvAQAAX3JlbHMvLnJlbHNQ&#13;&#10;SwECLQAUAAYACAAAACEA3ZWqnY8CAABxBQAADgAAAAAAAAAAAAAAAAAuAgAAZHJzL2Uyb0RvYy54&#13;&#10;bWxQSwECLQAUAAYACAAAACEAINSbceQAAAANAQAADwAAAAAAAAAAAAAAAADpBAAAZHJzL2Rvd25y&#13;&#10;ZXYueG1sUEsFBgAAAAAEAAQA8wAAAPoFAAAAAA==&#13;&#10;" fillcolor="#4472c4 [3204]" stroked="f" strokeweight="1pt">
                <v:stroke joinstyle="miter"/>
                <v:textbox>
                  <w:txbxContent>
                    <w:p w14:paraId="5C857BA1" w14:textId="77777777" w:rsidR="001C607A" w:rsidRDefault="001C607A" w:rsidP="00D81E54">
                      <w:pPr>
                        <w:jc w:val="center"/>
                      </w:pPr>
                    </w:p>
                    <w:p w14:paraId="07E4AF1A" w14:textId="77777777" w:rsidR="001C607A" w:rsidRDefault="001C607A" w:rsidP="00D81E54">
                      <w:pPr>
                        <w:jc w:val="center"/>
                      </w:pPr>
                    </w:p>
                    <w:p w14:paraId="6B1E233A" w14:textId="77777777" w:rsidR="001C607A" w:rsidRDefault="001C607A" w:rsidP="00D81E54">
                      <w:pPr>
                        <w:jc w:val="center"/>
                      </w:pPr>
                    </w:p>
                    <w:p w14:paraId="7E3A5D68" w14:textId="77777777" w:rsidR="001C607A" w:rsidRDefault="001C607A" w:rsidP="00D81E54">
                      <w:pPr>
                        <w:jc w:val="center"/>
                      </w:pPr>
                    </w:p>
                    <w:p w14:paraId="201E4A02" w14:textId="77777777" w:rsidR="001C607A" w:rsidRDefault="001C607A" w:rsidP="00D81E54">
                      <w:pPr>
                        <w:jc w:val="center"/>
                      </w:pPr>
                    </w:p>
                    <w:p w14:paraId="4509DF81" w14:textId="77777777" w:rsidR="001C607A" w:rsidRDefault="001C607A" w:rsidP="00D81E54">
                      <w:pPr>
                        <w:jc w:val="center"/>
                      </w:pPr>
                    </w:p>
                    <w:p w14:paraId="26D03B38" w14:textId="77777777" w:rsidR="001C607A" w:rsidRPr="00CA2652" w:rsidRDefault="001C607A" w:rsidP="00D81E54">
                      <w:pPr>
                        <w:jc w:val="center"/>
                        <w:rPr>
                          <w:sz w:val="32"/>
                          <w:szCs w:val="32"/>
                        </w:rPr>
                      </w:pPr>
                      <w:r w:rsidRPr="00CA2652">
                        <w:rPr>
                          <w:sz w:val="32"/>
                          <w:szCs w:val="32"/>
                        </w:rPr>
                        <w:t>QUAN</w:t>
                      </w:r>
                    </w:p>
                  </w:txbxContent>
                </v:textbox>
              </v:roundrect>
            </w:pict>
          </mc:Fallback>
        </mc:AlternateContent>
      </w:r>
      <w:r w:rsidR="00D81E54" w:rsidRPr="00065E56">
        <w:rPr>
          <w:rFonts w:ascii="Times New Roman" w:hAnsi="Times New Roman" w:cs="Times New Roman"/>
          <w:i/>
          <w:iCs/>
        </w:rPr>
        <w:t>Experimental Design Diagram</w:t>
      </w:r>
    </w:p>
    <w:p w14:paraId="5AC4563A" w14:textId="095DA2B3" w:rsidR="00D81E54" w:rsidRPr="00065E56" w:rsidRDefault="00067B76" w:rsidP="00D81E54">
      <w:pPr>
        <w:spacing w:line="480" w:lineRule="auto"/>
        <w:rPr>
          <w:rFonts w:ascii="Times New Roman" w:hAnsi="Times New Roman" w:cs="Times New Roman"/>
          <w:i/>
          <w:iCs/>
        </w:rPr>
      </w:pPr>
      <w:r w:rsidRPr="00065E56">
        <w:rPr>
          <w:rFonts w:ascii="Times New Roman" w:hAnsi="Times New Roman" w:cs="Times New Roman"/>
          <w:noProof/>
        </w:rPr>
        <mc:AlternateContent>
          <mc:Choice Requires="wps">
            <w:drawing>
              <wp:anchor distT="0" distB="0" distL="114300" distR="114300" simplePos="0" relativeHeight="251673600" behindDoc="0" locked="0" layoutInCell="1" allowOverlap="1" wp14:anchorId="660377CE" wp14:editId="7CE6B66C">
                <wp:simplePos x="0" y="0"/>
                <wp:positionH relativeFrom="column">
                  <wp:posOffset>1459130</wp:posOffset>
                </wp:positionH>
                <wp:positionV relativeFrom="paragraph">
                  <wp:posOffset>152166</wp:posOffset>
                </wp:positionV>
                <wp:extent cx="1026695" cy="1098884"/>
                <wp:effectExtent l="0" t="0" r="15240" b="19050"/>
                <wp:wrapNone/>
                <wp:docPr id="11" name="Rounded Rectangle 11"/>
                <wp:cNvGraphicFramePr/>
                <a:graphic xmlns:a="http://schemas.openxmlformats.org/drawingml/2006/main">
                  <a:graphicData uri="http://schemas.microsoft.com/office/word/2010/wordprocessingShape">
                    <wps:wsp>
                      <wps:cNvSpPr/>
                      <wps:spPr>
                        <a:xfrm>
                          <a:off x="0" y="0"/>
                          <a:ext cx="1026695" cy="1098884"/>
                        </a:xfrm>
                        <a:prstGeom prst="roundRect">
                          <a:avLst/>
                        </a:prstGeom>
                        <a:gradFill flip="none" rotWithShape="1">
                          <a:gsLst>
                            <a:gs pos="0">
                              <a:schemeClr val="bg2">
                                <a:lumMod val="50000"/>
                                <a:shade val="30000"/>
                                <a:satMod val="115000"/>
                              </a:schemeClr>
                            </a:gs>
                            <a:gs pos="50000">
                              <a:schemeClr val="bg2">
                                <a:lumMod val="50000"/>
                                <a:shade val="67500"/>
                                <a:satMod val="115000"/>
                              </a:schemeClr>
                            </a:gs>
                            <a:gs pos="100000">
                              <a:schemeClr val="bg2">
                                <a:lumMod val="50000"/>
                                <a:shade val="100000"/>
                                <a:satMod val="115000"/>
                              </a:schemeClr>
                            </a:gs>
                          </a:gsLst>
                          <a:path path="circle">
                            <a:fillToRect l="50000" t="50000" r="50000" b="50000"/>
                          </a:path>
                          <a:tileRect/>
                        </a:gra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712C9D1" w14:textId="77777777" w:rsidR="001C607A" w:rsidRPr="00810406" w:rsidRDefault="001C607A" w:rsidP="00D81E54">
                            <w:pPr>
                              <w:jc w:val="center"/>
                              <w:rPr>
                                <w:sz w:val="23"/>
                                <w:szCs w:val="23"/>
                              </w:rPr>
                            </w:pPr>
                            <w:r w:rsidRPr="00810406">
                              <w:rPr>
                                <w:sz w:val="23"/>
                                <w:szCs w:val="23"/>
                              </w:rPr>
                              <w:t xml:space="preserve"> Summer </w:t>
                            </w:r>
                            <w:r>
                              <w:rPr>
                                <w:sz w:val="23"/>
                                <w:szCs w:val="23"/>
                              </w:rPr>
                              <w:t>2020</w:t>
                            </w:r>
                          </w:p>
                          <w:p w14:paraId="76D51B55" w14:textId="77777777" w:rsidR="001C607A" w:rsidRPr="00810406" w:rsidRDefault="001C607A" w:rsidP="00D81E54">
                            <w:pPr>
                              <w:jc w:val="center"/>
                              <w:rPr>
                                <w:sz w:val="23"/>
                                <w:szCs w:val="23"/>
                              </w:rPr>
                            </w:pPr>
                            <w:r>
                              <w:rPr>
                                <w:sz w:val="23"/>
                                <w:szCs w:val="23"/>
                              </w:rPr>
                              <w:t>Remote Clinical</w:t>
                            </w:r>
                            <w:r w:rsidRPr="00810406">
                              <w:rPr>
                                <w:sz w:val="23"/>
                                <w:szCs w:val="23"/>
                              </w:rPr>
                              <w:t xml:space="preserve"> Anatomy Exam Scores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60377CE" id="Rounded Rectangle 11" o:spid="_x0000_s1028" style="position:absolute;margin-left:114.9pt;margin-top:12pt;width:80.85pt;height:86.5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UqeHOgMAANIHAAAOAAAAZHJzL2Uyb0RvYy54bWysVVtP2zAUfp+0/2D5faTpgEFFQIiJaRLb&#13;&#10;EDDx7DpOY8mxM9ulZb9+37HTtGNM2tj6kB6fm8/lO8cnZ+vOsAflg3a24uXehDNlpau1XVT8693l&#13;&#10;myPOQhS2FsZZVfFHFfjZ6etXJ6t+pqaudaZWnsGJDbNVX/E2xn5WFEG2qhNhz/XKQtg434mIo18U&#13;&#10;tRcreO9MMZ1MDouV83XvnVQhgPs+C/lp8t80SsYvTRNUZKbiiC2mr0/fOX2L0xMxW3jRt1oOYYgX&#13;&#10;RNEJbXHp6Oq9iIItvf7FVaeld8E1cU+6rnBNo6VKOSCbcvIkm9tW9CrlguKEfixT+H9u5eeHa890&#13;&#10;jd6VnFnRoUc3bmlrVbMbVE/YhVEMMhRq1YcZ9G/7az+cAkjKet34jv6RD1un4j6OxVXryCSY5WR6&#13;&#10;eHh8wJmErJwcHx0d7ZPXYmve+xA/KNcxIiruKQ4KIlVWPFyFmPU3ekPB60ttDGuMBn4sUMaZd/Fe&#13;&#10;xzbVD5flzgTYJ4vAeocSThI7IU1dGM8eBDAyX0wT2yy7T67OvIMJfhkpoRW1yty3O1wRR+WyJPUh&#13;&#10;sdF5SnMRdq/PXokzav1tCIfv4GQI7CUhlJTCP5Zh8IHGIJE/DwJdX2wa0ovYMvpUXGovDUFezBo0&#13;&#10;9c5R+2l2c7VofgcKMzxQmONMDeCAI7KP2iiyzlyMeIIJSYxNwTqjR9aTFggplY0J9Ag0bDVxIuuC&#13;&#10;RiGDP1Hx0ajs+UY1mCbAPcPoN37T/Vso7YY/WiTIGAuHpE3VGH1nQI+aGTY/xzzok6lKa3A0frbf&#13;&#10;PxuPFulmZ+No3Gnr/HNzY8ZqNVl/U6RcGqpSXM/XadNMCbLEmbv6EdsH05p2RujlpcbkX4kQr4XH&#13;&#10;HsbGxtsSv+DTGLequBsozlrnvz/HJ32sR0g5W2GvVzx8WwqPpWA+Wkz9cbm/Tw9BOuwfvJvi4Hcl&#13;&#10;812JXXYXDvDDbkR0iST9aDZk4113jyfonG6FSFiJuwHk6DeHi4gzRHjEpDo/TzSWPwB/ZW97udlP&#13;&#10;tNTu1vfC98P6i9icn93mDRCzJwsw61KHrDtfRtfoBPVtXYcO4OFIUBoeOXqZds9Ja/sUn/4AAAD/&#13;&#10;/wMAUEsDBBQABgAIAAAAIQAIsfdk5AAAAA8BAAAPAAAAZHJzL2Rvd25yZXYueG1sTI9BT8MwDIXv&#13;&#10;SPyHyEjcWNpCWds1nRAIxGFIsE3aNWtCG9E4UZN15d9jTnCxbPn5+Xv1erYDm/QYjEMB6SIBprF1&#13;&#10;ymAnYL97vimAhShRycGhFvCtA6yby4taVsqd8UNP29gxMsFQSQF9jL7iPLS9tjIsnNdIu083Whlp&#13;&#10;HDuuRnkmczvwLEnuuZUG6UMvvX7sdfu1PVkBfjKbpX95Kw6vO4Xmnee+8LkQ11fz04rKwwpY1HP8&#13;&#10;u4DfDMQPDYEd3QlVYIOALCuJP1JzR8FIcFumObAjKctlCryp+f8czQ8AAAD//wMAUEsBAi0AFAAG&#13;&#10;AAgAAAAhALaDOJL+AAAA4QEAABMAAAAAAAAAAAAAAAAAAAAAAFtDb250ZW50X1R5cGVzXS54bWxQ&#13;&#10;SwECLQAUAAYACAAAACEAOP0h/9YAAACUAQAACwAAAAAAAAAAAAAAAAAvAQAAX3JlbHMvLnJlbHNQ&#13;&#10;SwECLQAUAAYACAAAACEALVKnhzoDAADSBwAADgAAAAAAAAAAAAAAAAAuAgAAZHJzL2Uyb0RvYy54&#13;&#10;bWxQSwECLQAUAAYACAAAACEACLH3ZOQAAAAPAQAADwAAAAAAAAAAAAAAAACUBQAAZHJzL2Rvd25y&#13;&#10;ZXYueG1sUEsFBgAAAAAEAAQA8wAAAKUGAAAAAA==&#13;&#10;" fillcolor="#747070 [1614]" strokecolor="#4472c4 [3204]" strokeweight="1pt">
                <v:fill color2="#747070 [1614]" rotate="t" focusposition=".5,.5" focussize="" colors="0 #423f3f;.5 #625d5d;1 #767171" focus="100%" type="gradientRadial"/>
                <v:stroke joinstyle="miter"/>
                <v:textbox>
                  <w:txbxContent>
                    <w:p w14:paraId="0712C9D1" w14:textId="77777777" w:rsidR="001C607A" w:rsidRPr="00810406" w:rsidRDefault="001C607A" w:rsidP="00D81E54">
                      <w:pPr>
                        <w:jc w:val="center"/>
                        <w:rPr>
                          <w:sz w:val="23"/>
                          <w:szCs w:val="23"/>
                        </w:rPr>
                      </w:pPr>
                      <w:r w:rsidRPr="00810406">
                        <w:rPr>
                          <w:sz w:val="23"/>
                          <w:szCs w:val="23"/>
                        </w:rPr>
                        <w:t xml:space="preserve"> Summer </w:t>
                      </w:r>
                      <w:r>
                        <w:rPr>
                          <w:sz w:val="23"/>
                          <w:szCs w:val="23"/>
                        </w:rPr>
                        <w:t>2020</w:t>
                      </w:r>
                    </w:p>
                    <w:p w14:paraId="76D51B55" w14:textId="77777777" w:rsidR="001C607A" w:rsidRPr="00810406" w:rsidRDefault="001C607A" w:rsidP="00D81E54">
                      <w:pPr>
                        <w:jc w:val="center"/>
                        <w:rPr>
                          <w:sz w:val="23"/>
                          <w:szCs w:val="23"/>
                        </w:rPr>
                      </w:pPr>
                      <w:r>
                        <w:rPr>
                          <w:sz w:val="23"/>
                          <w:szCs w:val="23"/>
                        </w:rPr>
                        <w:t>Remote Clinical</w:t>
                      </w:r>
                      <w:r w:rsidRPr="00810406">
                        <w:rPr>
                          <w:sz w:val="23"/>
                          <w:szCs w:val="23"/>
                        </w:rPr>
                        <w:t xml:space="preserve"> Anatomy Exam Scores</w:t>
                      </w:r>
                    </w:p>
                  </w:txbxContent>
                </v:textbox>
              </v:roundrect>
            </w:pict>
          </mc:Fallback>
        </mc:AlternateContent>
      </w:r>
      <w:r w:rsidRPr="00065E56">
        <w:rPr>
          <w:rFonts w:ascii="Times New Roman" w:hAnsi="Times New Roman" w:cs="Times New Roman"/>
          <w:noProof/>
        </w:rPr>
        <mc:AlternateContent>
          <mc:Choice Requires="wps">
            <w:drawing>
              <wp:anchor distT="0" distB="0" distL="114300" distR="114300" simplePos="0" relativeHeight="251672576" behindDoc="0" locked="0" layoutInCell="1" allowOverlap="1" wp14:anchorId="784EE9D6" wp14:editId="49BB1531">
                <wp:simplePos x="0" y="0"/>
                <wp:positionH relativeFrom="column">
                  <wp:posOffset>199925</wp:posOffset>
                </wp:positionH>
                <wp:positionV relativeFrom="paragraph">
                  <wp:posOffset>136591</wp:posOffset>
                </wp:positionV>
                <wp:extent cx="1097949" cy="1114926"/>
                <wp:effectExtent l="0" t="0" r="6985" b="15875"/>
                <wp:wrapNone/>
                <wp:docPr id="2" name="Rounded Rectangle 2"/>
                <wp:cNvGraphicFramePr/>
                <a:graphic xmlns:a="http://schemas.openxmlformats.org/drawingml/2006/main">
                  <a:graphicData uri="http://schemas.microsoft.com/office/word/2010/wordprocessingShape">
                    <wps:wsp>
                      <wps:cNvSpPr/>
                      <wps:spPr>
                        <a:xfrm>
                          <a:off x="0" y="0"/>
                          <a:ext cx="1097949" cy="1114926"/>
                        </a:xfrm>
                        <a:prstGeom prst="roundRect">
                          <a:avLst/>
                        </a:prstGeom>
                        <a:gradFill flip="none" rotWithShape="1">
                          <a:gsLst>
                            <a:gs pos="0">
                              <a:schemeClr val="bg2">
                                <a:lumMod val="50000"/>
                                <a:shade val="30000"/>
                                <a:satMod val="115000"/>
                              </a:schemeClr>
                            </a:gs>
                            <a:gs pos="50000">
                              <a:schemeClr val="bg2">
                                <a:lumMod val="50000"/>
                                <a:shade val="67500"/>
                                <a:satMod val="115000"/>
                              </a:schemeClr>
                            </a:gs>
                            <a:gs pos="100000">
                              <a:schemeClr val="bg2">
                                <a:lumMod val="50000"/>
                                <a:shade val="100000"/>
                                <a:satMod val="115000"/>
                              </a:schemeClr>
                            </a:gs>
                          </a:gsLst>
                          <a:path path="circle">
                            <a:fillToRect l="50000" t="50000" r="50000" b="50000"/>
                          </a:path>
                          <a:tileRect/>
                        </a:gra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6F7ABF7" w14:textId="77777777" w:rsidR="001C607A" w:rsidRPr="00810406" w:rsidRDefault="001C607A" w:rsidP="00D81E54">
                            <w:pPr>
                              <w:jc w:val="center"/>
                              <w:rPr>
                                <w:sz w:val="23"/>
                                <w:szCs w:val="23"/>
                              </w:rPr>
                            </w:pPr>
                            <w:r w:rsidRPr="00810406">
                              <w:rPr>
                                <w:sz w:val="23"/>
                                <w:szCs w:val="23"/>
                              </w:rPr>
                              <w:t xml:space="preserve"> Summer 2019</w:t>
                            </w:r>
                          </w:p>
                          <w:p w14:paraId="268CF860" w14:textId="77777777" w:rsidR="001C607A" w:rsidRPr="00810406" w:rsidRDefault="001C607A" w:rsidP="00D81E54">
                            <w:pPr>
                              <w:jc w:val="center"/>
                              <w:rPr>
                                <w:sz w:val="23"/>
                                <w:szCs w:val="23"/>
                              </w:rPr>
                            </w:pPr>
                            <w:r w:rsidRPr="00810406">
                              <w:rPr>
                                <w:sz w:val="23"/>
                                <w:szCs w:val="23"/>
                              </w:rPr>
                              <w:t>F2F Clinical Anatomy Exam Scores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4EE9D6" id="Rounded Rectangle 2" o:spid="_x0000_s1029" style="position:absolute;margin-left:15.75pt;margin-top:10.75pt;width:86.45pt;height:87.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Qs06OQMAANAHAAAOAAAAZHJzL2Uyb0RvYy54bWysVd1PGzEMf5+0/yHK+7heKbBWXFEFYprE&#13;&#10;BgImntNc0ouUS7Ik/dpfPzu5Xgtj0sbWh6vj2I4/frbPLzatJivhg7KmouXRgBJhuK2VWVT02+P1&#13;&#10;h4+UhMhMzbQ1oqJbEejF9P2787WbiKFtrK6FJ2DEhMnaVbSJ0U2KIvBGtCwcWScMXErrWxbh6BdF&#13;&#10;7dkarLe6GA4Gp8Xa+tp5y0UIwL3Kl3Sa7EspeLyVMohIdEXBt5i+Pn3n+C2m52yy8Mw1indusDd4&#13;&#10;0TJl4NHe1BWLjCy9+sVUq7i3wcp4xG1bWCkVFykGiKYcvIjmoWFOpFggOcH1aQr/zyz/urrzRNUV&#13;&#10;HVJiWAslurdLU4ua3EPymFloQYaYprULE5B+cHe+OwUgMeaN9C3+QzRkk1K77VMrNpFwYJaD8dl4&#13;&#10;NKaEw11ZlqPx8BStFnt150P8JGxLkKioRzfQh5RXtroJMcvv5Lp019dKayK1AvQYwBgl3sYnFZuU&#13;&#10;PXgs1yWAftIIxFlI4CCxE87EpfZkxQAh88UwsfWy/WLrzDsZwC/jJDSsFpl7fMBlsRcuSxTvAuuN&#13;&#10;pzAX4fD5bBU5vdTfunB6BkY6x97iQokh/GMaOhtQGAjkz52Aqi92BXEsNgQ/FeXKc42AZxMJRX20&#13;&#10;WH7s3Jwt7N6Ogg7uKOjiTHXgAEOoH5UWqJ250OAJJnijTXLWatWzXpSAcS5MLHdV3EuC26hdYCtk&#13;&#10;8CcqbrXIlu+FhF4CuGcY/cZuen8PpUP3e40EGW3AIEpjNnrbGdC9ZIbNc587eVQVaQj2yq/W+7ly&#13;&#10;r5Fetib2yq0y1r/WN7rPlszyuyTl1GCW4ma+SXPmGPOKnLmttzB7oFvTzAiOXyvo/BsW4h3zMIVh&#13;&#10;XsNmibfwkdquK2o7ipLG+h+v8VEehiPcUrKGqV7R8H3JPAwF/dlA14/L0QjXQDqMTs6GcPCHN/PD&#13;&#10;G7NsLy3Ar4Qd5ngiUT7qHSm9bZ9gAc3wVbhihsPbAOTod4fLCGe4ghXGxWyWaBj9APgb8+D4bj7h&#13;&#10;UHvcPDHvuvEXYXJ+tbsNwCYvBmCWxQoZO1tGK1WC+j6vXQVgbSQodSsO99LhOUntF/H0JwAAAP//&#13;&#10;AwBQSwMEFAAGAAgAAAAhAF1NGffhAAAADgEAAA8AAABkcnMvZG93bnJldi54bWxMT01PwzAMvSPx&#13;&#10;HyIjcWNpy8pK13RCIBAHkGBD4po1pq1onKjJuvLv8U5wsWW95/dRbWY7iAnH0DtSkC4SEEiNMz21&#13;&#10;Cj52j1cFiBA1GT04QgU/GGBTn59VujTuSO84bWMrWIRCqRV0MfpSytB0aHVYOI/E2JcbrY58jq00&#13;&#10;oz6yuB1kliQ30uqe2KHTHu87bL63B6vAT/3Lyj+9Fp/PO0P9m8x94XOlLi/mhzWPuzWIiHP8+4BT&#13;&#10;B84PNQfbuwOZIAYF12nOTAXZaTOeJcsliD0Tb1cpyLqS/2vUvwAAAP//AwBQSwECLQAUAAYACAAA&#13;&#10;ACEAtoM4kv4AAADhAQAAEwAAAAAAAAAAAAAAAAAAAAAAW0NvbnRlbnRfVHlwZXNdLnhtbFBLAQIt&#13;&#10;ABQABgAIAAAAIQA4/SH/1gAAAJQBAAALAAAAAAAAAAAAAAAAAC8BAABfcmVscy8ucmVsc1BLAQIt&#13;&#10;ABQABgAIAAAAIQA4Qs06OQMAANAHAAAOAAAAAAAAAAAAAAAAAC4CAABkcnMvZTJvRG9jLnhtbFBL&#13;&#10;AQItABQABgAIAAAAIQBdTRn34QAAAA4BAAAPAAAAAAAAAAAAAAAAAJMFAABkcnMvZG93bnJldi54&#13;&#10;bWxQSwUGAAAAAAQABADzAAAAoQYAAAAA&#13;&#10;" fillcolor="#747070 [1614]" strokecolor="#4472c4 [3204]" strokeweight="1pt">
                <v:fill color2="#747070 [1614]" rotate="t" focusposition=".5,.5" focussize="" colors="0 #423f3f;.5 #625d5d;1 #767171" focus="100%" type="gradientRadial"/>
                <v:stroke joinstyle="miter"/>
                <v:textbox>
                  <w:txbxContent>
                    <w:p w14:paraId="46F7ABF7" w14:textId="77777777" w:rsidR="001C607A" w:rsidRPr="00810406" w:rsidRDefault="001C607A" w:rsidP="00D81E54">
                      <w:pPr>
                        <w:jc w:val="center"/>
                        <w:rPr>
                          <w:sz w:val="23"/>
                          <w:szCs w:val="23"/>
                        </w:rPr>
                      </w:pPr>
                      <w:r w:rsidRPr="00810406">
                        <w:rPr>
                          <w:sz w:val="23"/>
                          <w:szCs w:val="23"/>
                        </w:rPr>
                        <w:t xml:space="preserve"> Summer 2019</w:t>
                      </w:r>
                    </w:p>
                    <w:p w14:paraId="268CF860" w14:textId="77777777" w:rsidR="001C607A" w:rsidRPr="00810406" w:rsidRDefault="001C607A" w:rsidP="00D81E54">
                      <w:pPr>
                        <w:jc w:val="center"/>
                        <w:rPr>
                          <w:sz w:val="23"/>
                          <w:szCs w:val="23"/>
                        </w:rPr>
                      </w:pPr>
                      <w:r w:rsidRPr="00810406">
                        <w:rPr>
                          <w:sz w:val="23"/>
                          <w:szCs w:val="23"/>
                        </w:rPr>
                        <w:t>F2F Clinical Anatomy Exam Scores</w:t>
                      </w:r>
                    </w:p>
                  </w:txbxContent>
                </v:textbox>
              </v:roundrect>
            </w:pict>
          </mc:Fallback>
        </mc:AlternateContent>
      </w:r>
    </w:p>
    <w:p w14:paraId="392CC90F" w14:textId="0AAD1256" w:rsidR="00D81E54" w:rsidRPr="00065E56" w:rsidRDefault="00D81E54" w:rsidP="00D81E54">
      <w:pPr>
        <w:rPr>
          <w:rFonts w:ascii="Times New Roman" w:hAnsi="Times New Roman" w:cs="Times New Roman"/>
        </w:rPr>
      </w:pPr>
    </w:p>
    <w:p w14:paraId="062A2410" w14:textId="76E5461F" w:rsidR="00D81E54" w:rsidRPr="00065E56" w:rsidRDefault="00067B76" w:rsidP="00D81E54">
      <w:pPr>
        <w:rPr>
          <w:rFonts w:ascii="Times New Roman" w:hAnsi="Times New Roman" w:cs="Times New Roman"/>
        </w:rPr>
      </w:pPr>
      <w:r w:rsidRPr="00065E56">
        <w:rPr>
          <w:rFonts w:ascii="Times New Roman" w:hAnsi="Times New Roman" w:cs="Times New Roman"/>
          <w:noProof/>
        </w:rPr>
        <mc:AlternateContent>
          <mc:Choice Requires="wps">
            <w:drawing>
              <wp:anchor distT="0" distB="0" distL="114300" distR="114300" simplePos="0" relativeHeight="251664384" behindDoc="0" locked="0" layoutInCell="1" allowOverlap="1" wp14:anchorId="2C2780E5" wp14:editId="4D51F9FD">
                <wp:simplePos x="0" y="0"/>
                <wp:positionH relativeFrom="column">
                  <wp:posOffset>2735981</wp:posOffset>
                </wp:positionH>
                <wp:positionV relativeFrom="paragraph">
                  <wp:posOffset>169578</wp:posOffset>
                </wp:positionV>
                <wp:extent cx="323850" cy="338400"/>
                <wp:effectExtent l="0" t="0" r="19050" b="17780"/>
                <wp:wrapNone/>
                <wp:docPr id="9" name="Cross 9"/>
                <wp:cNvGraphicFramePr/>
                <a:graphic xmlns:a="http://schemas.openxmlformats.org/drawingml/2006/main">
                  <a:graphicData uri="http://schemas.microsoft.com/office/word/2010/wordprocessingShape">
                    <wps:wsp>
                      <wps:cNvSpPr/>
                      <wps:spPr>
                        <a:xfrm>
                          <a:off x="0" y="0"/>
                          <a:ext cx="323850" cy="338400"/>
                        </a:xfrm>
                        <a:prstGeom prst="plus">
                          <a:avLst>
                            <a:gd name="adj" fmla="val 31670"/>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54072CA7" id="_x0000_t11" coordsize="21600,21600" o:spt="11" adj="5400" path="m@0,l@0@0,0@0,0@2@0@2@0,21600@1,21600@1@2,21600@2,21600@0@1@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5400,5400,16200,16200;10800,10800,10800,10800"/>
                <v:handles>
                  <v:h position="#0,topLeft" switch="" xrange="0,10800"/>
                </v:handles>
              </v:shapetype>
              <v:shape id="Cross 9" o:spid="_x0000_s1026" type="#_x0000_t11" style="position:absolute;margin-left:215.45pt;margin-top:13.35pt;width:25.5pt;height:26.6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1VbMMiAIAAFQFAAAOAAAAZHJzL2Uyb0RvYy54bWysVE1v2zAMvQ/YfxB0X20n6VcQpwhSdBhQ&#13;&#10;tMHaoWdFlmJvkqhJSpzs14+SHafbusswH2RRJJ/IR1Kzm71WZCecb8CUtDjLKRGGQ9WYTUm/PN99&#13;&#10;uKLEB2YqpsCIkh6Epzfz9+9mrZ2KEdSgKuEIghg/bW1J6xDsNMs8r4Vm/gysMKiU4DQLKLpNVjnW&#13;&#10;IrpW2SjPL7IWXGUdcOE9nt52SjpP+FIKHh6l9CIQVVKMLaTVpXUd12w+Y9ONY7ZueB8G+4coNGsM&#13;&#10;XjpA3bLAyNY1f0DphjvwIMMZB52BlA0XKQfMpsh/y+apZlakXJAcbwea/P+D5Q+7lSNNVdJrSgzT&#13;&#10;WKIlBujJdaSmtX6KFk925XrJ4zbmuZdOxz9mQPaJzsNAp9gHwvFwPBpfnSPpHFXj8dUkT3RnJ2fr&#13;&#10;fPgoQJO4KalVW59IZLt7HxKbVR8Tq75SIrXC2uyYIuPi4vII1hsj7BFuPsti4F2oaRcOSkQ8ZT4L&#13;&#10;idlicKN0U+ozsVSOIGxJq29Fd1yzSnRH5zl+kQu8YLBOUgKLqLJRasDtAWL//orbQfS20U2k9hwc&#13;&#10;878F1DkO1ulGMGFw1I0B95azCkUfuOzsj8R0dERm1lAdsP4OusHwlt81WIt75sOKOWQby4fTHR5x&#13;&#10;kQrakkK/o6QG9+Ot82iPDYpaSlqcrJL671vmBCXqk8HWvS4mkziKSZicX45QcK8169cas9VLwNIU&#13;&#10;+I5YnrbRPqjjVjrQL/gILOKtqGKG490l5cEdhWXoJh6fES4Wi2SG42dZuDdPlkfwyGrsn+f9C3O2&#13;&#10;b8iAnfwAxylk09RqXTlOttHTwGIbQDYhKk+89gKObmqY/pmJb8NrOVmdHsP5TwAAAP//AwBQSwME&#13;&#10;FAAGAAgAAAAhAKh+FyXgAAAADgEAAA8AAABkcnMvZG93bnJldi54bWxMT01PAjEQvZv4H5ox8SYt&#13;&#10;CLgu2yWoMeBRIPFadofdje202RZY/r3jSS+TzLw376NYDs6KM/ax86RhPFIgkCpfd9Ro2O/eHzIQ&#13;&#10;MRmqjfWEGq4YYVne3hQmr/2FPvG8TY1gEYq50dCmFHIpY9WiM3HkAxJjR987k3jtG1n35sLizsqJ&#13;&#10;UnPpTEfs0JqAry1W39uT06BmawpoKXyFl9VGhePH+qpmWt/fDW8LHqsFiIRD+vuA3w6cH0oOdvAn&#13;&#10;qqOwGqaP6pmpGibzJxBMmGZjPhw0ZEqBLAv5v0b5AwAA//8DAFBLAQItABQABgAIAAAAIQC2gziS&#13;&#10;/gAAAOEBAAATAAAAAAAAAAAAAAAAAAAAAABbQ29udGVudF9UeXBlc10ueG1sUEsBAi0AFAAGAAgA&#13;&#10;AAAhADj9If/WAAAAlAEAAAsAAAAAAAAAAAAAAAAALwEAAF9yZWxzLy5yZWxzUEsBAi0AFAAGAAgA&#13;&#10;AAAhAHVVswyIAgAAVAUAAA4AAAAAAAAAAAAAAAAALgIAAGRycy9lMm9Eb2MueG1sUEsBAi0AFAAG&#13;&#10;AAgAAAAhAKh+FyXgAAAADgEAAA8AAAAAAAAAAAAAAAAA4gQAAGRycy9kb3ducmV2LnhtbFBLBQYA&#13;&#10;AAAABAAEAPMAAADvBQAAAAA=&#13;&#10;" adj="6841" fillcolor="black [3200]" strokecolor="black [1600]" strokeweight="1pt"/>
            </w:pict>
          </mc:Fallback>
        </mc:AlternateContent>
      </w:r>
    </w:p>
    <w:p w14:paraId="19B62499" w14:textId="6F2B012F" w:rsidR="00D81E54" w:rsidRPr="00065E56" w:rsidRDefault="00D81E54" w:rsidP="00D81E54">
      <w:pPr>
        <w:rPr>
          <w:rFonts w:ascii="Times New Roman" w:hAnsi="Times New Roman" w:cs="Times New Roman"/>
        </w:rPr>
      </w:pPr>
    </w:p>
    <w:p w14:paraId="7BA6D08E" w14:textId="2AE6E4D3" w:rsidR="00D81E54" w:rsidRPr="00065E56" w:rsidRDefault="00D81E54" w:rsidP="00D81E54">
      <w:pPr>
        <w:rPr>
          <w:rFonts w:ascii="Times New Roman" w:hAnsi="Times New Roman" w:cs="Times New Roman"/>
        </w:rPr>
      </w:pPr>
    </w:p>
    <w:p w14:paraId="499BC2A9" w14:textId="77777777" w:rsidR="00D81E54" w:rsidRPr="00065E56" w:rsidRDefault="00D81E54" w:rsidP="00D81E54">
      <w:pPr>
        <w:rPr>
          <w:rFonts w:ascii="Times New Roman" w:hAnsi="Times New Roman" w:cs="Times New Roman"/>
        </w:rPr>
      </w:pPr>
    </w:p>
    <w:p w14:paraId="77879699" w14:textId="77777777" w:rsidR="00D81E54" w:rsidRPr="00065E56" w:rsidRDefault="00D81E54" w:rsidP="00D81E54">
      <w:pPr>
        <w:rPr>
          <w:rFonts w:ascii="Times New Roman" w:hAnsi="Times New Roman" w:cs="Times New Roman"/>
        </w:rPr>
      </w:pPr>
    </w:p>
    <w:p w14:paraId="27A9572E" w14:textId="77777777" w:rsidR="00D81E54" w:rsidRPr="00065E56" w:rsidRDefault="00D81E54" w:rsidP="00D81E54">
      <w:pPr>
        <w:rPr>
          <w:rFonts w:ascii="Times New Roman" w:hAnsi="Times New Roman" w:cs="Times New Roman"/>
        </w:rPr>
      </w:pPr>
    </w:p>
    <w:p w14:paraId="26825342" w14:textId="77777777" w:rsidR="00D81E54" w:rsidRPr="00065E56" w:rsidRDefault="00D81E54" w:rsidP="00D81E54">
      <w:pPr>
        <w:rPr>
          <w:rFonts w:ascii="Times New Roman" w:hAnsi="Times New Roman" w:cs="Times New Roman"/>
        </w:rPr>
      </w:pPr>
    </w:p>
    <w:p w14:paraId="70C0D2C1" w14:textId="2B089381" w:rsidR="00D81E54" w:rsidRPr="00065E56" w:rsidRDefault="00067B76" w:rsidP="00D81E54">
      <w:pPr>
        <w:rPr>
          <w:rFonts w:ascii="Times New Roman" w:hAnsi="Times New Roman" w:cs="Times New Roman"/>
        </w:rPr>
      </w:pPr>
      <w:r w:rsidRPr="00065E56">
        <w:rPr>
          <w:rFonts w:ascii="Times New Roman" w:hAnsi="Times New Roman" w:cs="Times New Roman"/>
          <w:noProof/>
        </w:rPr>
        <mc:AlternateContent>
          <mc:Choice Requires="wps">
            <w:drawing>
              <wp:anchor distT="0" distB="0" distL="114300" distR="114300" simplePos="0" relativeHeight="251665408" behindDoc="0" locked="0" layoutInCell="1" allowOverlap="1" wp14:anchorId="73A91984" wp14:editId="06C3F984">
                <wp:simplePos x="0" y="0"/>
                <wp:positionH relativeFrom="column">
                  <wp:posOffset>4176061</wp:posOffset>
                </wp:positionH>
                <wp:positionV relativeFrom="paragraph">
                  <wp:posOffset>151596</wp:posOffset>
                </wp:positionV>
                <wp:extent cx="294005" cy="450850"/>
                <wp:effectExtent l="0" t="12700" r="61595" b="0"/>
                <wp:wrapNone/>
                <wp:docPr id="10" name="Down Arrow 10"/>
                <wp:cNvGraphicFramePr/>
                <a:graphic xmlns:a="http://schemas.openxmlformats.org/drawingml/2006/main">
                  <a:graphicData uri="http://schemas.microsoft.com/office/word/2010/wordprocessingShape">
                    <wps:wsp>
                      <wps:cNvSpPr/>
                      <wps:spPr>
                        <a:xfrm rot="2068919">
                          <a:off x="0" y="0"/>
                          <a:ext cx="294005" cy="450850"/>
                        </a:xfrm>
                        <a:prstGeom prst="downArrow">
                          <a:avLst>
                            <a:gd name="adj1" fmla="val 50000"/>
                            <a:gd name="adj2" fmla="val 75047"/>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1F9F37"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0" o:spid="_x0000_s1026" type="#_x0000_t67" style="position:absolute;margin-left:328.8pt;margin-top:11.95pt;width:23.15pt;height:35.5pt;rotation:2259811fd;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9KXtoAIAAJMFAAAOAAAAZHJzL2Uyb0RvYy54bWysVE1v2zAMvQ/YfxB0X20HSdsEdYqgRYcB&#13;&#10;RVssHXpWZan2JomapMTJfv0oWXGzrbsM88EQP/RIPlK8uNxpRbbC+Q5MTauTkhJhODSdeanpl8eb&#13;&#10;D+eU+MBMwxQYUdO98PRy+f7dRW8XYgItqEY4giDGL3pb0zYEuygKz1uhmT8BKwwaJTjNAorupWgc&#13;&#10;6xFdq2JSlqdFD66xDrjwHrXXg5EuE76Ugod7Kb0IRNUUcwvp79L/Of6L5QVbvDhm247nNNg/ZKFZ&#13;&#10;ZzDoCHXNAiMb1/0BpTvuwIMMJxx0AVJ2XKQasJqq/K2adcusSLUgOd6ONPn/B8vvtg+OdA32Dukx&#13;&#10;TGOPrqE3ZOUc9ASVyFBv/QId1/bBZcnjMZa7k04TB0jrpDw9n1fzRAKWRXaJ4/3IsdgFwlE5mU/L&#13;&#10;ckYJR9N0Vp7PUoRigIqQ1vnwUYAm8VDTBpNJuSRktr31IfHc5GRZ87WiRGqFbdsyRWYlfrmtRz6T&#13;&#10;Y5+zWTk9iz4YNiPi6RAY1bHgocR0CnslYlBlPguJZMUyUjppTMWVcgRDY67fqkHdskYMqjEdDDB6&#13;&#10;p8AJLKLKTqkRNwPE8f8Vd8g2+8ZrIk33eLH8W0LDxdE7RQQTxou6M+DeuqxClTmSg/+BmIGOyMwz&#13;&#10;NHscnzQAOD7e8psOu3bLfHhgDjuCSlwO4R5/UkFfU8gnSlpwP97SR3+cb7RS0uPDrKn/vmFOUKI+&#13;&#10;GZz8eTWdxpechOnsbIKCO7Y8H1vMRl8BtgZnBLNLx+gf1OEoHegn3CGrGBVNzHCMXVMe3EG4CsPC&#13;&#10;wC3ExWqV3PD1WhZuzdryCB5ZjfPzuHtizubRDTjzd3B4xHnUhna8+sabBlabALIL0fjKaxbw5aeB&#13;&#10;yVsqrpZjOXm97tLlTwAAAP//AwBQSwMEFAAGAAgAAAAhADJDcq/jAAAADgEAAA8AAABkcnMvZG93&#13;&#10;bnJldi54bWxMT01PwkAQvZv4HzZj4k12RW1p6ZYYiQcjMQEJ56Ed2tL9KN0t1H/vctLLZCbvzfvI&#13;&#10;FqNW7Ey9a6yR8DgRwMgUtmxMJWH7/f4wA+Y8mhKVNSThhxws8tubDNPSXsyazhtfsSBiXIoSau+7&#13;&#10;lHNX1KTRTWxHJmAH22v04ewrXvZ4CeJa8akQEdfYmOBQY0dvNRXtZtASVkO8W56OH+0ahfo8Hdtd&#13;&#10;8rXVUt7fjct5GK9zYJ5G//cB1w4hP+Qh2N4OpnRMSYhe4ihQJUyfEmCBEIvrspeQPCfA84z/r5H/&#13;&#10;AgAA//8DAFBLAQItABQABgAIAAAAIQC2gziS/gAAAOEBAAATAAAAAAAAAAAAAAAAAAAAAABbQ29u&#13;&#10;dGVudF9UeXBlc10ueG1sUEsBAi0AFAAGAAgAAAAhADj9If/WAAAAlAEAAAsAAAAAAAAAAAAAAAAA&#13;&#10;LwEAAF9yZWxzLy5yZWxzUEsBAi0AFAAGAAgAAAAhAND0pe2gAgAAkwUAAA4AAAAAAAAAAAAAAAAA&#13;&#10;LgIAAGRycy9lMm9Eb2MueG1sUEsBAi0AFAAGAAgAAAAhADJDcq/jAAAADgEAAA8AAAAAAAAAAAAA&#13;&#10;AAAA+gQAAGRycy9kb3ducmV2LnhtbFBLBQYAAAAABAAEAPMAAAAKBgAAAAA=&#13;&#10;" adj="11029" fillcolor="black [3200]" strokecolor="black [1600]" strokeweight="1pt"/>
            </w:pict>
          </mc:Fallback>
        </mc:AlternateContent>
      </w:r>
    </w:p>
    <w:p w14:paraId="306236C4" w14:textId="030F8DEA" w:rsidR="00D81E54" w:rsidRPr="00065E56" w:rsidRDefault="00067B76" w:rsidP="00D81E54">
      <w:pPr>
        <w:rPr>
          <w:rFonts w:ascii="Times New Roman" w:hAnsi="Times New Roman" w:cs="Times New Roman"/>
        </w:rPr>
      </w:pPr>
      <w:r w:rsidRPr="00065E56">
        <w:rPr>
          <w:rFonts w:ascii="Times New Roman" w:hAnsi="Times New Roman" w:cs="Times New Roman"/>
          <w:noProof/>
        </w:rPr>
        <mc:AlternateContent>
          <mc:Choice Requires="wps">
            <w:drawing>
              <wp:anchor distT="0" distB="0" distL="114300" distR="114300" simplePos="0" relativeHeight="251666432" behindDoc="0" locked="0" layoutInCell="1" allowOverlap="1" wp14:anchorId="4E4D1824" wp14:editId="4C360882">
                <wp:simplePos x="0" y="0"/>
                <wp:positionH relativeFrom="column">
                  <wp:posOffset>1437172</wp:posOffset>
                </wp:positionH>
                <wp:positionV relativeFrom="paragraph">
                  <wp:posOffset>5615</wp:posOffset>
                </wp:positionV>
                <wp:extent cx="294005" cy="450850"/>
                <wp:effectExtent l="50800" t="25400" r="0" b="0"/>
                <wp:wrapNone/>
                <wp:docPr id="12" name="Down Arrow 12"/>
                <wp:cNvGraphicFramePr/>
                <a:graphic xmlns:a="http://schemas.openxmlformats.org/drawingml/2006/main">
                  <a:graphicData uri="http://schemas.microsoft.com/office/word/2010/wordprocessingShape">
                    <wps:wsp>
                      <wps:cNvSpPr/>
                      <wps:spPr>
                        <a:xfrm rot="19718382">
                          <a:off x="0" y="0"/>
                          <a:ext cx="294005" cy="450850"/>
                        </a:xfrm>
                        <a:prstGeom prst="downArrow">
                          <a:avLst>
                            <a:gd name="adj1" fmla="val 50000"/>
                            <a:gd name="adj2" fmla="val 75047"/>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FE8580" id="Down Arrow 12" o:spid="_x0000_s1026" type="#_x0000_t67" style="position:absolute;margin-left:113.15pt;margin-top:.45pt;width:23.15pt;height:35.5pt;rotation:-2055229fd;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lCTFogIAAJQFAAAOAAAAZHJzL2Uyb0RvYy54bWysVN9v0zAQfkfif7D8zpKUlnbV0qnaNIQ0&#13;&#10;bRUb2rPr2E3A9hnbbVr+es5OmhYYL4g8RL4f/u7uu/NdXe+1IjvhfAOmpMVFTokwHKrGbEr65fnu&#13;&#10;3YwSH5ipmAIjSnoQnl4v3r65au1cjKAGVQlHEMT4eWtLWodg51nmeS008xdghUGjBKdZQNFtssqx&#13;&#10;FtG1ykZ5/iFrwVXWARfeo/a2M9JFwpdS8PAopReBqJJibiH9Xfqv4z9bXLH5xjFbN7xPg/1DFpo1&#13;&#10;BoMOULcsMLJ1zR9QuuEOPMhwwUFnIGXDRaoBqyny36p5qpkVqRYkx9uBJv//YPnDbuVIU2HvRpQY&#13;&#10;prFHt9AasnQOWoJKZKi1fo6OT3blesnjMZa7l04TB0hrcTktZu9no8QC1kX2ieTDQLLYB8JROboc&#13;&#10;5/mEEo6m8SSfTVITsg4rYlrnw0cBmsRDSSvMJiWTkNnu3odEdNVny6qvBSVSK+zbjikyyfHr+3rm&#13;&#10;g9WdfKaTfDyNPhi2R8TTMTCqY8VdjekUDkrEoMp8FhLZimWkdNKcihvlCIbGXL8VnbpmlehUQzoY&#13;&#10;YPBOgRNYRJWNUgNuDxDn/1fcLtveN14TabyHi/nfEuouDt4pIpgwXNSNAffaZRWKniPZ+R+J6eiI&#13;&#10;zKyhOuD8pAnA5+Utv2uwa/fMhxVz2BFU4nYIj/iTCtqSQn+ipAb34zV99McBRyslLb7MkvrvW+YE&#13;&#10;JeqTwdG/LMbj+JSTMJ5MRyi4c8v63GK2+gawNTgjmF06Rv+gjkfpQL/gElnGqGhihmPskvLgjsJN&#13;&#10;6DYGriEulsvkhs/XsnBvniyP4JHVOD/P+xfmbD+6AWf+AY6vuB+1rh0n33jTwHIbQDYhGk+89gI+&#13;&#10;/TQw/ZqKu+VcTl6nZbr4CQAA//8DAFBLAwQUAAYACAAAACEA2nJGjOIAAAAMAQAADwAAAGRycy9k&#13;&#10;b3ducmV2LnhtbExPPU/DMBDdkfgP1iGxUadGpG2aS4VA7UDVoYWB0Y2PJBCfo9hJw7/HTLCc9PQ+&#13;&#10;7r18M9lWjNT7xjHCfJaAIC6dabhCeHvd3i1B+KDZ6NYxIXyTh01xfZXrzLgLH2k8hUrEEPaZRqhD&#13;&#10;6DIpfVmT1X7mOuLIfbje6hBhX0nT60sMt61USZJKqxuOH2rd0VNN5ddpsAjjbr/fHaqHcdl/HpL3&#13;&#10;dDu9mOGIeHszPa/jeVyDCDSFPwf8boj9oYjFzm5g40WLoFR6H6UIKxCRVguVgjgjLOYrkEUu/48o&#13;&#10;fgAAAP//AwBQSwECLQAUAAYACAAAACEAtoM4kv4AAADhAQAAEwAAAAAAAAAAAAAAAAAAAAAAW0Nv&#13;&#10;bnRlbnRfVHlwZXNdLnhtbFBLAQItABQABgAIAAAAIQA4/SH/1gAAAJQBAAALAAAAAAAAAAAAAAAA&#13;&#10;AC8BAABfcmVscy8ucmVsc1BLAQItABQABgAIAAAAIQAflCTFogIAAJQFAAAOAAAAAAAAAAAAAAAA&#13;&#10;AC4CAABkcnMvZTJvRG9jLnhtbFBLAQItABQABgAIAAAAIQDackaM4gAAAAwBAAAPAAAAAAAAAAAA&#13;&#10;AAAAAPwEAABkcnMvZG93bnJldi54bWxQSwUGAAAAAAQABADzAAAACwYAAAAA&#13;&#10;" adj="11029" fillcolor="black [3200]" strokecolor="black [1600]" strokeweight="1pt"/>
            </w:pict>
          </mc:Fallback>
        </mc:AlternateContent>
      </w:r>
    </w:p>
    <w:p w14:paraId="42DBD266" w14:textId="77777777" w:rsidR="00D81E54" w:rsidRPr="00065E56" w:rsidRDefault="00D81E54" w:rsidP="00D81E54">
      <w:pPr>
        <w:rPr>
          <w:rFonts w:ascii="Times New Roman" w:hAnsi="Times New Roman" w:cs="Times New Roman"/>
        </w:rPr>
      </w:pPr>
    </w:p>
    <w:p w14:paraId="06235AB1" w14:textId="77777777" w:rsidR="00D81E54" w:rsidRPr="00065E56" w:rsidRDefault="00D81E54" w:rsidP="00D81E54">
      <w:pPr>
        <w:rPr>
          <w:rFonts w:ascii="Times New Roman" w:hAnsi="Times New Roman" w:cs="Times New Roman"/>
        </w:rPr>
      </w:pPr>
      <w:r w:rsidRPr="00065E56">
        <w:rPr>
          <w:rFonts w:ascii="Times New Roman" w:hAnsi="Times New Roman" w:cs="Times New Roman"/>
          <w:noProof/>
        </w:rPr>
        <mc:AlternateContent>
          <mc:Choice Requires="wps">
            <w:drawing>
              <wp:anchor distT="0" distB="0" distL="114300" distR="114300" simplePos="0" relativeHeight="251661312" behindDoc="0" locked="0" layoutInCell="1" allowOverlap="1" wp14:anchorId="21D999CC" wp14:editId="33EDF197">
                <wp:simplePos x="0" y="0"/>
                <wp:positionH relativeFrom="column">
                  <wp:posOffset>1591200</wp:posOffset>
                </wp:positionH>
                <wp:positionV relativeFrom="paragraph">
                  <wp:posOffset>120240</wp:posOffset>
                </wp:positionV>
                <wp:extent cx="2699940" cy="1044000"/>
                <wp:effectExtent l="0" t="0" r="5715" b="0"/>
                <wp:wrapNone/>
                <wp:docPr id="4" name="Rounded Rectangle 4"/>
                <wp:cNvGraphicFramePr/>
                <a:graphic xmlns:a="http://schemas.openxmlformats.org/drawingml/2006/main">
                  <a:graphicData uri="http://schemas.microsoft.com/office/word/2010/wordprocessingShape">
                    <wps:wsp>
                      <wps:cNvSpPr/>
                      <wps:spPr>
                        <a:xfrm>
                          <a:off x="0" y="0"/>
                          <a:ext cx="2699940" cy="1044000"/>
                        </a:xfrm>
                        <a:prstGeom prst="round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7834B36" w14:textId="77777777" w:rsidR="001C607A" w:rsidRDefault="001C607A" w:rsidP="00D81E54">
                            <w:pPr>
                              <w:jc w:val="center"/>
                            </w:pPr>
                            <w:r>
                              <w:t xml:space="preserve"> Relate results.</w:t>
                            </w:r>
                          </w:p>
                          <w:p w14:paraId="02E95F37" w14:textId="77777777" w:rsidR="001C607A" w:rsidRDefault="001C607A" w:rsidP="00D81E54">
                            <w:pPr>
                              <w:jc w:val="center"/>
                            </w:pPr>
                            <w:r>
                              <w:t>Interpretation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1D999CC" id="Rounded Rectangle 4" o:spid="_x0000_s1030" style="position:absolute;margin-left:125.3pt;margin-top:9.45pt;width:212.6pt;height:82.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OxAqjgIAAHEFAAAOAAAAZHJzL2Uyb0RvYy54bWysVEtPGzEQvlfqf7B8L7uJAm2ibFAURFUJ&#13;&#10;AQIqzo7Xzq5ke1zbyW766zu2NwsC1EPVi18z883D38zysteKHITzLZiKTs5KSoThULdmV9GfT9df&#13;&#10;vlHiAzM1U2BERY/C08vV50/Lzi7EFBpQtXAEQYxfdLaiTQh2URSeN0IzfwZWGBRKcJoFvLpdUTvW&#13;&#10;IbpWxbQsL4oOXG0dcOE9vl5lIV0lfCkFD3dSehGIqijGFtLq0rqNa7FassXOMdu0fAiD/UMUmrUG&#13;&#10;nY5QVywwsnftOyjdcgceZDjjoAuQsuUi5YDZTMo32Tw2zIqUCxbH27FM/v/B8tvDvSNtXdEZJYZp&#13;&#10;/KIH2Jta1OQBi8fMTgkyi2XqrF+g9qO9d8PN4zHm3Eun447ZkD6V9jiWVvSBcHycXszn8xn+AEfZ&#13;&#10;pJzNyjIVv3gxt86H7wI0iYeKuhhGjCHVlR1ufEC/qH/Siy6ViauB61apLI0vRYw1R5dO4ahE1n4Q&#13;&#10;EpON8STURDOxUY4cGBKEcS5MmGRRw2qRn88x1lOwo0UKRRkEjMgS/Y/YA0Ck8HvsHOWgH01FYulo&#13;&#10;XP4tsGw8WiTPYMJorFsD7iMAhVkNnrP+qUi5NLFKod/2AxFQM75soT4iORzkrvGWX7f4NTfMh3vm&#13;&#10;sE3wO7H1wx0uUkFXURhOlDTgfn/0HvWRvSilpMO2q6j/tWdOUKJ+GOT1fILUwD5Nl9n51yle3GvJ&#13;&#10;9rXE7PUG8OMmOGQsT8eoH9TpKB3oZ5wQ6+gVRcxw9F1RHtzpsgl5HOCM4WK9TmrYm5aFG/NoeQSP&#13;&#10;dY6se+qfmbMDPwNS+xZOLcoWbxiadaOlgfU+gGwTfV/qOvwA9nWi0jCD4uB4fU9aL5Ny9QcAAP//&#13;&#10;AwBQSwMEFAAGAAgAAAAhAIKEykzlAAAADwEAAA8AAABkcnMvZG93bnJldi54bWxMT01Pg0AQvZv4&#13;&#10;HzZj4s0utgEpZWmsH/HQeGiLTbxtYQooO0vYLcV/7/Skl0lm3pv3kS5H04oBe9dYUnA/CUAgFbZs&#13;&#10;qFKQ717vYhDOayp1awkV/KCDZXZ9leqktGfa4LD1lWARcolWUHvfJVK6okaj3cR2SIwdbW+057Wv&#13;&#10;ZNnrM4ubVk6DIJJGN8QOte7wqcbie3syCvbxx9Ct5u/7r83xTe4+Vy/hOs+Vur0Znxc8HhcgPI7+&#13;&#10;7wMuHTg/ZBzsYE9UOtEqmIZBxFQG4jkIJkQPIRc6XA6zGcgslf97ZL8AAAD//wMAUEsBAi0AFAAG&#13;&#10;AAgAAAAhALaDOJL+AAAA4QEAABMAAAAAAAAAAAAAAAAAAAAAAFtDb250ZW50X1R5cGVzXS54bWxQ&#13;&#10;SwECLQAUAAYACAAAACEAOP0h/9YAAACUAQAACwAAAAAAAAAAAAAAAAAvAQAAX3JlbHMvLnJlbHNQ&#13;&#10;SwECLQAUAAYACAAAACEAhDsQKo4CAABxBQAADgAAAAAAAAAAAAAAAAAuAgAAZHJzL2Uyb0RvYy54&#13;&#10;bWxQSwECLQAUAAYACAAAACEAgoTKTOUAAAAPAQAADwAAAAAAAAAAAAAAAADoBAAAZHJzL2Rvd25y&#13;&#10;ZXYueG1sUEsFBgAAAAAEAAQA8wAAAPoFAAAAAA==&#13;&#10;" fillcolor="#4472c4 [3204]" stroked="f" strokeweight="1pt">
                <v:stroke joinstyle="miter"/>
                <v:textbox>
                  <w:txbxContent>
                    <w:p w14:paraId="77834B36" w14:textId="77777777" w:rsidR="001C607A" w:rsidRDefault="001C607A" w:rsidP="00D81E54">
                      <w:pPr>
                        <w:jc w:val="center"/>
                      </w:pPr>
                      <w:r>
                        <w:t xml:space="preserve"> Relate results.</w:t>
                      </w:r>
                    </w:p>
                    <w:p w14:paraId="02E95F37" w14:textId="77777777" w:rsidR="001C607A" w:rsidRDefault="001C607A" w:rsidP="00D81E54">
                      <w:pPr>
                        <w:jc w:val="center"/>
                      </w:pPr>
                      <w:r>
                        <w:t>Interpretation</w:t>
                      </w:r>
                    </w:p>
                  </w:txbxContent>
                </v:textbox>
              </v:roundrect>
            </w:pict>
          </mc:Fallback>
        </mc:AlternateContent>
      </w:r>
    </w:p>
    <w:p w14:paraId="155ADE4B" w14:textId="77777777" w:rsidR="00D81E54" w:rsidRPr="00065E56" w:rsidRDefault="00D81E54" w:rsidP="00D81E54">
      <w:pPr>
        <w:rPr>
          <w:rFonts w:ascii="Times New Roman" w:hAnsi="Times New Roman" w:cs="Times New Roman"/>
        </w:rPr>
      </w:pPr>
    </w:p>
    <w:p w14:paraId="5A0E9A3E" w14:textId="77777777" w:rsidR="00D81E54" w:rsidRPr="00065E56" w:rsidRDefault="00D81E54" w:rsidP="00D81E54">
      <w:pPr>
        <w:rPr>
          <w:rFonts w:ascii="Times New Roman" w:hAnsi="Times New Roman" w:cs="Times New Roman"/>
        </w:rPr>
      </w:pPr>
    </w:p>
    <w:p w14:paraId="7D4022CC" w14:textId="77777777" w:rsidR="00D81E54" w:rsidRPr="00065E56" w:rsidRDefault="00D81E54" w:rsidP="00D81E54">
      <w:pPr>
        <w:rPr>
          <w:rFonts w:ascii="Times New Roman" w:hAnsi="Times New Roman" w:cs="Times New Roman"/>
        </w:rPr>
      </w:pPr>
    </w:p>
    <w:p w14:paraId="2083E9FE" w14:textId="77777777" w:rsidR="00D81E54" w:rsidRPr="00065E56" w:rsidRDefault="00D81E54" w:rsidP="00D81E54">
      <w:pPr>
        <w:rPr>
          <w:rFonts w:ascii="Times New Roman" w:hAnsi="Times New Roman" w:cs="Times New Roman"/>
        </w:rPr>
      </w:pPr>
    </w:p>
    <w:p w14:paraId="7FB46EBD" w14:textId="77777777" w:rsidR="00D81E54" w:rsidRPr="00065E56" w:rsidRDefault="00D81E54" w:rsidP="00D81E54">
      <w:pPr>
        <w:rPr>
          <w:rFonts w:ascii="Times New Roman" w:hAnsi="Times New Roman" w:cs="Times New Roman"/>
        </w:rPr>
      </w:pPr>
    </w:p>
    <w:p w14:paraId="48095513" w14:textId="77777777" w:rsidR="00D81E54" w:rsidRPr="00065E56" w:rsidRDefault="00D81E54" w:rsidP="00D81E54">
      <w:pPr>
        <w:rPr>
          <w:rFonts w:ascii="Times New Roman" w:hAnsi="Times New Roman" w:cs="Times New Roman"/>
        </w:rPr>
      </w:pPr>
    </w:p>
    <w:p w14:paraId="2911A307" w14:textId="77777777" w:rsidR="00D81E54" w:rsidRPr="00065E56" w:rsidRDefault="00D81E54" w:rsidP="00D81E54">
      <w:pPr>
        <w:rPr>
          <w:rFonts w:ascii="Times New Roman" w:hAnsi="Times New Roman" w:cs="Times New Roman"/>
          <w:sz w:val="22"/>
          <w:szCs w:val="22"/>
        </w:rPr>
      </w:pPr>
      <w:r w:rsidRPr="00065E56">
        <w:rPr>
          <w:rFonts w:ascii="Times New Roman" w:hAnsi="Times New Roman" w:cs="Times New Roman"/>
          <w:i/>
          <w:iCs/>
          <w:sz w:val="22"/>
          <w:szCs w:val="22"/>
        </w:rPr>
        <w:t>Note</w:t>
      </w:r>
      <w:r w:rsidRPr="00065E56">
        <w:rPr>
          <w:rFonts w:ascii="Times New Roman" w:hAnsi="Times New Roman" w:cs="Times New Roman"/>
          <w:sz w:val="22"/>
          <w:szCs w:val="22"/>
        </w:rPr>
        <w:t xml:space="preserve">. A concurrent monomethod multistrand design: quantitative data was collected from multiple sources, analyzed separately and ultimately compared with the goal of interpreting anatomical knowledge from a broader perspective than either method alone. </w:t>
      </w:r>
    </w:p>
    <w:p w14:paraId="21D538BC" w14:textId="77777777" w:rsidR="00A851A5" w:rsidRDefault="00A851A5" w:rsidP="00D81E54">
      <w:pPr>
        <w:pStyle w:val="NormalWeb"/>
        <w:spacing w:line="480" w:lineRule="auto"/>
      </w:pPr>
    </w:p>
    <w:p w14:paraId="4FEC556D" w14:textId="77777777" w:rsidR="00A851A5" w:rsidRDefault="00A851A5" w:rsidP="00D81E54">
      <w:pPr>
        <w:pStyle w:val="NormalWeb"/>
        <w:spacing w:line="480" w:lineRule="auto"/>
      </w:pPr>
    </w:p>
    <w:p w14:paraId="290AFE18" w14:textId="1F9EFFC6" w:rsidR="00D81E54" w:rsidRPr="00065E56" w:rsidRDefault="00A851A5" w:rsidP="00D81E54">
      <w:pPr>
        <w:pStyle w:val="NormalWeb"/>
        <w:spacing w:line="480" w:lineRule="auto"/>
      </w:pPr>
      <w:r>
        <w:tab/>
      </w:r>
      <w:r w:rsidR="00D81E54" w:rsidRPr="00065E56">
        <w:t xml:space="preserve">The largest discrepancy in the race and ethnicity data was the difference between the 2019 and 2020 dental students, with 58% versus 70% identifying as Caucasian, respectively. The </w:t>
      </w:r>
      <w:r w:rsidR="00D81E54" w:rsidRPr="00065E56">
        <w:lastRenderedPageBreak/>
        <w:t>2019 dental student population included 20% of individuals identifying as Asian. Though not identical, the student demographic data does indicate consistency between the F2F (2019) and remote (2020) cohorts. Undergraduate GPAs were identical for PA students between years (3.80) and for dental students between years (3.62), indicating academic consistency between the historical control group and the experimental group</w:t>
      </w:r>
      <w:r w:rsidR="00346D80" w:rsidRPr="00065E56">
        <w:t>.</w:t>
      </w:r>
    </w:p>
    <w:p w14:paraId="6B546476" w14:textId="77777777" w:rsidR="00A851A5" w:rsidRDefault="00A851A5" w:rsidP="00D81E54">
      <w:pPr>
        <w:pStyle w:val="NormalWeb"/>
        <w:spacing w:line="480" w:lineRule="auto"/>
      </w:pPr>
      <w:r>
        <w:rPr>
          <w:b/>
          <w:bCs/>
        </w:rPr>
        <w:t>T</w:t>
      </w:r>
      <w:r w:rsidR="00D81E54" w:rsidRPr="00065E56">
        <w:rPr>
          <w:b/>
          <w:bCs/>
        </w:rPr>
        <w:t>able 1</w:t>
      </w:r>
      <w:r w:rsidR="00D81E54" w:rsidRPr="00065E56">
        <w:t xml:space="preserve">. </w:t>
      </w:r>
    </w:p>
    <w:p w14:paraId="34D3F54F" w14:textId="751615EF" w:rsidR="00D81E54" w:rsidRPr="00065E56" w:rsidRDefault="00D81E54" w:rsidP="00D81E54">
      <w:pPr>
        <w:pStyle w:val="NormalWeb"/>
        <w:spacing w:line="480" w:lineRule="auto"/>
      </w:pPr>
      <w:r w:rsidRPr="00065E56">
        <w:rPr>
          <w:i/>
          <w:iCs/>
        </w:rPr>
        <w:t>2019 and 2020 PA and Dental Student Demographics</w:t>
      </w:r>
    </w:p>
    <w:tbl>
      <w:tblPr>
        <w:tblStyle w:val="TableGrid"/>
        <w:tblW w:w="9399" w:type="dxa"/>
        <w:tblLook w:val="04A0" w:firstRow="1" w:lastRow="0" w:firstColumn="1" w:lastColumn="0" w:noHBand="0" w:noVBand="1"/>
      </w:tblPr>
      <w:tblGrid>
        <w:gridCol w:w="1753"/>
        <w:gridCol w:w="1889"/>
        <w:gridCol w:w="1933"/>
        <w:gridCol w:w="1890"/>
        <w:gridCol w:w="1934"/>
      </w:tblGrid>
      <w:tr w:rsidR="00D81E54" w:rsidRPr="00065E56" w14:paraId="5DF16449" w14:textId="77777777" w:rsidTr="00A62390">
        <w:trPr>
          <w:trHeight w:val="255"/>
        </w:trPr>
        <w:tc>
          <w:tcPr>
            <w:tcW w:w="1753" w:type="dxa"/>
            <w:tcBorders>
              <w:bottom w:val="single" w:sz="4" w:space="0" w:color="auto"/>
            </w:tcBorders>
          </w:tcPr>
          <w:p w14:paraId="0ED850CC" w14:textId="77777777" w:rsidR="00D81E54" w:rsidRPr="00065E56" w:rsidRDefault="00D81E54" w:rsidP="00A62390">
            <w:pPr>
              <w:rPr>
                <w:rFonts w:ascii="Times New Roman" w:hAnsi="Times New Roman" w:cs="Times New Roman"/>
              </w:rPr>
            </w:pPr>
            <w:r w:rsidRPr="00065E56">
              <w:rPr>
                <w:rFonts w:ascii="Times New Roman" w:hAnsi="Times New Roman" w:cs="Times New Roman"/>
              </w:rPr>
              <w:t>Program</w:t>
            </w:r>
          </w:p>
        </w:tc>
        <w:tc>
          <w:tcPr>
            <w:tcW w:w="1889" w:type="dxa"/>
            <w:tcBorders>
              <w:bottom w:val="single" w:sz="4" w:space="0" w:color="auto"/>
            </w:tcBorders>
          </w:tcPr>
          <w:p w14:paraId="1BA05BBB" w14:textId="77777777" w:rsidR="00D81E54" w:rsidRPr="00065E56" w:rsidRDefault="00D81E54" w:rsidP="00A62390">
            <w:pPr>
              <w:rPr>
                <w:rFonts w:ascii="Times New Roman" w:hAnsi="Times New Roman" w:cs="Times New Roman"/>
              </w:rPr>
            </w:pPr>
            <w:r w:rsidRPr="00065E56">
              <w:rPr>
                <w:rFonts w:ascii="Times New Roman" w:hAnsi="Times New Roman" w:cs="Times New Roman"/>
              </w:rPr>
              <w:t>PA (n=50)</w:t>
            </w:r>
          </w:p>
        </w:tc>
        <w:tc>
          <w:tcPr>
            <w:tcW w:w="1933" w:type="dxa"/>
          </w:tcPr>
          <w:p w14:paraId="71EBE28E" w14:textId="77777777" w:rsidR="00D81E54" w:rsidRPr="00065E56" w:rsidRDefault="00D81E54" w:rsidP="00A62390">
            <w:pPr>
              <w:rPr>
                <w:rFonts w:ascii="Times New Roman" w:hAnsi="Times New Roman" w:cs="Times New Roman"/>
              </w:rPr>
            </w:pPr>
            <w:r w:rsidRPr="00065E56">
              <w:rPr>
                <w:rFonts w:ascii="Times New Roman" w:hAnsi="Times New Roman" w:cs="Times New Roman"/>
              </w:rPr>
              <w:t>Dental (n=54)</w:t>
            </w:r>
          </w:p>
        </w:tc>
        <w:tc>
          <w:tcPr>
            <w:tcW w:w="1890" w:type="dxa"/>
          </w:tcPr>
          <w:p w14:paraId="015F68B0" w14:textId="77777777" w:rsidR="00D81E54" w:rsidRPr="00065E56" w:rsidRDefault="00D81E54" w:rsidP="00A62390">
            <w:pPr>
              <w:rPr>
                <w:rFonts w:ascii="Times New Roman" w:hAnsi="Times New Roman" w:cs="Times New Roman"/>
              </w:rPr>
            </w:pPr>
            <w:r w:rsidRPr="00065E56">
              <w:rPr>
                <w:rFonts w:ascii="Times New Roman" w:hAnsi="Times New Roman" w:cs="Times New Roman"/>
              </w:rPr>
              <w:t>PA (n=50)</w:t>
            </w:r>
          </w:p>
        </w:tc>
        <w:tc>
          <w:tcPr>
            <w:tcW w:w="1934" w:type="dxa"/>
          </w:tcPr>
          <w:p w14:paraId="443FC83B" w14:textId="77777777" w:rsidR="00D81E54" w:rsidRPr="00065E56" w:rsidRDefault="00D81E54" w:rsidP="00A62390">
            <w:pPr>
              <w:rPr>
                <w:rFonts w:ascii="Times New Roman" w:hAnsi="Times New Roman" w:cs="Times New Roman"/>
              </w:rPr>
            </w:pPr>
            <w:r w:rsidRPr="00065E56">
              <w:rPr>
                <w:rFonts w:ascii="Times New Roman" w:hAnsi="Times New Roman" w:cs="Times New Roman"/>
              </w:rPr>
              <w:t>Dental (n=53)</w:t>
            </w:r>
          </w:p>
        </w:tc>
      </w:tr>
      <w:tr w:rsidR="00D81E54" w:rsidRPr="00065E56" w14:paraId="0C53F37A" w14:textId="77777777" w:rsidTr="00A62390">
        <w:trPr>
          <w:trHeight w:val="264"/>
        </w:trPr>
        <w:tc>
          <w:tcPr>
            <w:tcW w:w="1753" w:type="dxa"/>
            <w:tcBorders>
              <w:bottom w:val="nil"/>
            </w:tcBorders>
          </w:tcPr>
          <w:p w14:paraId="10A13C8F" w14:textId="77777777" w:rsidR="00D81E54" w:rsidRPr="00065E56" w:rsidRDefault="00D81E54" w:rsidP="00A62390">
            <w:pPr>
              <w:rPr>
                <w:rFonts w:ascii="Times New Roman" w:hAnsi="Times New Roman" w:cs="Times New Roman"/>
              </w:rPr>
            </w:pPr>
            <w:r w:rsidRPr="00065E56">
              <w:rPr>
                <w:rFonts w:ascii="Times New Roman" w:hAnsi="Times New Roman" w:cs="Times New Roman"/>
              </w:rPr>
              <w:t>Age</w:t>
            </w:r>
          </w:p>
        </w:tc>
        <w:tc>
          <w:tcPr>
            <w:tcW w:w="1889" w:type="dxa"/>
          </w:tcPr>
          <w:p w14:paraId="149CECFA" w14:textId="77777777" w:rsidR="00D81E54" w:rsidRPr="00065E56" w:rsidRDefault="00D81E54" w:rsidP="00A62390">
            <w:pPr>
              <w:rPr>
                <w:rFonts w:ascii="Times New Roman" w:hAnsi="Times New Roman" w:cs="Times New Roman"/>
              </w:rPr>
            </w:pPr>
            <w:r w:rsidRPr="00065E56">
              <w:rPr>
                <w:rFonts w:ascii="Times New Roman" w:hAnsi="Times New Roman" w:cs="Times New Roman"/>
              </w:rPr>
              <w:t xml:space="preserve">21-30         31-50 </w:t>
            </w:r>
          </w:p>
        </w:tc>
        <w:tc>
          <w:tcPr>
            <w:tcW w:w="1933" w:type="dxa"/>
          </w:tcPr>
          <w:p w14:paraId="633C010B" w14:textId="77777777" w:rsidR="00D81E54" w:rsidRPr="00065E56" w:rsidRDefault="00D81E54" w:rsidP="00A62390">
            <w:pPr>
              <w:rPr>
                <w:rFonts w:ascii="Times New Roman" w:hAnsi="Times New Roman" w:cs="Times New Roman"/>
              </w:rPr>
            </w:pPr>
            <w:r w:rsidRPr="00065E56">
              <w:rPr>
                <w:rFonts w:ascii="Times New Roman" w:hAnsi="Times New Roman" w:cs="Times New Roman"/>
              </w:rPr>
              <w:t>21-30          31-50</w:t>
            </w:r>
          </w:p>
        </w:tc>
        <w:tc>
          <w:tcPr>
            <w:tcW w:w="1890" w:type="dxa"/>
          </w:tcPr>
          <w:p w14:paraId="1000F51D" w14:textId="77777777" w:rsidR="00D81E54" w:rsidRPr="00065E56" w:rsidRDefault="00D81E54" w:rsidP="00A62390">
            <w:pPr>
              <w:rPr>
                <w:rFonts w:ascii="Times New Roman" w:hAnsi="Times New Roman" w:cs="Times New Roman"/>
              </w:rPr>
            </w:pPr>
            <w:r w:rsidRPr="00065E56">
              <w:rPr>
                <w:rFonts w:ascii="Times New Roman" w:hAnsi="Times New Roman" w:cs="Times New Roman"/>
              </w:rPr>
              <w:t>21-30         31-50</w:t>
            </w:r>
          </w:p>
        </w:tc>
        <w:tc>
          <w:tcPr>
            <w:tcW w:w="1934" w:type="dxa"/>
          </w:tcPr>
          <w:p w14:paraId="0FC82584" w14:textId="77777777" w:rsidR="00D81E54" w:rsidRPr="00065E56" w:rsidRDefault="00D81E54" w:rsidP="00A62390">
            <w:pPr>
              <w:rPr>
                <w:rFonts w:ascii="Times New Roman" w:hAnsi="Times New Roman" w:cs="Times New Roman"/>
              </w:rPr>
            </w:pPr>
            <w:r w:rsidRPr="00065E56">
              <w:rPr>
                <w:rFonts w:ascii="Times New Roman" w:hAnsi="Times New Roman" w:cs="Times New Roman"/>
              </w:rPr>
              <w:t>21-30          31-50</w:t>
            </w:r>
          </w:p>
        </w:tc>
      </w:tr>
      <w:tr w:rsidR="00D81E54" w:rsidRPr="00065E56" w14:paraId="425585E1" w14:textId="77777777" w:rsidTr="00A62390">
        <w:trPr>
          <w:trHeight w:val="255"/>
        </w:trPr>
        <w:tc>
          <w:tcPr>
            <w:tcW w:w="1753" w:type="dxa"/>
            <w:tcBorders>
              <w:top w:val="nil"/>
            </w:tcBorders>
          </w:tcPr>
          <w:p w14:paraId="0BB03D7B" w14:textId="77777777" w:rsidR="00D81E54" w:rsidRPr="00065E56" w:rsidRDefault="00D81E54" w:rsidP="00A62390">
            <w:pPr>
              <w:rPr>
                <w:rFonts w:ascii="Times New Roman" w:hAnsi="Times New Roman" w:cs="Times New Roman"/>
              </w:rPr>
            </w:pPr>
          </w:p>
        </w:tc>
        <w:tc>
          <w:tcPr>
            <w:tcW w:w="1889" w:type="dxa"/>
          </w:tcPr>
          <w:p w14:paraId="033346F8" w14:textId="77777777" w:rsidR="00D81E54" w:rsidRPr="00065E56" w:rsidRDefault="00D81E54" w:rsidP="00A62390">
            <w:pPr>
              <w:rPr>
                <w:rFonts w:ascii="Times New Roman" w:hAnsi="Times New Roman" w:cs="Times New Roman"/>
              </w:rPr>
            </w:pPr>
            <w:r w:rsidRPr="00065E56">
              <w:rPr>
                <w:rFonts w:ascii="Times New Roman" w:hAnsi="Times New Roman" w:cs="Times New Roman"/>
              </w:rPr>
              <w:t>94%                 6%</w:t>
            </w:r>
          </w:p>
        </w:tc>
        <w:tc>
          <w:tcPr>
            <w:tcW w:w="1933" w:type="dxa"/>
          </w:tcPr>
          <w:p w14:paraId="61363CCF" w14:textId="77777777" w:rsidR="00D81E54" w:rsidRPr="00065E56" w:rsidRDefault="00D81E54" w:rsidP="00A62390">
            <w:pPr>
              <w:rPr>
                <w:rFonts w:ascii="Times New Roman" w:hAnsi="Times New Roman" w:cs="Times New Roman"/>
              </w:rPr>
            </w:pPr>
            <w:r w:rsidRPr="00065E56">
              <w:rPr>
                <w:rFonts w:ascii="Times New Roman" w:hAnsi="Times New Roman" w:cs="Times New Roman"/>
              </w:rPr>
              <w:t>88%                12%</w:t>
            </w:r>
          </w:p>
        </w:tc>
        <w:tc>
          <w:tcPr>
            <w:tcW w:w="1890" w:type="dxa"/>
          </w:tcPr>
          <w:p w14:paraId="78C7AB30" w14:textId="77777777" w:rsidR="00D81E54" w:rsidRPr="00065E56" w:rsidRDefault="00D81E54" w:rsidP="00A62390">
            <w:pPr>
              <w:rPr>
                <w:rFonts w:ascii="Times New Roman" w:hAnsi="Times New Roman" w:cs="Times New Roman"/>
              </w:rPr>
            </w:pPr>
            <w:r w:rsidRPr="00065E56">
              <w:rPr>
                <w:rFonts w:ascii="Times New Roman" w:hAnsi="Times New Roman" w:cs="Times New Roman"/>
              </w:rPr>
              <w:t>91%                 9%</w:t>
            </w:r>
          </w:p>
        </w:tc>
        <w:tc>
          <w:tcPr>
            <w:tcW w:w="1934" w:type="dxa"/>
          </w:tcPr>
          <w:p w14:paraId="1EFF470D" w14:textId="77777777" w:rsidR="00D81E54" w:rsidRPr="00065E56" w:rsidRDefault="00D81E54" w:rsidP="00A62390">
            <w:pPr>
              <w:rPr>
                <w:rFonts w:ascii="Times New Roman" w:hAnsi="Times New Roman" w:cs="Times New Roman"/>
              </w:rPr>
            </w:pPr>
            <w:r w:rsidRPr="00065E56">
              <w:rPr>
                <w:rFonts w:ascii="Times New Roman" w:hAnsi="Times New Roman" w:cs="Times New Roman"/>
              </w:rPr>
              <w:t>91%                  9%</w:t>
            </w:r>
          </w:p>
        </w:tc>
      </w:tr>
      <w:tr w:rsidR="00D81E54" w:rsidRPr="00065E56" w14:paraId="3802B0DB" w14:textId="77777777" w:rsidTr="00A62390">
        <w:trPr>
          <w:trHeight w:val="264"/>
        </w:trPr>
        <w:tc>
          <w:tcPr>
            <w:tcW w:w="1753" w:type="dxa"/>
          </w:tcPr>
          <w:p w14:paraId="65FDDF81" w14:textId="77777777" w:rsidR="00D81E54" w:rsidRPr="00065E56" w:rsidRDefault="00D81E54" w:rsidP="00A62390">
            <w:pPr>
              <w:rPr>
                <w:rFonts w:ascii="Times New Roman" w:hAnsi="Times New Roman" w:cs="Times New Roman"/>
              </w:rPr>
            </w:pPr>
            <w:r w:rsidRPr="00065E56">
              <w:rPr>
                <w:rFonts w:ascii="Times New Roman" w:hAnsi="Times New Roman" w:cs="Times New Roman"/>
              </w:rPr>
              <w:t>Gender</w:t>
            </w:r>
          </w:p>
        </w:tc>
        <w:tc>
          <w:tcPr>
            <w:tcW w:w="1889" w:type="dxa"/>
          </w:tcPr>
          <w:p w14:paraId="57743EBD" w14:textId="77777777" w:rsidR="00D81E54" w:rsidRPr="00065E56" w:rsidRDefault="00D81E54" w:rsidP="00A62390">
            <w:pPr>
              <w:rPr>
                <w:rFonts w:ascii="Times New Roman" w:hAnsi="Times New Roman" w:cs="Times New Roman"/>
              </w:rPr>
            </w:pPr>
            <w:r w:rsidRPr="00065E56">
              <w:rPr>
                <w:rFonts w:ascii="Times New Roman" w:hAnsi="Times New Roman" w:cs="Times New Roman"/>
              </w:rPr>
              <w:t>79%F         21%M</w:t>
            </w:r>
          </w:p>
        </w:tc>
        <w:tc>
          <w:tcPr>
            <w:tcW w:w="1933" w:type="dxa"/>
          </w:tcPr>
          <w:p w14:paraId="2197C190" w14:textId="77777777" w:rsidR="00D81E54" w:rsidRPr="00065E56" w:rsidRDefault="00D81E54" w:rsidP="00A62390">
            <w:pPr>
              <w:rPr>
                <w:rFonts w:ascii="Times New Roman" w:hAnsi="Times New Roman" w:cs="Times New Roman"/>
              </w:rPr>
            </w:pPr>
            <w:r w:rsidRPr="00065E56">
              <w:rPr>
                <w:rFonts w:ascii="Times New Roman" w:hAnsi="Times New Roman" w:cs="Times New Roman"/>
              </w:rPr>
              <w:t>47%F          53%M</w:t>
            </w:r>
          </w:p>
        </w:tc>
        <w:tc>
          <w:tcPr>
            <w:tcW w:w="1890" w:type="dxa"/>
          </w:tcPr>
          <w:p w14:paraId="55E9702D" w14:textId="77777777" w:rsidR="00D81E54" w:rsidRPr="00065E56" w:rsidRDefault="00D81E54" w:rsidP="00A62390">
            <w:pPr>
              <w:rPr>
                <w:rFonts w:ascii="Times New Roman" w:hAnsi="Times New Roman" w:cs="Times New Roman"/>
              </w:rPr>
            </w:pPr>
            <w:r w:rsidRPr="00065E56">
              <w:rPr>
                <w:rFonts w:ascii="Times New Roman" w:hAnsi="Times New Roman" w:cs="Times New Roman"/>
              </w:rPr>
              <w:t>76%F         24%M</w:t>
            </w:r>
          </w:p>
        </w:tc>
        <w:tc>
          <w:tcPr>
            <w:tcW w:w="1934" w:type="dxa"/>
          </w:tcPr>
          <w:p w14:paraId="77815765" w14:textId="77777777" w:rsidR="00D81E54" w:rsidRPr="00065E56" w:rsidRDefault="00D81E54" w:rsidP="00A62390">
            <w:pPr>
              <w:rPr>
                <w:rFonts w:ascii="Times New Roman" w:hAnsi="Times New Roman" w:cs="Times New Roman"/>
              </w:rPr>
            </w:pPr>
            <w:r w:rsidRPr="00065E56">
              <w:rPr>
                <w:rFonts w:ascii="Times New Roman" w:hAnsi="Times New Roman" w:cs="Times New Roman"/>
              </w:rPr>
              <w:t>37%F          63%M</w:t>
            </w:r>
          </w:p>
        </w:tc>
      </w:tr>
      <w:tr w:rsidR="00D81E54" w:rsidRPr="00065E56" w14:paraId="54D32073" w14:textId="77777777" w:rsidTr="00A62390">
        <w:trPr>
          <w:trHeight w:val="520"/>
        </w:trPr>
        <w:tc>
          <w:tcPr>
            <w:tcW w:w="1753" w:type="dxa"/>
            <w:tcBorders>
              <w:bottom w:val="nil"/>
            </w:tcBorders>
          </w:tcPr>
          <w:p w14:paraId="5A47A271" w14:textId="77777777" w:rsidR="00D81E54" w:rsidRPr="00065E56" w:rsidRDefault="00D81E54" w:rsidP="00A62390">
            <w:pPr>
              <w:rPr>
                <w:rFonts w:ascii="Times New Roman" w:hAnsi="Times New Roman" w:cs="Times New Roman"/>
              </w:rPr>
            </w:pPr>
            <w:r w:rsidRPr="00065E56">
              <w:rPr>
                <w:rFonts w:ascii="Times New Roman" w:hAnsi="Times New Roman" w:cs="Times New Roman"/>
              </w:rPr>
              <w:t>Race/Ethnicity</w:t>
            </w:r>
          </w:p>
        </w:tc>
        <w:tc>
          <w:tcPr>
            <w:tcW w:w="1889" w:type="dxa"/>
            <w:tcBorders>
              <w:bottom w:val="nil"/>
            </w:tcBorders>
          </w:tcPr>
          <w:p w14:paraId="092F9D93" w14:textId="77777777" w:rsidR="00D81E54" w:rsidRPr="00065E56" w:rsidRDefault="00D81E54" w:rsidP="00A62390">
            <w:pPr>
              <w:rPr>
                <w:rFonts w:ascii="Times New Roman" w:hAnsi="Times New Roman" w:cs="Times New Roman"/>
              </w:rPr>
            </w:pPr>
            <w:r w:rsidRPr="00065E56">
              <w:rPr>
                <w:rFonts w:ascii="Times New Roman" w:hAnsi="Times New Roman" w:cs="Times New Roman"/>
              </w:rPr>
              <w:t>81% Caucasian</w:t>
            </w:r>
          </w:p>
          <w:p w14:paraId="02BCBFB0" w14:textId="77777777" w:rsidR="00D81E54" w:rsidRPr="00065E56" w:rsidRDefault="00D81E54" w:rsidP="00A62390">
            <w:pPr>
              <w:rPr>
                <w:rFonts w:ascii="Times New Roman" w:hAnsi="Times New Roman" w:cs="Times New Roman"/>
              </w:rPr>
            </w:pPr>
            <w:r w:rsidRPr="00065E56">
              <w:rPr>
                <w:rFonts w:ascii="Times New Roman" w:hAnsi="Times New Roman" w:cs="Times New Roman"/>
              </w:rPr>
              <w:t>4.5% Asian</w:t>
            </w:r>
          </w:p>
        </w:tc>
        <w:tc>
          <w:tcPr>
            <w:tcW w:w="1933" w:type="dxa"/>
            <w:tcBorders>
              <w:bottom w:val="nil"/>
            </w:tcBorders>
          </w:tcPr>
          <w:p w14:paraId="1E1267A8" w14:textId="77777777" w:rsidR="00D81E54" w:rsidRPr="00065E56" w:rsidRDefault="00D81E54" w:rsidP="00A62390">
            <w:pPr>
              <w:rPr>
                <w:rFonts w:ascii="Times New Roman" w:hAnsi="Times New Roman" w:cs="Times New Roman"/>
              </w:rPr>
            </w:pPr>
            <w:r w:rsidRPr="00065E56">
              <w:rPr>
                <w:rFonts w:ascii="Times New Roman" w:hAnsi="Times New Roman" w:cs="Times New Roman"/>
              </w:rPr>
              <w:t>58% Caucasian</w:t>
            </w:r>
          </w:p>
          <w:p w14:paraId="431F4BA9" w14:textId="77777777" w:rsidR="00D81E54" w:rsidRPr="00065E56" w:rsidRDefault="00D81E54" w:rsidP="00A62390">
            <w:pPr>
              <w:rPr>
                <w:rFonts w:ascii="Times New Roman" w:hAnsi="Times New Roman" w:cs="Times New Roman"/>
              </w:rPr>
            </w:pPr>
            <w:r w:rsidRPr="00065E56">
              <w:rPr>
                <w:rFonts w:ascii="Times New Roman" w:hAnsi="Times New Roman" w:cs="Times New Roman"/>
              </w:rPr>
              <w:t>20% Asian</w:t>
            </w:r>
          </w:p>
        </w:tc>
        <w:tc>
          <w:tcPr>
            <w:tcW w:w="1890" w:type="dxa"/>
            <w:tcBorders>
              <w:bottom w:val="nil"/>
            </w:tcBorders>
          </w:tcPr>
          <w:p w14:paraId="22A662A5" w14:textId="77777777" w:rsidR="00D81E54" w:rsidRPr="00065E56" w:rsidRDefault="00D81E54" w:rsidP="00A62390">
            <w:pPr>
              <w:rPr>
                <w:rFonts w:ascii="Times New Roman" w:hAnsi="Times New Roman" w:cs="Times New Roman"/>
              </w:rPr>
            </w:pPr>
            <w:r w:rsidRPr="00065E56">
              <w:rPr>
                <w:rFonts w:ascii="Times New Roman" w:hAnsi="Times New Roman" w:cs="Times New Roman"/>
              </w:rPr>
              <w:t>77% Caucasian</w:t>
            </w:r>
          </w:p>
          <w:p w14:paraId="64231C05" w14:textId="77777777" w:rsidR="00D81E54" w:rsidRPr="00065E56" w:rsidRDefault="00D81E54" w:rsidP="00A62390">
            <w:pPr>
              <w:rPr>
                <w:rFonts w:ascii="Times New Roman" w:hAnsi="Times New Roman" w:cs="Times New Roman"/>
              </w:rPr>
            </w:pPr>
            <w:r w:rsidRPr="00065E56">
              <w:rPr>
                <w:rFonts w:ascii="Times New Roman" w:hAnsi="Times New Roman" w:cs="Times New Roman"/>
              </w:rPr>
              <w:t>5% African-Am.</w:t>
            </w:r>
          </w:p>
        </w:tc>
        <w:tc>
          <w:tcPr>
            <w:tcW w:w="1934" w:type="dxa"/>
            <w:tcBorders>
              <w:bottom w:val="nil"/>
            </w:tcBorders>
          </w:tcPr>
          <w:p w14:paraId="31F6E1FB" w14:textId="77777777" w:rsidR="00D81E54" w:rsidRPr="00065E56" w:rsidRDefault="00D81E54" w:rsidP="00A62390">
            <w:pPr>
              <w:rPr>
                <w:rFonts w:ascii="Times New Roman" w:hAnsi="Times New Roman" w:cs="Times New Roman"/>
              </w:rPr>
            </w:pPr>
            <w:r w:rsidRPr="00065E56">
              <w:rPr>
                <w:rFonts w:ascii="Times New Roman" w:hAnsi="Times New Roman" w:cs="Times New Roman"/>
              </w:rPr>
              <w:t>70% Caucasian</w:t>
            </w:r>
          </w:p>
          <w:p w14:paraId="67481ED1" w14:textId="77777777" w:rsidR="00D81E54" w:rsidRPr="00065E56" w:rsidRDefault="00D81E54" w:rsidP="00A62390">
            <w:pPr>
              <w:rPr>
                <w:rFonts w:ascii="Times New Roman" w:hAnsi="Times New Roman" w:cs="Times New Roman"/>
              </w:rPr>
            </w:pPr>
            <w:r w:rsidRPr="00065E56">
              <w:rPr>
                <w:rFonts w:ascii="Times New Roman" w:hAnsi="Times New Roman" w:cs="Times New Roman"/>
              </w:rPr>
              <w:t>5% Asian</w:t>
            </w:r>
          </w:p>
        </w:tc>
      </w:tr>
      <w:tr w:rsidR="00D81E54" w:rsidRPr="00065E56" w14:paraId="6E0A4110" w14:textId="77777777" w:rsidTr="00A62390">
        <w:trPr>
          <w:trHeight w:val="530"/>
        </w:trPr>
        <w:tc>
          <w:tcPr>
            <w:tcW w:w="1753" w:type="dxa"/>
            <w:tcBorders>
              <w:top w:val="nil"/>
              <w:bottom w:val="nil"/>
            </w:tcBorders>
          </w:tcPr>
          <w:p w14:paraId="4290C487" w14:textId="77777777" w:rsidR="00D81E54" w:rsidRPr="00065E56" w:rsidRDefault="00D81E54" w:rsidP="00A62390">
            <w:pPr>
              <w:rPr>
                <w:rFonts w:ascii="Times New Roman" w:hAnsi="Times New Roman" w:cs="Times New Roman"/>
              </w:rPr>
            </w:pPr>
          </w:p>
        </w:tc>
        <w:tc>
          <w:tcPr>
            <w:tcW w:w="1889" w:type="dxa"/>
            <w:tcBorders>
              <w:top w:val="nil"/>
              <w:bottom w:val="nil"/>
            </w:tcBorders>
          </w:tcPr>
          <w:p w14:paraId="46D04656" w14:textId="77777777" w:rsidR="00D81E54" w:rsidRPr="00065E56" w:rsidRDefault="00D81E54" w:rsidP="00A62390">
            <w:pPr>
              <w:rPr>
                <w:rFonts w:ascii="Times New Roman" w:hAnsi="Times New Roman" w:cs="Times New Roman"/>
              </w:rPr>
            </w:pPr>
            <w:r w:rsidRPr="00065E56">
              <w:rPr>
                <w:rFonts w:ascii="Times New Roman" w:hAnsi="Times New Roman" w:cs="Times New Roman"/>
              </w:rPr>
              <w:t>14.5% other</w:t>
            </w:r>
          </w:p>
        </w:tc>
        <w:tc>
          <w:tcPr>
            <w:tcW w:w="1933" w:type="dxa"/>
            <w:tcBorders>
              <w:top w:val="nil"/>
              <w:bottom w:val="nil"/>
            </w:tcBorders>
          </w:tcPr>
          <w:p w14:paraId="3F271C2C" w14:textId="77777777" w:rsidR="00D81E54" w:rsidRPr="00065E56" w:rsidRDefault="00D81E54" w:rsidP="00A62390">
            <w:pPr>
              <w:rPr>
                <w:rFonts w:ascii="Times New Roman" w:hAnsi="Times New Roman" w:cs="Times New Roman"/>
              </w:rPr>
            </w:pPr>
            <w:r w:rsidRPr="00065E56">
              <w:rPr>
                <w:rFonts w:ascii="Times New Roman" w:hAnsi="Times New Roman" w:cs="Times New Roman"/>
              </w:rPr>
              <w:t>22% other</w:t>
            </w:r>
          </w:p>
        </w:tc>
        <w:tc>
          <w:tcPr>
            <w:tcW w:w="1890" w:type="dxa"/>
            <w:tcBorders>
              <w:top w:val="nil"/>
              <w:bottom w:val="nil"/>
            </w:tcBorders>
          </w:tcPr>
          <w:p w14:paraId="5A709009" w14:textId="77777777" w:rsidR="00D81E54" w:rsidRPr="00065E56" w:rsidRDefault="00D81E54" w:rsidP="00A62390">
            <w:pPr>
              <w:rPr>
                <w:rFonts w:ascii="Times New Roman" w:hAnsi="Times New Roman" w:cs="Times New Roman"/>
              </w:rPr>
            </w:pPr>
            <w:r w:rsidRPr="00065E56">
              <w:rPr>
                <w:rFonts w:ascii="Times New Roman" w:hAnsi="Times New Roman" w:cs="Times New Roman"/>
              </w:rPr>
              <w:t>5% Hispanic</w:t>
            </w:r>
          </w:p>
          <w:p w14:paraId="2B52911F" w14:textId="77777777" w:rsidR="00D81E54" w:rsidRPr="00065E56" w:rsidRDefault="00D81E54" w:rsidP="00A62390">
            <w:pPr>
              <w:rPr>
                <w:rFonts w:ascii="Times New Roman" w:hAnsi="Times New Roman" w:cs="Times New Roman"/>
              </w:rPr>
            </w:pPr>
            <w:r w:rsidRPr="00065E56">
              <w:rPr>
                <w:rFonts w:ascii="Times New Roman" w:hAnsi="Times New Roman" w:cs="Times New Roman"/>
              </w:rPr>
              <w:t>13% other</w:t>
            </w:r>
          </w:p>
        </w:tc>
        <w:tc>
          <w:tcPr>
            <w:tcW w:w="1934" w:type="dxa"/>
            <w:tcBorders>
              <w:top w:val="nil"/>
              <w:bottom w:val="nil"/>
            </w:tcBorders>
          </w:tcPr>
          <w:p w14:paraId="199622AA" w14:textId="77777777" w:rsidR="00D81E54" w:rsidRPr="00065E56" w:rsidRDefault="00D81E54" w:rsidP="00A62390">
            <w:pPr>
              <w:rPr>
                <w:rFonts w:ascii="Times New Roman" w:hAnsi="Times New Roman" w:cs="Times New Roman"/>
              </w:rPr>
            </w:pPr>
            <w:r w:rsidRPr="00065E56">
              <w:rPr>
                <w:rFonts w:ascii="Times New Roman" w:hAnsi="Times New Roman" w:cs="Times New Roman"/>
              </w:rPr>
              <w:t>5% Hispanic</w:t>
            </w:r>
          </w:p>
          <w:p w14:paraId="2FBC836A" w14:textId="77777777" w:rsidR="00D81E54" w:rsidRPr="00065E56" w:rsidRDefault="00D81E54" w:rsidP="00A62390">
            <w:pPr>
              <w:rPr>
                <w:rFonts w:ascii="Times New Roman" w:hAnsi="Times New Roman" w:cs="Times New Roman"/>
              </w:rPr>
            </w:pPr>
            <w:r w:rsidRPr="00065E56">
              <w:rPr>
                <w:rFonts w:ascii="Times New Roman" w:hAnsi="Times New Roman" w:cs="Times New Roman"/>
              </w:rPr>
              <w:t>20% other</w:t>
            </w:r>
          </w:p>
        </w:tc>
      </w:tr>
      <w:tr w:rsidR="00D81E54" w:rsidRPr="00065E56" w14:paraId="454504FD" w14:textId="77777777" w:rsidTr="00A62390">
        <w:trPr>
          <w:trHeight w:val="255"/>
        </w:trPr>
        <w:tc>
          <w:tcPr>
            <w:tcW w:w="1753" w:type="dxa"/>
            <w:tcBorders>
              <w:top w:val="nil"/>
              <w:bottom w:val="single" w:sz="4" w:space="0" w:color="auto"/>
            </w:tcBorders>
          </w:tcPr>
          <w:p w14:paraId="1A6EEE90" w14:textId="77777777" w:rsidR="00D81E54" w:rsidRPr="00065E56" w:rsidRDefault="00D81E54" w:rsidP="00A62390">
            <w:pPr>
              <w:rPr>
                <w:rFonts w:ascii="Times New Roman" w:hAnsi="Times New Roman" w:cs="Times New Roman"/>
              </w:rPr>
            </w:pPr>
          </w:p>
        </w:tc>
        <w:tc>
          <w:tcPr>
            <w:tcW w:w="1889" w:type="dxa"/>
            <w:tcBorders>
              <w:top w:val="nil"/>
              <w:bottom w:val="single" w:sz="4" w:space="0" w:color="auto"/>
            </w:tcBorders>
          </w:tcPr>
          <w:p w14:paraId="2CC2C595" w14:textId="77777777" w:rsidR="00D81E54" w:rsidRPr="00065E56" w:rsidRDefault="00D81E54" w:rsidP="00A62390">
            <w:pPr>
              <w:rPr>
                <w:rFonts w:ascii="Times New Roman" w:hAnsi="Times New Roman" w:cs="Times New Roman"/>
              </w:rPr>
            </w:pPr>
          </w:p>
        </w:tc>
        <w:tc>
          <w:tcPr>
            <w:tcW w:w="1933" w:type="dxa"/>
            <w:tcBorders>
              <w:top w:val="nil"/>
              <w:bottom w:val="single" w:sz="4" w:space="0" w:color="auto"/>
            </w:tcBorders>
          </w:tcPr>
          <w:p w14:paraId="4722B29B" w14:textId="77777777" w:rsidR="00D81E54" w:rsidRPr="00065E56" w:rsidRDefault="00D81E54" w:rsidP="00A62390">
            <w:pPr>
              <w:rPr>
                <w:rFonts w:ascii="Times New Roman" w:hAnsi="Times New Roman" w:cs="Times New Roman"/>
              </w:rPr>
            </w:pPr>
          </w:p>
        </w:tc>
        <w:tc>
          <w:tcPr>
            <w:tcW w:w="1890" w:type="dxa"/>
            <w:tcBorders>
              <w:top w:val="nil"/>
              <w:bottom w:val="single" w:sz="4" w:space="0" w:color="auto"/>
            </w:tcBorders>
          </w:tcPr>
          <w:p w14:paraId="192AB71B" w14:textId="77777777" w:rsidR="00D81E54" w:rsidRPr="00065E56" w:rsidRDefault="00D81E54" w:rsidP="00A62390">
            <w:pPr>
              <w:rPr>
                <w:rFonts w:ascii="Times New Roman" w:hAnsi="Times New Roman" w:cs="Times New Roman"/>
              </w:rPr>
            </w:pPr>
          </w:p>
        </w:tc>
        <w:tc>
          <w:tcPr>
            <w:tcW w:w="1934" w:type="dxa"/>
            <w:tcBorders>
              <w:top w:val="nil"/>
              <w:bottom w:val="single" w:sz="4" w:space="0" w:color="auto"/>
            </w:tcBorders>
          </w:tcPr>
          <w:p w14:paraId="16BF55A3" w14:textId="77777777" w:rsidR="00D81E54" w:rsidRPr="00065E56" w:rsidRDefault="00D81E54" w:rsidP="00A62390">
            <w:pPr>
              <w:rPr>
                <w:rFonts w:ascii="Times New Roman" w:hAnsi="Times New Roman" w:cs="Times New Roman"/>
              </w:rPr>
            </w:pPr>
          </w:p>
        </w:tc>
      </w:tr>
      <w:tr w:rsidR="00D81E54" w:rsidRPr="00065E56" w14:paraId="15760954" w14:textId="77777777" w:rsidTr="00A62390">
        <w:trPr>
          <w:trHeight w:val="255"/>
        </w:trPr>
        <w:tc>
          <w:tcPr>
            <w:tcW w:w="1753" w:type="dxa"/>
            <w:tcBorders>
              <w:top w:val="single" w:sz="4" w:space="0" w:color="auto"/>
            </w:tcBorders>
          </w:tcPr>
          <w:p w14:paraId="03DD2F49" w14:textId="77777777" w:rsidR="00D81E54" w:rsidRPr="00065E56" w:rsidRDefault="00D81E54" w:rsidP="00A62390">
            <w:pPr>
              <w:rPr>
                <w:rFonts w:ascii="Times New Roman" w:hAnsi="Times New Roman" w:cs="Times New Roman"/>
              </w:rPr>
            </w:pPr>
            <w:r w:rsidRPr="00065E56">
              <w:rPr>
                <w:rFonts w:ascii="Times New Roman" w:hAnsi="Times New Roman" w:cs="Times New Roman"/>
              </w:rPr>
              <w:t>GPA (undergraduate)</w:t>
            </w:r>
          </w:p>
        </w:tc>
        <w:tc>
          <w:tcPr>
            <w:tcW w:w="1889" w:type="dxa"/>
            <w:tcBorders>
              <w:top w:val="single" w:sz="4" w:space="0" w:color="auto"/>
            </w:tcBorders>
          </w:tcPr>
          <w:p w14:paraId="576BC109" w14:textId="77777777" w:rsidR="00D81E54" w:rsidRPr="00065E56" w:rsidRDefault="00D81E54" w:rsidP="00A62390">
            <w:pPr>
              <w:rPr>
                <w:rFonts w:ascii="Times New Roman" w:hAnsi="Times New Roman" w:cs="Times New Roman"/>
              </w:rPr>
            </w:pPr>
            <w:r w:rsidRPr="00065E56">
              <w:rPr>
                <w:rFonts w:ascii="Times New Roman" w:hAnsi="Times New Roman" w:cs="Times New Roman"/>
              </w:rPr>
              <w:t>3.80</w:t>
            </w:r>
          </w:p>
        </w:tc>
        <w:tc>
          <w:tcPr>
            <w:tcW w:w="1933" w:type="dxa"/>
            <w:tcBorders>
              <w:top w:val="single" w:sz="4" w:space="0" w:color="auto"/>
            </w:tcBorders>
          </w:tcPr>
          <w:p w14:paraId="5BD954FA" w14:textId="77777777" w:rsidR="00D81E54" w:rsidRPr="00065E56" w:rsidRDefault="00D81E54" w:rsidP="00A62390">
            <w:pPr>
              <w:rPr>
                <w:rFonts w:ascii="Times New Roman" w:hAnsi="Times New Roman" w:cs="Times New Roman"/>
              </w:rPr>
            </w:pPr>
            <w:r w:rsidRPr="00065E56">
              <w:rPr>
                <w:rFonts w:ascii="Times New Roman" w:hAnsi="Times New Roman" w:cs="Times New Roman"/>
              </w:rPr>
              <w:t>3.62</w:t>
            </w:r>
          </w:p>
        </w:tc>
        <w:tc>
          <w:tcPr>
            <w:tcW w:w="1890" w:type="dxa"/>
            <w:tcBorders>
              <w:top w:val="single" w:sz="4" w:space="0" w:color="auto"/>
            </w:tcBorders>
          </w:tcPr>
          <w:p w14:paraId="3B9DEB70" w14:textId="77777777" w:rsidR="00D81E54" w:rsidRPr="00065E56" w:rsidRDefault="00D81E54" w:rsidP="00A62390">
            <w:pPr>
              <w:rPr>
                <w:rFonts w:ascii="Times New Roman" w:hAnsi="Times New Roman" w:cs="Times New Roman"/>
              </w:rPr>
            </w:pPr>
            <w:r w:rsidRPr="00065E56">
              <w:rPr>
                <w:rFonts w:ascii="Times New Roman" w:hAnsi="Times New Roman" w:cs="Times New Roman"/>
              </w:rPr>
              <w:t>3.80</w:t>
            </w:r>
          </w:p>
        </w:tc>
        <w:tc>
          <w:tcPr>
            <w:tcW w:w="1934" w:type="dxa"/>
            <w:tcBorders>
              <w:top w:val="single" w:sz="4" w:space="0" w:color="auto"/>
            </w:tcBorders>
          </w:tcPr>
          <w:p w14:paraId="345E01C1" w14:textId="77777777" w:rsidR="00D81E54" w:rsidRPr="00065E56" w:rsidRDefault="00D81E54" w:rsidP="00A62390">
            <w:pPr>
              <w:rPr>
                <w:rFonts w:ascii="Times New Roman" w:hAnsi="Times New Roman" w:cs="Times New Roman"/>
              </w:rPr>
            </w:pPr>
            <w:r w:rsidRPr="00065E56">
              <w:rPr>
                <w:rFonts w:ascii="Times New Roman" w:hAnsi="Times New Roman" w:cs="Times New Roman"/>
              </w:rPr>
              <w:t>3.62</w:t>
            </w:r>
          </w:p>
        </w:tc>
      </w:tr>
    </w:tbl>
    <w:p w14:paraId="6C50A88A" w14:textId="77777777" w:rsidR="00D81E54" w:rsidRPr="00065E56" w:rsidRDefault="00D81E54" w:rsidP="00D81E54">
      <w:pPr>
        <w:pStyle w:val="NormalWeb"/>
        <w:rPr>
          <w:sz w:val="22"/>
          <w:szCs w:val="22"/>
        </w:rPr>
      </w:pPr>
      <w:r w:rsidRPr="00065E56">
        <w:rPr>
          <w:i/>
          <w:iCs/>
          <w:sz w:val="22"/>
          <w:szCs w:val="22"/>
        </w:rPr>
        <w:t>Note</w:t>
      </w:r>
      <w:r w:rsidRPr="00065E56">
        <w:rPr>
          <w:sz w:val="22"/>
          <w:szCs w:val="22"/>
        </w:rPr>
        <w:t>. Age, gender, and race/ethnicity provided by the Office of Institutional Research, University of Oklahoma Health Sciences Center, OUHSC. Number admitted and undergraduate GPA for PA students obtained from the Physician Assistant Program in the College of Medicine, OUHSC. Number admitted and undergraduate GPA for dental students obtained from the College of Dentistry, OUHSC.</w:t>
      </w:r>
    </w:p>
    <w:p w14:paraId="6D5EABD8" w14:textId="77777777" w:rsidR="00D81E54" w:rsidRPr="00065E56" w:rsidRDefault="00D81E54" w:rsidP="00D81E54">
      <w:pPr>
        <w:pStyle w:val="NormalWeb"/>
        <w:rPr>
          <w:i/>
          <w:iCs/>
        </w:rPr>
      </w:pPr>
      <w:r w:rsidRPr="00065E56">
        <w:rPr>
          <w:b/>
          <w:bCs/>
          <w:i/>
          <w:iCs/>
        </w:rPr>
        <w:t>Data Collection</w:t>
      </w:r>
    </w:p>
    <w:p w14:paraId="63F36518" w14:textId="77777777" w:rsidR="00D81E54" w:rsidRPr="00065E56" w:rsidRDefault="00D81E54" w:rsidP="00D81E54">
      <w:pPr>
        <w:pStyle w:val="NormalWeb"/>
        <w:spacing w:line="480" w:lineRule="auto"/>
        <w:rPr>
          <w:b/>
          <w:bCs/>
        </w:rPr>
      </w:pPr>
      <w:r w:rsidRPr="00065E56">
        <w:rPr>
          <w:b/>
          <w:bCs/>
        </w:rPr>
        <w:tab/>
        <w:t xml:space="preserve">Assessment Items. </w:t>
      </w:r>
      <w:r w:rsidRPr="00065E56">
        <w:rPr>
          <w:color w:val="373D3F"/>
          <w:bdr w:val="none" w:sz="0" w:space="0" w:color="auto" w:frame="1"/>
        </w:rPr>
        <w:t>A</w:t>
      </w:r>
      <w:r w:rsidRPr="00065E56">
        <w:rPr>
          <w:color w:val="000000" w:themeColor="text1"/>
          <w:bdr w:val="none" w:sz="0" w:space="0" w:color="auto" w:frame="1"/>
        </w:rPr>
        <w:t xml:space="preserve">ssessment item data from the 2019 and 2020 Clinical Anatomy student populations were retrieved from the learner management system D2L. The assessment items from 2019 and 2020 were compared, and only identical items were used for this analysis. Of the 150 assessment items used for the 3 summative exams, 112 assessment items were </w:t>
      </w:r>
      <w:r w:rsidRPr="00065E56">
        <w:rPr>
          <w:color w:val="000000" w:themeColor="text1"/>
          <w:bdr w:val="none" w:sz="0" w:space="0" w:color="auto" w:frame="1"/>
        </w:rPr>
        <w:lastRenderedPageBreak/>
        <w:t>identical, excluding 38 from consideration for this study. Student responses for the identical questions were tabulated and used for analysis. All identical data from all students were analyzed from the experimental and control populations. Data from six formative (</w:t>
      </w:r>
      <w:proofErr w:type="gramStart"/>
      <w:r w:rsidRPr="00065E56">
        <w:rPr>
          <w:color w:val="000000" w:themeColor="text1"/>
          <w:bdr w:val="none" w:sz="0" w:space="0" w:color="auto" w:frame="1"/>
        </w:rPr>
        <w:t>low-stakes</w:t>
      </w:r>
      <w:proofErr w:type="gramEnd"/>
      <w:r w:rsidRPr="00065E56">
        <w:rPr>
          <w:color w:val="000000" w:themeColor="text1"/>
          <w:bdr w:val="none" w:sz="0" w:space="0" w:color="auto" w:frame="1"/>
        </w:rPr>
        <w:t xml:space="preserve">) exams were analyzed, with all 30 assessment items used from each exam. </w:t>
      </w:r>
    </w:p>
    <w:p w14:paraId="0B7A2BA7" w14:textId="5AEB2EF0" w:rsidR="00D81E54" w:rsidRPr="00065E56" w:rsidRDefault="00D81E54" w:rsidP="00D81E54">
      <w:pPr>
        <w:spacing w:line="480" w:lineRule="auto"/>
        <w:rPr>
          <w:rFonts w:ascii="Times New Roman" w:hAnsi="Times New Roman" w:cs="Times New Roman"/>
          <w:color w:val="4472C4" w:themeColor="accent1"/>
          <w:bdr w:val="none" w:sz="0" w:space="0" w:color="auto" w:frame="1"/>
        </w:rPr>
      </w:pPr>
      <w:r w:rsidRPr="00065E56">
        <w:rPr>
          <w:rFonts w:ascii="Times New Roman" w:hAnsi="Times New Roman" w:cs="Times New Roman"/>
          <w:color w:val="000000" w:themeColor="text1"/>
          <w:bdr w:val="none" w:sz="0" w:space="0" w:color="auto" w:frame="1"/>
        </w:rPr>
        <w:tab/>
        <w:t xml:space="preserve">Additionally, summative assessment items were evaluated according to the Blooming Anatomy Tool, found in Appendix A. </w:t>
      </w:r>
      <w:r w:rsidRPr="00065E56">
        <w:rPr>
          <w:rFonts w:ascii="Times New Roman" w:hAnsi="Times New Roman" w:cs="Times New Roman"/>
          <w:color w:val="000000" w:themeColor="text1"/>
          <w:bdr w:val="none" w:sz="0" w:space="0" w:color="auto" w:frame="1"/>
        </w:rPr>
        <w:fldChar w:fldCharType="begin"/>
      </w:r>
      <w:r w:rsidRPr="00065E56">
        <w:rPr>
          <w:rFonts w:ascii="Times New Roman" w:hAnsi="Times New Roman" w:cs="Times New Roman"/>
          <w:color w:val="000000" w:themeColor="text1"/>
          <w:bdr w:val="none" w:sz="0" w:space="0" w:color="auto" w:frame="1"/>
        </w:rPr>
        <w:instrText xml:space="preserve"> ADDIN ZOTERO_ITEM CSL_CITATION {"citationID":"rZyjgKDS","properties":{"formattedCitation":"(Thompson &amp; O\\uc0\\u8217{}Loughlin, 2015)","plainCitation":"(Thompson &amp; O’Loughlin, 2015)","noteIndex":0},"citationItems":[{"id":154,"uris":["http://zotero.org/users/local/8fpcHUeo/items/HIGKAVXD"],"uri":["http://zotero.org/users/local/8fpcHUeo/items/HIGKAVXD"],"itemData":{"id":154,"type":"article-journal","abstract":"Bloom's taxonomy is a resource commonly used to assess the cognitive level associated with course assignments and examination questions. Although widely utilized in educational research, Bloom's taxonomy has received limited attention as an analytical tool in the anatomical sciences. Building on previous research, the Blooming Anatomy Tool (BAT) was developed. This rubric provides discipline‐speciﬁc guidelines to Blooming anatomy multiple‐choice questions (MCQs). To test the eﬃcacy of the BAT, a group of volunteers were randomly split up and asked to Bloom a series of anatomy MCQs using either the BAT or a traditional Bloom's reference called Bloom's Learning Objectives (BLO). Both groups utilized each rubric for a diﬀerent series of MCQs. Examination question categorizations made using each rubric were tested for accuracy and interrater reliability. In addition, previous experience in anatomy and Bloom's taxonomy were considered. Results demonstrated that volunteers using the BAT had consistently higher levels of interrater reliability, but accuracy varied and was similar between rubrics. Neither measure was substantially impacted by experience in Bloom's taxonomy or anatomy. A poststudy survey indicated that volunteers strongly preferred the BAT and felt it was more helpful in categorizing anatomy MCQs than the BLO. These results suggest that the BAT can be useful in educational research in the anatomical sciences to aid in aligning observer judgment on Bloom taxonomic levels and improve consistency, especially when used in conjunction with a norming session prior to data collection. Anat Sci Educ 8: 493–501. © 2014 American Association of Anatomists.","container-title":"Anatomical Sciences Education","DOI":"10.1002/ase.1507","ISSN":"19359772","issue":"6","journalAbbreviation":"American Association of Anatomists","language":"en","page":"493-501","source":"DOI.org (Crossref)","title":"The Blooming Anatomy Tool (BAT): A discipline-specific rubric for utilizing Bloom's taxonomy in the design and evaluation of assessments in the anatomical sciences: Blooming Anatomy Tool for Evaluating MCQs","title-short":"The Blooming Anatomy Tool (BAT)","volume":"8","author":[{"family":"Thompson","given":"Andrew R."},{"family":"O'Loughlin","given":"Valerie D."}],"issued":{"date-parts":[["2015",11,12]]}}}],"schema":"https://github.com/citation-style-language/schema/raw/master/csl-citation.json"} </w:instrText>
      </w:r>
      <w:r w:rsidRPr="00065E56">
        <w:rPr>
          <w:rFonts w:ascii="Times New Roman" w:hAnsi="Times New Roman" w:cs="Times New Roman"/>
          <w:color w:val="000000" w:themeColor="text1"/>
          <w:bdr w:val="none" w:sz="0" w:space="0" w:color="auto" w:frame="1"/>
        </w:rPr>
        <w:fldChar w:fldCharType="separate"/>
      </w:r>
      <w:r w:rsidRPr="00065E56">
        <w:rPr>
          <w:rFonts w:ascii="Times New Roman" w:hAnsi="Times New Roman" w:cs="Times New Roman"/>
          <w:color w:val="000000" w:themeColor="text1"/>
        </w:rPr>
        <w:t>(Thompson &amp; O’Loughlin, 2015)</w:t>
      </w:r>
      <w:r w:rsidRPr="00065E56">
        <w:rPr>
          <w:rFonts w:ascii="Times New Roman" w:hAnsi="Times New Roman" w:cs="Times New Roman"/>
          <w:color w:val="000000" w:themeColor="text1"/>
          <w:bdr w:val="none" w:sz="0" w:space="0" w:color="auto" w:frame="1"/>
        </w:rPr>
        <w:fldChar w:fldCharType="end"/>
      </w:r>
      <w:r w:rsidRPr="00065E56">
        <w:rPr>
          <w:rFonts w:ascii="Times New Roman" w:hAnsi="Times New Roman" w:cs="Times New Roman"/>
          <w:color w:val="000000" w:themeColor="text1"/>
          <w:bdr w:val="none" w:sz="0" w:space="0" w:color="auto" w:frame="1"/>
        </w:rPr>
        <w:t xml:space="preserve">. This allowed the multiple-choice questions to be categorized into “high” or “low” levels of Bloom’s Taxonomy. Bloom’s Taxonomy (Bloom, 1956; </w:t>
      </w:r>
      <w:r w:rsidRPr="00065E56">
        <w:rPr>
          <w:rFonts w:ascii="Times New Roman" w:hAnsi="Times New Roman" w:cs="Times New Roman"/>
          <w:color w:val="000000" w:themeColor="text1"/>
          <w:bdr w:val="none" w:sz="0" w:space="0" w:color="auto" w:frame="1"/>
        </w:rPr>
        <w:fldChar w:fldCharType="begin"/>
      </w:r>
      <w:r w:rsidRPr="00065E56">
        <w:rPr>
          <w:rFonts w:ascii="Times New Roman" w:hAnsi="Times New Roman" w:cs="Times New Roman"/>
          <w:color w:val="000000" w:themeColor="text1"/>
          <w:bdr w:val="none" w:sz="0" w:space="0" w:color="auto" w:frame="1"/>
        </w:rPr>
        <w:instrText xml:space="preserve"> ADDIN ZOTERO_ITEM CSL_CITATION {"citationID":"mcZJQtts","properties":{"formattedCitation":"(Anderson &amp; Krathwohl, 2001)","plainCitation":"(Anderson &amp; Krathwohl, 2001)","dontUpdate":true,"noteIndex":0},"citationItems":[{"id":382,"uris":["http://zotero.org/users/local/8fpcHUeo/items/QGAJA3KF"],"uri":["http://zotero.org/users/local/8fpcHUeo/items/QGAJA3KF"],"itemData":{"id":382,"type":"book","event-place":"New York","ISBN":"978-0-8013-1903-7","publisher":"Longman","publisher-place":"New York","title":"A Taxonomy for Learning, Teaching, and Assessing: A Revision of Bloom's Taxonomy of Educational Objectives","author":[{"family":"Anderson","given":"Lorin W."},{"family":"Krathwohl","given":"David R."}],"issued":{"date-parts":[["2001"]]}}}],"schema":"https://github.com/citation-style-language/schema/raw/master/csl-citation.json"} </w:instrText>
      </w:r>
      <w:r w:rsidRPr="00065E56">
        <w:rPr>
          <w:rFonts w:ascii="Times New Roman" w:hAnsi="Times New Roman" w:cs="Times New Roman"/>
          <w:color w:val="000000" w:themeColor="text1"/>
          <w:bdr w:val="none" w:sz="0" w:space="0" w:color="auto" w:frame="1"/>
        </w:rPr>
        <w:fldChar w:fldCharType="separate"/>
      </w:r>
      <w:r w:rsidRPr="00065E56">
        <w:rPr>
          <w:rFonts w:ascii="Times New Roman" w:hAnsi="Times New Roman" w:cs="Times New Roman"/>
          <w:noProof/>
          <w:color w:val="000000" w:themeColor="text1"/>
          <w:bdr w:val="none" w:sz="0" w:space="0" w:color="auto" w:frame="1"/>
        </w:rPr>
        <w:t>Anderson &amp; Krathwohl, 2001)</w:t>
      </w:r>
      <w:r w:rsidRPr="00065E56">
        <w:rPr>
          <w:rFonts w:ascii="Times New Roman" w:hAnsi="Times New Roman" w:cs="Times New Roman"/>
          <w:color w:val="000000" w:themeColor="text1"/>
          <w:bdr w:val="none" w:sz="0" w:space="0" w:color="auto" w:frame="1"/>
        </w:rPr>
        <w:fldChar w:fldCharType="end"/>
      </w:r>
      <w:r w:rsidRPr="00065E56">
        <w:rPr>
          <w:rFonts w:ascii="Times New Roman" w:hAnsi="Times New Roman" w:cs="Times New Roman"/>
          <w:color w:val="000000" w:themeColor="text1"/>
          <w:bdr w:val="none" w:sz="0" w:space="0" w:color="auto" w:frame="1"/>
        </w:rPr>
        <w:t xml:space="preserve"> is a classification system used to stratify the amount of cognition required to complete an educational objective or answer a question. A high category corresponds to the ‘apply’ or ‘analyze’ levels of Bloom’s Taxonomy, while a low category corresponds to the ‘remember’ and ‘understand’ levels </w:t>
      </w:r>
      <w:r w:rsidRPr="00065E56">
        <w:rPr>
          <w:rFonts w:ascii="Times New Roman" w:hAnsi="Times New Roman" w:cs="Times New Roman"/>
          <w:color w:val="000000" w:themeColor="text1"/>
          <w:bdr w:val="none" w:sz="0" w:space="0" w:color="auto" w:frame="1"/>
        </w:rPr>
        <w:fldChar w:fldCharType="begin"/>
      </w:r>
      <w:r w:rsidR="00065E56" w:rsidRPr="00065E56">
        <w:rPr>
          <w:rFonts w:ascii="Times New Roman" w:hAnsi="Times New Roman" w:cs="Times New Roman"/>
          <w:color w:val="000000" w:themeColor="text1"/>
          <w:bdr w:val="none" w:sz="0" w:space="0" w:color="auto" w:frame="1"/>
        </w:rPr>
        <w:instrText xml:space="preserve"> ADDIN ZOTERO_ITEM CSL_CITATION {"citationID":"dqQrxa4R","properties":{"formattedCitation":"(Thompson &amp; O\\uc0\\u8217{}Loughlin, 2015)","plainCitation":"(Thompson &amp; O’Loughlin, 2015)","noteIndex":0},"citationItems":[{"id":154,"uris":["http://zotero.org/users/local/8fpcHUeo/items/HIGKAVXD"],"uri":["http://zotero.org/users/local/8fpcHUeo/items/HIGKAVXD"],"itemData":{"id":154,"type":"article-journal","abstract":"Bloom's taxonomy is a resource commonly used to assess the cognitive level associated with course assignments and examination questions. Although widely utilized in educational research, Bloom's taxonomy has received limited attention as an analytical tool in the anatomical sciences. Building on previous research, the Blooming Anatomy Tool (BAT) was developed. This rubric provides discipline‐speciﬁc guidelines to Blooming anatomy multiple‐choice questions (MCQs). To test the eﬃcacy of the BAT, a group of volunteers were randomly split up and asked to Bloom a series of anatomy MCQs using either the BAT or a traditional Bloom's reference called Bloom's Learning Objectives (BLO). Both groups utilized each rubric for a diﬀerent series of MCQs. Examination question categorizations made using each rubric were tested for accuracy and interrater reliability. In addition, previous experience in anatomy and Bloom's taxonomy were considered. Results demonstrated that volunteers using the BAT had consistently higher levels of interrater reliability, but accuracy varied and was similar between rubrics. Neither measure was substantially impacted by experience in Bloom's taxonomy or anatomy. A poststudy survey indicated that volunteers strongly preferred the BAT and felt it was more helpful in categorizing anatomy MCQs than the BLO. These results suggest that the BAT can be useful in educational research in the anatomical sciences to aid in aligning observer judgment on Bloom taxonomic levels and improve consistency, especially when used in conjunction with a norming session prior to data collection. Anat Sci Educ 8: 493–501. © 2014 American Association of Anatomists.","container-title":"Anatomical Sciences Education","DOI":"10.1002/ase.1507","ISSN":"19359772","issue":"6","journalAbbreviation":"American Association of Anatomists","language":"en","page":"493-501","source":"DOI.org (Crossref)","title":"The Blooming Anatomy Tool (BAT): A discipline-specific rubric for utilizing Bloom's taxonomy in the design and evaluation of assessments in the anatomical sciences: Blooming Anatomy Tool for Evaluating MCQs","title-short":"The Blooming Anatomy Tool (BAT)","volume":"8","author":[{"family":"Thompson","given":"Andrew R."},{"family":"O'Loughlin","given":"Valerie D."}],"issued":{"date-parts":[["2015",11,12]]}}}],"schema":"https://github.com/citation-style-language/schema/raw/master/csl-citation.json"} </w:instrText>
      </w:r>
      <w:r w:rsidRPr="00065E56">
        <w:rPr>
          <w:rFonts w:ascii="Times New Roman" w:hAnsi="Times New Roman" w:cs="Times New Roman"/>
          <w:color w:val="000000" w:themeColor="text1"/>
          <w:bdr w:val="none" w:sz="0" w:space="0" w:color="auto" w:frame="1"/>
        </w:rPr>
        <w:fldChar w:fldCharType="separate"/>
      </w:r>
      <w:r w:rsidRPr="00065E56">
        <w:rPr>
          <w:rFonts w:ascii="Times New Roman" w:hAnsi="Times New Roman" w:cs="Times New Roman"/>
          <w:color w:val="000000" w:themeColor="text1"/>
        </w:rPr>
        <w:t>(Thompson &amp; O’Loughlin, 2015)</w:t>
      </w:r>
      <w:r w:rsidRPr="00065E56">
        <w:rPr>
          <w:rFonts w:ascii="Times New Roman" w:hAnsi="Times New Roman" w:cs="Times New Roman"/>
          <w:color w:val="000000" w:themeColor="text1"/>
          <w:bdr w:val="none" w:sz="0" w:space="0" w:color="auto" w:frame="1"/>
        </w:rPr>
        <w:fldChar w:fldCharType="end"/>
      </w:r>
      <w:r w:rsidRPr="00065E56">
        <w:rPr>
          <w:rFonts w:ascii="Times New Roman" w:hAnsi="Times New Roman" w:cs="Times New Roman"/>
          <w:color w:val="000000" w:themeColor="text1"/>
          <w:bdr w:val="none" w:sz="0" w:space="0" w:color="auto" w:frame="1"/>
        </w:rPr>
        <w:t>.  Categorizing the summative assessment items allowed researchers to investigate if the cognitive difficulty of the items was a discriminating factor between the F2F and remote learning groups. Assessment items were also classified by program as either ‘dental’ or ‘PA,’ with no other identifying information collected. With this information, researchers determined if program or cognition level according to Bloom is a discriminating factor between F2F and remote learning groups. Formative assessment items were all classified as low Bloom’s level.</w:t>
      </w:r>
    </w:p>
    <w:p w14:paraId="68E968A7" w14:textId="77777777" w:rsidR="00D81E54" w:rsidRPr="00065E56" w:rsidRDefault="00D81E54" w:rsidP="00D81E54">
      <w:pPr>
        <w:spacing w:line="480" w:lineRule="auto"/>
        <w:rPr>
          <w:rFonts w:ascii="Times New Roman" w:hAnsi="Times New Roman" w:cs="Times New Roman"/>
          <w:b/>
          <w:bCs/>
          <w:color w:val="000000" w:themeColor="text1"/>
          <w:bdr w:val="none" w:sz="0" w:space="0" w:color="auto" w:frame="1"/>
        </w:rPr>
      </w:pPr>
      <w:r w:rsidRPr="00065E56">
        <w:rPr>
          <w:rFonts w:ascii="Times New Roman" w:hAnsi="Times New Roman" w:cs="Times New Roman"/>
          <w:color w:val="000000" w:themeColor="text1"/>
          <w:bdr w:val="none" w:sz="0" w:space="0" w:color="auto" w:frame="1"/>
        </w:rPr>
        <w:tab/>
      </w:r>
      <w:r w:rsidRPr="00065E56">
        <w:rPr>
          <w:rFonts w:ascii="Times New Roman" w:hAnsi="Times New Roman" w:cs="Times New Roman"/>
          <w:b/>
          <w:bCs/>
          <w:color w:val="000000" w:themeColor="text1"/>
          <w:bdr w:val="none" w:sz="0" w:space="0" w:color="auto" w:frame="1"/>
        </w:rPr>
        <w:t>Clinical anatomy online survey.</w:t>
      </w:r>
    </w:p>
    <w:p w14:paraId="5D60B757" w14:textId="3F48ECB0" w:rsidR="00D81E54" w:rsidRPr="00065E56" w:rsidRDefault="00D81E54" w:rsidP="00D81E54">
      <w:pPr>
        <w:spacing w:line="480" w:lineRule="auto"/>
        <w:rPr>
          <w:rFonts w:ascii="Times New Roman" w:hAnsi="Times New Roman" w:cs="Times New Roman"/>
          <w:b/>
          <w:bCs/>
          <w:i/>
          <w:iCs/>
          <w:color w:val="000000" w:themeColor="text1"/>
          <w:bdr w:val="none" w:sz="0" w:space="0" w:color="auto" w:frame="1"/>
        </w:rPr>
      </w:pPr>
      <w:r w:rsidRPr="00065E56">
        <w:rPr>
          <w:rFonts w:ascii="Times New Roman" w:hAnsi="Times New Roman" w:cs="Times New Roman"/>
          <w:b/>
          <w:bCs/>
          <w:color w:val="000000" w:themeColor="text1"/>
          <w:bdr w:val="none" w:sz="0" w:space="0" w:color="auto" w:frame="1"/>
        </w:rPr>
        <w:tab/>
      </w:r>
      <w:r w:rsidRPr="00065E56">
        <w:rPr>
          <w:rFonts w:ascii="Times New Roman" w:hAnsi="Times New Roman" w:cs="Times New Roman"/>
          <w:b/>
          <w:bCs/>
          <w:i/>
          <w:iCs/>
          <w:color w:val="000000" w:themeColor="text1"/>
          <w:bdr w:val="none" w:sz="0" w:space="0" w:color="auto" w:frame="1"/>
        </w:rPr>
        <w:t>Purpose and</w:t>
      </w:r>
      <w:r w:rsidRPr="00065E56">
        <w:rPr>
          <w:rFonts w:ascii="Times New Roman" w:hAnsi="Times New Roman" w:cs="Times New Roman"/>
          <w:b/>
          <w:bCs/>
          <w:color w:val="000000" w:themeColor="text1"/>
          <w:bdr w:val="none" w:sz="0" w:space="0" w:color="auto" w:frame="1"/>
        </w:rPr>
        <w:t xml:space="preserve"> </w:t>
      </w:r>
      <w:r w:rsidRPr="00065E56">
        <w:rPr>
          <w:rFonts w:ascii="Times New Roman" w:hAnsi="Times New Roman" w:cs="Times New Roman"/>
          <w:b/>
          <w:bCs/>
          <w:i/>
          <w:iCs/>
          <w:color w:val="000000" w:themeColor="text1"/>
          <w:bdr w:val="none" w:sz="0" w:space="0" w:color="auto" w:frame="1"/>
        </w:rPr>
        <w:t xml:space="preserve">Administration. </w:t>
      </w:r>
      <w:proofErr w:type="gramStart"/>
      <w:r w:rsidRPr="00065E56">
        <w:rPr>
          <w:rFonts w:ascii="Times New Roman" w:hAnsi="Times New Roman" w:cs="Times New Roman"/>
          <w:color w:val="000000" w:themeColor="text1"/>
          <w:bdr w:val="none" w:sz="0" w:space="0" w:color="auto" w:frame="1"/>
        </w:rPr>
        <w:t xml:space="preserve">The Clinical Anatomy Online </w:t>
      </w:r>
      <w:r w:rsidR="00A851A5">
        <w:rPr>
          <w:rFonts w:ascii="Times New Roman" w:hAnsi="Times New Roman" w:cs="Times New Roman"/>
          <w:color w:val="000000" w:themeColor="text1"/>
        </w:rPr>
        <w:t>S</w:t>
      </w:r>
      <w:r w:rsidRPr="00065E56">
        <w:rPr>
          <w:rFonts w:ascii="Times New Roman" w:hAnsi="Times New Roman" w:cs="Times New Roman"/>
          <w:color w:val="000000" w:themeColor="text1"/>
        </w:rPr>
        <w:t>urvey (Appendix B),</w:t>
      </w:r>
      <w:proofErr w:type="gramEnd"/>
      <w:r w:rsidRPr="00065E56">
        <w:rPr>
          <w:rFonts w:ascii="Times New Roman" w:hAnsi="Times New Roman" w:cs="Times New Roman"/>
          <w:color w:val="000000" w:themeColor="text1"/>
        </w:rPr>
        <w:t xml:space="preserve"> was designed to assess perceptions of anatomical knowledge and to evaluate the laboratory sessions and dissection videos referred to in Chapter 1. Researchers utilized the voluntary response sampling method to recruit students to participate. An invitation was sent to the remote learning </w:t>
      </w:r>
      <w:r w:rsidRPr="00065E56">
        <w:rPr>
          <w:rFonts w:ascii="Times New Roman" w:hAnsi="Times New Roman" w:cs="Times New Roman"/>
          <w:color w:val="000000" w:themeColor="text1"/>
        </w:rPr>
        <w:lastRenderedPageBreak/>
        <w:t>cohort via university email accounts on July 22, 2020, and a reminder email was sent out using the same email address on July 25, 2020.  A Qualtrics (Qualtrics, Provo, UT) link to the survey was included in the July 22 email. The link remained live for two weeks following the conclusion of the course on July 27, 2020. Ultimately, 60 of 102 (59%) students volunteered to take the survey.</w:t>
      </w:r>
    </w:p>
    <w:p w14:paraId="62667B4A" w14:textId="6584A4DA" w:rsidR="00D81E54" w:rsidRPr="00065E56" w:rsidRDefault="00D81E54" w:rsidP="00D81E54">
      <w:pPr>
        <w:spacing w:line="480" w:lineRule="auto"/>
        <w:rPr>
          <w:rFonts w:ascii="Times New Roman" w:hAnsi="Times New Roman" w:cs="Times New Roman"/>
          <w:i/>
          <w:iCs/>
          <w:color w:val="000000" w:themeColor="text1"/>
        </w:rPr>
      </w:pPr>
      <w:r w:rsidRPr="00065E56">
        <w:rPr>
          <w:rFonts w:ascii="Times New Roman" w:hAnsi="Times New Roman" w:cs="Times New Roman"/>
          <w:color w:val="000000" w:themeColor="text1"/>
        </w:rPr>
        <w:tab/>
      </w:r>
      <w:r w:rsidRPr="00065E56">
        <w:rPr>
          <w:rFonts w:ascii="Times New Roman" w:hAnsi="Times New Roman" w:cs="Times New Roman"/>
          <w:b/>
          <w:bCs/>
          <w:i/>
          <w:iCs/>
          <w:color w:val="000000" w:themeColor="text1"/>
        </w:rPr>
        <w:t>Survey development</w:t>
      </w:r>
      <w:r w:rsidRPr="00065E56">
        <w:rPr>
          <w:rFonts w:ascii="Times New Roman" w:hAnsi="Times New Roman" w:cs="Times New Roman"/>
          <w:i/>
          <w:iCs/>
          <w:color w:val="000000" w:themeColor="text1"/>
        </w:rPr>
        <w:t xml:space="preserve">. </w:t>
      </w:r>
      <w:r w:rsidRPr="00065E56">
        <w:rPr>
          <w:rFonts w:ascii="Times New Roman" w:hAnsi="Times New Roman" w:cs="Times New Roman"/>
          <w:color w:val="000000" w:themeColor="text1"/>
        </w:rPr>
        <w:t xml:space="preserve">Researchers wanted to develop a detailed student evaluation of Clinical Anatomy, and student involvement was considered crucial to developing a relevant survey. Students were invited via email and verbal invitation to participate in a focus group about “how class was going.” The focus group took place on July 13, 2020 on a video conferencing call and was recorded. The focus group was conducted on the first day of the third unit; therefore, students had completed </w:t>
      </w:r>
      <w:r w:rsidR="00346D80" w:rsidRPr="00065E56">
        <w:rPr>
          <w:rFonts w:ascii="Times New Roman" w:hAnsi="Times New Roman" w:cs="Times New Roman"/>
          <w:color w:val="000000" w:themeColor="text1"/>
        </w:rPr>
        <w:t>two-thirds</w:t>
      </w:r>
      <w:r w:rsidRPr="00065E56">
        <w:rPr>
          <w:rFonts w:ascii="Times New Roman" w:hAnsi="Times New Roman" w:cs="Times New Roman"/>
          <w:color w:val="000000" w:themeColor="text1"/>
        </w:rPr>
        <w:t xml:space="preserve"> of the course. The original list of semi-structured focus group interview questions is listed in Figure </w:t>
      </w:r>
      <w:r w:rsidR="00346D80" w:rsidRPr="00065E56">
        <w:rPr>
          <w:rFonts w:ascii="Times New Roman" w:hAnsi="Times New Roman" w:cs="Times New Roman"/>
          <w:color w:val="000000" w:themeColor="text1"/>
        </w:rPr>
        <w:t>3</w:t>
      </w:r>
      <w:r w:rsidRPr="00065E56">
        <w:rPr>
          <w:rFonts w:ascii="Times New Roman" w:hAnsi="Times New Roman" w:cs="Times New Roman"/>
          <w:color w:val="000000" w:themeColor="text1"/>
        </w:rPr>
        <w:t xml:space="preserve">. The questions in bold were the only ones the researcher asked as the students directed the flow of conversation. Thirty-six students attended the conference call, and </w:t>
      </w:r>
      <w:r w:rsidR="00346D80" w:rsidRPr="00065E56">
        <w:rPr>
          <w:rFonts w:ascii="Times New Roman" w:hAnsi="Times New Roman" w:cs="Times New Roman"/>
          <w:color w:val="000000" w:themeColor="text1"/>
        </w:rPr>
        <w:t>three</w:t>
      </w:r>
      <w:r w:rsidRPr="00065E56">
        <w:rPr>
          <w:rFonts w:ascii="Times New Roman" w:hAnsi="Times New Roman" w:cs="Times New Roman"/>
          <w:color w:val="000000" w:themeColor="text1"/>
        </w:rPr>
        <w:t xml:space="preserve"> students submitted email responses. Non-leading follow-up questions were asked and included “Does anyone have a different perspective?” and “Could you tell me more about that?” Peripheral participants were encouraged to speak or send comments to the researcher (SH) in the chat to be announced anonymously for discussion. </w:t>
      </w:r>
    </w:p>
    <w:p w14:paraId="1094BB4C" w14:textId="77777777" w:rsidR="00D81E54" w:rsidRPr="00065E56" w:rsidRDefault="00D81E54" w:rsidP="00D81E54">
      <w:pPr>
        <w:spacing w:line="480" w:lineRule="auto"/>
        <w:rPr>
          <w:rFonts w:ascii="Times New Roman" w:hAnsi="Times New Roman" w:cs="Times New Roman"/>
          <w:color w:val="373D3F"/>
          <w:bdr w:val="none" w:sz="0" w:space="0" w:color="auto" w:frame="1"/>
        </w:rPr>
      </w:pPr>
      <w:r w:rsidRPr="00065E56">
        <w:rPr>
          <w:rFonts w:ascii="Times New Roman" w:hAnsi="Times New Roman" w:cs="Times New Roman"/>
          <w:color w:val="000000" w:themeColor="text1"/>
        </w:rPr>
        <w:tab/>
        <w:t>A researcher (SH) transcribed the audio and classified the responses as well as the 3 emails into emergent categories like “anatomy knowledge.” As this survey was intended to be a student evaluation of learning clinical anatomy during a pandemic, the researcher (SH) began with broad semi-structured questions, inte</w:t>
      </w:r>
      <w:r w:rsidRPr="00065E56">
        <w:rPr>
          <w:rFonts w:ascii="Times New Roman" w:hAnsi="Times New Roman" w:cs="Times New Roman"/>
        </w:rPr>
        <w:t xml:space="preserve">ntionally allowing students to direct the discussion. This was evident in the lack of semi-structured questions specifically addressing anatomical knowledge perceptions. The students were clear and direct about their anatomy knowledge </w:t>
      </w:r>
      <w:r w:rsidRPr="00065E56">
        <w:rPr>
          <w:rFonts w:ascii="Times New Roman" w:hAnsi="Times New Roman" w:cs="Times New Roman"/>
        </w:rPr>
        <w:lastRenderedPageBreak/>
        <w:t xml:space="preserve">feeling ‘fragmented’ and ‘disconnected from the whole’ and spent several minutes explaining those feelings. Subsequently, the focus of the survey shifted. </w:t>
      </w:r>
    </w:p>
    <w:p w14:paraId="34E21E4A" w14:textId="5F260923" w:rsidR="00D81E54" w:rsidRDefault="00D81E54" w:rsidP="00D81E54">
      <w:pPr>
        <w:spacing w:line="480" w:lineRule="auto"/>
        <w:rPr>
          <w:rFonts w:ascii="Times New Roman" w:hAnsi="Times New Roman" w:cs="Times New Roman"/>
        </w:rPr>
      </w:pPr>
      <w:r w:rsidRPr="00065E56">
        <w:rPr>
          <w:rFonts w:ascii="Times New Roman" w:hAnsi="Times New Roman" w:cs="Times New Roman"/>
        </w:rPr>
        <w:tab/>
        <w:t xml:space="preserve">Once categorized, responses were pulled from student statements for inclusion into the survey. Where possible, the statements were used verbatim, but frequently neutral statements were created from modified student statements. Two faculty members (NH, MM) met with the researcher (SH) on July 16, 2020 to review the survey draft. The meeting focused primarily on the language and purpose of the survey: clarifying vague statements, neutralizing leading statements, and narrowing the focus. Upon reflection, it was decided that how students perceive their anatomical knowledge was a predominant theme of the focus group and should be one focus of the survey. On July 21, 2020, the researcher (SH) presented to the same group an edited, streamlined survey with a clearer focus of purpose. There was agreement to administer the survey the following day. </w:t>
      </w:r>
    </w:p>
    <w:p w14:paraId="22ACAC67" w14:textId="2ECDF1A4" w:rsidR="00484EE2" w:rsidRDefault="00484EE2" w:rsidP="00484EE2">
      <w:pPr>
        <w:rPr>
          <w:rFonts w:ascii="Times New Roman" w:hAnsi="Times New Roman" w:cs="Times New Roman"/>
          <w:b/>
          <w:bCs/>
          <w:i/>
          <w:iCs/>
        </w:rPr>
      </w:pPr>
      <w:r w:rsidRPr="00A851A5">
        <w:rPr>
          <w:rFonts w:ascii="Times New Roman" w:hAnsi="Times New Roman" w:cs="Times New Roman"/>
          <w:b/>
          <w:bCs/>
          <w:i/>
          <w:iCs/>
        </w:rPr>
        <w:t>Data Analysis</w:t>
      </w:r>
    </w:p>
    <w:p w14:paraId="51396A37" w14:textId="0164842D" w:rsidR="00484EE2" w:rsidRPr="00484EE2" w:rsidRDefault="00A94ACD" w:rsidP="00484EE2">
      <w:pPr>
        <w:pStyle w:val="NormalWeb"/>
        <w:spacing w:line="480" w:lineRule="auto"/>
        <w:rPr>
          <w:b/>
          <w:bCs/>
        </w:rPr>
      </w:pPr>
      <w:r>
        <w:rPr>
          <w:b/>
          <w:bCs/>
        </w:rPr>
        <w:tab/>
      </w:r>
      <w:r w:rsidR="00484EE2" w:rsidRPr="002339DE">
        <w:rPr>
          <w:b/>
          <w:bCs/>
        </w:rPr>
        <w:t>Exam score analysis.</w:t>
      </w:r>
      <w:r w:rsidR="00484EE2">
        <w:rPr>
          <w:b/>
          <w:bCs/>
        </w:rPr>
        <w:t xml:space="preserve"> </w:t>
      </w:r>
      <w:r w:rsidR="00484EE2">
        <w:t>I</w:t>
      </w:r>
      <w:r w:rsidR="00484EE2" w:rsidRPr="00A00CA0">
        <w:t xml:space="preserve">ndependent sample t-tests </w:t>
      </w:r>
      <w:r w:rsidR="00484EE2">
        <w:t>were</w:t>
      </w:r>
      <w:r w:rsidR="00484EE2" w:rsidRPr="00A00CA0">
        <w:t xml:space="preserve"> conducted on all </w:t>
      </w:r>
      <w:r w:rsidR="00484EE2">
        <w:t xml:space="preserve">assessment item categories </w:t>
      </w:r>
      <w:r w:rsidR="00484EE2" w:rsidRPr="00A00CA0">
        <w:t xml:space="preserve">to identify any significant differences in academic outcomes between 2019 and 2020. </w:t>
      </w:r>
      <w:r w:rsidR="00484EE2">
        <w:t xml:space="preserve">Table </w:t>
      </w:r>
      <w:r w:rsidR="00484EE2">
        <w:rPr>
          <w:color w:val="000000" w:themeColor="text1"/>
        </w:rPr>
        <w:t>3 (Chapter 4)</w:t>
      </w:r>
      <w:r w:rsidR="00484EE2">
        <w:t xml:space="preserve"> lists the categories. A</w:t>
      </w:r>
      <w:r w:rsidR="00484EE2" w:rsidRPr="00A00CA0">
        <w:t xml:space="preserve"> 95% confidence interval </w:t>
      </w:r>
      <w:r w:rsidR="00484EE2">
        <w:t xml:space="preserve">was </w:t>
      </w:r>
      <w:r w:rsidR="00484EE2" w:rsidRPr="00A00CA0">
        <w:t>calculated for each tes</w:t>
      </w:r>
      <w:r w:rsidR="00484EE2">
        <w:t>t,</w:t>
      </w:r>
      <w:r w:rsidR="00484EE2" w:rsidRPr="00A00CA0">
        <w:t xml:space="preserve"> and effect size </w:t>
      </w:r>
      <w:r w:rsidR="00484EE2">
        <w:t xml:space="preserve">was calculated for the difference in means for both the summative assessment items and the cumulative formative exams. </w:t>
      </w:r>
      <w:r w:rsidR="00484EE2" w:rsidRPr="00A00CA0">
        <w:t xml:space="preserve">The </w:t>
      </w:r>
      <w:r w:rsidR="00484EE2">
        <w:t>assessment item</w:t>
      </w:r>
      <w:r w:rsidR="00484EE2" w:rsidRPr="00A00CA0">
        <w:t xml:space="preserve"> analysis portion of the proposed study utilize</w:t>
      </w:r>
      <w:r w:rsidR="00484EE2">
        <w:t>d</w:t>
      </w:r>
      <w:r w:rsidR="00484EE2" w:rsidRPr="00A00CA0">
        <w:t xml:space="preserve"> a quasi-experimental non-equivalent control group post-test format</w:t>
      </w:r>
      <w:r w:rsidR="00484EE2">
        <w:t xml:space="preserve"> </w:t>
      </w:r>
      <w:r w:rsidR="00484EE2">
        <w:fldChar w:fldCharType="begin"/>
      </w:r>
      <w:r w:rsidR="00484EE2">
        <w:instrText xml:space="preserve"> ADDIN ZOTERO_ITEM CSL_CITATION {"citationID":"0clD4rQw","properties":{"formattedCitation":"(Johnson &amp; Christensen, 2016)","plainCitation":"(Johnson &amp; Christensen, 2016)","noteIndex":0},"citationItems":[{"id":163,"uris":["http://zotero.org/users/local/8fpcHUeo/items/64U7ZVCH"],"uri":["http://zotero.org/users/local/8fpcHUeo/items/64U7ZVCH"],"itemData":{"id":163,"type":"book","edition":"6th","ISBN":"978-1-4833-9160-1","number-of-pages":"744","publisher":"SAGE Publications, Inc","title":"Educational Research: Quantitative, Qualitative, and Mixed Approaches","author":[{"family":"Johnson","given":"R. Burke"},{"family":"Christensen","given":"Larry"}],"issued":{"date-parts":[["2016"]]}}}],"schema":"https://github.com/citation-style-language/schema/raw/master/csl-citation.json"} </w:instrText>
      </w:r>
      <w:r w:rsidR="00484EE2">
        <w:fldChar w:fldCharType="separate"/>
      </w:r>
      <w:r w:rsidR="00484EE2">
        <w:rPr>
          <w:noProof/>
        </w:rPr>
        <w:t>(Johnson &amp; Christensen, 2016)</w:t>
      </w:r>
      <w:r w:rsidR="00484EE2">
        <w:fldChar w:fldCharType="end"/>
      </w:r>
      <w:r w:rsidR="00484EE2" w:rsidRPr="00A00CA0">
        <w:t xml:space="preserve">. The </w:t>
      </w:r>
      <w:r w:rsidR="00484EE2">
        <w:t>assessment items</w:t>
      </w:r>
      <w:r w:rsidR="00484EE2" w:rsidRPr="00A00CA0">
        <w:t xml:space="preserve"> of the 2019 cohort serve</w:t>
      </w:r>
      <w:r w:rsidR="00484EE2">
        <w:t>d</w:t>
      </w:r>
      <w:r w:rsidR="00484EE2" w:rsidRPr="00A00CA0">
        <w:t xml:space="preserve"> as the </w:t>
      </w:r>
      <w:r w:rsidR="00484EE2">
        <w:t xml:space="preserve">historical </w:t>
      </w:r>
      <w:r w:rsidR="00484EE2" w:rsidRPr="00A00CA0">
        <w:t>control as</w:t>
      </w:r>
      <w:r w:rsidR="00484EE2">
        <w:t xml:space="preserve"> </w:t>
      </w:r>
      <w:r w:rsidR="00484EE2" w:rsidRPr="00A00CA0">
        <w:t xml:space="preserve">those students received traditional F2F instruction. The 2020 cohort </w:t>
      </w:r>
      <w:r w:rsidR="00484EE2">
        <w:t>wa</w:t>
      </w:r>
      <w:r w:rsidR="00484EE2" w:rsidRPr="00A00CA0">
        <w:t>s the experimental group</w:t>
      </w:r>
      <w:r w:rsidR="00484EE2">
        <w:t xml:space="preserve"> and </w:t>
      </w:r>
      <w:r w:rsidR="00484EE2" w:rsidRPr="00A00CA0">
        <w:t xml:space="preserve">received fully remote, synchronous instruction. </w:t>
      </w:r>
    </w:p>
    <w:p w14:paraId="1D5F4175" w14:textId="77777777" w:rsidR="00A94ACD" w:rsidRDefault="00A94ACD" w:rsidP="00D81E54">
      <w:pPr>
        <w:spacing w:line="480" w:lineRule="auto"/>
        <w:rPr>
          <w:rFonts w:ascii="Times New Roman" w:hAnsi="Times New Roman" w:cs="Times New Roman"/>
          <w:b/>
          <w:bCs/>
        </w:rPr>
      </w:pPr>
    </w:p>
    <w:p w14:paraId="61B0C1E4" w14:textId="082F65C1" w:rsidR="00D81E54" w:rsidRPr="00065E56" w:rsidRDefault="00D81E54" w:rsidP="00D81E54">
      <w:pPr>
        <w:spacing w:line="480" w:lineRule="auto"/>
        <w:rPr>
          <w:rFonts w:ascii="Times New Roman" w:hAnsi="Times New Roman" w:cs="Times New Roman"/>
        </w:rPr>
      </w:pPr>
      <w:r w:rsidRPr="00065E56">
        <w:rPr>
          <w:rFonts w:ascii="Times New Roman" w:hAnsi="Times New Roman" w:cs="Times New Roman"/>
          <w:b/>
          <w:bCs/>
        </w:rPr>
        <w:lastRenderedPageBreak/>
        <w:t xml:space="preserve">Figure </w:t>
      </w:r>
      <w:r w:rsidR="00346D80" w:rsidRPr="00065E56">
        <w:rPr>
          <w:rFonts w:ascii="Times New Roman" w:hAnsi="Times New Roman" w:cs="Times New Roman"/>
          <w:b/>
          <w:bCs/>
        </w:rPr>
        <w:t>3</w:t>
      </w:r>
    </w:p>
    <w:p w14:paraId="550B2CD5" w14:textId="02A33B51" w:rsidR="00D81E54" w:rsidRPr="00065E56" w:rsidRDefault="00480362" w:rsidP="00D81E54">
      <w:pPr>
        <w:spacing w:line="480" w:lineRule="auto"/>
        <w:rPr>
          <w:rFonts w:ascii="Times New Roman" w:hAnsi="Times New Roman" w:cs="Times New Roman"/>
          <w:i/>
          <w:iCs/>
        </w:rPr>
      </w:pPr>
      <w:r w:rsidRPr="00065E56">
        <w:rPr>
          <w:rFonts w:ascii="Times New Roman" w:hAnsi="Times New Roman" w:cs="Times New Roman"/>
          <w:noProof/>
        </w:rPr>
        <mc:AlternateContent>
          <mc:Choice Requires="wps">
            <w:drawing>
              <wp:anchor distT="0" distB="0" distL="114300" distR="114300" simplePos="0" relativeHeight="251671552" behindDoc="0" locked="0" layoutInCell="1" allowOverlap="1" wp14:anchorId="4A59F676" wp14:editId="447098E6">
                <wp:simplePos x="0" y="0"/>
                <wp:positionH relativeFrom="column">
                  <wp:posOffset>40105</wp:posOffset>
                </wp:positionH>
                <wp:positionV relativeFrom="paragraph">
                  <wp:posOffset>275122</wp:posOffset>
                </wp:positionV>
                <wp:extent cx="5879432" cy="3134995"/>
                <wp:effectExtent l="0" t="0" r="13970" b="14605"/>
                <wp:wrapNone/>
                <wp:docPr id="3" name="Text Box 3"/>
                <wp:cNvGraphicFramePr/>
                <a:graphic xmlns:a="http://schemas.openxmlformats.org/drawingml/2006/main">
                  <a:graphicData uri="http://schemas.microsoft.com/office/word/2010/wordprocessingShape">
                    <wps:wsp>
                      <wps:cNvSpPr txBox="1"/>
                      <wps:spPr>
                        <a:xfrm>
                          <a:off x="0" y="0"/>
                          <a:ext cx="5879432" cy="3134995"/>
                        </a:xfrm>
                        <a:prstGeom prst="rect">
                          <a:avLst/>
                        </a:prstGeom>
                        <a:solidFill>
                          <a:schemeClr val="lt1"/>
                        </a:solidFill>
                        <a:ln w="6350">
                          <a:solidFill>
                            <a:prstClr val="black"/>
                          </a:solidFill>
                        </a:ln>
                      </wps:spPr>
                      <wps:txbx>
                        <w:txbxContent>
                          <w:p w14:paraId="03A1F563" w14:textId="77777777" w:rsidR="001C607A" w:rsidRDefault="001C607A" w:rsidP="00D81E54">
                            <w:r w:rsidRPr="00305522">
                              <w:rPr>
                                <w:b/>
                                <w:bCs/>
                              </w:rPr>
                              <w:t>1</w:t>
                            </w:r>
                            <w:r>
                              <w:t>.</w:t>
                            </w:r>
                            <w:r>
                              <w:tab/>
                            </w:r>
                            <w:r w:rsidRPr="00EB1A80">
                              <w:rPr>
                                <w:b/>
                                <w:bCs/>
                              </w:rPr>
                              <w:t>How has the pandemic affected you as a student?</w:t>
                            </w:r>
                          </w:p>
                          <w:p w14:paraId="774F954D" w14:textId="77777777" w:rsidR="001C607A" w:rsidRDefault="001C607A" w:rsidP="00D81E54">
                            <w:r>
                              <w:t>2.</w:t>
                            </w:r>
                            <w:r>
                              <w:tab/>
                              <w:t xml:space="preserve">Reflect on your experience as a student in a previous laboratory science class. How </w:t>
                            </w:r>
                            <w:r>
                              <w:tab/>
                              <w:t>has being fully online changed your behavior as a student?</w:t>
                            </w:r>
                          </w:p>
                          <w:p w14:paraId="431FAFF8" w14:textId="77777777" w:rsidR="001C607A" w:rsidRPr="00EB1A80" w:rsidRDefault="001C607A" w:rsidP="00D81E54">
                            <w:pPr>
                              <w:rPr>
                                <w:b/>
                                <w:bCs/>
                              </w:rPr>
                            </w:pPr>
                            <w:r w:rsidRPr="00305522">
                              <w:rPr>
                                <w:b/>
                                <w:bCs/>
                              </w:rPr>
                              <w:t>3</w:t>
                            </w:r>
                            <w:r>
                              <w:t>.</w:t>
                            </w:r>
                            <w:r>
                              <w:tab/>
                            </w:r>
                            <w:r w:rsidRPr="00EB1A80">
                              <w:rPr>
                                <w:b/>
                                <w:bCs/>
                              </w:rPr>
                              <w:t>What do you do if you have a question or are confused about a topic?</w:t>
                            </w:r>
                          </w:p>
                          <w:p w14:paraId="31AEA6D2" w14:textId="77777777" w:rsidR="001C607A" w:rsidRPr="00EB1A80" w:rsidRDefault="001C607A" w:rsidP="00D81E54">
                            <w:pPr>
                              <w:rPr>
                                <w:b/>
                                <w:bCs/>
                              </w:rPr>
                            </w:pPr>
                            <w:r w:rsidRPr="00EB1A80">
                              <w:rPr>
                                <w:b/>
                                <w:bCs/>
                              </w:rPr>
                              <w:t>4.</w:t>
                            </w:r>
                            <w:r w:rsidRPr="00EB1A80">
                              <w:rPr>
                                <w:b/>
                                <w:bCs/>
                              </w:rPr>
                              <w:tab/>
                              <w:t>How are you communicating with each other?</w:t>
                            </w:r>
                          </w:p>
                          <w:p w14:paraId="14428515" w14:textId="77777777" w:rsidR="001C607A" w:rsidRDefault="001C607A" w:rsidP="00D81E54">
                            <w:r>
                              <w:t>5.</w:t>
                            </w:r>
                            <w:r>
                              <w:tab/>
                              <w:t xml:space="preserve">To what extent is this true: I feel as connected to my classmates now as I did in my </w:t>
                            </w:r>
                            <w:r>
                              <w:tab/>
                              <w:t>undergraduate classes. Repeat question with ‘professors.’</w:t>
                            </w:r>
                          </w:p>
                          <w:p w14:paraId="56F83258" w14:textId="77777777" w:rsidR="001C607A" w:rsidRPr="00EB1A80" w:rsidRDefault="001C607A" w:rsidP="00D81E54">
                            <w:pPr>
                              <w:rPr>
                                <w:b/>
                                <w:bCs/>
                              </w:rPr>
                            </w:pPr>
                            <w:r w:rsidRPr="00305522">
                              <w:rPr>
                                <w:b/>
                                <w:bCs/>
                              </w:rPr>
                              <w:t>6</w:t>
                            </w:r>
                            <w:r>
                              <w:t>.</w:t>
                            </w:r>
                            <w:r>
                              <w:tab/>
                            </w:r>
                            <w:r w:rsidRPr="00EB1A80">
                              <w:rPr>
                                <w:b/>
                                <w:bCs/>
                              </w:rPr>
                              <w:t>Can you describe your most successful online study habits?</w:t>
                            </w:r>
                          </w:p>
                          <w:p w14:paraId="0AB05142" w14:textId="77777777" w:rsidR="001C607A" w:rsidRPr="00EB1A80" w:rsidRDefault="001C607A" w:rsidP="00D81E54">
                            <w:pPr>
                              <w:rPr>
                                <w:b/>
                                <w:bCs/>
                              </w:rPr>
                            </w:pPr>
                            <w:r w:rsidRPr="00EB1A80">
                              <w:rPr>
                                <w:b/>
                                <w:bCs/>
                              </w:rPr>
                              <w:t>7.</w:t>
                            </w:r>
                            <w:r w:rsidRPr="00EB1A80">
                              <w:rPr>
                                <w:b/>
                                <w:bCs/>
                              </w:rPr>
                              <w:tab/>
                              <w:t>How do you use the lab videos?</w:t>
                            </w:r>
                          </w:p>
                          <w:p w14:paraId="292A0B0C" w14:textId="77777777" w:rsidR="001C607A" w:rsidRPr="00EB1A80" w:rsidRDefault="001C607A" w:rsidP="00D81E54">
                            <w:pPr>
                              <w:rPr>
                                <w:b/>
                                <w:bCs/>
                              </w:rPr>
                            </w:pPr>
                            <w:r w:rsidRPr="00EB1A80">
                              <w:rPr>
                                <w:b/>
                                <w:bCs/>
                              </w:rPr>
                              <w:t>8.</w:t>
                            </w:r>
                            <w:r w:rsidRPr="00EB1A80">
                              <w:rPr>
                                <w:b/>
                                <w:bCs/>
                              </w:rPr>
                              <w:tab/>
                              <w:t>Has the absence of cadavers, models, and specimens impacted your learning?</w:t>
                            </w:r>
                          </w:p>
                          <w:p w14:paraId="4CF69C6E" w14:textId="77777777" w:rsidR="001C607A" w:rsidRDefault="001C607A" w:rsidP="00D81E54">
                            <w:r>
                              <w:t>9.</w:t>
                            </w:r>
                            <w:r>
                              <w:tab/>
                              <w:t xml:space="preserve">Considering the lack of physical experience with cadavers, models, or specimens, do </w:t>
                            </w:r>
                            <w:r>
                              <w:tab/>
                              <w:t>you feel like you are getting the experience you need to become a clinician?</w:t>
                            </w:r>
                          </w:p>
                          <w:p w14:paraId="2BDC1655" w14:textId="77777777" w:rsidR="001C607A" w:rsidRDefault="001C607A" w:rsidP="00D81E54">
                            <w:r>
                              <w:t>10.</w:t>
                            </w:r>
                            <w:r>
                              <w:tab/>
                              <w:t xml:space="preserve">Does the absence of cadavers/dissection influence your specialty preference (if you </w:t>
                            </w:r>
                            <w:r>
                              <w:tab/>
                              <w:t>are planning to specialize?</w:t>
                            </w:r>
                          </w:p>
                          <w:p w14:paraId="355183B6" w14:textId="77777777" w:rsidR="001C607A" w:rsidRDefault="001C607A" w:rsidP="00D81E54">
                            <w:r>
                              <w:t>11.</w:t>
                            </w:r>
                            <w:r>
                              <w:tab/>
                              <w:t xml:space="preserve">Think back on your experience in anatomy so far. Was there anything you needed to </w:t>
                            </w:r>
                            <w:r>
                              <w:tab/>
                              <w:t>hear or see that would have helped you be successful?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59F676" id="_x0000_t202" coordsize="21600,21600" o:spt="202" path="m,l,21600r21600,l21600,xe">
                <v:stroke joinstyle="miter"/>
                <v:path gradientshapeok="t" o:connecttype="rect"/>
              </v:shapetype>
              <v:shape id="Text Box 3" o:spid="_x0000_s1031" type="#_x0000_t202" style="position:absolute;margin-left:3.15pt;margin-top:21.65pt;width:462.95pt;height:246.8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Izv3TwIAAKkEAAAOAAAAZHJzL2Uyb0RvYy54bWysVE1v2zAMvQ/YfxB0X5zPtjHiFFmKDAOK&#13;&#10;tkBS9KzIUmxMFjVJiZ39+lGy89Fup2EXhSKfn8hHMrP7plLkIKwrQWd00OtTIjSHvNS7jL5uVl/u&#13;&#10;KHGe6Zwp0CKjR+Ho/fzzp1ltUjGEAlQuLEES7dLaZLTw3qRJ4nghKuZ6YITGoARbMY9Xu0tyy2pk&#13;&#10;r1Qy7Pdvkhpsbixw4Rx6H9ognUd+KQX3z1I64YnKKObm42njuQ1nMp+xdGeZKUrepcH+IYuKlRof&#13;&#10;PVM9MM/I3pZ/UFUlt+BA+h6HKgEpSy5iDVjNoP+hmnXBjIi1oDjOnGVy/4+WPx1eLCnzjI4o0azC&#13;&#10;Fm1E48lXaMgoqFMblyJobRDmG3Rjl09+h85QdCNtFX6xHIJx1Pl41jaQcXRO7m6n49GQEo6x0WA0&#13;&#10;nk4ngSe5fG6s898EVCQYGbXYvKgpOzw630JPkPCaA1Xmq1KpeAkDI5bKkgPDVisfk0TydyilSZ3R&#13;&#10;m9GkH4nfxQL1+futYvxHl94VCvmUxpyDKG3xwfLNtokSxoKCZwv5EfWy0M6bM3xVIv0jc/6FWRww&#13;&#10;lAiXxj/jIRVgTtBZlBRgf/3NH/DYd4xSUuPAZtT93DMrKFHfNU7EdDAehwmPl/HkdogXex3ZXkf0&#13;&#10;vloCCjXA9TQ8mgHv1cmUFqo33K1FeBVDTHN8O6P+ZC59u0a4m1wsFhGEM22Yf9RrwwN1aEyQddO8&#13;&#10;MWu6tnqciCc4jTZLP3S3xYYvNSz2HmQZW39RtZMf9yEOT7e7YeGu7xF1+YeZ/wYAAP//AwBQSwME&#13;&#10;FAAGAAgAAAAhABUcPorfAAAADQEAAA8AAABkcnMvZG93bnJldi54bWxMT8tOwzAQvCPxD9YicaMO&#13;&#10;CZQ0zabiUbhwoiDObuzaFrEd2W4a/p7lBJddrWZ2Hu1mdgObVEw2eITrRQFM+T5I6zXCx/vzVQ0s&#13;&#10;ZeGlGIJXCN8qwaY7P2tFI8PJv6lplzUjEZ8agWByHhvOU2+UE2kRRuUJO4ToRKYzai6jOJG4G3hZ&#13;&#10;FEvuhPXkYMSoHo3qv3ZHh7B90Cvd1yKabS2tnebPw6t+Qby8mJ/WNO7XwLKa898H/Hag/NBRsH04&#13;&#10;epnYgLCsiIhwU9EmeFWVJbA9wm11VwDvWv6/RfcDAAD//wMAUEsBAi0AFAAGAAgAAAAhALaDOJL+&#13;&#10;AAAA4QEAABMAAAAAAAAAAAAAAAAAAAAAAFtDb250ZW50X1R5cGVzXS54bWxQSwECLQAUAAYACAAA&#13;&#10;ACEAOP0h/9YAAACUAQAACwAAAAAAAAAAAAAAAAAvAQAAX3JlbHMvLnJlbHNQSwECLQAUAAYACAAA&#13;&#10;ACEAKCM7908CAACpBAAADgAAAAAAAAAAAAAAAAAuAgAAZHJzL2Uyb0RvYy54bWxQSwECLQAUAAYA&#13;&#10;CAAAACEAFRw+it8AAAANAQAADwAAAAAAAAAAAAAAAACpBAAAZHJzL2Rvd25yZXYueG1sUEsFBgAA&#13;&#10;AAAEAAQA8wAAALUFAAAAAA==&#13;&#10;" fillcolor="white [3201]" strokeweight=".5pt">
                <v:textbox>
                  <w:txbxContent>
                    <w:p w14:paraId="03A1F563" w14:textId="77777777" w:rsidR="001C607A" w:rsidRDefault="001C607A" w:rsidP="00D81E54">
                      <w:r w:rsidRPr="00305522">
                        <w:rPr>
                          <w:b/>
                          <w:bCs/>
                        </w:rPr>
                        <w:t>1</w:t>
                      </w:r>
                      <w:r>
                        <w:t>.</w:t>
                      </w:r>
                      <w:r>
                        <w:tab/>
                      </w:r>
                      <w:r w:rsidRPr="00EB1A80">
                        <w:rPr>
                          <w:b/>
                          <w:bCs/>
                        </w:rPr>
                        <w:t>How has the pandemic affected you as a student?</w:t>
                      </w:r>
                    </w:p>
                    <w:p w14:paraId="774F954D" w14:textId="77777777" w:rsidR="001C607A" w:rsidRDefault="001C607A" w:rsidP="00D81E54">
                      <w:r>
                        <w:t>2.</w:t>
                      </w:r>
                      <w:r>
                        <w:tab/>
                        <w:t xml:space="preserve">Reflect on your experience as a student in a previous laboratory science class. How </w:t>
                      </w:r>
                      <w:r>
                        <w:tab/>
                        <w:t>has being fully online changed your behavior as a student?</w:t>
                      </w:r>
                    </w:p>
                    <w:p w14:paraId="431FAFF8" w14:textId="77777777" w:rsidR="001C607A" w:rsidRPr="00EB1A80" w:rsidRDefault="001C607A" w:rsidP="00D81E54">
                      <w:pPr>
                        <w:rPr>
                          <w:b/>
                          <w:bCs/>
                        </w:rPr>
                      </w:pPr>
                      <w:r w:rsidRPr="00305522">
                        <w:rPr>
                          <w:b/>
                          <w:bCs/>
                        </w:rPr>
                        <w:t>3</w:t>
                      </w:r>
                      <w:r>
                        <w:t>.</w:t>
                      </w:r>
                      <w:r>
                        <w:tab/>
                      </w:r>
                      <w:r w:rsidRPr="00EB1A80">
                        <w:rPr>
                          <w:b/>
                          <w:bCs/>
                        </w:rPr>
                        <w:t>What do you do if you have a question or are confused about a topic?</w:t>
                      </w:r>
                    </w:p>
                    <w:p w14:paraId="31AEA6D2" w14:textId="77777777" w:rsidR="001C607A" w:rsidRPr="00EB1A80" w:rsidRDefault="001C607A" w:rsidP="00D81E54">
                      <w:pPr>
                        <w:rPr>
                          <w:b/>
                          <w:bCs/>
                        </w:rPr>
                      </w:pPr>
                      <w:r w:rsidRPr="00EB1A80">
                        <w:rPr>
                          <w:b/>
                          <w:bCs/>
                        </w:rPr>
                        <w:t>4.</w:t>
                      </w:r>
                      <w:r w:rsidRPr="00EB1A80">
                        <w:rPr>
                          <w:b/>
                          <w:bCs/>
                        </w:rPr>
                        <w:tab/>
                        <w:t>How are you communicating with each other?</w:t>
                      </w:r>
                    </w:p>
                    <w:p w14:paraId="14428515" w14:textId="77777777" w:rsidR="001C607A" w:rsidRDefault="001C607A" w:rsidP="00D81E54">
                      <w:r>
                        <w:t>5.</w:t>
                      </w:r>
                      <w:r>
                        <w:tab/>
                        <w:t xml:space="preserve">To what extent is this true: I feel as connected to my classmates now as I did in my </w:t>
                      </w:r>
                      <w:r>
                        <w:tab/>
                        <w:t>undergraduate classes. Repeat question with ‘professors.’</w:t>
                      </w:r>
                    </w:p>
                    <w:p w14:paraId="56F83258" w14:textId="77777777" w:rsidR="001C607A" w:rsidRPr="00EB1A80" w:rsidRDefault="001C607A" w:rsidP="00D81E54">
                      <w:pPr>
                        <w:rPr>
                          <w:b/>
                          <w:bCs/>
                        </w:rPr>
                      </w:pPr>
                      <w:r w:rsidRPr="00305522">
                        <w:rPr>
                          <w:b/>
                          <w:bCs/>
                        </w:rPr>
                        <w:t>6</w:t>
                      </w:r>
                      <w:r>
                        <w:t>.</w:t>
                      </w:r>
                      <w:r>
                        <w:tab/>
                      </w:r>
                      <w:r w:rsidRPr="00EB1A80">
                        <w:rPr>
                          <w:b/>
                          <w:bCs/>
                        </w:rPr>
                        <w:t>Can you describe your most successful online study habits?</w:t>
                      </w:r>
                    </w:p>
                    <w:p w14:paraId="0AB05142" w14:textId="77777777" w:rsidR="001C607A" w:rsidRPr="00EB1A80" w:rsidRDefault="001C607A" w:rsidP="00D81E54">
                      <w:pPr>
                        <w:rPr>
                          <w:b/>
                          <w:bCs/>
                        </w:rPr>
                      </w:pPr>
                      <w:r w:rsidRPr="00EB1A80">
                        <w:rPr>
                          <w:b/>
                          <w:bCs/>
                        </w:rPr>
                        <w:t>7.</w:t>
                      </w:r>
                      <w:r w:rsidRPr="00EB1A80">
                        <w:rPr>
                          <w:b/>
                          <w:bCs/>
                        </w:rPr>
                        <w:tab/>
                        <w:t>How do you use the lab videos?</w:t>
                      </w:r>
                    </w:p>
                    <w:p w14:paraId="292A0B0C" w14:textId="77777777" w:rsidR="001C607A" w:rsidRPr="00EB1A80" w:rsidRDefault="001C607A" w:rsidP="00D81E54">
                      <w:pPr>
                        <w:rPr>
                          <w:b/>
                          <w:bCs/>
                        </w:rPr>
                      </w:pPr>
                      <w:r w:rsidRPr="00EB1A80">
                        <w:rPr>
                          <w:b/>
                          <w:bCs/>
                        </w:rPr>
                        <w:t>8.</w:t>
                      </w:r>
                      <w:r w:rsidRPr="00EB1A80">
                        <w:rPr>
                          <w:b/>
                          <w:bCs/>
                        </w:rPr>
                        <w:tab/>
                        <w:t>Has the absence of cadavers, models, and specimens impacted your learning?</w:t>
                      </w:r>
                    </w:p>
                    <w:p w14:paraId="4CF69C6E" w14:textId="77777777" w:rsidR="001C607A" w:rsidRDefault="001C607A" w:rsidP="00D81E54">
                      <w:r>
                        <w:t>9.</w:t>
                      </w:r>
                      <w:r>
                        <w:tab/>
                        <w:t xml:space="preserve">Considering the lack of physical experience with cadavers, models, or specimens, do </w:t>
                      </w:r>
                      <w:r>
                        <w:tab/>
                        <w:t>you feel like you are getting the experience you need to become a clinician?</w:t>
                      </w:r>
                    </w:p>
                    <w:p w14:paraId="2BDC1655" w14:textId="77777777" w:rsidR="001C607A" w:rsidRDefault="001C607A" w:rsidP="00D81E54">
                      <w:r>
                        <w:t>10.</w:t>
                      </w:r>
                      <w:r>
                        <w:tab/>
                        <w:t xml:space="preserve">Does the absence of cadavers/dissection influence your specialty preference (if you </w:t>
                      </w:r>
                      <w:r>
                        <w:tab/>
                        <w:t>are planning to specialize?</w:t>
                      </w:r>
                    </w:p>
                    <w:p w14:paraId="355183B6" w14:textId="77777777" w:rsidR="001C607A" w:rsidRDefault="001C607A" w:rsidP="00D81E54">
                      <w:r>
                        <w:t>11.</w:t>
                      </w:r>
                      <w:r>
                        <w:tab/>
                        <w:t xml:space="preserve">Think back on your experience in anatomy so far. Was there anything you needed to </w:t>
                      </w:r>
                      <w:r>
                        <w:tab/>
                        <w:t>hear or see that would have helped you be successful?</w:t>
                      </w:r>
                    </w:p>
                  </w:txbxContent>
                </v:textbox>
              </v:shape>
            </w:pict>
          </mc:Fallback>
        </mc:AlternateContent>
      </w:r>
      <w:r w:rsidR="00D81E54" w:rsidRPr="00065E56">
        <w:rPr>
          <w:rFonts w:ascii="Times New Roman" w:hAnsi="Times New Roman" w:cs="Times New Roman"/>
          <w:i/>
          <w:iCs/>
        </w:rPr>
        <w:t>Focus Group Interview Questions</w:t>
      </w:r>
    </w:p>
    <w:p w14:paraId="28C3BB86" w14:textId="77777777" w:rsidR="00D81E54" w:rsidRPr="00065E56" w:rsidRDefault="00D81E54" w:rsidP="00D81E54">
      <w:pPr>
        <w:spacing w:line="480" w:lineRule="auto"/>
        <w:rPr>
          <w:rFonts w:ascii="Times New Roman" w:hAnsi="Times New Roman" w:cs="Times New Roman"/>
          <w:color w:val="373D3F"/>
          <w:bdr w:val="none" w:sz="0" w:space="0" w:color="auto" w:frame="1"/>
        </w:rPr>
      </w:pPr>
    </w:p>
    <w:p w14:paraId="77FDDCD7" w14:textId="77777777" w:rsidR="00D81E54" w:rsidRPr="00065E56" w:rsidRDefault="00D81E54" w:rsidP="00D81E54">
      <w:pPr>
        <w:spacing w:line="480" w:lineRule="auto"/>
        <w:rPr>
          <w:rFonts w:ascii="Times New Roman" w:hAnsi="Times New Roman" w:cs="Times New Roman"/>
          <w:color w:val="373D3F"/>
          <w:bdr w:val="none" w:sz="0" w:space="0" w:color="auto" w:frame="1"/>
        </w:rPr>
      </w:pPr>
    </w:p>
    <w:p w14:paraId="610E2A27" w14:textId="77777777" w:rsidR="00D81E54" w:rsidRPr="00065E56" w:rsidRDefault="00D81E54" w:rsidP="00D81E54">
      <w:pPr>
        <w:spacing w:line="480" w:lineRule="auto"/>
        <w:rPr>
          <w:rFonts w:ascii="Times New Roman" w:hAnsi="Times New Roman" w:cs="Times New Roman"/>
        </w:rPr>
      </w:pPr>
      <w:r w:rsidRPr="00065E56">
        <w:rPr>
          <w:rFonts w:ascii="Times New Roman" w:hAnsi="Times New Roman" w:cs="Times New Roman"/>
        </w:rPr>
        <w:t xml:space="preserve"> </w:t>
      </w:r>
    </w:p>
    <w:p w14:paraId="7773F25B" w14:textId="77777777" w:rsidR="00D81E54" w:rsidRPr="00065E56" w:rsidRDefault="00D81E54" w:rsidP="00D81E54">
      <w:pPr>
        <w:pStyle w:val="NormalWeb"/>
        <w:spacing w:line="480" w:lineRule="auto"/>
        <w:rPr>
          <w:b/>
          <w:bCs/>
        </w:rPr>
      </w:pPr>
    </w:p>
    <w:p w14:paraId="3625853F" w14:textId="77777777" w:rsidR="00D81E54" w:rsidRPr="00065E56" w:rsidRDefault="00D81E54" w:rsidP="00D81E54">
      <w:pPr>
        <w:pStyle w:val="NormalWeb"/>
        <w:spacing w:line="480" w:lineRule="auto"/>
        <w:rPr>
          <w:b/>
          <w:bCs/>
        </w:rPr>
      </w:pPr>
    </w:p>
    <w:p w14:paraId="587582D9" w14:textId="77777777" w:rsidR="00D81E54" w:rsidRPr="00065E56" w:rsidRDefault="00D81E54" w:rsidP="00D81E54">
      <w:pPr>
        <w:pStyle w:val="NormalWeb"/>
        <w:spacing w:line="480" w:lineRule="auto"/>
        <w:rPr>
          <w:b/>
          <w:bCs/>
        </w:rPr>
      </w:pPr>
    </w:p>
    <w:p w14:paraId="2F29AB2E" w14:textId="77777777" w:rsidR="00D81E54" w:rsidRPr="00065E56" w:rsidRDefault="00D81E54" w:rsidP="00D81E54">
      <w:pPr>
        <w:rPr>
          <w:rFonts w:ascii="Times New Roman" w:hAnsi="Times New Roman" w:cs="Times New Roman"/>
        </w:rPr>
      </w:pPr>
    </w:p>
    <w:p w14:paraId="6C98D036" w14:textId="77777777" w:rsidR="00D81E54" w:rsidRDefault="00D81E54" w:rsidP="00D81E54"/>
    <w:p w14:paraId="3D7892EA" w14:textId="77777777" w:rsidR="00D81E54" w:rsidRPr="00065E56" w:rsidRDefault="00D81E54" w:rsidP="00D81E54">
      <w:pPr>
        <w:rPr>
          <w:rFonts w:ascii="Times New Roman" w:hAnsi="Times New Roman" w:cs="Times New Roman"/>
          <w:sz w:val="22"/>
          <w:szCs w:val="22"/>
        </w:rPr>
      </w:pPr>
      <w:r w:rsidRPr="00065E56">
        <w:rPr>
          <w:rFonts w:ascii="Times New Roman" w:hAnsi="Times New Roman" w:cs="Times New Roman"/>
          <w:i/>
          <w:iCs/>
          <w:sz w:val="22"/>
          <w:szCs w:val="22"/>
        </w:rPr>
        <w:t>Note</w:t>
      </w:r>
      <w:r w:rsidRPr="00065E56">
        <w:rPr>
          <w:rFonts w:ascii="Times New Roman" w:hAnsi="Times New Roman" w:cs="Times New Roman"/>
          <w:sz w:val="22"/>
          <w:szCs w:val="22"/>
        </w:rPr>
        <w:t>. The questions in bold were the ones ultimately asked by the researcher. Students were verbal and directed the flow of conversation. This guideline was originally created to elicit a practical, detailed evaluation of online Clinical Anatomy. Students directed answers toward their feelings regarding learning anatomy and concerns about the adequacy of their knowledge moving forward.</w:t>
      </w:r>
    </w:p>
    <w:p w14:paraId="4E66F343" w14:textId="77777777" w:rsidR="00D81E54" w:rsidRDefault="00D81E54" w:rsidP="00D81E54">
      <w:pPr>
        <w:rPr>
          <w:b/>
          <w:bCs/>
        </w:rPr>
      </w:pPr>
    </w:p>
    <w:p w14:paraId="5C969F85" w14:textId="19D93504" w:rsidR="00D81E54" w:rsidRPr="005025D4" w:rsidRDefault="00D81E54" w:rsidP="00D81E54">
      <w:pPr>
        <w:pStyle w:val="NormalWeb"/>
        <w:spacing w:line="480" w:lineRule="auto"/>
        <w:rPr>
          <w:i/>
          <w:iCs/>
        </w:rPr>
      </w:pPr>
      <w:r>
        <w:rPr>
          <w:b/>
          <w:bCs/>
        </w:rPr>
        <w:tab/>
      </w:r>
      <w:r w:rsidRPr="005025D4">
        <w:rPr>
          <w:b/>
          <w:bCs/>
          <w:i/>
          <w:iCs/>
        </w:rPr>
        <w:t>Summative exams</w:t>
      </w:r>
      <w:r w:rsidRPr="003F11DE">
        <w:rPr>
          <w:i/>
          <w:iCs/>
        </w:rPr>
        <w:t>.</w:t>
      </w:r>
      <w:r>
        <w:rPr>
          <w:i/>
          <w:iCs/>
        </w:rPr>
        <w:t xml:space="preserve"> </w:t>
      </w:r>
      <w:r w:rsidRPr="00A00CA0">
        <w:t xml:space="preserve">Both cohorts received </w:t>
      </w:r>
      <w:r w:rsidR="00346D80">
        <w:t>three</w:t>
      </w:r>
      <w:r w:rsidRPr="00A00CA0">
        <w:t xml:space="preserve"> summative</w:t>
      </w:r>
      <w:r>
        <w:t xml:space="preserve"> exams,</w:t>
      </w:r>
      <w:r w:rsidRPr="00A00CA0">
        <w:t xml:space="preserve"> consist</w:t>
      </w:r>
      <w:r>
        <w:t>ing</w:t>
      </w:r>
      <w:r w:rsidRPr="00A00CA0">
        <w:t xml:space="preserve"> of 50 multiple</w:t>
      </w:r>
      <w:r>
        <w:t>-</w:t>
      </w:r>
      <w:r w:rsidRPr="00A00CA0">
        <w:t xml:space="preserve">choice questions </w:t>
      </w:r>
      <w:r>
        <w:t xml:space="preserve">each. Summative exams </w:t>
      </w:r>
      <w:r w:rsidRPr="00A00CA0">
        <w:t xml:space="preserve">were administered at the end of each curriculum unit. </w:t>
      </w:r>
      <w:r>
        <w:t xml:space="preserve">Only identical questions that were administered to both cohorts were used in this study. Additionally, the assessment items were evaluated using the Blooming Anatomy Tool (BAT), a rubric designed to categorize items by cognitive difficulty </w:t>
      </w:r>
      <w:r>
        <w:fldChar w:fldCharType="begin"/>
      </w:r>
      <w:r>
        <w:instrText xml:space="preserve"> ADDIN ZOTERO_ITEM CSL_CITATION {"citationID":"gxQcPtAy","properties":{"formattedCitation":"(Thompson &amp; O\\uc0\\u8217{}Loughlin, 2015)","plainCitation":"(Thompson &amp; O’Loughlin, 2015)","noteIndex":0},"citationItems":[{"id":154,"uris":["http://zotero.org/users/local/8fpcHUeo/items/HIGKAVXD"],"uri":["http://zotero.org/users/local/8fpcHUeo/items/HIGKAVXD"],"itemData":{"id":154,"type":"article-journal","abstract":"Bloom's taxonomy is a resource commonly used to assess the cognitive level associated with course assignments and examination questions. Although widely utilized in educational research, Bloom's taxonomy has received limited attention as an analytical tool in the anatomical sciences. Building on previous research, the Blooming Anatomy Tool (BAT) was developed. This rubric provides discipline‐speciﬁc guidelines to Blooming anatomy multiple‐choice questions (MCQs). To test the eﬃcacy of the BAT, a group of volunteers were randomly split up and asked to Bloom a series of anatomy MCQs using either the BAT or a traditional Bloom's reference called Bloom's Learning Objectives (BLO). Both groups utilized each rubric for a diﬀerent series of MCQs. Examination question categorizations made using each rubric were tested for accuracy and interrater reliability. In addition, previous experience in anatomy and Bloom's taxonomy were considered. Results demonstrated that volunteers using the BAT had consistently higher levels of interrater reliability, but accuracy varied and was similar between rubrics. Neither measure was substantially impacted by experience in Bloom's taxonomy or anatomy. A poststudy survey indicated that volunteers strongly preferred the BAT and felt it was more helpful in categorizing anatomy MCQs than the BLO. These results suggest that the BAT can be useful in educational research in the anatomical sciences to aid in aligning observer judgment on Bloom taxonomic levels and improve consistency, especially when used in conjunction with a norming session prior to data collection. Anat Sci Educ 8: 493–501. © 2014 American Association of Anatomists.","container-title":"Anatomical Sciences Education","DOI":"10.1002/ase.1507","ISSN":"19359772","issue":"6","journalAbbreviation":"American Association of Anatomists","language":"en","page":"493-501","source":"DOI.org (Crossref)","title":"The Blooming Anatomy Tool (BAT): A discipline-specific rubric for utilizing Bloom's taxonomy in the design and evaluation of assessments in the anatomical sciences: Blooming Anatomy Tool for Evaluating MCQs","title-short":"The Blooming Anatomy Tool (BAT)","volume":"8","author":[{"family":"Thompson","given":"Andrew R."},{"family":"O'Loughlin","given":"Valerie D."}],"issued":{"date-parts":[["2015",11,12]]}}}],"schema":"https://github.com/citation-style-language/schema/raw/master/csl-citation.json"} </w:instrText>
      </w:r>
      <w:r>
        <w:fldChar w:fldCharType="separate"/>
      </w:r>
      <w:r w:rsidRPr="00032D20">
        <w:t>(Thompson &amp; O’Loughlin, 2015)</w:t>
      </w:r>
      <w:r>
        <w:fldChar w:fldCharType="end"/>
      </w:r>
      <w:r>
        <w:t xml:space="preserve">. The assessment items were classified independently by two researchers (SH, NH). The researchers met and the initial inter-rater agreement for all assessment items was </w:t>
      </w:r>
      <w:r w:rsidRPr="0067214B">
        <w:rPr>
          <w:color w:val="000000" w:themeColor="text1"/>
        </w:rPr>
        <w:t xml:space="preserve">57%. </w:t>
      </w:r>
      <w:r>
        <w:t xml:space="preserve">Assessment items that were not agreed upon were discussed until agreement was reached. For each of the three summative exams, the overall sum of identical assessment items, the high Blooming assessment items, and the low Blooming assessment items were compared between </w:t>
      </w:r>
      <w:r>
        <w:lastRenderedPageBreak/>
        <w:t xml:space="preserve">the F2F and remote cohorts. The cohort categories were further stratified by program to determine any differences between </w:t>
      </w:r>
      <w:r w:rsidRPr="00346D80">
        <w:rPr>
          <w:color w:val="000000" w:themeColor="text1"/>
        </w:rPr>
        <w:t>program (</w:t>
      </w:r>
      <w:r w:rsidR="00346D80" w:rsidRPr="00346D80">
        <w:rPr>
          <w:color w:val="000000" w:themeColor="text1"/>
        </w:rPr>
        <w:t>Table 3).</w:t>
      </w:r>
      <w:r w:rsidRPr="00346D80">
        <w:rPr>
          <w:color w:val="000000" w:themeColor="text1"/>
        </w:rPr>
        <w:t xml:space="preserve"> </w:t>
      </w:r>
    </w:p>
    <w:p w14:paraId="1972A0AA" w14:textId="2D40DBF9" w:rsidR="00D81E54" w:rsidRPr="00065E56" w:rsidRDefault="00D81E54" w:rsidP="00D81E54">
      <w:pPr>
        <w:spacing w:line="480" w:lineRule="auto"/>
        <w:rPr>
          <w:rFonts w:ascii="Times New Roman" w:hAnsi="Times New Roman" w:cs="Times New Roman"/>
          <w:i/>
          <w:iCs/>
          <w:color w:val="000000"/>
        </w:rPr>
      </w:pPr>
      <w:r>
        <w:rPr>
          <w:rFonts w:ascii="Calibri" w:hAnsi="Calibri" w:cs="Calibri"/>
          <w:color w:val="000000"/>
        </w:rPr>
        <w:tab/>
      </w:r>
      <w:r w:rsidRPr="00065E56">
        <w:rPr>
          <w:rFonts w:ascii="Times New Roman" w:hAnsi="Times New Roman" w:cs="Times New Roman"/>
          <w:b/>
          <w:bCs/>
          <w:i/>
          <w:iCs/>
          <w:color w:val="000000"/>
        </w:rPr>
        <w:t>Formative exams</w:t>
      </w:r>
      <w:r w:rsidRPr="00065E56">
        <w:rPr>
          <w:rFonts w:ascii="Times New Roman" w:hAnsi="Times New Roman" w:cs="Times New Roman"/>
          <w:i/>
          <w:iCs/>
          <w:color w:val="000000"/>
        </w:rPr>
        <w:t xml:space="preserve">. </w:t>
      </w:r>
      <w:r w:rsidRPr="00065E56">
        <w:rPr>
          <w:rFonts w:ascii="Times New Roman" w:hAnsi="Times New Roman" w:cs="Times New Roman"/>
        </w:rPr>
        <w:t xml:space="preserve">The formative exams were spotter exams to identify anatomical structures. The F2F cohort took these exams by rotating through a series of tagged anatomical structures on cadavers, while the remote cohort completed an online digital version of tagged, cadaveric images. Formative exams, or lab </w:t>
      </w:r>
      <w:proofErr w:type="spellStart"/>
      <w:r w:rsidRPr="00065E56">
        <w:rPr>
          <w:rFonts w:ascii="Times New Roman" w:hAnsi="Times New Roman" w:cs="Times New Roman"/>
        </w:rPr>
        <w:t>practicals</w:t>
      </w:r>
      <w:proofErr w:type="spellEnd"/>
      <w:r w:rsidRPr="00065E56">
        <w:rPr>
          <w:rFonts w:ascii="Times New Roman" w:hAnsi="Times New Roman" w:cs="Times New Roman"/>
        </w:rPr>
        <w:t xml:space="preserve">, were organized according to a test blueprint to maintain consistency from year-to year. For example, every lab practical has </w:t>
      </w:r>
      <w:r w:rsidR="00346D80" w:rsidRPr="00065E56">
        <w:rPr>
          <w:rFonts w:ascii="Times New Roman" w:hAnsi="Times New Roman" w:cs="Times New Roman"/>
        </w:rPr>
        <w:t>five</w:t>
      </w:r>
      <w:r w:rsidRPr="00065E56">
        <w:rPr>
          <w:rFonts w:ascii="Times New Roman" w:hAnsi="Times New Roman" w:cs="Times New Roman"/>
        </w:rPr>
        <w:t xml:space="preserve"> bone or bone feature identification questions, but which </w:t>
      </w:r>
      <w:r w:rsidR="00346D80" w:rsidRPr="00065E56">
        <w:rPr>
          <w:rFonts w:ascii="Times New Roman" w:hAnsi="Times New Roman" w:cs="Times New Roman"/>
        </w:rPr>
        <w:t>five</w:t>
      </w:r>
      <w:r w:rsidRPr="00065E56">
        <w:rPr>
          <w:rFonts w:ascii="Times New Roman" w:hAnsi="Times New Roman" w:cs="Times New Roman"/>
        </w:rPr>
        <w:t xml:space="preserve"> the students are asked to identify can change from year to year. All formative exam questions were low Bloom’s level due to being identification only, but program differences were still assessed.</w:t>
      </w:r>
    </w:p>
    <w:p w14:paraId="5D8A4A16" w14:textId="08431CEB" w:rsidR="00D81E54" w:rsidRPr="00065E56" w:rsidRDefault="00D81E54" w:rsidP="00D81E54">
      <w:pPr>
        <w:spacing w:line="480" w:lineRule="auto"/>
        <w:rPr>
          <w:rFonts w:ascii="Times New Roman" w:hAnsi="Times New Roman" w:cs="Times New Roman"/>
        </w:rPr>
      </w:pPr>
      <w:r w:rsidRPr="00065E56">
        <w:rPr>
          <w:rFonts w:ascii="Times New Roman" w:hAnsi="Times New Roman" w:cs="Times New Roman"/>
          <w:b/>
          <w:bCs/>
        </w:rPr>
        <w:tab/>
        <w:t>Clinical anatomy online survey.</w:t>
      </w:r>
      <w:r w:rsidRPr="00065E56">
        <w:rPr>
          <w:rFonts w:ascii="Times New Roman" w:hAnsi="Times New Roman" w:cs="Times New Roman"/>
        </w:rPr>
        <w:t xml:space="preserve"> The Clinical Anatomy Online Survey utilized a quasi-experimental, one-group post-test format </w:t>
      </w:r>
      <w:r w:rsidRPr="00065E56">
        <w:rPr>
          <w:rFonts w:ascii="Times New Roman" w:hAnsi="Times New Roman" w:cs="Times New Roman"/>
        </w:rPr>
        <w:fldChar w:fldCharType="begin"/>
      </w:r>
      <w:r w:rsidRPr="00065E56">
        <w:rPr>
          <w:rFonts w:ascii="Times New Roman" w:hAnsi="Times New Roman" w:cs="Times New Roman"/>
        </w:rPr>
        <w:instrText xml:space="preserve"> ADDIN ZOTERO_ITEM CSL_CITATION {"citationID":"axxEaXTT","properties":{"formattedCitation":"(Johnson &amp; Christensen, 2016)","plainCitation":"(Johnson &amp; Christensen, 2016)","noteIndex":0},"citationItems":[{"id":163,"uris":["http://zotero.org/users/local/8fpcHUeo/items/64U7ZVCH"],"uri":["http://zotero.org/users/local/8fpcHUeo/items/64U7ZVCH"],"itemData":{"id":163,"type":"book","edition":"6th","ISBN":"978-1-4833-9160-1","number-of-pages":"744","publisher":"SAGE Publications, Inc","title":"Educational Research: Quantitative, Qualitative, and Mixed Approaches","author":[{"family":"Johnson","given":"R. Burke"},{"family":"Christensen","given":"Larry"}],"issued":{"date-parts":[["2016"]]}}}],"schema":"https://github.com/citation-style-language/schema/raw/master/csl-citation.json"} </w:instrText>
      </w:r>
      <w:r w:rsidRPr="00065E56">
        <w:rPr>
          <w:rFonts w:ascii="Times New Roman" w:hAnsi="Times New Roman" w:cs="Times New Roman"/>
        </w:rPr>
        <w:fldChar w:fldCharType="separate"/>
      </w:r>
      <w:r w:rsidRPr="00065E56">
        <w:rPr>
          <w:rFonts w:ascii="Times New Roman" w:hAnsi="Times New Roman" w:cs="Times New Roman"/>
          <w:noProof/>
        </w:rPr>
        <w:t>(Johnson &amp; Christensen, 2016)</w:t>
      </w:r>
      <w:r w:rsidRPr="00065E56">
        <w:rPr>
          <w:rFonts w:ascii="Times New Roman" w:hAnsi="Times New Roman" w:cs="Times New Roman"/>
        </w:rPr>
        <w:fldChar w:fldCharType="end"/>
      </w:r>
      <w:r w:rsidRPr="00065E56">
        <w:rPr>
          <w:rFonts w:ascii="Times New Roman" w:hAnsi="Times New Roman" w:cs="Times New Roman"/>
        </w:rPr>
        <w:t xml:space="preserve">, which is a snapshot of a group of individuals in a particular point in time. The data collected from the survey was ordinal, so percentages (frequency), were reported in tables. The students’ perceptions of anatomical knowledge portion of this study consisted of three nominal data questions followed by 14 statements that students evaluated. There were five Likert-style choices for each statement, ranging from ‘not at all true of me’ to ‘very true of me.’ A 5-choice scale was preferred to reduce frustration and improve completion rates </w:t>
      </w:r>
      <w:r w:rsidRPr="00065E56">
        <w:rPr>
          <w:rFonts w:ascii="Times New Roman" w:hAnsi="Times New Roman" w:cs="Times New Roman"/>
        </w:rPr>
        <w:fldChar w:fldCharType="begin"/>
      </w:r>
      <w:r w:rsidRPr="00065E56">
        <w:rPr>
          <w:rFonts w:ascii="Times New Roman" w:hAnsi="Times New Roman" w:cs="Times New Roman"/>
        </w:rPr>
        <w:instrText xml:space="preserve"> ADDIN ZOTERO_ITEM CSL_CITATION {"citationID":"6k3hvzoC","properties":{"formattedCitation":"(Babakus &amp; Mangold, n.d.)","plainCitation":"(Babakus &amp; Mangold, n.d.)","dontUpdate":true,"noteIndex":0},"citationItems":[{"id":241,"uris":["http://zotero.org/users/local/8fpcHUeo/items/S47BEICF"],"uri":["http://zotero.org/users/local/8fpcHUeo/items/S47BEICF"],"itemData":{"id":241,"type":"article-journal","language":"en","page":"20","source":"Zotero","title":"Adapting the SERVQUAL Scale to Hospital Services: An Empirical Investlgatlon","author":[{"family":"Babakus","given":"Emin"},{"family":"Mangold","given":"W Glynn"}]}}],"schema":"https://github.com/citation-style-language/schema/raw/master/csl-citation.json"} </w:instrText>
      </w:r>
      <w:r w:rsidRPr="00065E56">
        <w:rPr>
          <w:rFonts w:ascii="Times New Roman" w:hAnsi="Times New Roman" w:cs="Times New Roman"/>
        </w:rPr>
        <w:fldChar w:fldCharType="separate"/>
      </w:r>
      <w:r w:rsidRPr="00065E56">
        <w:rPr>
          <w:rFonts w:ascii="Times New Roman" w:hAnsi="Times New Roman" w:cs="Times New Roman"/>
          <w:noProof/>
        </w:rPr>
        <w:t>(Babakus &amp; Mangold, 1992)</w:t>
      </w:r>
      <w:r w:rsidRPr="00065E56">
        <w:rPr>
          <w:rFonts w:ascii="Times New Roman" w:hAnsi="Times New Roman" w:cs="Times New Roman"/>
        </w:rPr>
        <w:fldChar w:fldCharType="end"/>
      </w:r>
      <w:r w:rsidRPr="00065E56">
        <w:rPr>
          <w:rFonts w:ascii="Times New Roman" w:hAnsi="Times New Roman" w:cs="Times New Roman"/>
        </w:rPr>
        <w:t>. Two polar, or yes/no questions were asked, and one open response box with the directions ‘Please record any comments or suggestions regarding your understanding of anatomy here’ completed the anatomical knowledge section of the survey.</w:t>
      </w:r>
    </w:p>
    <w:p w14:paraId="1D490DE7" w14:textId="77777777" w:rsidR="00D81E54" w:rsidRPr="00065E56" w:rsidRDefault="00D81E54" w:rsidP="00D81E54">
      <w:pPr>
        <w:spacing w:line="480" w:lineRule="auto"/>
        <w:rPr>
          <w:rFonts w:ascii="Times New Roman" w:hAnsi="Times New Roman" w:cs="Times New Roman"/>
        </w:rPr>
      </w:pPr>
      <w:r w:rsidRPr="00065E56">
        <w:rPr>
          <w:rFonts w:ascii="Times New Roman" w:hAnsi="Times New Roman" w:cs="Times New Roman"/>
        </w:rPr>
        <w:tab/>
        <w:t xml:space="preserve">Comments left in the open response box were thematically analyzed and evaluated with the quantitative survey data results. All qualitative data was triangulated by 3 researchers (SH, </w:t>
      </w:r>
      <w:r w:rsidRPr="00065E56">
        <w:rPr>
          <w:rFonts w:ascii="Times New Roman" w:hAnsi="Times New Roman" w:cs="Times New Roman"/>
        </w:rPr>
        <w:lastRenderedPageBreak/>
        <w:t>NH, MM). Researchers met after an initial read-through and coding to assess agreement. A common coding system was negotiated. Next, researchers independently coded all data. Subsequently, researchers reconvened to check the consistency and agreement of coding. Upon agreement, a researcher (SH) assessed the codes for emergent themes and identified representative student data. At a final meeting, all researchers agreed upon the results.</w:t>
      </w:r>
    </w:p>
    <w:p w14:paraId="776DC16C" w14:textId="6A5EE826" w:rsidR="00484EE2" w:rsidRPr="00A94ACD" w:rsidRDefault="00D81E54" w:rsidP="00D81E54">
      <w:pPr>
        <w:spacing w:line="480" w:lineRule="auto"/>
        <w:rPr>
          <w:rFonts w:ascii="Times New Roman" w:hAnsi="Times New Roman" w:cs="Times New Roman"/>
        </w:rPr>
      </w:pPr>
      <w:r w:rsidRPr="00065E56">
        <w:rPr>
          <w:rFonts w:ascii="Times New Roman" w:hAnsi="Times New Roman" w:cs="Times New Roman"/>
        </w:rPr>
        <w:tab/>
        <w:t xml:space="preserve">While the assessment items evaluated the cognitive domain of learning, the Online Clinical Anatomy survey asked students to respond to statements categorized by </w:t>
      </w:r>
      <w:r w:rsidR="00346D80" w:rsidRPr="00065E56">
        <w:rPr>
          <w:rFonts w:ascii="Times New Roman" w:hAnsi="Times New Roman" w:cs="Times New Roman"/>
        </w:rPr>
        <w:t>Bloom’s</w:t>
      </w:r>
      <w:r w:rsidRPr="00065E56">
        <w:rPr>
          <w:rFonts w:ascii="Times New Roman" w:hAnsi="Times New Roman" w:cs="Times New Roman"/>
        </w:rPr>
        <w:t xml:space="preserve"> </w:t>
      </w:r>
      <w:r w:rsidR="00346D80" w:rsidRPr="00065E56">
        <w:rPr>
          <w:rFonts w:ascii="Times New Roman" w:hAnsi="Times New Roman" w:cs="Times New Roman"/>
        </w:rPr>
        <w:t>D</w:t>
      </w:r>
      <w:r w:rsidRPr="00065E56">
        <w:rPr>
          <w:rFonts w:ascii="Times New Roman" w:hAnsi="Times New Roman" w:cs="Times New Roman"/>
        </w:rPr>
        <w:t xml:space="preserve">omains of </w:t>
      </w:r>
      <w:r w:rsidR="00346D80" w:rsidRPr="00065E56">
        <w:rPr>
          <w:rFonts w:ascii="Times New Roman" w:hAnsi="Times New Roman" w:cs="Times New Roman"/>
        </w:rPr>
        <w:t>L</w:t>
      </w:r>
      <w:r w:rsidRPr="00065E56">
        <w:rPr>
          <w:rFonts w:ascii="Times New Roman" w:hAnsi="Times New Roman" w:cs="Times New Roman"/>
        </w:rPr>
        <w:t xml:space="preserve">earning: cognitive, psychomotor/physical, and affective. As previously noted, the modernized Bloom’s levels for the cognitive domain classify knowledge acquisition </w:t>
      </w:r>
      <w:r w:rsidRPr="00065E56">
        <w:rPr>
          <w:rFonts w:ascii="Times New Roman" w:hAnsi="Times New Roman" w:cs="Times New Roman"/>
        </w:rPr>
        <w:fldChar w:fldCharType="begin"/>
      </w:r>
      <w:r w:rsidRPr="00065E56">
        <w:rPr>
          <w:rFonts w:ascii="Times New Roman" w:hAnsi="Times New Roman" w:cs="Times New Roman"/>
        </w:rPr>
        <w:instrText xml:space="preserve"> ADDIN ZOTERO_ITEM CSL_CITATION {"citationID":"s4Nvd6kq","properties":{"formattedCitation":"(Anderson &amp; Krathwohl, 2001)","plainCitation":"(Anderson &amp; Krathwohl, 2001)","dontUpdate":true,"noteIndex":0},"citationItems":[{"id":382,"uris":["http://zotero.org/users/local/8fpcHUeo/items/QGAJA3KF"],"uri":["http://zotero.org/users/local/8fpcHUeo/items/QGAJA3KF"],"itemData":{"id":382,"type":"book","event-place":"New York","ISBN":"978-0-8013-1903-7","publisher":"Longman","publisher-place":"New York","title":"A Taxonomy for Learning, Teaching, and Assessing: A Revision of Bloom's Taxonomy of Educational Objectives","author":[{"family":"Anderson","given":"Lorin W."},{"family":"Krathwohl","given":"David R."}],"issued":{"date-parts":[["2001"]]}}}],"schema":"https://github.com/citation-style-language/schema/raw/master/csl-citation.json"} </w:instrText>
      </w:r>
      <w:r w:rsidRPr="00065E56">
        <w:rPr>
          <w:rFonts w:ascii="Times New Roman" w:hAnsi="Times New Roman" w:cs="Times New Roman"/>
        </w:rPr>
        <w:fldChar w:fldCharType="separate"/>
      </w:r>
      <w:r w:rsidRPr="00065E56">
        <w:rPr>
          <w:rFonts w:ascii="Times New Roman" w:hAnsi="Times New Roman" w:cs="Times New Roman"/>
          <w:noProof/>
        </w:rPr>
        <w:t>(Anderson &amp; Krathwohl, 2001;</w:t>
      </w:r>
      <w:r w:rsidRPr="00065E56">
        <w:rPr>
          <w:rFonts w:ascii="Times New Roman" w:hAnsi="Times New Roman" w:cs="Times New Roman"/>
        </w:rPr>
        <w:fldChar w:fldCharType="end"/>
      </w:r>
      <w:r w:rsidRPr="00065E56">
        <w:rPr>
          <w:rFonts w:ascii="Times New Roman" w:hAnsi="Times New Roman" w:cs="Times New Roman"/>
        </w:rPr>
        <w:t xml:space="preserve"> </w:t>
      </w:r>
      <w:r w:rsidRPr="00065E56">
        <w:rPr>
          <w:rFonts w:ascii="Times New Roman" w:hAnsi="Times New Roman" w:cs="Times New Roman"/>
        </w:rPr>
        <w:fldChar w:fldCharType="begin"/>
      </w:r>
      <w:r w:rsidRPr="00065E56">
        <w:rPr>
          <w:rFonts w:ascii="Times New Roman" w:hAnsi="Times New Roman" w:cs="Times New Roman"/>
        </w:rPr>
        <w:instrText xml:space="preserve"> ADDIN ZOTERO_ITEM CSL_CITATION {"citationID":"Rm2UfkXQ","properties":{"formattedCitation":"(Bloom, Benjamin, n.d.)","plainCitation":"(Bloom, Benjamin, n.d.)","dontUpdate":true,"noteIndex":0},"citationItems":[{"id":156,"uris":["http://zotero.org/users/local/8fpcHUeo/items/WH9WHRCL"],"uri":["http://zotero.org/users/local/8fpcHUeo/items/WH9WHRCL"],"itemData":{"id":156,"type":"book","ISBN":"ISBN-13: 978-0582280106","title":"Taxonomy of Educational Objectives, Handbook 1: Cognitive Domain","author":[{"family":"Bloom, Benjamin","given":""}]}}],"schema":"https://github.com/citation-style-language/schema/raw/master/csl-citation.json"} </w:instrText>
      </w:r>
      <w:r w:rsidRPr="00065E56">
        <w:rPr>
          <w:rFonts w:ascii="Times New Roman" w:hAnsi="Times New Roman" w:cs="Times New Roman"/>
        </w:rPr>
        <w:fldChar w:fldCharType="separate"/>
      </w:r>
      <w:r w:rsidRPr="00065E56">
        <w:rPr>
          <w:rFonts w:ascii="Times New Roman" w:hAnsi="Times New Roman" w:cs="Times New Roman"/>
          <w:noProof/>
        </w:rPr>
        <w:t>Bloom, 1956)</w:t>
      </w:r>
      <w:r w:rsidRPr="00065E56">
        <w:rPr>
          <w:rFonts w:ascii="Times New Roman" w:hAnsi="Times New Roman" w:cs="Times New Roman"/>
        </w:rPr>
        <w:fldChar w:fldCharType="end"/>
      </w:r>
      <w:r w:rsidRPr="00065E56">
        <w:rPr>
          <w:rFonts w:ascii="Times New Roman" w:hAnsi="Times New Roman" w:cs="Times New Roman"/>
        </w:rPr>
        <w:t xml:space="preserve">. The psychomotor domain is defined as the skills obtained through physical movement and coordination, but Harrow’s explanation also allows for the use of the term ‘physical’ instead of psychomotor to indicate knowledge acquired primarily to assist the cognitive domain rather than develop a psychomotor skill set </w:t>
      </w:r>
      <w:r w:rsidRPr="00065E56">
        <w:rPr>
          <w:rFonts w:ascii="Times New Roman" w:hAnsi="Times New Roman" w:cs="Times New Roman"/>
        </w:rPr>
        <w:fldChar w:fldCharType="begin"/>
      </w:r>
      <w:r w:rsidRPr="00065E56">
        <w:rPr>
          <w:rFonts w:ascii="Times New Roman" w:hAnsi="Times New Roman" w:cs="Times New Roman"/>
        </w:rPr>
        <w:instrText xml:space="preserve"> ADDIN ZOTERO_ITEM CSL_CITATION {"citationID":"udLw01Fe","properties":{"formattedCitation":"(Harrow, 1972)","plainCitation":"(Harrow, 1972)","noteIndex":0},"citationItems":[{"id":395,"uris":["http://zotero.org/users/local/8fpcHUeo/items/U8FQ4P8W"],"uri":["http://zotero.org/users/local/8fpcHUeo/items/U8FQ4P8W"],"itemData":{"id":395,"type":"book","event-place":"New York, NY","publisher":"David McKay Company, Inc.","publisher-place":"New York, NY","title":"A taxonomy of the psychomotor domain.","author":[{"family":"Harrow","given":"Anita"}],"issued":{"date-parts":[["1972"]]}}}],"schema":"https://github.com/citation-style-language/schema/raw/master/csl-citation.json"} </w:instrText>
      </w:r>
      <w:r w:rsidRPr="00065E56">
        <w:rPr>
          <w:rFonts w:ascii="Times New Roman" w:hAnsi="Times New Roman" w:cs="Times New Roman"/>
        </w:rPr>
        <w:fldChar w:fldCharType="separate"/>
      </w:r>
      <w:r w:rsidRPr="00065E56">
        <w:rPr>
          <w:rFonts w:ascii="Times New Roman" w:hAnsi="Times New Roman" w:cs="Times New Roman"/>
          <w:noProof/>
        </w:rPr>
        <w:t>(Harrow, 1972)</w:t>
      </w:r>
      <w:r w:rsidRPr="00065E56">
        <w:rPr>
          <w:rFonts w:ascii="Times New Roman" w:hAnsi="Times New Roman" w:cs="Times New Roman"/>
        </w:rPr>
        <w:fldChar w:fldCharType="end"/>
      </w:r>
      <w:r w:rsidRPr="00065E56">
        <w:rPr>
          <w:rFonts w:ascii="Times New Roman" w:hAnsi="Times New Roman" w:cs="Times New Roman"/>
        </w:rPr>
        <w:t xml:space="preserve">. Arguably, cadaveric dissection represents both physical and psychomotor aspects of the domain, but the majority of survey items reflect the physical rather than the psychomotor intent of cadaveric dissection. The affective domain refers to feelings and perceptions as well as the ability to organize and execute decisions based on valuation </w:t>
      </w:r>
      <w:r w:rsidRPr="00065E56">
        <w:rPr>
          <w:rFonts w:ascii="Times New Roman" w:hAnsi="Times New Roman" w:cs="Times New Roman"/>
        </w:rPr>
        <w:fldChar w:fldCharType="begin"/>
      </w:r>
      <w:r w:rsidRPr="00065E56">
        <w:rPr>
          <w:rFonts w:ascii="Times New Roman" w:hAnsi="Times New Roman" w:cs="Times New Roman"/>
        </w:rPr>
        <w:instrText xml:space="preserve"> ADDIN ZOTERO_ITEM CSL_CITATION {"citationID":"YcBVRps1","properties":{"formattedCitation":"(Krathwohl et al., 1964)","plainCitation":"(Krathwohl et al., 1964)","noteIndex":0},"citationItems":[{"id":394,"uris":["http://zotero.org/users/local/8fpcHUeo/items/HP5642ML"],"uri":["http://zotero.org/users/local/8fpcHUeo/items/HP5642ML"],"itemData":{"id":394,"type":"book","event-place":"New York, NY","publisher":"David McKay Company, Inc.","publisher-place":"New York, NY","title":"Taxonomy of educational objectives, Book II. Affective domain.","author":[{"family":"Krathwohl","given":"David R."},{"family":"Bloom","given":"Benjamin"},{"family":"Masia","given":"B"}],"issued":{"date-parts":[["1964"]]}}}],"schema":"https://github.com/citation-style-language/schema/raw/master/csl-citation.json"} </w:instrText>
      </w:r>
      <w:r w:rsidRPr="00065E56">
        <w:rPr>
          <w:rFonts w:ascii="Times New Roman" w:hAnsi="Times New Roman" w:cs="Times New Roman"/>
        </w:rPr>
        <w:fldChar w:fldCharType="separate"/>
      </w:r>
      <w:r w:rsidRPr="00065E56">
        <w:rPr>
          <w:rFonts w:ascii="Times New Roman" w:hAnsi="Times New Roman" w:cs="Times New Roman"/>
          <w:noProof/>
        </w:rPr>
        <w:t>(Krathwohl et al., 1964)</w:t>
      </w:r>
      <w:r w:rsidRPr="00065E56">
        <w:rPr>
          <w:rFonts w:ascii="Times New Roman" w:hAnsi="Times New Roman" w:cs="Times New Roman"/>
        </w:rPr>
        <w:fldChar w:fldCharType="end"/>
      </w:r>
      <w:r w:rsidRPr="00065E56">
        <w:rPr>
          <w:rFonts w:ascii="Times New Roman" w:hAnsi="Times New Roman" w:cs="Times New Roman"/>
        </w:rPr>
        <w:t>. Table 2 lists the survey items according to domain categorization.</w:t>
      </w:r>
    </w:p>
    <w:p w14:paraId="24267542" w14:textId="30D85CD2" w:rsidR="00D81E54" w:rsidRPr="00065E56" w:rsidRDefault="00D81E54" w:rsidP="00D81E54">
      <w:pPr>
        <w:spacing w:line="480" w:lineRule="auto"/>
        <w:rPr>
          <w:rFonts w:ascii="Times New Roman" w:hAnsi="Times New Roman" w:cs="Times New Roman"/>
          <w:b/>
          <w:bCs/>
        </w:rPr>
      </w:pPr>
      <w:r w:rsidRPr="00065E56">
        <w:rPr>
          <w:rFonts w:ascii="Times New Roman" w:hAnsi="Times New Roman" w:cs="Times New Roman"/>
          <w:b/>
          <w:bCs/>
        </w:rPr>
        <w:t>Table 2.</w:t>
      </w:r>
    </w:p>
    <w:p w14:paraId="726D2B2E" w14:textId="77777777" w:rsidR="00D81E54" w:rsidRPr="00065E56" w:rsidRDefault="00D81E54" w:rsidP="00D81E54">
      <w:pPr>
        <w:spacing w:line="480" w:lineRule="auto"/>
        <w:rPr>
          <w:rFonts w:ascii="Times New Roman" w:hAnsi="Times New Roman" w:cs="Times New Roman"/>
          <w:i/>
          <w:iCs/>
        </w:rPr>
      </w:pPr>
      <w:r w:rsidRPr="00065E56">
        <w:rPr>
          <w:rFonts w:ascii="Times New Roman" w:hAnsi="Times New Roman" w:cs="Times New Roman"/>
          <w:i/>
          <w:iCs/>
        </w:rPr>
        <w:t>Survey Statements Categorized by Bloom’s Domains of Learning</w:t>
      </w:r>
    </w:p>
    <w:tbl>
      <w:tblPr>
        <w:tblStyle w:val="TableGrid"/>
        <w:tblW w:w="0" w:type="auto"/>
        <w:tblLook w:val="04A0" w:firstRow="1" w:lastRow="0" w:firstColumn="1" w:lastColumn="0" w:noHBand="0" w:noVBand="1"/>
      </w:tblPr>
      <w:tblGrid>
        <w:gridCol w:w="4675"/>
        <w:gridCol w:w="4675"/>
      </w:tblGrid>
      <w:tr w:rsidR="00D81E54" w:rsidRPr="00065E56" w14:paraId="55971D92" w14:textId="77777777" w:rsidTr="00A62390">
        <w:tc>
          <w:tcPr>
            <w:tcW w:w="4675" w:type="dxa"/>
          </w:tcPr>
          <w:p w14:paraId="611E8B7B" w14:textId="77777777" w:rsidR="00D81E54" w:rsidRPr="00065E56" w:rsidRDefault="00D81E54" w:rsidP="00A62390">
            <w:pPr>
              <w:spacing w:line="480" w:lineRule="auto"/>
              <w:rPr>
                <w:rFonts w:ascii="Times New Roman" w:hAnsi="Times New Roman" w:cs="Times New Roman"/>
              </w:rPr>
            </w:pPr>
            <w:r w:rsidRPr="00065E56">
              <w:rPr>
                <w:rFonts w:ascii="Times New Roman" w:hAnsi="Times New Roman" w:cs="Times New Roman"/>
              </w:rPr>
              <w:t>Cognitive</w:t>
            </w:r>
          </w:p>
        </w:tc>
        <w:tc>
          <w:tcPr>
            <w:tcW w:w="4675" w:type="dxa"/>
          </w:tcPr>
          <w:p w14:paraId="6BD9CC9E" w14:textId="77777777" w:rsidR="00D81E54" w:rsidRPr="00065E56" w:rsidRDefault="00D81E54" w:rsidP="00A62390">
            <w:pPr>
              <w:rPr>
                <w:rFonts w:ascii="Times New Roman" w:hAnsi="Times New Roman" w:cs="Times New Roman"/>
              </w:rPr>
            </w:pPr>
            <w:r w:rsidRPr="00065E56">
              <w:rPr>
                <w:rFonts w:ascii="Times New Roman" w:hAnsi="Times New Roman" w:cs="Times New Roman"/>
              </w:rPr>
              <w:t xml:space="preserve">My anatomical knowledge is adequate for where I am in my </w:t>
            </w:r>
            <w:proofErr w:type="gramStart"/>
            <w:r w:rsidRPr="00065E56">
              <w:rPr>
                <w:rFonts w:ascii="Times New Roman" w:hAnsi="Times New Roman" w:cs="Times New Roman"/>
              </w:rPr>
              <w:t>program.*</w:t>
            </w:r>
            <w:proofErr w:type="gramEnd"/>
          </w:p>
          <w:p w14:paraId="1D8BA88F" w14:textId="77777777" w:rsidR="00D81E54" w:rsidRPr="00065E56" w:rsidRDefault="00D81E54" w:rsidP="00A62390">
            <w:pPr>
              <w:rPr>
                <w:rFonts w:ascii="Times New Roman" w:hAnsi="Times New Roman" w:cs="Times New Roman"/>
              </w:rPr>
            </w:pPr>
          </w:p>
          <w:p w14:paraId="11CE43CE" w14:textId="77777777" w:rsidR="00D81E54" w:rsidRPr="00065E56" w:rsidRDefault="00D81E54" w:rsidP="00A62390">
            <w:pPr>
              <w:rPr>
                <w:rFonts w:ascii="Times New Roman" w:hAnsi="Times New Roman" w:cs="Times New Roman"/>
              </w:rPr>
            </w:pPr>
            <w:r w:rsidRPr="00065E56">
              <w:rPr>
                <w:rFonts w:ascii="Times New Roman" w:hAnsi="Times New Roman" w:cs="Times New Roman"/>
              </w:rPr>
              <w:t>I am able to picture a muscle or organ as part of a group or system.</w:t>
            </w:r>
          </w:p>
          <w:p w14:paraId="310BDEBF" w14:textId="77777777" w:rsidR="00D81E54" w:rsidRPr="00065E56" w:rsidRDefault="00D81E54" w:rsidP="00A62390">
            <w:pPr>
              <w:rPr>
                <w:rFonts w:ascii="Times New Roman" w:hAnsi="Times New Roman" w:cs="Times New Roman"/>
              </w:rPr>
            </w:pPr>
          </w:p>
          <w:p w14:paraId="2F6D25F8" w14:textId="77777777" w:rsidR="00D81E54" w:rsidRPr="00065E56" w:rsidRDefault="00D81E54" w:rsidP="00A62390">
            <w:pPr>
              <w:rPr>
                <w:rFonts w:ascii="Times New Roman" w:hAnsi="Times New Roman" w:cs="Times New Roman"/>
              </w:rPr>
            </w:pPr>
            <w:r w:rsidRPr="00065E56">
              <w:rPr>
                <w:rFonts w:ascii="Times New Roman" w:hAnsi="Times New Roman" w:cs="Times New Roman"/>
              </w:rPr>
              <w:lastRenderedPageBreak/>
              <w:t>Undergraduate cadaveric anatomy contributed to my three-dimensional understanding of a human body in this course.</w:t>
            </w:r>
          </w:p>
          <w:p w14:paraId="09567A1B" w14:textId="77777777" w:rsidR="00D81E54" w:rsidRPr="00065E56" w:rsidRDefault="00D81E54" w:rsidP="00A62390">
            <w:pPr>
              <w:rPr>
                <w:rFonts w:ascii="Times New Roman" w:hAnsi="Times New Roman" w:cs="Times New Roman"/>
              </w:rPr>
            </w:pPr>
            <w:r w:rsidRPr="00065E56">
              <w:rPr>
                <w:rFonts w:ascii="Times New Roman" w:hAnsi="Times New Roman" w:cs="Times New Roman"/>
              </w:rPr>
              <w:t>Activities that integrate lab and lecture knowledge would have contributed to my learning.</w:t>
            </w:r>
          </w:p>
        </w:tc>
      </w:tr>
      <w:tr w:rsidR="00D81E54" w:rsidRPr="00065E56" w14:paraId="0C5C5AE3" w14:textId="77777777" w:rsidTr="00A62390">
        <w:tc>
          <w:tcPr>
            <w:tcW w:w="4675" w:type="dxa"/>
          </w:tcPr>
          <w:p w14:paraId="215659FC" w14:textId="77777777" w:rsidR="00D81E54" w:rsidRPr="00065E56" w:rsidRDefault="00D81E54" w:rsidP="00A62390">
            <w:pPr>
              <w:spacing w:line="480" w:lineRule="auto"/>
              <w:rPr>
                <w:rFonts w:ascii="Times New Roman" w:hAnsi="Times New Roman" w:cs="Times New Roman"/>
              </w:rPr>
            </w:pPr>
            <w:r w:rsidRPr="00065E56">
              <w:rPr>
                <w:rFonts w:ascii="Times New Roman" w:hAnsi="Times New Roman" w:cs="Times New Roman"/>
              </w:rPr>
              <w:lastRenderedPageBreak/>
              <w:t>Physical (Psychomotor)</w:t>
            </w:r>
          </w:p>
        </w:tc>
        <w:tc>
          <w:tcPr>
            <w:tcW w:w="4675" w:type="dxa"/>
          </w:tcPr>
          <w:p w14:paraId="08C6DA43" w14:textId="77777777" w:rsidR="00D81E54" w:rsidRPr="00065E56" w:rsidRDefault="00D81E54" w:rsidP="00A62390">
            <w:pPr>
              <w:rPr>
                <w:rFonts w:ascii="Times New Roman" w:hAnsi="Times New Roman" w:cs="Times New Roman"/>
              </w:rPr>
            </w:pPr>
            <w:r w:rsidRPr="00065E56">
              <w:rPr>
                <w:rFonts w:ascii="Times New Roman" w:hAnsi="Times New Roman" w:cs="Times New Roman"/>
              </w:rPr>
              <w:t>I perceive different tissue depths accurately.</w:t>
            </w:r>
          </w:p>
          <w:p w14:paraId="4FAFFB47" w14:textId="77777777" w:rsidR="00D81E54" w:rsidRPr="00065E56" w:rsidRDefault="00D81E54" w:rsidP="00A62390">
            <w:pPr>
              <w:rPr>
                <w:rFonts w:ascii="Times New Roman" w:hAnsi="Times New Roman" w:cs="Times New Roman"/>
              </w:rPr>
            </w:pPr>
          </w:p>
          <w:p w14:paraId="2D47C2D0" w14:textId="77777777" w:rsidR="00D81E54" w:rsidRPr="00065E56" w:rsidRDefault="00D81E54" w:rsidP="00A62390">
            <w:pPr>
              <w:rPr>
                <w:rFonts w:ascii="Times New Roman" w:hAnsi="Times New Roman" w:cs="Times New Roman"/>
              </w:rPr>
            </w:pPr>
            <w:r w:rsidRPr="00065E56">
              <w:rPr>
                <w:rFonts w:ascii="Times New Roman" w:hAnsi="Times New Roman" w:cs="Times New Roman"/>
              </w:rPr>
              <w:t>I can tell tissue textures apart.</w:t>
            </w:r>
          </w:p>
          <w:p w14:paraId="35096E3E" w14:textId="77777777" w:rsidR="00D81E54" w:rsidRPr="00065E56" w:rsidRDefault="00D81E54" w:rsidP="00A62390">
            <w:pPr>
              <w:rPr>
                <w:rFonts w:ascii="Times New Roman" w:hAnsi="Times New Roman" w:cs="Times New Roman"/>
              </w:rPr>
            </w:pPr>
          </w:p>
          <w:p w14:paraId="45D721B5" w14:textId="77777777" w:rsidR="00D81E54" w:rsidRPr="00065E56" w:rsidRDefault="00D81E54" w:rsidP="00A62390">
            <w:pPr>
              <w:rPr>
                <w:rFonts w:ascii="Times New Roman" w:hAnsi="Times New Roman" w:cs="Times New Roman"/>
              </w:rPr>
            </w:pPr>
            <w:r w:rsidRPr="00065E56">
              <w:rPr>
                <w:rFonts w:ascii="Times New Roman" w:hAnsi="Times New Roman" w:cs="Times New Roman"/>
              </w:rPr>
              <w:t>Studying from physical models would have contributed to my anatomical knowledge.</w:t>
            </w:r>
          </w:p>
          <w:p w14:paraId="6934E6C8" w14:textId="77777777" w:rsidR="00D81E54" w:rsidRPr="00065E56" w:rsidRDefault="00D81E54" w:rsidP="00A62390">
            <w:pPr>
              <w:rPr>
                <w:rFonts w:ascii="Times New Roman" w:hAnsi="Times New Roman" w:cs="Times New Roman"/>
              </w:rPr>
            </w:pPr>
          </w:p>
          <w:p w14:paraId="2D86722E" w14:textId="77777777" w:rsidR="00D81E54" w:rsidRPr="00065E56" w:rsidRDefault="00D81E54" w:rsidP="00A62390">
            <w:pPr>
              <w:rPr>
                <w:rFonts w:ascii="Times New Roman" w:hAnsi="Times New Roman" w:cs="Times New Roman"/>
              </w:rPr>
            </w:pPr>
            <w:r w:rsidRPr="00065E56">
              <w:rPr>
                <w:rFonts w:ascii="Times New Roman" w:hAnsi="Times New Roman" w:cs="Times New Roman"/>
              </w:rPr>
              <w:t>Studying from a three-dimensional online atlas is just as good as studying from physical models.</w:t>
            </w:r>
          </w:p>
          <w:p w14:paraId="19D71B4A" w14:textId="77777777" w:rsidR="00D81E54" w:rsidRPr="00065E56" w:rsidRDefault="00D81E54" w:rsidP="00A62390">
            <w:pPr>
              <w:rPr>
                <w:rFonts w:ascii="Times New Roman" w:hAnsi="Times New Roman" w:cs="Times New Roman"/>
              </w:rPr>
            </w:pPr>
          </w:p>
          <w:p w14:paraId="6C3EB1C8" w14:textId="77777777" w:rsidR="00D81E54" w:rsidRPr="00065E56" w:rsidRDefault="00D81E54" w:rsidP="00A62390">
            <w:pPr>
              <w:rPr>
                <w:rFonts w:ascii="Times New Roman" w:hAnsi="Times New Roman" w:cs="Times New Roman"/>
              </w:rPr>
            </w:pPr>
            <w:r w:rsidRPr="00065E56">
              <w:rPr>
                <w:rFonts w:ascii="Times New Roman" w:hAnsi="Times New Roman" w:cs="Times New Roman"/>
              </w:rPr>
              <w:t xml:space="preserve">I bought my own model(s) for this </w:t>
            </w:r>
            <w:proofErr w:type="gramStart"/>
            <w:r w:rsidRPr="00065E56">
              <w:rPr>
                <w:rFonts w:ascii="Times New Roman" w:hAnsi="Times New Roman" w:cs="Times New Roman"/>
              </w:rPr>
              <w:t>course.*</w:t>
            </w:r>
            <w:proofErr w:type="gramEnd"/>
            <w:r w:rsidRPr="00065E56">
              <w:rPr>
                <w:rFonts w:ascii="Times New Roman" w:hAnsi="Times New Roman" w:cs="Times New Roman"/>
              </w:rPr>
              <w:t xml:space="preserve">  </w:t>
            </w:r>
          </w:p>
          <w:p w14:paraId="3C3745EF" w14:textId="77777777" w:rsidR="00D81E54" w:rsidRPr="00065E56" w:rsidRDefault="00D81E54" w:rsidP="00A62390">
            <w:pPr>
              <w:rPr>
                <w:rFonts w:ascii="Times New Roman" w:hAnsi="Times New Roman" w:cs="Times New Roman"/>
              </w:rPr>
            </w:pPr>
          </w:p>
          <w:p w14:paraId="2F82BA77" w14:textId="77777777" w:rsidR="00D81E54" w:rsidRPr="00065E56" w:rsidRDefault="00D81E54" w:rsidP="00A62390">
            <w:pPr>
              <w:rPr>
                <w:rFonts w:ascii="Times New Roman" w:hAnsi="Times New Roman" w:cs="Times New Roman"/>
              </w:rPr>
            </w:pPr>
            <w:r w:rsidRPr="00065E56">
              <w:rPr>
                <w:rFonts w:ascii="Times New Roman" w:hAnsi="Times New Roman" w:cs="Times New Roman"/>
              </w:rPr>
              <w:t xml:space="preserve">Models should be provided by the university for online laboratory </w:t>
            </w:r>
            <w:proofErr w:type="gramStart"/>
            <w:r w:rsidRPr="00065E56">
              <w:rPr>
                <w:rFonts w:ascii="Times New Roman" w:hAnsi="Times New Roman" w:cs="Times New Roman"/>
              </w:rPr>
              <w:t>courses.*</w:t>
            </w:r>
            <w:proofErr w:type="gramEnd"/>
          </w:p>
          <w:p w14:paraId="45383C80" w14:textId="77777777" w:rsidR="00D81E54" w:rsidRPr="00065E56" w:rsidRDefault="00D81E54" w:rsidP="00A62390">
            <w:pPr>
              <w:rPr>
                <w:rFonts w:ascii="Times New Roman" w:hAnsi="Times New Roman" w:cs="Times New Roman"/>
              </w:rPr>
            </w:pPr>
          </w:p>
          <w:p w14:paraId="1975C91A" w14:textId="77777777" w:rsidR="00D81E54" w:rsidRPr="00065E56" w:rsidRDefault="00D81E54" w:rsidP="00A62390">
            <w:pPr>
              <w:rPr>
                <w:rFonts w:ascii="Times New Roman" w:hAnsi="Times New Roman" w:cs="Times New Roman"/>
              </w:rPr>
            </w:pPr>
            <w:r w:rsidRPr="00065E56">
              <w:rPr>
                <w:rFonts w:ascii="Times New Roman" w:hAnsi="Times New Roman" w:cs="Times New Roman"/>
              </w:rPr>
              <w:t>I would like cadaveric review lab time in future classes.</w:t>
            </w:r>
          </w:p>
          <w:p w14:paraId="56B0B2AD" w14:textId="77777777" w:rsidR="00D81E54" w:rsidRPr="00065E56" w:rsidRDefault="00D81E54" w:rsidP="00A62390">
            <w:pPr>
              <w:rPr>
                <w:rFonts w:ascii="Times New Roman" w:hAnsi="Times New Roman" w:cs="Times New Roman"/>
              </w:rPr>
            </w:pPr>
          </w:p>
          <w:p w14:paraId="53C37495" w14:textId="77777777" w:rsidR="00D81E54" w:rsidRPr="00065E56" w:rsidRDefault="00D81E54" w:rsidP="00A62390">
            <w:pPr>
              <w:rPr>
                <w:rFonts w:ascii="Times New Roman" w:hAnsi="Times New Roman" w:cs="Times New Roman"/>
              </w:rPr>
            </w:pPr>
            <w:r w:rsidRPr="00065E56">
              <w:rPr>
                <w:rFonts w:ascii="Times New Roman" w:hAnsi="Times New Roman" w:cs="Times New Roman"/>
              </w:rPr>
              <w:t>Reviewing relevant anatomy on a cadaver in future classes would help me visualize anatomical relationships for the whole body.</w:t>
            </w:r>
          </w:p>
        </w:tc>
      </w:tr>
      <w:tr w:rsidR="00D81E54" w:rsidRPr="00065E56" w14:paraId="2B4B7BB7" w14:textId="77777777" w:rsidTr="00A62390">
        <w:tc>
          <w:tcPr>
            <w:tcW w:w="4675" w:type="dxa"/>
          </w:tcPr>
          <w:p w14:paraId="4E177960" w14:textId="77777777" w:rsidR="00D81E54" w:rsidRPr="00065E56" w:rsidRDefault="00D81E54" w:rsidP="00A62390">
            <w:pPr>
              <w:spacing w:line="480" w:lineRule="auto"/>
              <w:rPr>
                <w:rFonts w:ascii="Times New Roman" w:hAnsi="Times New Roman" w:cs="Times New Roman"/>
              </w:rPr>
            </w:pPr>
            <w:r w:rsidRPr="00065E56">
              <w:rPr>
                <w:rFonts w:ascii="Times New Roman" w:hAnsi="Times New Roman" w:cs="Times New Roman"/>
              </w:rPr>
              <w:t>Affective</w:t>
            </w:r>
          </w:p>
        </w:tc>
        <w:tc>
          <w:tcPr>
            <w:tcW w:w="4675" w:type="dxa"/>
          </w:tcPr>
          <w:p w14:paraId="75983994" w14:textId="77777777" w:rsidR="00D81E54" w:rsidRPr="00065E56" w:rsidRDefault="00D81E54" w:rsidP="00A62390">
            <w:pPr>
              <w:rPr>
                <w:rFonts w:ascii="Times New Roman" w:hAnsi="Times New Roman" w:cs="Times New Roman"/>
              </w:rPr>
            </w:pPr>
            <w:r w:rsidRPr="00065E56">
              <w:rPr>
                <w:rFonts w:ascii="Times New Roman" w:hAnsi="Times New Roman" w:cs="Times New Roman"/>
              </w:rPr>
              <w:t>My anatomical knowledge feels fragmented: I cannot see whole body connections.</w:t>
            </w:r>
          </w:p>
          <w:p w14:paraId="6BE5DD92" w14:textId="77777777" w:rsidR="00D81E54" w:rsidRPr="00065E56" w:rsidRDefault="00D81E54" w:rsidP="00A62390">
            <w:pPr>
              <w:rPr>
                <w:rFonts w:ascii="Times New Roman" w:hAnsi="Times New Roman" w:cs="Times New Roman"/>
              </w:rPr>
            </w:pPr>
          </w:p>
          <w:p w14:paraId="6C721F26" w14:textId="77777777" w:rsidR="00D81E54" w:rsidRPr="00065E56" w:rsidRDefault="00D81E54" w:rsidP="00A62390">
            <w:pPr>
              <w:rPr>
                <w:rFonts w:ascii="Times New Roman" w:hAnsi="Times New Roman" w:cs="Times New Roman"/>
              </w:rPr>
            </w:pPr>
            <w:r w:rsidRPr="00065E56">
              <w:rPr>
                <w:rFonts w:ascii="Times New Roman" w:hAnsi="Times New Roman" w:cs="Times New Roman"/>
              </w:rPr>
              <w:t>I wanted to dissect a cadaver.</w:t>
            </w:r>
          </w:p>
          <w:p w14:paraId="7121F168" w14:textId="77777777" w:rsidR="00D81E54" w:rsidRPr="00065E56" w:rsidRDefault="00D81E54" w:rsidP="00A62390">
            <w:pPr>
              <w:rPr>
                <w:rFonts w:ascii="Times New Roman" w:hAnsi="Times New Roman" w:cs="Times New Roman"/>
              </w:rPr>
            </w:pPr>
          </w:p>
          <w:p w14:paraId="3E3725AE" w14:textId="77777777" w:rsidR="00D81E54" w:rsidRPr="00065E56" w:rsidRDefault="00D81E54" w:rsidP="00A62390">
            <w:pPr>
              <w:rPr>
                <w:rFonts w:ascii="Times New Roman" w:hAnsi="Times New Roman" w:cs="Times New Roman"/>
              </w:rPr>
            </w:pPr>
            <w:r w:rsidRPr="00065E56">
              <w:rPr>
                <w:rFonts w:ascii="Times New Roman" w:hAnsi="Times New Roman" w:cs="Times New Roman"/>
              </w:rPr>
              <w:t>I feel behind on surgery skills because I could not dissect.</w:t>
            </w:r>
          </w:p>
          <w:p w14:paraId="64AD6AA3" w14:textId="77777777" w:rsidR="00D81E54" w:rsidRPr="00065E56" w:rsidRDefault="00D81E54" w:rsidP="00A62390">
            <w:pPr>
              <w:rPr>
                <w:rFonts w:ascii="Times New Roman" w:hAnsi="Times New Roman" w:cs="Times New Roman"/>
              </w:rPr>
            </w:pPr>
          </w:p>
          <w:p w14:paraId="6BE0D4AA" w14:textId="77777777" w:rsidR="00D81E54" w:rsidRPr="00065E56" w:rsidRDefault="00D81E54" w:rsidP="00A62390">
            <w:pPr>
              <w:rPr>
                <w:rFonts w:ascii="Times New Roman" w:hAnsi="Times New Roman" w:cs="Times New Roman"/>
              </w:rPr>
            </w:pPr>
            <w:r w:rsidRPr="00065E56">
              <w:rPr>
                <w:rFonts w:ascii="Times New Roman" w:hAnsi="Times New Roman" w:cs="Times New Roman"/>
              </w:rPr>
              <w:t>While my grades are acceptable, I’m not sure how well I understand anatomy.</w:t>
            </w:r>
          </w:p>
        </w:tc>
      </w:tr>
    </w:tbl>
    <w:p w14:paraId="09D5DBFF" w14:textId="77777777" w:rsidR="00D81E54" w:rsidRPr="00065E56" w:rsidRDefault="00D81E54" w:rsidP="00D81E54">
      <w:pPr>
        <w:rPr>
          <w:rFonts w:ascii="Times New Roman" w:hAnsi="Times New Roman" w:cs="Times New Roman"/>
          <w:sz w:val="22"/>
          <w:szCs w:val="22"/>
        </w:rPr>
      </w:pPr>
      <w:r w:rsidRPr="00065E56">
        <w:rPr>
          <w:rFonts w:ascii="Times New Roman" w:hAnsi="Times New Roman" w:cs="Times New Roman"/>
          <w:i/>
          <w:iCs/>
          <w:sz w:val="22"/>
          <w:szCs w:val="22"/>
        </w:rPr>
        <w:t>Note</w:t>
      </w:r>
      <w:r w:rsidRPr="00065E56">
        <w:rPr>
          <w:rFonts w:ascii="Times New Roman" w:hAnsi="Times New Roman" w:cs="Times New Roman"/>
          <w:sz w:val="22"/>
          <w:szCs w:val="22"/>
        </w:rPr>
        <w:t>: Asterisks indicated researcher-derived statements. All other statements derived from student comments during the focus group.</w:t>
      </w:r>
    </w:p>
    <w:p w14:paraId="6C65882C" w14:textId="77777777" w:rsidR="00D81E54" w:rsidRPr="00065E56" w:rsidRDefault="00D81E54" w:rsidP="00D81E54">
      <w:pPr>
        <w:spacing w:line="480" w:lineRule="auto"/>
        <w:rPr>
          <w:rFonts w:ascii="Times New Roman" w:hAnsi="Times New Roman" w:cs="Times New Roman"/>
        </w:rPr>
      </w:pPr>
      <w:r w:rsidRPr="00065E56">
        <w:rPr>
          <w:rFonts w:ascii="Times New Roman" w:hAnsi="Times New Roman" w:cs="Times New Roman"/>
        </w:rPr>
        <w:tab/>
        <w:t xml:space="preserve"> </w:t>
      </w:r>
    </w:p>
    <w:p w14:paraId="0E25E537" w14:textId="6CF4A268" w:rsidR="00D81E54" w:rsidRPr="00065E56" w:rsidRDefault="00D81E54" w:rsidP="00D81E54">
      <w:pPr>
        <w:spacing w:line="480" w:lineRule="auto"/>
        <w:rPr>
          <w:rFonts w:ascii="Times New Roman" w:hAnsi="Times New Roman" w:cs="Times New Roman"/>
        </w:rPr>
      </w:pPr>
      <w:r w:rsidRPr="00065E56">
        <w:rPr>
          <w:rFonts w:ascii="Times New Roman" w:hAnsi="Times New Roman" w:cs="Times New Roman"/>
        </w:rPr>
        <w:tab/>
        <w:t xml:space="preserve">The following figures group the survey statements analyzed in this study by how they appeared in Qualtrics (Qualtrics, Provo, UT). Students began the survey by choosing which </w:t>
      </w:r>
      <w:r w:rsidRPr="00065E56">
        <w:rPr>
          <w:rFonts w:ascii="Times New Roman" w:hAnsi="Times New Roman" w:cs="Times New Roman"/>
        </w:rPr>
        <w:lastRenderedPageBreak/>
        <w:t xml:space="preserve">categorical statement suited them best for questions Q3-Q5 (Figure </w:t>
      </w:r>
      <w:r w:rsidR="00C817E1" w:rsidRPr="00065E56">
        <w:rPr>
          <w:rFonts w:ascii="Times New Roman" w:hAnsi="Times New Roman" w:cs="Times New Roman"/>
        </w:rPr>
        <w:t>4</w:t>
      </w:r>
      <w:r w:rsidRPr="00065E56">
        <w:rPr>
          <w:rFonts w:ascii="Times New Roman" w:hAnsi="Times New Roman" w:cs="Times New Roman"/>
        </w:rPr>
        <w:t xml:space="preserve">). Question 6 (Figure </w:t>
      </w:r>
      <w:r w:rsidR="00C817E1" w:rsidRPr="00065E56">
        <w:rPr>
          <w:rFonts w:ascii="Times New Roman" w:hAnsi="Times New Roman" w:cs="Times New Roman"/>
        </w:rPr>
        <w:t>5</w:t>
      </w:r>
      <w:r w:rsidRPr="00065E56">
        <w:rPr>
          <w:rFonts w:ascii="Times New Roman" w:hAnsi="Times New Roman" w:cs="Times New Roman"/>
        </w:rPr>
        <w:t xml:space="preserve">) is a series of </w:t>
      </w:r>
      <w:r w:rsidR="00346D80" w:rsidRPr="00065E56">
        <w:rPr>
          <w:rFonts w:ascii="Times New Roman" w:hAnsi="Times New Roman" w:cs="Times New Roman"/>
        </w:rPr>
        <w:t>five</w:t>
      </w:r>
      <w:r w:rsidRPr="00065E56">
        <w:rPr>
          <w:rFonts w:ascii="Times New Roman" w:hAnsi="Times New Roman" w:cs="Times New Roman"/>
        </w:rPr>
        <w:t xml:space="preserve"> statements pertaining to perceived anatomical knowledge. The first statement was generated by researchers, and the remaining </w:t>
      </w:r>
      <w:r w:rsidR="00346D80" w:rsidRPr="00065E56">
        <w:rPr>
          <w:rFonts w:ascii="Times New Roman" w:hAnsi="Times New Roman" w:cs="Times New Roman"/>
        </w:rPr>
        <w:t>four</w:t>
      </w:r>
      <w:r w:rsidRPr="00065E56">
        <w:rPr>
          <w:rFonts w:ascii="Times New Roman" w:hAnsi="Times New Roman" w:cs="Times New Roman"/>
        </w:rPr>
        <w:t xml:space="preserve"> statements were created from the focus group transcripts. Additionally, the final two statements, ‘I perceive tissue depths accurately’ and ‘I can tell tissue textures apart’ were independently requested by a faculty member.</w:t>
      </w:r>
    </w:p>
    <w:p w14:paraId="5ED731BD" w14:textId="593E83D9" w:rsidR="00D81E54" w:rsidRPr="00065E56" w:rsidRDefault="00D81E54" w:rsidP="00D81E54">
      <w:pPr>
        <w:rPr>
          <w:rFonts w:ascii="Times New Roman" w:hAnsi="Times New Roman" w:cs="Times New Roman"/>
          <w:b/>
          <w:bCs/>
        </w:rPr>
      </w:pPr>
      <w:r w:rsidRPr="00065E56">
        <w:rPr>
          <w:rFonts w:ascii="Times New Roman" w:hAnsi="Times New Roman" w:cs="Times New Roman"/>
          <w:b/>
          <w:bCs/>
        </w:rPr>
        <w:t xml:space="preserve">Figure </w:t>
      </w:r>
      <w:r w:rsidR="00C817E1" w:rsidRPr="00065E56">
        <w:rPr>
          <w:rFonts w:ascii="Times New Roman" w:hAnsi="Times New Roman" w:cs="Times New Roman"/>
          <w:b/>
          <w:bCs/>
        </w:rPr>
        <w:t>4</w:t>
      </w:r>
    </w:p>
    <w:p w14:paraId="009C19CC" w14:textId="77777777" w:rsidR="00D81E54" w:rsidRPr="00065E56" w:rsidRDefault="00D81E54" w:rsidP="00D81E54">
      <w:pPr>
        <w:rPr>
          <w:rFonts w:ascii="Times New Roman" w:hAnsi="Times New Roman" w:cs="Times New Roman"/>
        </w:rPr>
      </w:pPr>
    </w:p>
    <w:p w14:paraId="7F965D6E" w14:textId="77777777" w:rsidR="00D81E54" w:rsidRPr="00065E56" w:rsidRDefault="00D81E54" w:rsidP="00D81E54">
      <w:pPr>
        <w:rPr>
          <w:rFonts w:ascii="Times New Roman" w:hAnsi="Times New Roman" w:cs="Times New Roman"/>
          <w:i/>
          <w:iCs/>
        </w:rPr>
      </w:pPr>
      <w:r w:rsidRPr="00065E56">
        <w:rPr>
          <w:rFonts w:ascii="Times New Roman" w:hAnsi="Times New Roman" w:cs="Times New Roman"/>
          <w:i/>
          <w:iCs/>
        </w:rPr>
        <w:t>Categorical Data Survey Questions</w:t>
      </w:r>
    </w:p>
    <w:p w14:paraId="468B3940" w14:textId="3C33B01D" w:rsidR="00D81E54" w:rsidRPr="00065E56" w:rsidRDefault="00E507A3" w:rsidP="00D81E54">
      <w:pPr>
        <w:rPr>
          <w:rFonts w:ascii="Times New Roman" w:hAnsi="Times New Roman" w:cs="Times New Roman"/>
        </w:rPr>
      </w:pPr>
      <w:r w:rsidRPr="00065E56">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52BDDEC7" wp14:editId="6DD0C235">
                <wp:simplePos x="0" y="0"/>
                <wp:positionH relativeFrom="column">
                  <wp:posOffset>-8021</wp:posOffset>
                </wp:positionH>
                <wp:positionV relativeFrom="paragraph">
                  <wp:posOffset>95852</wp:posOffset>
                </wp:positionV>
                <wp:extent cx="5847347" cy="2221831"/>
                <wp:effectExtent l="0" t="0" r="7620" b="13970"/>
                <wp:wrapNone/>
                <wp:docPr id="14" name="Text Box 14"/>
                <wp:cNvGraphicFramePr/>
                <a:graphic xmlns:a="http://schemas.openxmlformats.org/drawingml/2006/main">
                  <a:graphicData uri="http://schemas.microsoft.com/office/word/2010/wordprocessingShape">
                    <wps:wsp>
                      <wps:cNvSpPr txBox="1"/>
                      <wps:spPr>
                        <a:xfrm>
                          <a:off x="0" y="0"/>
                          <a:ext cx="5847347" cy="2221831"/>
                        </a:xfrm>
                        <a:prstGeom prst="rect">
                          <a:avLst/>
                        </a:prstGeom>
                        <a:solidFill>
                          <a:schemeClr val="lt1"/>
                        </a:solidFill>
                        <a:ln w="6350">
                          <a:solidFill>
                            <a:prstClr val="black"/>
                          </a:solidFill>
                        </a:ln>
                      </wps:spPr>
                      <wps:txbx>
                        <w:txbxContent>
                          <w:p w14:paraId="3286442A" w14:textId="77777777" w:rsidR="001C607A" w:rsidRDefault="001C607A" w:rsidP="00D81E54">
                            <w:r>
                              <w:t>Q3.</w:t>
                            </w:r>
                            <w:r>
                              <w:tab/>
                              <w:t>Choose one. I am a dental student.</w:t>
                            </w:r>
                          </w:p>
                          <w:p w14:paraId="63F1C52A" w14:textId="77777777" w:rsidR="001C607A" w:rsidRDefault="001C607A" w:rsidP="00D81E54">
                            <w:r>
                              <w:tab/>
                            </w:r>
                            <w:r>
                              <w:tab/>
                              <w:t xml:space="preserve">          I am a PA student.</w:t>
                            </w:r>
                          </w:p>
                          <w:p w14:paraId="4D25C827" w14:textId="522B866D" w:rsidR="001C607A" w:rsidRDefault="001C607A" w:rsidP="00D81E54">
                            <w:r>
                              <w:t>Q4.</w:t>
                            </w:r>
                            <w:r>
                              <w:tab/>
                              <w:t xml:space="preserve">Choose one. I completed an undergraduate anatomy course with cadaveric </w:t>
                            </w:r>
                            <w:r w:rsidR="00E507A3">
                              <w:tab/>
                            </w:r>
                            <w:r w:rsidR="00E507A3">
                              <w:tab/>
                            </w:r>
                            <w:r w:rsidR="00E507A3">
                              <w:tab/>
                              <w:t xml:space="preserve">             </w:t>
                            </w:r>
                            <w:r>
                              <w:t>dissection.</w:t>
                            </w:r>
                          </w:p>
                          <w:p w14:paraId="3D7C6F96" w14:textId="529FAFC7" w:rsidR="001C607A" w:rsidRDefault="001C607A" w:rsidP="00D81E54">
                            <w:r>
                              <w:tab/>
                            </w:r>
                            <w:r>
                              <w:tab/>
                              <w:t xml:space="preserve">          I completed an undergraduate anatomy course without cadaveric </w:t>
                            </w:r>
                            <w:r>
                              <w:tab/>
                            </w:r>
                            <w:r>
                              <w:tab/>
                            </w:r>
                            <w:r>
                              <w:tab/>
                            </w:r>
                            <w:r>
                              <w:tab/>
                              <w:t>dissection.</w:t>
                            </w:r>
                          </w:p>
                          <w:p w14:paraId="69D1AB26" w14:textId="77777777" w:rsidR="001C607A" w:rsidRDefault="001C607A" w:rsidP="00D81E54">
                            <w:r>
                              <w:tab/>
                            </w:r>
                            <w:r>
                              <w:tab/>
                              <w:t xml:space="preserve">          I did not complete an undergraduate anatomy course.</w:t>
                            </w:r>
                          </w:p>
                          <w:p w14:paraId="2B9FD2F5" w14:textId="55665410" w:rsidR="001C607A" w:rsidRDefault="001C607A" w:rsidP="00D81E54">
                            <w:r>
                              <w:t>Q5.</w:t>
                            </w:r>
                            <w:r>
                              <w:tab/>
                              <w:t xml:space="preserve">Choose one. Ability to participate in cadaveric dissection enhanced my interest in </w:t>
                            </w:r>
                            <w:r>
                              <w:tab/>
                            </w:r>
                            <w:r>
                              <w:tab/>
                            </w:r>
                            <w:r>
                              <w:tab/>
                            </w:r>
                            <w:r w:rsidR="00E507A3">
                              <w:t xml:space="preserve"> </w:t>
                            </w:r>
                            <w:r>
                              <w:t>applying to OUHSC.</w:t>
                            </w:r>
                          </w:p>
                          <w:p w14:paraId="2D6CC80A" w14:textId="1393BE3E" w:rsidR="001C607A" w:rsidRDefault="001C607A" w:rsidP="00D81E54">
                            <w:r>
                              <w:tab/>
                            </w:r>
                            <w:r>
                              <w:tab/>
                              <w:t xml:space="preserve">          Ability to participate in cadaveric dissection did not enhance my </w:t>
                            </w:r>
                            <w:r w:rsidR="00E507A3">
                              <w:tab/>
                            </w:r>
                            <w:r w:rsidR="00E507A3">
                              <w:tab/>
                            </w:r>
                            <w:r w:rsidR="00E507A3">
                              <w:tab/>
                            </w:r>
                            <w:r w:rsidR="00E507A3">
                              <w:tab/>
                              <w:t xml:space="preserve"> </w:t>
                            </w:r>
                            <w:r>
                              <w:t>interest in applying to OUHSC.</w:t>
                            </w:r>
                          </w:p>
                          <w:p w14:paraId="4142E29A" w14:textId="77777777" w:rsidR="001C607A" w:rsidRDefault="001C607A" w:rsidP="00D81E5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BDDEC7" id="Text Box 14" o:spid="_x0000_s1032" type="#_x0000_t202" style="position:absolute;margin-left:-.65pt;margin-top:7.55pt;width:460.4pt;height:174.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hSEvUAIAAKsEAAAOAAAAZHJzL2Uyb0RvYy54bWysVE1vGjEQvVfqf7B8LwsECEVZIpqIqlKU&#13;&#10;RIIqZ+P1hlW9Htc27Ka/vs+GJSTtqerFzMfbZ8+bGa6u21qzvXK+IpPzQa/PmTKSiso85/z7evlp&#13;&#10;ypkPwhRCk1E5f1GeX88/frhq7EwNaUu6UI6BxPhZY3O+DcHOsszLraqF75FVBsmSXC0CXPecFU40&#13;&#10;YK91Nuz3J1lDrrCOpPIe0dtDks8Tf1kqGR7K0qvAdM7xtpBOl85NPLP5lZg9O2G3lTw+Q/zDK2pR&#13;&#10;GVx6oroVQbCdq/6gqivpyFMZepLqjMqykirVgGoG/XfVrLbCqlQLxPH2JJP/f7Tyfv/oWFWgdyPO&#13;&#10;jKjRo7VqA/tCLUMI+jTWzwBbWQBDiziwXdwjGMtuS1fHXxTEkIfSLyd1I5tEcDwdXV6MLjmTyA2H&#13;&#10;w8H0IvFkr59b58NXRTWLRs4d2pdUFfs7H/AUQDtIvM2TroplpXVy4sioG+3YXqDZOnTkb1DasCbn&#13;&#10;k4txPxG/yUXq0/cbLeSPWCbuPEPB0wbBKMqh+GiFdtMmESedMBsqXqCXo8PEeSuXFejvhA+PwmHE&#13;&#10;IBHWJjzgKDXhTXS0ONuS+/W3eMSj88hy1mBkc+5/7oRTnOlvBjPxeTAaxRlPzmh8OYTjzjOb84zZ&#13;&#10;1TcEoQZYUCuTGfFBd2bpqH7Cdi3irUgJI3F3zkNn3oTDImE7pVosEghTbUW4MysrI3VsTJR13T4J&#13;&#10;Z49tDZiIe+qGW8zedfeAjV8aWuwClVVqfdT5oOpRfmxE6s5xe+PKnfsJ9fofM/8NAAD//wMAUEsD&#13;&#10;BBQABgAIAAAAIQCGezeQ4QAAAA4BAAAPAAAAZHJzL2Rvd25yZXYueG1sTE/LTsMwELwj8Q/WInFr&#13;&#10;nVClStI4FY/ChRMF9ezGWztqbEe2m4a/ZznBZaXdmZ1Hs53twCYMsfdOQL7MgKHrvOqdFvD1+boo&#13;&#10;gcUknZKDdyjgGyNs29ubRtbKX90HTvukGYm4WEsBJqWx5jx2Bq2MSz+iI+zkg5WJ1qC5CvJK4nbg&#13;&#10;D1m25lb2jhyMHPHZYHfeX6yA3ZOudFfKYHal6vtpPpze9ZsQ93fzy4bG4wZYwjn9fcBvB8oPLQU7&#13;&#10;+otTkQ0CFvmKmHQvcmCEV3lVADsKWK2LDHjb8P812h8AAAD//wMAUEsBAi0AFAAGAAgAAAAhALaD&#13;&#10;OJL+AAAA4QEAABMAAAAAAAAAAAAAAAAAAAAAAFtDb250ZW50X1R5cGVzXS54bWxQSwECLQAUAAYA&#13;&#10;CAAAACEAOP0h/9YAAACUAQAACwAAAAAAAAAAAAAAAAAvAQAAX3JlbHMvLnJlbHNQSwECLQAUAAYA&#13;&#10;CAAAACEA0oUhL1ACAACrBAAADgAAAAAAAAAAAAAAAAAuAgAAZHJzL2Uyb0RvYy54bWxQSwECLQAU&#13;&#10;AAYACAAAACEAhns3kOEAAAAOAQAADwAAAAAAAAAAAAAAAACqBAAAZHJzL2Rvd25yZXYueG1sUEsF&#13;&#10;BgAAAAAEAAQA8wAAALgFAAAAAA==&#13;&#10;" fillcolor="white [3201]" strokeweight=".5pt">
                <v:textbox>
                  <w:txbxContent>
                    <w:p w14:paraId="3286442A" w14:textId="77777777" w:rsidR="001C607A" w:rsidRDefault="001C607A" w:rsidP="00D81E54">
                      <w:r>
                        <w:t>Q3.</w:t>
                      </w:r>
                      <w:r>
                        <w:tab/>
                        <w:t>Choose one. I am a dental student.</w:t>
                      </w:r>
                    </w:p>
                    <w:p w14:paraId="63F1C52A" w14:textId="77777777" w:rsidR="001C607A" w:rsidRDefault="001C607A" w:rsidP="00D81E54">
                      <w:r>
                        <w:tab/>
                      </w:r>
                      <w:r>
                        <w:tab/>
                        <w:t xml:space="preserve">          I am a PA student.</w:t>
                      </w:r>
                    </w:p>
                    <w:p w14:paraId="4D25C827" w14:textId="522B866D" w:rsidR="001C607A" w:rsidRDefault="001C607A" w:rsidP="00D81E54">
                      <w:r>
                        <w:t>Q4.</w:t>
                      </w:r>
                      <w:r>
                        <w:tab/>
                        <w:t xml:space="preserve">Choose one. I completed an undergraduate anatomy course with cadaveric </w:t>
                      </w:r>
                      <w:r w:rsidR="00E507A3">
                        <w:tab/>
                      </w:r>
                      <w:r w:rsidR="00E507A3">
                        <w:tab/>
                      </w:r>
                      <w:r w:rsidR="00E507A3">
                        <w:tab/>
                        <w:t xml:space="preserve">             </w:t>
                      </w:r>
                      <w:r>
                        <w:t>dissection.</w:t>
                      </w:r>
                    </w:p>
                    <w:p w14:paraId="3D7C6F96" w14:textId="529FAFC7" w:rsidR="001C607A" w:rsidRDefault="001C607A" w:rsidP="00D81E54">
                      <w:r>
                        <w:tab/>
                      </w:r>
                      <w:r>
                        <w:tab/>
                        <w:t xml:space="preserve">          I completed an undergraduate anatomy course without cadaveric </w:t>
                      </w:r>
                      <w:r>
                        <w:tab/>
                      </w:r>
                      <w:r>
                        <w:tab/>
                      </w:r>
                      <w:r>
                        <w:tab/>
                      </w:r>
                      <w:r>
                        <w:tab/>
                        <w:t>dissection.</w:t>
                      </w:r>
                    </w:p>
                    <w:p w14:paraId="69D1AB26" w14:textId="77777777" w:rsidR="001C607A" w:rsidRDefault="001C607A" w:rsidP="00D81E54">
                      <w:r>
                        <w:tab/>
                      </w:r>
                      <w:r>
                        <w:tab/>
                        <w:t xml:space="preserve">          I did not complete an undergraduate anatomy course.</w:t>
                      </w:r>
                    </w:p>
                    <w:p w14:paraId="2B9FD2F5" w14:textId="55665410" w:rsidR="001C607A" w:rsidRDefault="001C607A" w:rsidP="00D81E54">
                      <w:r>
                        <w:t>Q5.</w:t>
                      </w:r>
                      <w:r>
                        <w:tab/>
                        <w:t xml:space="preserve">Choose one. Ability to participate in cadaveric dissection enhanced my interest in </w:t>
                      </w:r>
                      <w:r>
                        <w:tab/>
                      </w:r>
                      <w:r>
                        <w:tab/>
                      </w:r>
                      <w:r>
                        <w:tab/>
                      </w:r>
                      <w:r w:rsidR="00E507A3">
                        <w:t xml:space="preserve"> </w:t>
                      </w:r>
                      <w:r>
                        <w:t>applying to OUHSC.</w:t>
                      </w:r>
                    </w:p>
                    <w:p w14:paraId="2D6CC80A" w14:textId="1393BE3E" w:rsidR="001C607A" w:rsidRDefault="001C607A" w:rsidP="00D81E54">
                      <w:r>
                        <w:tab/>
                      </w:r>
                      <w:r>
                        <w:tab/>
                        <w:t xml:space="preserve">          Ability to participate in cadaveric dissection did not enhance my </w:t>
                      </w:r>
                      <w:r w:rsidR="00E507A3">
                        <w:tab/>
                      </w:r>
                      <w:r w:rsidR="00E507A3">
                        <w:tab/>
                      </w:r>
                      <w:r w:rsidR="00E507A3">
                        <w:tab/>
                      </w:r>
                      <w:r w:rsidR="00E507A3">
                        <w:tab/>
                        <w:t xml:space="preserve"> </w:t>
                      </w:r>
                      <w:r>
                        <w:t>interest in applying to OUHSC.</w:t>
                      </w:r>
                    </w:p>
                    <w:p w14:paraId="4142E29A" w14:textId="77777777" w:rsidR="001C607A" w:rsidRDefault="001C607A" w:rsidP="00D81E54"/>
                  </w:txbxContent>
                </v:textbox>
              </v:shape>
            </w:pict>
          </mc:Fallback>
        </mc:AlternateContent>
      </w:r>
    </w:p>
    <w:p w14:paraId="66202E08" w14:textId="0735F639" w:rsidR="00D81E54" w:rsidRPr="00065E56" w:rsidRDefault="00D81E54" w:rsidP="00D81E54">
      <w:pPr>
        <w:rPr>
          <w:rFonts w:ascii="Times New Roman" w:hAnsi="Times New Roman" w:cs="Times New Roman"/>
        </w:rPr>
      </w:pPr>
    </w:p>
    <w:p w14:paraId="7B92C451" w14:textId="77777777" w:rsidR="00D81E54" w:rsidRPr="00065E56" w:rsidRDefault="00D81E54" w:rsidP="00D81E54">
      <w:pPr>
        <w:rPr>
          <w:rFonts w:ascii="Times New Roman" w:hAnsi="Times New Roman" w:cs="Times New Roman"/>
        </w:rPr>
      </w:pPr>
    </w:p>
    <w:p w14:paraId="48824858" w14:textId="77777777" w:rsidR="00D81E54" w:rsidRPr="00065E56" w:rsidRDefault="00D81E54" w:rsidP="00D81E54">
      <w:pPr>
        <w:rPr>
          <w:rFonts w:ascii="Times New Roman" w:hAnsi="Times New Roman" w:cs="Times New Roman"/>
          <w:i/>
          <w:iCs/>
        </w:rPr>
      </w:pPr>
    </w:p>
    <w:p w14:paraId="491E279E" w14:textId="77777777" w:rsidR="00D81E54" w:rsidRPr="00065E56" w:rsidRDefault="00D81E54" w:rsidP="00D81E54">
      <w:pPr>
        <w:rPr>
          <w:rFonts w:ascii="Times New Roman" w:hAnsi="Times New Roman" w:cs="Times New Roman"/>
          <w:i/>
          <w:iCs/>
        </w:rPr>
      </w:pPr>
    </w:p>
    <w:p w14:paraId="24E2B576" w14:textId="77777777" w:rsidR="00D81E54" w:rsidRPr="00065E56" w:rsidRDefault="00D81E54" w:rsidP="00D81E54">
      <w:pPr>
        <w:rPr>
          <w:rFonts w:ascii="Times New Roman" w:hAnsi="Times New Roman" w:cs="Times New Roman"/>
          <w:i/>
          <w:iCs/>
        </w:rPr>
      </w:pPr>
    </w:p>
    <w:p w14:paraId="28583A46" w14:textId="77777777" w:rsidR="00D81E54" w:rsidRPr="00065E56" w:rsidRDefault="00D81E54" w:rsidP="00D81E54">
      <w:pPr>
        <w:rPr>
          <w:rFonts w:ascii="Times New Roman" w:hAnsi="Times New Roman" w:cs="Times New Roman"/>
          <w:i/>
          <w:iCs/>
        </w:rPr>
      </w:pPr>
    </w:p>
    <w:p w14:paraId="5BC05111" w14:textId="77777777" w:rsidR="00D81E54" w:rsidRPr="00065E56" w:rsidRDefault="00D81E54" w:rsidP="00D81E54">
      <w:pPr>
        <w:rPr>
          <w:rFonts w:ascii="Times New Roman" w:hAnsi="Times New Roman" w:cs="Times New Roman"/>
          <w:i/>
          <w:iCs/>
        </w:rPr>
      </w:pPr>
    </w:p>
    <w:p w14:paraId="7BF2D782" w14:textId="77777777" w:rsidR="00D81E54" w:rsidRPr="00065E56" w:rsidRDefault="00D81E54" w:rsidP="00D81E54">
      <w:pPr>
        <w:rPr>
          <w:rFonts w:ascii="Times New Roman" w:hAnsi="Times New Roman" w:cs="Times New Roman"/>
          <w:i/>
          <w:iCs/>
        </w:rPr>
      </w:pPr>
    </w:p>
    <w:p w14:paraId="2E428A5E" w14:textId="77777777" w:rsidR="00D81E54" w:rsidRPr="00065E56" w:rsidRDefault="00D81E54" w:rsidP="00D81E54">
      <w:pPr>
        <w:rPr>
          <w:rFonts w:ascii="Times New Roman" w:hAnsi="Times New Roman" w:cs="Times New Roman"/>
          <w:i/>
          <w:iCs/>
        </w:rPr>
      </w:pPr>
    </w:p>
    <w:p w14:paraId="49C3009B" w14:textId="77777777" w:rsidR="00D81E54" w:rsidRPr="00065E56" w:rsidRDefault="00D81E54" w:rsidP="00D81E54">
      <w:pPr>
        <w:rPr>
          <w:rFonts w:ascii="Times New Roman" w:hAnsi="Times New Roman" w:cs="Times New Roman"/>
          <w:i/>
          <w:iCs/>
        </w:rPr>
      </w:pPr>
    </w:p>
    <w:p w14:paraId="58FB0696" w14:textId="77777777" w:rsidR="00D81E54" w:rsidRPr="00065E56" w:rsidRDefault="00D81E54" w:rsidP="00D81E54">
      <w:pPr>
        <w:rPr>
          <w:rFonts w:ascii="Times New Roman" w:hAnsi="Times New Roman" w:cs="Times New Roman"/>
          <w:i/>
          <w:iCs/>
        </w:rPr>
      </w:pPr>
    </w:p>
    <w:p w14:paraId="31387EE3" w14:textId="77777777" w:rsidR="00D81E54" w:rsidRPr="00065E56" w:rsidRDefault="00D81E54" w:rsidP="00D81E54">
      <w:pPr>
        <w:rPr>
          <w:rFonts w:ascii="Times New Roman" w:hAnsi="Times New Roman" w:cs="Times New Roman"/>
          <w:i/>
          <w:iCs/>
        </w:rPr>
      </w:pPr>
    </w:p>
    <w:p w14:paraId="0D0F8B4A" w14:textId="77777777" w:rsidR="00E507A3" w:rsidRDefault="00E507A3" w:rsidP="00D81E54">
      <w:pPr>
        <w:rPr>
          <w:rFonts w:ascii="Times New Roman" w:hAnsi="Times New Roman" w:cs="Times New Roman"/>
          <w:i/>
          <w:iCs/>
          <w:sz w:val="22"/>
          <w:szCs w:val="22"/>
        </w:rPr>
      </w:pPr>
    </w:p>
    <w:p w14:paraId="5F688E80" w14:textId="285F4889" w:rsidR="00D81E54" w:rsidRPr="00065E56" w:rsidRDefault="00D81E54" w:rsidP="00D81E54">
      <w:pPr>
        <w:rPr>
          <w:rFonts w:ascii="Times New Roman" w:hAnsi="Times New Roman" w:cs="Times New Roman"/>
          <w:sz w:val="22"/>
          <w:szCs w:val="22"/>
        </w:rPr>
      </w:pPr>
      <w:r w:rsidRPr="00065E56">
        <w:rPr>
          <w:rFonts w:ascii="Times New Roman" w:hAnsi="Times New Roman" w:cs="Times New Roman"/>
          <w:i/>
          <w:iCs/>
          <w:sz w:val="22"/>
          <w:szCs w:val="22"/>
        </w:rPr>
        <w:t>Note</w:t>
      </w:r>
      <w:r w:rsidRPr="00065E56">
        <w:rPr>
          <w:rFonts w:ascii="Times New Roman" w:hAnsi="Times New Roman" w:cs="Times New Roman"/>
          <w:sz w:val="22"/>
          <w:szCs w:val="22"/>
        </w:rPr>
        <w:t>. Researchers determined that knowing a) program of study b) previous anatomy/dissection experience and c) importance of cadaveric dissection in application decision would help in the analysis phase of the survey. (See Appendix B).</w:t>
      </w:r>
    </w:p>
    <w:p w14:paraId="5978E286" w14:textId="0D9725E5" w:rsidR="00484EE2" w:rsidRDefault="00484EE2" w:rsidP="00D81E54">
      <w:pPr>
        <w:rPr>
          <w:rFonts w:ascii="Times New Roman" w:hAnsi="Times New Roman" w:cs="Times New Roman"/>
        </w:rPr>
      </w:pPr>
    </w:p>
    <w:p w14:paraId="7A95754A" w14:textId="52C19370" w:rsidR="00484EE2" w:rsidRDefault="00484EE2" w:rsidP="00D81E54">
      <w:pPr>
        <w:rPr>
          <w:rFonts w:ascii="Times New Roman" w:hAnsi="Times New Roman" w:cs="Times New Roman"/>
        </w:rPr>
      </w:pPr>
    </w:p>
    <w:p w14:paraId="4355A056" w14:textId="77777777" w:rsidR="00484EE2" w:rsidRPr="00065E56" w:rsidRDefault="00484EE2" w:rsidP="00D81E54">
      <w:pPr>
        <w:rPr>
          <w:rFonts w:ascii="Times New Roman" w:hAnsi="Times New Roman" w:cs="Times New Roman"/>
        </w:rPr>
      </w:pPr>
    </w:p>
    <w:p w14:paraId="4820361E" w14:textId="371B16FC" w:rsidR="00D81E54" w:rsidRPr="00065E56" w:rsidRDefault="00D81E54" w:rsidP="00D81E54">
      <w:pPr>
        <w:rPr>
          <w:rFonts w:ascii="Times New Roman" w:hAnsi="Times New Roman" w:cs="Times New Roman"/>
          <w:b/>
          <w:bCs/>
        </w:rPr>
      </w:pPr>
      <w:r w:rsidRPr="00065E56">
        <w:rPr>
          <w:rFonts w:ascii="Times New Roman" w:hAnsi="Times New Roman" w:cs="Times New Roman"/>
          <w:b/>
          <w:bCs/>
        </w:rPr>
        <w:t xml:space="preserve">Figure </w:t>
      </w:r>
      <w:r w:rsidR="00C817E1" w:rsidRPr="00065E56">
        <w:rPr>
          <w:rFonts w:ascii="Times New Roman" w:hAnsi="Times New Roman" w:cs="Times New Roman"/>
          <w:b/>
          <w:bCs/>
        </w:rPr>
        <w:t>5</w:t>
      </w:r>
    </w:p>
    <w:p w14:paraId="16C90401" w14:textId="77777777" w:rsidR="00D81E54" w:rsidRPr="00065E56" w:rsidRDefault="00D81E54" w:rsidP="00D81E54">
      <w:pPr>
        <w:rPr>
          <w:rFonts w:ascii="Times New Roman" w:hAnsi="Times New Roman" w:cs="Times New Roman"/>
        </w:rPr>
      </w:pPr>
    </w:p>
    <w:p w14:paraId="38AB4B71" w14:textId="0E5CA676" w:rsidR="00D81E54" w:rsidRPr="00065E56" w:rsidRDefault="00D81E54" w:rsidP="00D81E54">
      <w:pPr>
        <w:rPr>
          <w:rFonts w:ascii="Times New Roman" w:hAnsi="Times New Roman" w:cs="Times New Roman"/>
          <w:i/>
          <w:iCs/>
        </w:rPr>
      </w:pPr>
      <w:r w:rsidRPr="00065E56">
        <w:rPr>
          <w:rFonts w:ascii="Times New Roman" w:hAnsi="Times New Roman" w:cs="Times New Roman"/>
          <w:i/>
          <w:iCs/>
        </w:rPr>
        <w:t>Survey Statements from Question 6</w:t>
      </w:r>
    </w:p>
    <w:p w14:paraId="1E7A06EB" w14:textId="136AAA5A" w:rsidR="00D81E54" w:rsidRPr="00065E56" w:rsidRDefault="00E507A3" w:rsidP="00D81E54">
      <w:pPr>
        <w:rPr>
          <w:rFonts w:ascii="Times New Roman" w:hAnsi="Times New Roman" w:cs="Times New Roman"/>
          <w:i/>
          <w:iCs/>
        </w:rPr>
      </w:pPr>
      <w:r w:rsidRPr="00065E56">
        <w:rPr>
          <w:rFonts w:ascii="Times New Roman" w:hAnsi="Times New Roman" w:cs="Times New Roman"/>
          <w:noProof/>
        </w:rPr>
        <mc:AlternateContent>
          <mc:Choice Requires="wps">
            <w:drawing>
              <wp:anchor distT="0" distB="0" distL="114300" distR="114300" simplePos="0" relativeHeight="251667456" behindDoc="0" locked="0" layoutInCell="1" allowOverlap="1" wp14:anchorId="17AE9606" wp14:editId="3A54AF09">
                <wp:simplePos x="0" y="0"/>
                <wp:positionH relativeFrom="column">
                  <wp:posOffset>-8021</wp:posOffset>
                </wp:positionH>
                <wp:positionV relativeFrom="paragraph">
                  <wp:posOffset>62029</wp:posOffset>
                </wp:positionV>
                <wp:extent cx="5847347" cy="1022985"/>
                <wp:effectExtent l="0" t="0" r="7620" b="18415"/>
                <wp:wrapNone/>
                <wp:docPr id="15" name="Text Box 15"/>
                <wp:cNvGraphicFramePr/>
                <a:graphic xmlns:a="http://schemas.openxmlformats.org/drawingml/2006/main">
                  <a:graphicData uri="http://schemas.microsoft.com/office/word/2010/wordprocessingShape">
                    <wps:wsp>
                      <wps:cNvSpPr txBox="1"/>
                      <wps:spPr>
                        <a:xfrm>
                          <a:off x="0" y="0"/>
                          <a:ext cx="5847347" cy="1022985"/>
                        </a:xfrm>
                        <a:prstGeom prst="rect">
                          <a:avLst/>
                        </a:prstGeom>
                        <a:solidFill>
                          <a:schemeClr val="lt1"/>
                        </a:solidFill>
                        <a:ln w="6350">
                          <a:solidFill>
                            <a:prstClr val="black"/>
                          </a:solidFill>
                        </a:ln>
                      </wps:spPr>
                      <wps:txbx>
                        <w:txbxContent>
                          <w:p w14:paraId="087B9EEE" w14:textId="77777777" w:rsidR="001C607A" w:rsidRDefault="001C607A" w:rsidP="00D81E54">
                            <w:r>
                              <w:t>My anatomical knowledge is adequate for where I am in my program.</w:t>
                            </w:r>
                          </w:p>
                          <w:p w14:paraId="098CB76D" w14:textId="77777777" w:rsidR="001C607A" w:rsidRDefault="001C607A" w:rsidP="00D81E54">
                            <w:r>
                              <w:t>My anatomical knowledge feels fragmented: I cannot see whole body connections.</w:t>
                            </w:r>
                          </w:p>
                          <w:p w14:paraId="76659574" w14:textId="77777777" w:rsidR="001C607A" w:rsidRDefault="001C607A" w:rsidP="00D81E54">
                            <w:r>
                              <w:t>I am able to picture a muscle or organ as part of a group or system.</w:t>
                            </w:r>
                          </w:p>
                          <w:p w14:paraId="32238092" w14:textId="77777777" w:rsidR="001C607A" w:rsidRPr="005E7B75" w:rsidRDefault="001C607A" w:rsidP="00D81E54">
                            <w:r>
                              <w:t>I perceive different tissue depths accurately.</w:t>
                            </w:r>
                          </w:p>
                          <w:p w14:paraId="17083D94" w14:textId="77777777" w:rsidR="001C607A" w:rsidRPr="00E6692D" w:rsidRDefault="001C607A" w:rsidP="00D81E54">
                            <w:r>
                              <w:t>I can tell tissue textures apart.</w:t>
                            </w:r>
                          </w:p>
                          <w:p w14:paraId="322F16C1" w14:textId="77777777" w:rsidR="001C607A" w:rsidRDefault="001C607A" w:rsidP="00D81E5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AE9606" id="Text Box 15" o:spid="_x0000_s1033" type="#_x0000_t202" style="position:absolute;margin-left:-.65pt;margin-top:4.9pt;width:460.4pt;height:80.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PJ3AUAIAAKsEAAAOAAAAZHJzL2Uyb0RvYy54bWysVE1vGjEQvVfqf7B8bxYIBIKyRDQRVaUo&#13;&#10;iQRRzsbrDat6Pa5t2KW/vs/mI5D2VPXinS8/z7yZ2ZvbttZso5yvyOS8e9HhTBlJRWXecv6ymH0Z&#13;&#10;ceaDMIXQZFTOt8rz28nnTzeNHaserUgXyjGAGD9ubM5XIdhxlnm5UrXwF2SVgbMkV4sA1b1lhRMN&#13;&#10;0Gud9Tqdq6whV1hHUnkP6/3OyScJvyyVDE9l6VVgOufILaTTpXMZz2xyI8ZvTthVJfdpiH/IohaV&#13;&#10;waNHqHsRBFu76g+oupKOPJXhQlKdUVlWUqUaUE2386Ga+UpYlWoBOd4eafL/D1Y+bp4dqwr0bsCZ&#13;&#10;ETV6tFBtYF+pZTCBn8b6McLmFoGhhR2xB7uHMZbdlq6OXxTE4AfT2yO7EU3COBj1h5f9IWcSvm6n&#13;&#10;17seJfzs/bp1PnxTVLMo5NyhfYlVsXnwAakg9BASX/Okq2JWaZ2UODLqTju2EWi2DilJ3DiL0oY1&#13;&#10;Ob+6HHQS8JkvQh/vL7WQP2KZ5wjQtIExkrIrPkqhXbaJxOGBmCUVW/DlaDdx3spZBfgH4cOzcBgx&#13;&#10;UIS1CU84Sk3IifYSZytyv/5mj/HoPLycNRjZnPufa+EUZ/q7wUxcd/v9OONJ6Q+GPSju1LM89Zh1&#13;&#10;fUcgqosFtTKJMT7og1g6ql+xXdP4KlzCSLyd83AQ78JukbCdUk2nKQhTbUV4MHMrI3RsTKR10b4K&#13;&#10;Z/dtDZiIRzoMtxh/6O4uNt40NF0HKqvU+sjzjtU9/diI1J399saVO9VT1Ps/ZvIbAAD//wMAUEsD&#13;&#10;BBQABgAIAAAAIQCDs0gr4AAAAA0BAAAPAAAAZHJzL2Rvd25yZXYueG1sTI/NTsMwEITvSLyDtZW4&#13;&#10;tU5AQJzGqfgpXDhREGc33tpRYzuy3TS8PcsJLiutZnZ2vmYzu4FNGFMfvIRyVQBD3wXdeyPh8+Nl&#13;&#10;WQFLWXmthuBRwjcm2LSXF42qdTj7d5x22TAK8alWEmzOY8156iw6lVZhRE/aIUSnMq3RcB3VmcLd&#13;&#10;wK+L4o471Xv6YNWITxa74+7kJGwfjTBdpaLdVrrvp/nr8GZepbxazM9rGg9rYBnn/HcBvwzUH1oq&#13;&#10;tg8nrxMbJCzLG3JKEERBsijFLbA9+e4LAbxt+H+K9gcAAP//AwBQSwECLQAUAAYACAAAACEAtoM4&#13;&#10;kv4AAADhAQAAEwAAAAAAAAAAAAAAAAAAAAAAW0NvbnRlbnRfVHlwZXNdLnhtbFBLAQItABQABgAI&#13;&#10;AAAAIQA4/SH/1gAAAJQBAAALAAAAAAAAAAAAAAAAAC8BAABfcmVscy8ucmVsc1BLAQItABQABgAI&#13;&#10;AAAAIQCxPJ3AUAIAAKsEAAAOAAAAAAAAAAAAAAAAAC4CAABkcnMvZTJvRG9jLnhtbFBLAQItABQA&#13;&#10;BgAIAAAAIQCDs0gr4AAAAA0BAAAPAAAAAAAAAAAAAAAAAKoEAABkcnMvZG93bnJldi54bWxQSwUG&#13;&#10;AAAAAAQABADzAAAAtwUAAAAA&#13;&#10;" fillcolor="white [3201]" strokeweight=".5pt">
                <v:textbox>
                  <w:txbxContent>
                    <w:p w14:paraId="087B9EEE" w14:textId="77777777" w:rsidR="001C607A" w:rsidRDefault="001C607A" w:rsidP="00D81E54">
                      <w:r>
                        <w:t>My anatomical knowledge is adequate for where I am in my program.</w:t>
                      </w:r>
                    </w:p>
                    <w:p w14:paraId="098CB76D" w14:textId="77777777" w:rsidR="001C607A" w:rsidRDefault="001C607A" w:rsidP="00D81E54">
                      <w:r>
                        <w:t>My anatomical knowledge feels fragmented: I cannot see whole body connections.</w:t>
                      </w:r>
                    </w:p>
                    <w:p w14:paraId="76659574" w14:textId="77777777" w:rsidR="001C607A" w:rsidRDefault="001C607A" w:rsidP="00D81E54">
                      <w:r>
                        <w:t>I am able to picture a muscle or organ as part of a group or system.</w:t>
                      </w:r>
                    </w:p>
                    <w:p w14:paraId="32238092" w14:textId="77777777" w:rsidR="001C607A" w:rsidRPr="005E7B75" w:rsidRDefault="001C607A" w:rsidP="00D81E54">
                      <w:r>
                        <w:t>I perceive different tissue depths accurately.</w:t>
                      </w:r>
                    </w:p>
                    <w:p w14:paraId="17083D94" w14:textId="77777777" w:rsidR="001C607A" w:rsidRPr="00E6692D" w:rsidRDefault="001C607A" w:rsidP="00D81E54">
                      <w:r>
                        <w:t>I can tell tissue textures apart.</w:t>
                      </w:r>
                    </w:p>
                    <w:p w14:paraId="322F16C1" w14:textId="77777777" w:rsidR="001C607A" w:rsidRDefault="001C607A" w:rsidP="00D81E54"/>
                  </w:txbxContent>
                </v:textbox>
              </v:shape>
            </w:pict>
          </mc:Fallback>
        </mc:AlternateContent>
      </w:r>
    </w:p>
    <w:p w14:paraId="4A68292E" w14:textId="77777777" w:rsidR="00D81E54" w:rsidRPr="00065E56" w:rsidRDefault="00D81E54" w:rsidP="00D81E54">
      <w:pPr>
        <w:rPr>
          <w:rFonts w:ascii="Times New Roman" w:hAnsi="Times New Roman" w:cs="Times New Roman"/>
        </w:rPr>
      </w:pPr>
    </w:p>
    <w:p w14:paraId="1900B250" w14:textId="77777777" w:rsidR="00D81E54" w:rsidRPr="00065E56" w:rsidRDefault="00D81E54" w:rsidP="00D81E54">
      <w:pPr>
        <w:rPr>
          <w:rFonts w:ascii="Times New Roman" w:hAnsi="Times New Roman" w:cs="Times New Roman"/>
        </w:rPr>
      </w:pPr>
    </w:p>
    <w:p w14:paraId="4AC5706B" w14:textId="77777777" w:rsidR="00D81E54" w:rsidRPr="00065E56" w:rsidRDefault="00D81E54" w:rsidP="00D81E54">
      <w:pPr>
        <w:rPr>
          <w:rFonts w:ascii="Times New Roman" w:hAnsi="Times New Roman" w:cs="Times New Roman"/>
        </w:rPr>
      </w:pPr>
    </w:p>
    <w:p w14:paraId="13768C0B" w14:textId="77777777" w:rsidR="00D81E54" w:rsidRPr="00065E56" w:rsidRDefault="00D81E54" w:rsidP="00D81E54">
      <w:pPr>
        <w:rPr>
          <w:rFonts w:ascii="Times New Roman" w:hAnsi="Times New Roman" w:cs="Times New Roman"/>
        </w:rPr>
      </w:pPr>
    </w:p>
    <w:p w14:paraId="45E74D4D" w14:textId="77777777" w:rsidR="00D81E54" w:rsidRPr="00065E56" w:rsidRDefault="00D81E54" w:rsidP="00D81E54">
      <w:pPr>
        <w:rPr>
          <w:rFonts w:ascii="Times New Roman" w:hAnsi="Times New Roman" w:cs="Times New Roman"/>
        </w:rPr>
      </w:pPr>
    </w:p>
    <w:p w14:paraId="558D4B81" w14:textId="77777777" w:rsidR="00D81E54" w:rsidRPr="00065E56" w:rsidRDefault="00D81E54" w:rsidP="00D81E54">
      <w:pPr>
        <w:rPr>
          <w:rFonts w:ascii="Times New Roman" w:hAnsi="Times New Roman" w:cs="Times New Roman"/>
        </w:rPr>
      </w:pPr>
    </w:p>
    <w:p w14:paraId="7AC407AD" w14:textId="46F4D716" w:rsidR="00D81E54" w:rsidRPr="00484EE2" w:rsidRDefault="00D81E54" w:rsidP="00D81E54">
      <w:pPr>
        <w:rPr>
          <w:rFonts w:ascii="Times New Roman" w:hAnsi="Times New Roman" w:cs="Times New Roman"/>
          <w:sz w:val="22"/>
          <w:szCs w:val="22"/>
        </w:rPr>
      </w:pPr>
      <w:r w:rsidRPr="00065E56">
        <w:rPr>
          <w:rFonts w:ascii="Times New Roman" w:hAnsi="Times New Roman" w:cs="Times New Roman"/>
          <w:i/>
          <w:iCs/>
          <w:sz w:val="22"/>
          <w:szCs w:val="22"/>
        </w:rPr>
        <w:t>Note</w:t>
      </w:r>
      <w:r w:rsidRPr="00065E56">
        <w:rPr>
          <w:rFonts w:ascii="Times New Roman" w:hAnsi="Times New Roman" w:cs="Times New Roman"/>
          <w:sz w:val="22"/>
          <w:szCs w:val="22"/>
        </w:rPr>
        <w:t>. Perceived anatomical knowledge statements for evaluation. These statements correspond to Q6 of the survey (See Appendix B).</w:t>
      </w:r>
    </w:p>
    <w:p w14:paraId="4D677859" w14:textId="77777777" w:rsidR="00D81E54" w:rsidRPr="00065E56" w:rsidRDefault="00D81E54" w:rsidP="00D81E54">
      <w:pPr>
        <w:rPr>
          <w:rFonts w:ascii="Times New Roman" w:hAnsi="Times New Roman" w:cs="Times New Roman"/>
        </w:rPr>
      </w:pPr>
    </w:p>
    <w:p w14:paraId="245A30FA" w14:textId="77777777" w:rsidR="00E507A3" w:rsidRDefault="00E507A3" w:rsidP="00D81E54">
      <w:pPr>
        <w:rPr>
          <w:rFonts w:ascii="Times New Roman" w:hAnsi="Times New Roman" w:cs="Times New Roman"/>
          <w:b/>
          <w:bCs/>
        </w:rPr>
      </w:pPr>
    </w:p>
    <w:p w14:paraId="1580DBF4" w14:textId="7CB77040" w:rsidR="00D81E54" w:rsidRPr="00065E56" w:rsidRDefault="00D81E54" w:rsidP="00D81E54">
      <w:pPr>
        <w:rPr>
          <w:rFonts w:ascii="Times New Roman" w:hAnsi="Times New Roman" w:cs="Times New Roman"/>
          <w:b/>
          <w:bCs/>
        </w:rPr>
      </w:pPr>
      <w:r w:rsidRPr="00065E56">
        <w:rPr>
          <w:rFonts w:ascii="Times New Roman" w:hAnsi="Times New Roman" w:cs="Times New Roman"/>
          <w:b/>
          <w:bCs/>
        </w:rPr>
        <w:lastRenderedPageBreak/>
        <w:t xml:space="preserve">Figure </w:t>
      </w:r>
      <w:r w:rsidR="00C817E1" w:rsidRPr="00065E56">
        <w:rPr>
          <w:rFonts w:ascii="Times New Roman" w:hAnsi="Times New Roman" w:cs="Times New Roman"/>
          <w:b/>
          <w:bCs/>
        </w:rPr>
        <w:t>6</w:t>
      </w:r>
    </w:p>
    <w:p w14:paraId="0B82EF85" w14:textId="77777777" w:rsidR="00D81E54" w:rsidRPr="00065E56" w:rsidRDefault="00D81E54" w:rsidP="00D81E54">
      <w:pPr>
        <w:rPr>
          <w:rFonts w:ascii="Times New Roman" w:hAnsi="Times New Roman" w:cs="Times New Roman"/>
        </w:rPr>
      </w:pPr>
    </w:p>
    <w:p w14:paraId="392B668E" w14:textId="423A7396" w:rsidR="00D81E54" w:rsidRPr="00065E56" w:rsidRDefault="00E507A3" w:rsidP="00D81E54">
      <w:pPr>
        <w:rPr>
          <w:rFonts w:ascii="Times New Roman" w:hAnsi="Times New Roman" w:cs="Times New Roman"/>
          <w:i/>
          <w:iCs/>
        </w:rPr>
      </w:pPr>
      <w:r w:rsidRPr="00065E56">
        <w:rPr>
          <w:rFonts w:ascii="Times New Roman" w:hAnsi="Times New Roman" w:cs="Times New Roman"/>
          <w:noProof/>
        </w:rPr>
        <mc:AlternateContent>
          <mc:Choice Requires="wps">
            <w:drawing>
              <wp:anchor distT="0" distB="0" distL="114300" distR="114300" simplePos="0" relativeHeight="251668480" behindDoc="0" locked="0" layoutInCell="1" allowOverlap="1" wp14:anchorId="5B00154E" wp14:editId="1DFAC748">
                <wp:simplePos x="0" y="0"/>
                <wp:positionH relativeFrom="column">
                  <wp:posOffset>7620</wp:posOffset>
                </wp:positionH>
                <wp:positionV relativeFrom="paragraph">
                  <wp:posOffset>250825</wp:posOffset>
                </wp:positionV>
                <wp:extent cx="5822950" cy="1079500"/>
                <wp:effectExtent l="0" t="0" r="19050" b="12700"/>
                <wp:wrapSquare wrapText="bothSides"/>
                <wp:docPr id="6" name="Text Box 6"/>
                <wp:cNvGraphicFramePr/>
                <a:graphic xmlns:a="http://schemas.openxmlformats.org/drawingml/2006/main">
                  <a:graphicData uri="http://schemas.microsoft.com/office/word/2010/wordprocessingShape">
                    <wps:wsp>
                      <wps:cNvSpPr txBox="1"/>
                      <wps:spPr>
                        <a:xfrm>
                          <a:off x="0" y="0"/>
                          <a:ext cx="5822950" cy="1079500"/>
                        </a:xfrm>
                        <a:prstGeom prst="rect">
                          <a:avLst/>
                        </a:prstGeom>
                        <a:noFill/>
                        <a:ln w="6350">
                          <a:solidFill>
                            <a:prstClr val="black"/>
                          </a:solidFill>
                        </a:ln>
                      </wps:spPr>
                      <wps:txbx>
                        <w:txbxContent>
                          <w:p w14:paraId="4184714B" w14:textId="77777777" w:rsidR="001C607A" w:rsidRDefault="001C607A" w:rsidP="00D81E54">
                            <w:r>
                              <w:t>I wanted to dissect a cadaver.</w:t>
                            </w:r>
                          </w:p>
                          <w:p w14:paraId="10FB30AD" w14:textId="77777777" w:rsidR="001C607A" w:rsidRDefault="001C607A" w:rsidP="00D81E54">
                            <w:r>
                              <w:t>I feel behind on surgery skills because I could not dissect.</w:t>
                            </w:r>
                          </w:p>
                          <w:p w14:paraId="0F871BF1" w14:textId="77777777" w:rsidR="001C607A" w:rsidRDefault="001C607A" w:rsidP="00D81E54">
                            <w:r>
                              <w:t>Studying from physical models would have contributed to my anatomical knowledge.</w:t>
                            </w:r>
                          </w:p>
                          <w:p w14:paraId="4D479DC7" w14:textId="3363A122" w:rsidR="001C607A" w:rsidRDefault="001C607A" w:rsidP="00D81E54">
                            <w:r>
                              <w:t xml:space="preserve">Studying from a three-dimensional online atlas is just as good as studying from physical </w:t>
                            </w:r>
                            <w:r w:rsidR="00704DAA">
                              <w:t xml:space="preserve">      </w:t>
                            </w:r>
                            <w:r w:rsidR="00704DAA">
                              <w:tab/>
                            </w:r>
                            <w:r>
                              <w:t>models.</w:t>
                            </w:r>
                          </w:p>
                          <w:p w14:paraId="4F7CC218" w14:textId="77777777" w:rsidR="001C607A" w:rsidRDefault="001C607A" w:rsidP="00D81E54"/>
                          <w:p w14:paraId="002EF4A7" w14:textId="77777777" w:rsidR="001C607A" w:rsidRPr="00F13268" w:rsidRDefault="001C607A" w:rsidP="00D81E5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00154E" id="Text Box 6" o:spid="_x0000_s1034" type="#_x0000_t202" style="position:absolute;margin-left:.6pt;margin-top:19.75pt;width:458.5pt;height: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6Xj8tQgIAAIEEAAAOAAAAZHJzL2Uyb0RvYy54bWysVF1v2jAUfZ+0/2D5fQ0wSilqqBgV06Sq&#13;&#10;rUSnPhvHaaI5vp5tSLpfv2OHtKjb07QXc79y7XPOvVxdd41mB+V8TSbn47MRZ8pIKmrznPPvj5tP&#13;&#10;c858EKYQmozK+Yvy/Hr58cNVaxdqQhXpQjmGJsYvWpvzKgS7yDIvK9UIf0ZWGSRLco0IcN1zVjjR&#13;&#10;onujs8loNMtacoV1JJX3iN70Sb5M/ctSyXBfll4FpnOOt4V0unTu4pktr8Ti2Qlb1fL4DPEPr2hE&#13;&#10;bXDpa6sbEQTbu/qPVk0tHXkqw5mkJqOyrKVKGIBmPHqHZlsJqxIWkOPtK03+/7WVd4cHx+oi5zPO&#13;&#10;jGgg0aPqAvtCHZtFdlrrFyjaWpSFDmGoPMQ9ghF0V7om/gIOQx48v7xyG5tJBM/nk8nlOVISufHo&#13;&#10;AnZiP3v73DofvipqWDRy7iBe4lQcbn3AU1A6lMTbDG1qrZOA2rAWCD6jf8x40nURk9GJn6y1YweB&#13;&#10;EdhpIX/E56PXSRU8bRCMYHtQ0QrdrkvUzAfAOypewIOjfo68lZsa7W+FDw/CYXCAD8sQ7nGUmvAm&#13;&#10;OlqcVeR+/S0e66Enspy1GMSc+5974RRn+puB0pfj6TRObnKm5xcTOO40szvNmH2zJgAdY+2sTGas&#13;&#10;D3owS0fNE3ZmFW9FShiJu3MeBnMd+vXAzkm1WqUizKoV4dZsrYytB1ofuyfh7FGuAKXvaBhZsXin&#13;&#10;Wl/b67baByrrJGnkuWf1SD/mPKlz3Mm4SKd+qnr751j+BgAA//8DAFBLAwQUAAYACAAAACEAqDN2&#13;&#10;AOIAAAANAQAADwAAAGRycy9kb3ducmV2LnhtbExPy07DMBC8I/EP1iJxo3aDCm0ap0JAD0ioEm1F&#13;&#10;OTrxEkf4EWI3DXw9ywkuK83M7uxMsRqdZQP2sQ1ewnQigKGvg259I2G/W1/NgcWkvFY2eJTwhRFW&#13;&#10;5flZoXIdTv4Fh21qGJn4mCsJJqUu5zzWBp2Kk9ChJ+099E4lgn3Dda9OZO4sz4S44U61nj4Y1eG9&#13;&#10;wfpje3QSnl8Pn4/rzZs4YGXb2WBvzdN3JeXlxfiwpHG3BJZwTH8X8NuB8kNJwapw9DoySzijRQnX&#13;&#10;ixkwkhfTORGVhEwQw8uC/29R/gAAAP//AwBQSwECLQAUAAYACAAAACEAtoM4kv4AAADhAQAAEwAA&#13;&#10;AAAAAAAAAAAAAAAAAAAAW0NvbnRlbnRfVHlwZXNdLnhtbFBLAQItABQABgAIAAAAIQA4/SH/1gAA&#13;&#10;AJQBAAALAAAAAAAAAAAAAAAAAC8BAABfcmVscy8ucmVsc1BLAQItABQABgAIAAAAIQD6Xj8tQgIA&#13;&#10;AIEEAAAOAAAAAAAAAAAAAAAAAC4CAABkcnMvZTJvRG9jLnhtbFBLAQItABQABgAIAAAAIQCoM3YA&#13;&#10;4gAAAA0BAAAPAAAAAAAAAAAAAAAAAJwEAABkcnMvZG93bnJldi54bWxQSwUGAAAAAAQABADzAAAA&#13;&#10;qwUAAAAA&#13;&#10;" filled="f" strokeweight=".5pt">
                <v:textbox>
                  <w:txbxContent>
                    <w:p w14:paraId="4184714B" w14:textId="77777777" w:rsidR="001C607A" w:rsidRDefault="001C607A" w:rsidP="00D81E54">
                      <w:r>
                        <w:t>I wanted to dissect a cadaver.</w:t>
                      </w:r>
                    </w:p>
                    <w:p w14:paraId="10FB30AD" w14:textId="77777777" w:rsidR="001C607A" w:rsidRDefault="001C607A" w:rsidP="00D81E54">
                      <w:r>
                        <w:t>I feel behind on surgery skills because I could not dissect.</w:t>
                      </w:r>
                    </w:p>
                    <w:p w14:paraId="0F871BF1" w14:textId="77777777" w:rsidR="001C607A" w:rsidRDefault="001C607A" w:rsidP="00D81E54">
                      <w:r>
                        <w:t>Studying from physical models would have contributed to my anatomical knowledge.</w:t>
                      </w:r>
                    </w:p>
                    <w:p w14:paraId="4D479DC7" w14:textId="3363A122" w:rsidR="001C607A" w:rsidRDefault="001C607A" w:rsidP="00D81E54">
                      <w:r>
                        <w:t xml:space="preserve">Studying from a three-dimensional online atlas is just as good as studying from physical </w:t>
                      </w:r>
                      <w:r w:rsidR="00704DAA">
                        <w:t xml:space="preserve">      </w:t>
                      </w:r>
                      <w:r w:rsidR="00704DAA">
                        <w:tab/>
                      </w:r>
                      <w:r>
                        <w:t>models.</w:t>
                      </w:r>
                    </w:p>
                    <w:p w14:paraId="4F7CC218" w14:textId="77777777" w:rsidR="001C607A" w:rsidRDefault="001C607A" w:rsidP="00D81E54"/>
                    <w:p w14:paraId="002EF4A7" w14:textId="77777777" w:rsidR="001C607A" w:rsidRPr="00F13268" w:rsidRDefault="001C607A" w:rsidP="00D81E54"/>
                  </w:txbxContent>
                </v:textbox>
                <w10:wrap type="square"/>
              </v:shape>
            </w:pict>
          </mc:Fallback>
        </mc:AlternateContent>
      </w:r>
      <w:r w:rsidR="00D81E54" w:rsidRPr="00065E56">
        <w:rPr>
          <w:rFonts w:ascii="Times New Roman" w:hAnsi="Times New Roman" w:cs="Times New Roman"/>
          <w:i/>
          <w:iCs/>
        </w:rPr>
        <w:t>Survey Statements from Question 7</w:t>
      </w:r>
    </w:p>
    <w:p w14:paraId="510A39FD" w14:textId="2AF63420" w:rsidR="00D81E54" w:rsidRPr="00065E56" w:rsidRDefault="00D81E54" w:rsidP="00D81E54">
      <w:pPr>
        <w:rPr>
          <w:rFonts w:ascii="Times New Roman" w:hAnsi="Times New Roman" w:cs="Times New Roman"/>
        </w:rPr>
      </w:pPr>
    </w:p>
    <w:p w14:paraId="105F880A" w14:textId="77777777" w:rsidR="00D81E54" w:rsidRPr="00065E56" w:rsidRDefault="00D81E54" w:rsidP="00D81E54">
      <w:pPr>
        <w:rPr>
          <w:rFonts w:ascii="Times New Roman" w:hAnsi="Times New Roman" w:cs="Times New Roman"/>
          <w:sz w:val="22"/>
          <w:szCs w:val="22"/>
        </w:rPr>
      </w:pPr>
      <w:r w:rsidRPr="00065E56">
        <w:rPr>
          <w:rFonts w:ascii="Times New Roman" w:hAnsi="Times New Roman" w:cs="Times New Roman"/>
          <w:i/>
          <w:iCs/>
          <w:sz w:val="22"/>
          <w:szCs w:val="22"/>
        </w:rPr>
        <w:t xml:space="preserve"> Note</w:t>
      </w:r>
      <w:r w:rsidRPr="00065E56">
        <w:rPr>
          <w:rFonts w:ascii="Times New Roman" w:hAnsi="Times New Roman" w:cs="Times New Roman"/>
          <w:sz w:val="22"/>
          <w:szCs w:val="22"/>
        </w:rPr>
        <w:t xml:space="preserve">. Additional statements for evaluation derived from the focus group transcript. These statements correspond to Q7 of the survey (See Appendix B). </w:t>
      </w:r>
    </w:p>
    <w:p w14:paraId="3BF2950A" w14:textId="77777777" w:rsidR="00D81E54" w:rsidRPr="00065E56" w:rsidRDefault="00D81E54" w:rsidP="00D81E54">
      <w:pPr>
        <w:rPr>
          <w:rFonts w:ascii="Times New Roman" w:hAnsi="Times New Roman" w:cs="Times New Roman"/>
        </w:rPr>
      </w:pPr>
    </w:p>
    <w:p w14:paraId="644C7D51" w14:textId="05316825" w:rsidR="00D81E54" w:rsidRPr="00065E56" w:rsidRDefault="00D81E54" w:rsidP="00D81E54">
      <w:pPr>
        <w:spacing w:line="480" w:lineRule="auto"/>
        <w:rPr>
          <w:rFonts w:ascii="Times New Roman" w:hAnsi="Times New Roman" w:cs="Times New Roman"/>
        </w:rPr>
      </w:pPr>
      <w:r w:rsidRPr="00065E56">
        <w:rPr>
          <w:rFonts w:ascii="Times New Roman" w:hAnsi="Times New Roman" w:cs="Times New Roman"/>
        </w:rPr>
        <w:tab/>
        <w:t xml:space="preserve">Figure </w:t>
      </w:r>
      <w:r w:rsidR="00C817E1" w:rsidRPr="00065E56">
        <w:rPr>
          <w:rFonts w:ascii="Times New Roman" w:hAnsi="Times New Roman" w:cs="Times New Roman"/>
        </w:rPr>
        <w:t>6</w:t>
      </w:r>
      <w:r w:rsidRPr="00065E56">
        <w:rPr>
          <w:rFonts w:ascii="Times New Roman" w:hAnsi="Times New Roman" w:cs="Times New Roman"/>
        </w:rPr>
        <w:t xml:space="preserve"> is a list of </w:t>
      </w:r>
      <w:r w:rsidR="00C817E1" w:rsidRPr="00065E56">
        <w:rPr>
          <w:rFonts w:ascii="Times New Roman" w:hAnsi="Times New Roman" w:cs="Times New Roman"/>
        </w:rPr>
        <w:t>four</w:t>
      </w:r>
      <w:r w:rsidRPr="00065E56">
        <w:rPr>
          <w:rFonts w:ascii="Times New Roman" w:hAnsi="Times New Roman" w:cs="Times New Roman"/>
        </w:rPr>
        <w:t xml:space="preserve"> additional statements derived from student comments during the focus group. The last statement ‘Studying from a three-dimensional online atlas is just as good as studying from physical models’ was constructed by the researcher after two students in the focus group disagreed on the need for physical models. Figure </w:t>
      </w:r>
      <w:r w:rsidR="00C817E1" w:rsidRPr="00065E56">
        <w:rPr>
          <w:rFonts w:ascii="Times New Roman" w:hAnsi="Times New Roman" w:cs="Times New Roman"/>
        </w:rPr>
        <w:t>7</w:t>
      </w:r>
      <w:r w:rsidRPr="00065E56">
        <w:rPr>
          <w:rFonts w:ascii="Times New Roman" w:hAnsi="Times New Roman" w:cs="Times New Roman"/>
        </w:rPr>
        <w:t xml:space="preserve"> is a list of yes/no questions generated by the researcher after a few students in the focus group stated they had bought a skull model to learn the osteology of the head. No students suggested that the university should provide models during remote learning; the second question was included by the researcher as a follow-up to the first question. Figure </w:t>
      </w:r>
      <w:r w:rsidR="00C817E1" w:rsidRPr="00065E56">
        <w:rPr>
          <w:rFonts w:ascii="Times New Roman" w:hAnsi="Times New Roman" w:cs="Times New Roman"/>
        </w:rPr>
        <w:t>8</w:t>
      </w:r>
      <w:r w:rsidRPr="00065E56">
        <w:rPr>
          <w:rFonts w:ascii="Times New Roman" w:hAnsi="Times New Roman" w:cs="Times New Roman"/>
        </w:rPr>
        <w:t xml:space="preserve"> lists the last grouping of statements, and all were directly derived from students during the focus group. </w:t>
      </w:r>
    </w:p>
    <w:p w14:paraId="38F88C1C" w14:textId="77777777" w:rsidR="00484EE2" w:rsidRDefault="00484EE2" w:rsidP="00D81E54">
      <w:pPr>
        <w:rPr>
          <w:rFonts w:ascii="Times New Roman" w:hAnsi="Times New Roman" w:cs="Times New Roman"/>
          <w:b/>
          <w:bCs/>
        </w:rPr>
      </w:pPr>
    </w:p>
    <w:p w14:paraId="260CF253" w14:textId="77777777" w:rsidR="00484EE2" w:rsidRDefault="00484EE2" w:rsidP="00D81E54">
      <w:pPr>
        <w:rPr>
          <w:rFonts w:ascii="Times New Roman" w:hAnsi="Times New Roman" w:cs="Times New Roman"/>
          <w:b/>
          <w:bCs/>
        </w:rPr>
      </w:pPr>
    </w:p>
    <w:p w14:paraId="2ECAA2F1" w14:textId="77777777" w:rsidR="00484EE2" w:rsidRDefault="00484EE2" w:rsidP="00D81E54">
      <w:pPr>
        <w:rPr>
          <w:rFonts w:ascii="Times New Roman" w:hAnsi="Times New Roman" w:cs="Times New Roman"/>
          <w:b/>
          <w:bCs/>
        </w:rPr>
      </w:pPr>
    </w:p>
    <w:p w14:paraId="657080B6" w14:textId="59B924EE" w:rsidR="00D81E54" w:rsidRPr="00065E56" w:rsidRDefault="00D81E54" w:rsidP="00D81E54">
      <w:pPr>
        <w:rPr>
          <w:rFonts w:ascii="Times New Roman" w:hAnsi="Times New Roman" w:cs="Times New Roman"/>
          <w:b/>
          <w:bCs/>
        </w:rPr>
      </w:pPr>
      <w:r w:rsidRPr="00065E56">
        <w:rPr>
          <w:rFonts w:ascii="Times New Roman" w:hAnsi="Times New Roman" w:cs="Times New Roman"/>
          <w:b/>
          <w:bCs/>
        </w:rPr>
        <w:t xml:space="preserve">Figure </w:t>
      </w:r>
      <w:r w:rsidR="00C817E1" w:rsidRPr="00065E56">
        <w:rPr>
          <w:rFonts w:ascii="Times New Roman" w:hAnsi="Times New Roman" w:cs="Times New Roman"/>
          <w:b/>
          <w:bCs/>
        </w:rPr>
        <w:t>7</w:t>
      </w:r>
    </w:p>
    <w:p w14:paraId="2806C2BA" w14:textId="77777777" w:rsidR="00D81E54" w:rsidRPr="00065E56" w:rsidRDefault="00D81E54" w:rsidP="00D81E54">
      <w:pPr>
        <w:rPr>
          <w:rFonts w:ascii="Times New Roman" w:hAnsi="Times New Roman" w:cs="Times New Roman"/>
        </w:rPr>
      </w:pPr>
    </w:p>
    <w:p w14:paraId="26690FAC" w14:textId="77777777" w:rsidR="00D81E54" w:rsidRPr="00065E56" w:rsidRDefault="00D81E54" w:rsidP="00D81E54">
      <w:pPr>
        <w:rPr>
          <w:rFonts w:ascii="Times New Roman" w:hAnsi="Times New Roman" w:cs="Times New Roman"/>
          <w:i/>
          <w:iCs/>
        </w:rPr>
      </w:pPr>
      <w:r w:rsidRPr="00065E56">
        <w:rPr>
          <w:rFonts w:ascii="Times New Roman" w:hAnsi="Times New Roman" w:cs="Times New Roman"/>
          <w:i/>
          <w:iCs/>
        </w:rPr>
        <w:t>Survey Questions Regarding Models</w:t>
      </w:r>
    </w:p>
    <w:p w14:paraId="278AF282" w14:textId="77777777" w:rsidR="00D81E54" w:rsidRPr="00065E56" w:rsidRDefault="00D81E54" w:rsidP="00D81E54">
      <w:pPr>
        <w:rPr>
          <w:rFonts w:ascii="Times New Roman" w:hAnsi="Times New Roman" w:cs="Times New Roman"/>
        </w:rPr>
      </w:pPr>
      <w:r w:rsidRPr="00065E56">
        <w:rPr>
          <w:rFonts w:ascii="Times New Roman" w:hAnsi="Times New Roman" w:cs="Times New Roman"/>
          <w:noProof/>
        </w:rPr>
        <mc:AlternateContent>
          <mc:Choice Requires="wps">
            <w:drawing>
              <wp:anchor distT="0" distB="0" distL="114300" distR="114300" simplePos="0" relativeHeight="251669504" behindDoc="0" locked="0" layoutInCell="1" allowOverlap="1" wp14:anchorId="46F998C6" wp14:editId="488426E9">
                <wp:simplePos x="0" y="0"/>
                <wp:positionH relativeFrom="column">
                  <wp:posOffset>-8020</wp:posOffset>
                </wp:positionH>
                <wp:positionV relativeFrom="paragraph">
                  <wp:posOffset>166704</wp:posOffset>
                </wp:positionV>
                <wp:extent cx="5855368" cy="510988"/>
                <wp:effectExtent l="0" t="0" r="12065" b="10160"/>
                <wp:wrapNone/>
                <wp:docPr id="16" name="Text Box 16"/>
                <wp:cNvGraphicFramePr/>
                <a:graphic xmlns:a="http://schemas.openxmlformats.org/drawingml/2006/main">
                  <a:graphicData uri="http://schemas.microsoft.com/office/word/2010/wordprocessingShape">
                    <wps:wsp>
                      <wps:cNvSpPr txBox="1"/>
                      <wps:spPr>
                        <a:xfrm>
                          <a:off x="0" y="0"/>
                          <a:ext cx="5855368" cy="510988"/>
                        </a:xfrm>
                        <a:prstGeom prst="rect">
                          <a:avLst/>
                        </a:prstGeom>
                        <a:solidFill>
                          <a:schemeClr val="lt1"/>
                        </a:solidFill>
                        <a:ln w="6350">
                          <a:solidFill>
                            <a:prstClr val="black"/>
                          </a:solidFill>
                        </a:ln>
                      </wps:spPr>
                      <wps:txbx>
                        <w:txbxContent>
                          <w:p w14:paraId="6EB78857" w14:textId="77777777" w:rsidR="001C607A" w:rsidRDefault="001C607A" w:rsidP="00D81E54">
                            <w:r>
                              <w:t>I bought my own model(s) for this course.  Yes or No</w:t>
                            </w:r>
                          </w:p>
                          <w:p w14:paraId="11F676AE" w14:textId="77777777" w:rsidR="001C607A" w:rsidRDefault="001C607A" w:rsidP="00D81E54">
                            <w:r>
                              <w:t>Models should be provided by the university for online laboratory courses. Yes or No</w:t>
                            </w:r>
                          </w:p>
                          <w:p w14:paraId="3733BB77" w14:textId="77777777" w:rsidR="001C607A" w:rsidRDefault="001C607A" w:rsidP="00D81E5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F998C6" id="Text Box 16" o:spid="_x0000_s1035" type="#_x0000_t202" style="position:absolute;margin-left:-.65pt;margin-top:13.15pt;width:461.05pt;height:40.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72KhUAIAAKoEAAAOAAAAZHJzL2Uyb0RvYy54bWysVMFuGjEQvVfqP1i+NwsEKCCWiBKlqhQl&#13;&#10;kZIqZ+P1wqpej2sbdtOv77MXCEl7qnox45m3zzNvZphftbVme+V8RSbn/YseZ8pIKiqzyfn3p5tP&#13;&#10;E858EKYQmozK+Yvy/Grx8cO8sTM1oC3pQjkGEuNnjc35NgQ7yzIvt6oW/oKsMgiW5GoRcHWbrHCi&#13;&#10;AXuts0GvN84acoV1JJX38F53Qb5I/GWpZLgvS68C0zlHbiGdLp3reGaLuZhtnLDbSh7SEP+QRS0q&#13;&#10;g0dPVNciCLZz1R9UdSUdeSrDhaQ6o7KspEo1oJp+7101j1thVaoF4nh7ksn/P1p5t39wrCrQuzFn&#13;&#10;RtTo0ZNqA/tCLYML+jTWzwB7tACGFn5gj34PZyy7LV0df1EQQxxKv5zUjWwSztFkNLocYx4kYqN+&#13;&#10;bzqZRJrs9WvrfPiqqGbRyLlD95KoYn/rQwc9QuJjnnRV3FRap0ucGLXSju0Feq1DyhHkb1DasCbn&#13;&#10;48tRLxG/iUXq0/drLeSPQ3pnKPBpg5yjJl3t0Qrtuk0aTo+6rKl4gVyOuoHzVt5UoL8VPjwIhwmD&#13;&#10;QtiacI+j1ISc6GBxtiX362/+iEfjEeWswcTm3P/cCac4098MRmLaHw7jiKfLcPR5gIs7j6zPI2ZX&#13;&#10;rwhC9bGfViYz4oM+mqWj+hnLtYyvIiSMxNs5D0dzFbo9wnJKtVwmEIbainBrHq2M1LExUdan9lk4&#13;&#10;e2hrwEDc0XG2xexddzts/NLQcheorFLro86dqgf5sRBpeA7LGzfu/J5Qr38xi98AAAD//wMAUEsD&#13;&#10;BBQABgAIAAAAIQBzCwcp3wAAAA4BAAAPAAAAZHJzL2Rvd25yZXYueG1sTE89T8MwEN2R+A/WVWJr&#13;&#10;7QYpStM4VYHCwkRBzG58tS1iO4rdNPx7jgmWO53eu/fR7GbfswnH5GKQsF4JYBi6qF0wEj7en5cV&#13;&#10;sJRV0KqPASV8Y4Jde3vTqFrHa3jD6ZgNI5GQaiXB5jzUnKfOoldpFQcMhJ3j6FWmczRcj+pK4r7n&#13;&#10;hRAl98oFcrBqwEeL3dfx4iUcHszGdJUa7aHSzk3z5/nVvEh5t5iftjT2W2AZ5/z3Ab8dKD+0FOwU&#13;&#10;L0En1ktYru+JKaEoaRO+KQT1ORFRlBXwtuH/a7Q/AAAA//8DAFBLAQItABQABgAIAAAAIQC2gziS&#13;&#10;/gAAAOEBAAATAAAAAAAAAAAAAAAAAAAAAABbQ29udGVudF9UeXBlc10ueG1sUEsBAi0AFAAGAAgA&#13;&#10;AAAhADj9If/WAAAAlAEAAAsAAAAAAAAAAAAAAAAALwEAAF9yZWxzLy5yZWxzUEsBAi0AFAAGAAgA&#13;&#10;AAAhAFnvYqFQAgAAqgQAAA4AAAAAAAAAAAAAAAAALgIAAGRycy9lMm9Eb2MueG1sUEsBAi0AFAAG&#13;&#10;AAgAAAAhAHMLBynfAAAADgEAAA8AAAAAAAAAAAAAAAAAqgQAAGRycy9kb3ducmV2LnhtbFBLBQYA&#13;&#10;AAAABAAEAPMAAAC2BQAAAAA=&#13;&#10;" fillcolor="white [3201]" strokeweight=".5pt">
                <v:textbox>
                  <w:txbxContent>
                    <w:p w14:paraId="6EB78857" w14:textId="77777777" w:rsidR="001C607A" w:rsidRDefault="001C607A" w:rsidP="00D81E54">
                      <w:r>
                        <w:t>I bought my own model(s) for this course.  Yes or No</w:t>
                      </w:r>
                    </w:p>
                    <w:p w14:paraId="11F676AE" w14:textId="77777777" w:rsidR="001C607A" w:rsidRDefault="001C607A" w:rsidP="00D81E54">
                      <w:r>
                        <w:t>Models should be provided by the university for online laboratory courses. Yes or No</w:t>
                      </w:r>
                    </w:p>
                    <w:p w14:paraId="3733BB77" w14:textId="77777777" w:rsidR="001C607A" w:rsidRDefault="001C607A" w:rsidP="00D81E54"/>
                  </w:txbxContent>
                </v:textbox>
              </v:shape>
            </w:pict>
          </mc:Fallback>
        </mc:AlternateContent>
      </w:r>
    </w:p>
    <w:p w14:paraId="18862179" w14:textId="77777777" w:rsidR="00D81E54" w:rsidRPr="00065E56" w:rsidRDefault="00D81E54" w:rsidP="00D81E54">
      <w:pPr>
        <w:rPr>
          <w:rFonts w:ascii="Times New Roman" w:hAnsi="Times New Roman" w:cs="Times New Roman"/>
        </w:rPr>
      </w:pPr>
    </w:p>
    <w:p w14:paraId="6CBED3EE" w14:textId="77777777" w:rsidR="00D81E54" w:rsidRPr="00065E56" w:rsidRDefault="00D81E54" w:rsidP="00D81E54">
      <w:pPr>
        <w:rPr>
          <w:rFonts w:ascii="Times New Roman" w:hAnsi="Times New Roman" w:cs="Times New Roman"/>
        </w:rPr>
      </w:pPr>
    </w:p>
    <w:p w14:paraId="6FD53B68" w14:textId="77777777" w:rsidR="00D81E54" w:rsidRPr="00065E56" w:rsidRDefault="00D81E54" w:rsidP="00D81E54">
      <w:pPr>
        <w:rPr>
          <w:rFonts w:ascii="Times New Roman" w:hAnsi="Times New Roman" w:cs="Times New Roman"/>
        </w:rPr>
      </w:pPr>
    </w:p>
    <w:p w14:paraId="6254FEFD" w14:textId="77777777" w:rsidR="00D81E54" w:rsidRPr="00065E56" w:rsidRDefault="00D81E54" w:rsidP="00D81E54">
      <w:pPr>
        <w:rPr>
          <w:rFonts w:ascii="Times New Roman" w:hAnsi="Times New Roman" w:cs="Times New Roman"/>
          <w:sz w:val="22"/>
          <w:szCs w:val="22"/>
        </w:rPr>
      </w:pPr>
      <w:r w:rsidRPr="00065E56">
        <w:rPr>
          <w:rFonts w:ascii="Times New Roman" w:hAnsi="Times New Roman" w:cs="Times New Roman"/>
          <w:i/>
          <w:iCs/>
          <w:sz w:val="22"/>
          <w:szCs w:val="22"/>
        </w:rPr>
        <w:t>Note</w:t>
      </w:r>
      <w:r w:rsidRPr="00065E56">
        <w:rPr>
          <w:rFonts w:ascii="Times New Roman" w:hAnsi="Times New Roman" w:cs="Times New Roman"/>
          <w:sz w:val="22"/>
          <w:szCs w:val="22"/>
        </w:rPr>
        <w:t xml:space="preserve">. Statements regarding the use of models during remote learning. These questions correspond to questions 8 and 9 (Q8, Q9) in the survey. </w:t>
      </w:r>
    </w:p>
    <w:p w14:paraId="07E56593" w14:textId="77777777" w:rsidR="00D81E54" w:rsidRPr="00065E56" w:rsidRDefault="00D81E54" w:rsidP="00D81E54">
      <w:pPr>
        <w:rPr>
          <w:rFonts w:ascii="Times New Roman" w:hAnsi="Times New Roman" w:cs="Times New Roman"/>
          <w:sz w:val="22"/>
          <w:szCs w:val="22"/>
        </w:rPr>
      </w:pPr>
    </w:p>
    <w:p w14:paraId="033961FD" w14:textId="77777777" w:rsidR="002B07C7" w:rsidRDefault="002B07C7" w:rsidP="00D81E54">
      <w:pPr>
        <w:rPr>
          <w:rFonts w:ascii="Times New Roman" w:hAnsi="Times New Roman" w:cs="Times New Roman"/>
          <w:b/>
          <w:bCs/>
        </w:rPr>
      </w:pPr>
    </w:p>
    <w:p w14:paraId="44850D7C" w14:textId="77777777" w:rsidR="002B07C7" w:rsidRDefault="002B07C7" w:rsidP="00D81E54">
      <w:pPr>
        <w:rPr>
          <w:rFonts w:ascii="Times New Roman" w:hAnsi="Times New Roman" w:cs="Times New Roman"/>
          <w:b/>
          <w:bCs/>
        </w:rPr>
      </w:pPr>
    </w:p>
    <w:p w14:paraId="570FC2E4" w14:textId="77777777" w:rsidR="002B07C7" w:rsidRDefault="002B07C7" w:rsidP="00D81E54">
      <w:pPr>
        <w:rPr>
          <w:rFonts w:ascii="Times New Roman" w:hAnsi="Times New Roman" w:cs="Times New Roman"/>
          <w:b/>
          <w:bCs/>
        </w:rPr>
      </w:pPr>
    </w:p>
    <w:p w14:paraId="0676795E" w14:textId="3F631454" w:rsidR="00D81E54" w:rsidRPr="00065E56" w:rsidRDefault="00D81E54" w:rsidP="00D81E54">
      <w:pPr>
        <w:rPr>
          <w:rFonts w:ascii="Times New Roman" w:hAnsi="Times New Roman" w:cs="Times New Roman"/>
          <w:b/>
          <w:bCs/>
        </w:rPr>
      </w:pPr>
      <w:r w:rsidRPr="00065E56">
        <w:rPr>
          <w:rFonts w:ascii="Times New Roman" w:hAnsi="Times New Roman" w:cs="Times New Roman"/>
          <w:b/>
          <w:bCs/>
        </w:rPr>
        <w:t xml:space="preserve">Figure </w:t>
      </w:r>
      <w:r w:rsidR="00C817E1" w:rsidRPr="00065E56">
        <w:rPr>
          <w:rFonts w:ascii="Times New Roman" w:hAnsi="Times New Roman" w:cs="Times New Roman"/>
          <w:b/>
          <w:bCs/>
        </w:rPr>
        <w:t>8</w:t>
      </w:r>
    </w:p>
    <w:p w14:paraId="0A1AD123" w14:textId="77777777" w:rsidR="00D81E54" w:rsidRPr="00065E56" w:rsidRDefault="00D81E54" w:rsidP="00D81E54">
      <w:pPr>
        <w:rPr>
          <w:rFonts w:ascii="Times New Roman" w:hAnsi="Times New Roman" w:cs="Times New Roman"/>
        </w:rPr>
      </w:pPr>
    </w:p>
    <w:p w14:paraId="41D5D1DB" w14:textId="77777777" w:rsidR="00D81E54" w:rsidRPr="00065E56" w:rsidRDefault="00D81E54" w:rsidP="00D81E54">
      <w:pPr>
        <w:rPr>
          <w:rFonts w:ascii="Times New Roman" w:hAnsi="Times New Roman" w:cs="Times New Roman"/>
          <w:i/>
          <w:iCs/>
        </w:rPr>
      </w:pPr>
      <w:r w:rsidRPr="00065E56">
        <w:rPr>
          <w:rFonts w:ascii="Times New Roman" w:hAnsi="Times New Roman" w:cs="Times New Roman"/>
          <w:i/>
          <w:iCs/>
        </w:rPr>
        <w:t>Survey Statements from Question 10</w:t>
      </w:r>
    </w:p>
    <w:p w14:paraId="42E0837E" w14:textId="77777777" w:rsidR="00D81E54" w:rsidRPr="00065E56" w:rsidRDefault="00D81E54" w:rsidP="00D81E54">
      <w:pPr>
        <w:rPr>
          <w:rFonts w:ascii="Times New Roman" w:hAnsi="Times New Roman" w:cs="Times New Roman"/>
        </w:rPr>
      </w:pPr>
      <w:r w:rsidRPr="00065E56">
        <w:rPr>
          <w:rFonts w:ascii="Times New Roman" w:hAnsi="Times New Roman" w:cs="Times New Roman"/>
          <w:noProof/>
        </w:rPr>
        <mc:AlternateContent>
          <mc:Choice Requires="wps">
            <w:drawing>
              <wp:anchor distT="0" distB="0" distL="114300" distR="114300" simplePos="0" relativeHeight="251670528" behindDoc="0" locked="0" layoutInCell="1" allowOverlap="1" wp14:anchorId="337C1E5B" wp14:editId="5AB84798">
                <wp:simplePos x="0" y="0"/>
                <wp:positionH relativeFrom="column">
                  <wp:posOffset>-8020</wp:posOffset>
                </wp:positionH>
                <wp:positionV relativeFrom="paragraph">
                  <wp:posOffset>93044</wp:posOffset>
                </wp:positionV>
                <wp:extent cx="5991726" cy="1430020"/>
                <wp:effectExtent l="0" t="0" r="15875" b="17780"/>
                <wp:wrapNone/>
                <wp:docPr id="17" name="Text Box 17"/>
                <wp:cNvGraphicFramePr/>
                <a:graphic xmlns:a="http://schemas.openxmlformats.org/drawingml/2006/main">
                  <a:graphicData uri="http://schemas.microsoft.com/office/word/2010/wordprocessingShape">
                    <wps:wsp>
                      <wps:cNvSpPr txBox="1"/>
                      <wps:spPr>
                        <a:xfrm>
                          <a:off x="0" y="0"/>
                          <a:ext cx="5991726" cy="1430020"/>
                        </a:xfrm>
                        <a:prstGeom prst="rect">
                          <a:avLst/>
                        </a:prstGeom>
                        <a:solidFill>
                          <a:schemeClr val="lt1"/>
                        </a:solidFill>
                        <a:ln w="6350">
                          <a:solidFill>
                            <a:prstClr val="black"/>
                          </a:solidFill>
                        </a:ln>
                      </wps:spPr>
                      <wps:txbx>
                        <w:txbxContent>
                          <w:p w14:paraId="10E489D3" w14:textId="4ACA112A" w:rsidR="001C607A" w:rsidRDefault="001C607A" w:rsidP="00D81E54">
                            <w:r>
                              <w:t xml:space="preserve">Undergraduate cadaveric anatomy contributed to my three-dimensional understanding of a </w:t>
                            </w:r>
                            <w:r w:rsidR="00704DAA">
                              <w:tab/>
                            </w:r>
                            <w:r>
                              <w:t>human body in this course.</w:t>
                            </w:r>
                          </w:p>
                          <w:p w14:paraId="2A8830AE" w14:textId="77777777" w:rsidR="001C607A" w:rsidRPr="003A5DA4" w:rsidRDefault="001C607A" w:rsidP="00D81E54">
                            <w:r>
                              <w:t>Activities that integrate lab and lecture knowledge would have contributed to my learning.</w:t>
                            </w:r>
                          </w:p>
                          <w:p w14:paraId="45C0528F" w14:textId="77777777" w:rsidR="001C607A" w:rsidRDefault="001C607A" w:rsidP="00D81E54">
                            <w:r>
                              <w:t xml:space="preserve">While </w:t>
                            </w:r>
                            <w:r w:rsidRPr="003A5DA4">
                              <w:t xml:space="preserve">my grades are </w:t>
                            </w:r>
                            <w:r>
                              <w:t>acceptable</w:t>
                            </w:r>
                            <w:r w:rsidRPr="003A5DA4">
                              <w:t>, I’m not sure how well I understand anatomy.</w:t>
                            </w:r>
                          </w:p>
                          <w:p w14:paraId="7E2C1F7F" w14:textId="77777777" w:rsidR="001C607A" w:rsidRDefault="001C607A" w:rsidP="00D81E54">
                            <w:r>
                              <w:t>I would like cadaveric review lab time in future classes.</w:t>
                            </w:r>
                          </w:p>
                          <w:p w14:paraId="7DC14C62" w14:textId="04F51F9A" w:rsidR="001C607A" w:rsidRDefault="001C607A" w:rsidP="00D81E54">
                            <w:r>
                              <w:t xml:space="preserve">Reviewing relevant anatomy on a cadaver in future classes would help me visualize </w:t>
                            </w:r>
                            <w:r w:rsidR="00704DAA">
                              <w:tab/>
                            </w:r>
                            <w:r>
                              <w:t>anatomical relationships for the whole body.</w:t>
                            </w:r>
                          </w:p>
                          <w:p w14:paraId="7B9C588A" w14:textId="77777777" w:rsidR="001C607A" w:rsidRDefault="001C607A" w:rsidP="00D81E5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7C1E5B" id="Text Box 17" o:spid="_x0000_s1036" type="#_x0000_t202" style="position:absolute;margin-left:-.65pt;margin-top:7.35pt;width:471.8pt;height:112.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OxbUAIAAKwEAAAOAAAAZHJzL2Uyb0RvYy54bWysVMlu2zAQvRfoPxC815Id26mNyIHrwEWB&#13;&#10;IAkQFznTFBULpTgsSVtyv76P9JKlPRW9ULPxcebNjK6uu0aznXK+JlPwfi/nTBlJZW2eC/59tfz0&#13;&#10;mTMfhCmFJqMKvleeX88+frhq7VQNaEO6VI4BxPhpawu+CcFOs8zLjWqE75FVBs6KXCMCVPeclU60&#13;&#10;QG90NsjzcdaSK60jqbyH9ebg5LOEX1VKhvuq8iowXXDkFtLp0rmOZza7EtNnJ+ymlsc0xD9k0Yja&#13;&#10;4NEz1I0Igm1d/QdUU0tHnqrQk9RkVFW1VKkGVNPP31XzuBFWpVpAjrdnmvz/g5V3uwfH6hK9u+TM&#13;&#10;iAY9WqkusC/UMZjAT2v9FGGPFoGhgx2xJ7uHMZbdVa6JXxTE4AfT+zO7EU3COJpM+peDMWcSvv7w&#13;&#10;Is8Hif/s5bp1PnxV1LAoFNyhfYlVsbv1Aakg9BQSX/Ok63JZa52UODJqoR3bCTRbh5QkbryJ0oa1&#13;&#10;BR9fjPIE/MYXoc/311rIH7HMtwjQtIExknIoPkqhW3cHElNF0bSmcg/CHB1Gzlu5rIF/K3x4EA4z&#13;&#10;Bo6wN+EeR6UJSdFR4mxD7tff7DEerYeXsxYzW3D/cyuc4kx/MxiKSX84jEOelOHoEvwy99qzfu0x&#13;&#10;22ZBYKqPDbUyiTE+6JNYOWqesF7z+Cpcwki8XfBwEhfhsElYT6nm8xSEsbYi3JpHKyN07EzkddU9&#13;&#10;CWePfQ0YiTs6TbeYvmvvITbeNDTfBqrq1PsXVo/8YyVSe47rG3futZ6iXn4ys98AAAD//wMAUEsD&#13;&#10;BBQABgAIAAAAIQDfdIj94AAAAA4BAAAPAAAAZHJzL2Rvd25yZXYueG1sTE/LTsMwELwj8Q/WInFr&#13;&#10;naYVJGmcikfh0hMF9ezGrm01Xkexm4a/ZznBZaWd2Z1HvZl8x0Y9RBdQwGKeAdPYBuXQCPj6fJsV&#13;&#10;wGKSqGQXUAv41hE2ze1NLSsVrvihx30yjEQwVlKATamvOI+t1V7Geeg1EncKg5eJ1sFwNcgrifuO&#13;&#10;51n2wL10SA5W9vrF6va8v3gB22dTmraQg90WyrlxOpx25l2I+7vpdU3jaQ0s6Sn9fcBvB8oPDQU7&#13;&#10;hguqyDoBs8WSLglfPQIjvlzlBBwF5MuyBN7U/H+N5gcAAP//AwBQSwECLQAUAAYACAAAACEAtoM4&#13;&#10;kv4AAADhAQAAEwAAAAAAAAAAAAAAAAAAAAAAW0NvbnRlbnRfVHlwZXNdLnhtbFBLAQItABQABgAI&#13;&#10;AAAAIQA4/SH/1gAAAJQBAAALAAAAAAAAAAAAAAAAAC8BAABfcmVscy8ucmVsc1BLAQItABQABgAI&#13;&#10;AAAAIQC8/OxbUAIAAKwEAAAOAAAAAAAAAAAAAAAAAC4CAABkcnMvZTJvRG9jLnhtbFBLAQItABQA&#13;&#10;BgAIAAAAIQDfdIj94AAAAA4BAAAPAAAAAAAAAAAAAAAAAKoEAABkcnMvZG93bnJldi54bWxQSwUG&#13;&#10;AAAAAAQABADzAAAAtwUAAAAA&#13;&#10;" fillcolor="white [3201]" strokeweight=".5pt">
                <v:textbox>
                  <w:txbxContent>
                    <w:p w14:paraId="10E489D3" w14:textId="4ACA112A" w:rsidR="001C607A" w:rsidRDefault="001C607A" w:rsidP="00D81E54">
                      <w:r>
                        <w:t xml:space="preserve">Undergraduate cadaveric anatomy contributed to my three-dimensional understanding of a </w:t>
                      </w:r>
                      <w:r w:rsidR="00704DAA">
                        <w:tab/>
                      </w:r>
                      <w:r>
                        <w:t>human body in this course.</w:t>
                      </w:r>
                    </w:p>
                    <w:p w14:paraId="2A8830AE" w14:textId="77777777" w:rsidR="001C607A" w:rsidRPr="003A5DA4" w:rsidRDefault="001C607A" w:rsidP="00D81E54">
                      <w:r>
                        <w:t>Activities that integrate lab and lecture knowledge would have contributed to my learning.</w:t>
                      </w:r>
                    </w:p>
                    <w:p w14:paraId="45C0528F" w14:textId="77777777" w:rsidR="001C607A" w:rsidRDefault="001C607A" w:rsidP="00D81E54">
                      <w:r>
                        <w:t xml:space="preserve">While </w:t>
                      </w:r>
                      <w:r w:rsidRPr="003A5DA4">
                        <w:t xml:space="preserve">my grades are </w:t>
                      </w:r>
                      <w:r>
                        <w:t>acceptable</w:t>
                      </w:r>
                      <w:r w:rsidRPr="003A5DA4">
                        <w:t>, I’m not sure how well I understand anatomy.</w:t>
                      </w:r>
                    </w:p>
                    <w:p w14:paraId="7E2C1F7F" w14:textId="77777777" w:rsidR="001C607A" w:rsidRDefault="001C607A" w:rsidP="00D81E54">
                      <w:r>
                        <w:t>I would like cadaveric review lab time in future classes.</w:t>
                      </w:r>
                    </w:p>
                    <w:p w14:paraId="7DC14C62" w14:textId="04F51F9A" w:rsidR="001C607A" w:rsidRDefault="001C607A" w:rsidP="00D81E54">
                      <w:r>
                        <w:t xml:space="preserve">Reviewing relevant anatomy on a cadaver in future classes would help me visualize </w:t>
                      </w:r>
                      <w:r w:rsidR="00704DAA">
                        <w:tab/>
                      </w:r>
                      <w:r>
                        <w:t>anatomical relationships for the whole body.</w:t>
                      </w:r>
                    </w:p>
                    <w:p w14:paraId="7B9C588A" w14:textId="77777777" w:rsidR="001C607A" w:rsidRDefault="001C607A" w:rsidP="00D81E54"/>
                  </w:txbxContent>
                </v:textbox>
              </v:shape>
            </w:pict>
          </mc:Fallback>
        </mc:AlternateContent>
      </w:r>
    </w:p>
    <w:p w14:paraId="3A2156CF" w14:textId="77777777" w:rsidR="00D81E54" w:rsidRPr="00065E56" w:rsidRDefault="00D81E54" w:rsidP="00D81E54">
      <w:pPr>
        <w:rPr>
          <w:rFonts w:ascii="Times New Roman" w:hAnsi="Times New Roman" w:cs="Times New Roman"/>
        </w:rPr>
      </w:pPr>
    </w:p>
    <w:p w14:paraId="2C0C1B77" w14:textId="77777777" w:rsidR="00D81E54" w:rsidRPr="00065E56" w:rsidRDefault="00D81E54" w:rsidP="00D81E54">
      <w:pPr>
        <w:rPr>
          <w:rFonts w:ascii="Times New Roman" w:hAnsi="Times New Roman" w:cs="Times New Roman"/>
        </w:rPr>
      </w:pPr>
    </w:p>
    <w:p w14:paraId="67867D05" w14:textId="77777777" w:rsidR="00D81E54" w:rsidRPr="00065E56" w:rsidRDefault="00D81E54" w:rsidP="00D81E54">
      <w:pPr>
        <w:rPr>
          <w:rFonts w:ascii="Times New Roman" w:hAnsi="Times New Roman" w:cs="Times New Roman"/>
        </w:rPr>
      </w:pPr>
    </w:p>
    <w:p w14:paraId="2D770C06" w14:textId="77777777" w:rsidR="00D81E54" w:rsidRPr="00065E56" w:rsidRDefault="00D81E54" w:rsidP="00D81E54">
      <w:pPr>
        <w:rPr>
          <w:rFonts w:ascii="Times New Roman" w:hAnsi="Times New Roman" w:cs="Times New Roman"/>
        </w:rPr>
      </w:pPr>
    </w:p>
    <w:p w14:paraId="4B150889" w14:textId="77777777" w:rsidR="00D81E54" w:rsidRPr="00065E56" w:rsidRDefault="00D81E54" w:rsidP="00D81E54">
      <w:pPr>
        <w:rPr>
          <w:rFonts w:ascii="Times New Roman" w:hAnsi="Times New Roman" w:cs="Times New Roman"/>
        </w:rPr>
      </w:pPr>
    </w:p>
    <w:p w14:paraId="00F55F1E" w14:textId="77777777" w:rsidR="00D81E54" w:rsidRPr="00065E56" w:rsidRDefault="00D81E54" w:rsidP="00D81E54">
      <w:pPr>
        <w:rPr>
          <w:rFonts w:ascii="Times New Roman" w:hAnsi="Times New Roman" w:cs="Times New Roman"/>
        </w:rPr>
      </w:pPr>
    </w:p>
    <w:p w14:paraId="604EB23A" w14:textId="77777777" w:rsidR="00D81E54" w:rsidRPr="00065E56" w:rsidRDefault="00D81E54" w:rsidP="00D81E54">
      <w:pPr>
        <w:rPr>
          <w:rFonts w:ascii="Times New Roman" w:hAnsi="Times New Roman" w:cs="Times New Roman"/>
        </w:rPr>
      </w:pPr>
    </w:p>
    <w:p w14:paraId="46183AFB" w14:textId="77777777" w:rsidR="00D81E54" w:rsidRPr="00065E56" w:rsidRDefault="00D81E54" w:rsidP="00D81E54">
      <w:pPr>
        <w:rPr>
          <w:rFonts w:ascii="Times New Roman" w:hAnsi="Times New Roman" w:cs="Times New Roman"/>
        </w:rPr>
      </w:pPr>
    </w:p>
    <w:p w14:paraId="2A9B814E" w14:textId="7194524B" w:rsidR="00D81E54" w:rsidRPr="00065E56" w:rsidRDefault="00D81E54" w:rsidP="00D81E54">
      <w:pPr>
        <w:rPr>
          <w:rFonts w:ascii="Times New Roman" w:hAnsi="Times New Roman" w:cs="Times New Roman"/>
          <w:sz w:val="22"/>
          <w:szCs w:val="22"/>
        </w:rPr>
      </w:pPr>
      <w:r w:rsidRPr="00065E56">
        <w:rPr>
          <w:rFonts w:ascii="Times New Roman" w:hAnsi="Times New Roman" w:cs="Times New Roman"/>
          <w:i/>
          <w:iCs/>
          <w:sz w:val="22"/>
          <w:szCs w:val="22"/>
        </w:rPr>
        <w:t>Note</w:t>
      </w:r>
      <w:r w:rsidRPr="00065E56">
        <w:rPr>
          <w:rFonts w:ascii="Times New Roman" w:hAnsi="Times New Roman" w:cs="Times New Roman"/>
          <w:sz w:val="22"/>
          <w:szCs w:val="22"/>
        </w:rPr>
        <w:t>. The final grouping of statements w</w:t>
      </w:r>
      <w:r w:rsidR="00A851A5">
        <w:rPr>
          <w:rFonts w:ascii="Times New Roman" w:hAnsi="Times New Roman" w:cs="Times New Roman"/>
          <w:sz w:val="22"/>
          <w:szCs w:val="22"/>
        </w:rPr>
        <w:t>as</w:t>
      </w:r>
      <w:r w:rsidRPr="00065E56">
        <w:rPr>
          <w:rFonts w:ascii="Times New Roman" w:hAnsi="Times New Roman" w:cs="Times New Roman"/>
          <w:sz w:val="22"/>
          <w:szCs w:val="22"/>
        </w:rPr>
        <w:t xml:space="preserve"> derived directly from student statements transcribed from a focus group. These statements are question 10 (Q10) in the Qualtrics survey.</w:t>
      </w:r>
    </w:p>
    <w:p w14:paraId="2ABC6A2C" w14:textId="77777777" w:rsidR="00D81E54" w:rsidRPr="00065E56" w:rsidRDefault="00D81E54" w:rsidP="00D81E54">
      <w:pPr>
        <w:rPr>
          <w:rFonts w:ascii="Times New Roman" w:hAnsi="Times New Roman" w:cs="Times New Roman"/>
          <w:sz w:val="22"/>
          <w:szCs w:val="22"/>
        </w:rPr>
      </w:pPr>
    </w:p>
    <w:p w14:paraId="1941F5D9" w14:textId="25F8FC6F" w:rsidR="00D81E54" w:rsidRPr="00065E56" w:rsidRDefault="00D81E54" w:rsidP="00D81E54">
      <w:pPr>
        <w:pStyle w:val="NormalWeb"/>
        <w:spacing w:line="480" w:lineRule="auto"/>
        <w:rPr>
          <w:b/>
          <w:bCs/>
          <w:color w:val="000000" w:themeColor="text1"/>
        </w:rPr>
      </w:pPr>
      <w:r w:rsidRPr="00065E56">
        <w:rPr>
          <w:b/>
          <w:bCs/>
          <w:color w:val="000000" w:themeColor="text1"/>
        </w:rPr>
        <w:tab/>
        <w:t xml:space="preserve">Validity. </w:t>
      </w:r>
      <w:r w:rsidRPr="00065E56">
        <w:rPr>
          <w:color w:val="000000" w:themeColor="text1"/>
        </w:rPr>
        <w:t xml:space="preserve">Validation is the process of establishing an evidence-based justification for the uses of assessments </w:t>
      </w:r>
      <w:r w:rsidRPr="00065E56">
        <w:rPr>
          <w:color w:val="000000" w:themeColor="text1"/>
        </w:rPr>
        <w:fldChar w:fldCharType="begin"/>
      </w:r>
      <w:r w:rsidRPr="00065E56">
        <w:rPr>
          <w:color w:val="000000" w:themeColor="text1"/>
        </w:rPr>
        <w:instrText xml:space="preserve"> ADDIN ZOTERO_ITEM CSL_CITATION {"citationID":"kU8uERgr","properties":{"formattedCitation":"(Tavakol &amp; Dennick, 2017)","plainCitation":"(Tavakol &amp; Dennick, 2017)","noteIndex":0},"citationItems":[{"id":532,"uris":["http://zotero.org/users/local/8fpcHUeo/items/LN9UFRKX"],"uri":["http://zotero.org/users/local/8fpcHUeo/items/LN9UFRKX"],"itemData":{"id":532,"type":"article-journal","abstract":"As a medical educator, you may be directly or indirectly involved in the quality of assessments. Measurement has a substantial role in developing the quality of assessment questions and student learning. The information provided by psychometric data can improve pedagogical issues in medical education. Through measurement we are able to assess the learning experiences of students. Standard setting plays an important role in assessing the performance quality of students as doctors in the future. Presentation of performance data for standard setters may contribute towards developing a credible and defensible pass mark. Validity and reliability of test scores are the most important factors for developing quality assessment questions. Analysis of the answers to individual questions provides useful feedback for assessment leads to improve the quality of each question, and hence make students’ marks fair in terms of diversity and ethnicity. Item Characteristic Curves (ICC) can send signals to assessment leads to improve the quality of individual questions.","container-title":"Medical Teacher","DOI":"10.1080/0142159X.2017.1359521","ISSN":"0142-159X, 1466-187X","issue":"10","journalAbbreviation":"Medical Teacher","language":"en","page":"1010-1015","source":"DOI.org (Crossref)","title":"The foundations of measurement and assessment in medical education","volume":"39","author":[{"family":"Tavakol","given":"Mohsen"},{"family":"Dennick","given":"Reg"}],"issued":{"date-parts":[["2017",10,3]]}}}],"schema":"https://github.com/citation-style-language/schema/raw/master/csl-citation.json"} </w:instrText>
      </w:r>
      <w:r w:rsidRPr="00065E56">
        <w:rPr>
          <w:color w:val="000000" w:themeColor="text1"/>
        </w:rPr>
        <w:fldChar w:fldCharType="separate"/>
      </w:r>
      <w:r w:rsidRPr="00065E56">
        <w:rPr>
          <w:noProof/>
          <w:color w:val="000000" w:themeColor="text1"/>
        </w:rPr>
        <w:t>(Tavakol &amp; Dennick, 2017)</w:t>
      </w:r>
      <w:r w:rsidRPr="00065E56">
        <w:rPr>
          <w:color w:val="000000" w:themeColor="text1"/>
        </w:rPr>
        <w:fldChar w:fldCharType="end"/>
      </w:r>
      <w:r w:rsidRPr="00065E56">
        <w:rPr>
          <w:color w:val="000000" w:themeColor="text1"/>
        </w:rPr>
        <w:t xml:space="preserve">. Validity discussions should attempt to answer the question: Are the conclusions and interpretations drawn from data appropriate? Kane offers a </w:t>
      </w:r>
      <w:r w:rsidR="00C817E1" w:rsidRPr="00065E56">
        <w:rPr>
          <w:color w:val="000000" w:themeColor="text1"/>
        </w:rPr>
        <w:t>four</w:t>
      </w:r>
      <w:r w:rsidRPr="00065E56">
        <w:rPr>
          <w:color w:val="000000" w:themeColor="text1"/>
        </w:rPr>
        <w:t xml:space="preserve">-part framework based on creating an argument for the proposed use of interpretations that allows for the validation of both quantitative and qualitative data. The framework levels are scoring, generalization, extrapolation, and implications </w:t>
      </w:r>
      <w:r w:rsidRPr="00065E56">
        <w:rPr>
          <w:color w:val="000000" w:themeColor="text1"/>
        </w:rPr>
        <w:fldChar w:fldCharType="begin"/>
      </w:r>
      <w:r w:rsidRPr="00065E56">
        <w:rPr>
          <w:color w:val="000000" w:themeColor="text1"/>
        </w:rPr>
        <w:instrText xml:space="preserve"> ADDIN ZOTERO_ITEM CSL_CITATION {"citationID":"q8G4KKGx","properties":{"formattedCitation":"(Kane, 2013)","plainCitation":"(Kane, 2013)","noteIndex":0},"citationItems":[{"id":534,"uris":["http://zotero.org/users/local/8fpcHUeo/items/T34R65HH"],"uri":["http://zotero.org/users/local/8fpcHUeo/items/T34R65HH"],"itemData":{"id":534,"type":"article-journal","container-title":"Journal of Educational Measurement","DOI":"10.1111/jedm.12000","ISSN":"00220655","issue":"1","journalAbbreviation":"Journal of Educational Measurement","language":"en","page":"1-73","source":"DOI.org (Crossref)","title":"Validating the Interpretations and Uses of Test Scores: Validating the Interpretations and Uses of Test Scores","title-short":"Validating the Interpretations and Uses of Test Scores","volume":"50","author":[{"family":"Kane","given":"Michael T."}],"issued":{"date-parts":[["2013",3]]}}}],"schema":"https://github.com/citation-style-language/schema/raw/master/csl-citation.json"} </w:instrText>
      </w:r>
      <w:r w:rsidRPr="00065E56">
        <w:rPr>
          <w:color w:val="000000" w:themeColor="text1"/>
        </w:rPr>
        <w:fldChar w:fldCharType="separate"/>
      </w:r>
      <w:r w:rsidRPr="00065E56">
        <w:rPr>
          <w:noProof/>
          <w:color w:val="000000" w:themeColor="text1"/>
        </w:rPr>
        <w:t>(Kane, 2013)</w:t>
      </w:r>
      <w:r w:rsidRPr="00065E56">
        <w:rPr>
          <w:color w:val="000000" w:themeColor="text1"/>
        </w:rPr>
        <w:fldChar w:fldCharType="end"/>
      </w:r>
      <w:r w:rsidRPr="00065E56">
        <w:rPr>
          <w:color w:val="000000" w:themeColor="text1"/>
        </w:rPr>
        <w:t xml:space="preserve">. Scoring refers to individual measurements or observations with the intent of supporting validity by indicating the fairness, accuracy, and reproducibility of the item. Generalization refers to the representativeness of the selected measurements. Few assessments cover every possible item in a learning domain, so an assessment score should be a representative sample of all possible items. Reproducibility indicators and sampling strategies provide evidence for generalization. The next level, extrapolation, refers to the degree to which the assessment reflects a real performance. Validity evidence at the extrapolation level could be demonstrated by correlating the assessment to a criterion-referenced measure or a needs analysis to define the scope of an assessment. Implications, the final stage of Kane’s framework, refers to any planned action based on the </w:t>
      </w:r>
      <w:r w:rsidRPr="00065E56">
        <w:rPr>
          <w:color w:val="000000" w:themeColor="text1"/>
        </w:rPr>
        <w:lastRenderedPageBreak/>
        <w:t xml:space="preserve">interpretation of the assessment. Long-term evaluation of the consequences of a decision based on assessment interpretation could support the implications stage of a validity assessment </w:t>
      </w:r>
      <w:r w:rsidRPr="00065E56">
        <w:rPr>
          <w:color w:val="000000" w:themeColor="text1"/>
        </w:rPr>
        <w:fldChar w:fldCharType="begin"/>
      </w:r>
      <w:r w:rsidRPr="00065E56">
        <w:rPr>
          <w:color w:val="000000" w:themeColor="text1"/>
        </w:rPr>
        <w:instrText xml:space="preserve"> ADDIN ZOTERO_ITEM CSL_CITATION {"citationID":"S9mke1ZU","properties":{"formattedCitation":"(Cook et al., 2015)","plainCitation":"(Cook et al., 2015)","noteIndex":0},"citationItems":[{"id":434,"uris":["http://zotero.org/users/local/8fpcHUeo/items/D9H35Z3K"],"uri":["http://zotero.org/users/local/8fpcHUeo/items/D9H35Z3K"],"itemData":{"id":434,"type":"article-journal","container-title":"Medical Education","DOI":"10.1111/medu.12678","ISSN":"03080110","issue":"6","journalAbbreviation":"Med Educ","language":"en","page":"560-575","source":"DOI.org (Crossref)","title":"A contemporary approach to validity arguments: a practical guide to Kane's framework","title-short":"A contemporary approach to validity arguments","volume":"49","author":[{"family":"Cook","given":"David A"},{"family":"Brydges","given":"Ryan"},{"family":"Ginsburg","given":"Shiphra"},{"family":"Hatala","given":"Rose"}],"issued":{"date-parts":[["2015",6]]}}}],"schema":"https://github.com/citation-style-language/schema/raw/master/csl-citation.json"} </w:instrText>
      </w:r>
      <w:r w:rsidRPr="00065E56">
        <w:rPr>
          <w:color w:val="000000" w:themeColor="text1"/>
        </w:rPr>
        <w:fldChar w:fldCharType="separate"/>
      </w:r>
      <w:r w:rsidRPr="00065E56">
        <w:rPr>
          <w:noProof/>
          <w:color w:val="000000" w:themeColor="text1"/>
        </w:rPr>
        <w:t>(Cook et al., 2015)</w:t>
      </w:r>
      <w:r w:rsidRPr="00065E56">
        <w:rPr>
          <w:color w:val="000000" w:themeColor="text1"/>
        </w:rPr>
        <w:fldChar w:fldCharType="end"/>
      </w:r>
      <w:r w:rsidRPr="00065E56">
        <w:rPr>
          <w:color w:val="000000" w:themeColor="text1"/>
        </w:rPr>
        <w:t xml:space="preserve">. </w:t>
      </w:r>
    </w:p>
    <w:p w14:paraId="128153D6" w14:textId="77777777" w:rsidR="00D81E54" w:rsidRDefault="00D81E54" w:rsidP="00D81E54">
      <w:pPr>
        <w:pStyle w:val="NormalWeb"/>
        <w:spacing w:line="480" w:lineRule="auto"/>
        <w:rPr>
          <w:color w:val="000000" w:themeColor="text1"/>
        </w:rPr>
      </w:pPr>
      <w:r w:rsidRPr="00065E56">
        <w:rPr>
          <w:color w:val="000000" w:themeColor="text1"/>
        </w:rPr>
        <w:tab/>
        <w:t xml:space="preserve">Kane’s interpretation-use argument (IUA) framework is flexible in its application. The IUA framework can be used for an assessment within a course/program or a research study to justify a use of the interpretation of data </w:t>
      </w:r>
      <w:r w:rsidRPr="00065E56">
        <w:rPr>
          <w:color w:val="000000" w:themeColor="text1"/>
        </w:rPr>
        <w:fldChar w:fldCharType="begin"/>
      </w:r>
      <w:r w:rsidRPr="00065E56">
        <w:rPr>
          <w:color w:val="000000" w:themeColor="text1"/>
        </w:rPr>
        <w:instrText xml:space="preserve"> ADDIN ZOTERO_ITEM CSL_CITATION {"citationID":"2ksrHrDD","properties":{"formattedCitation":"(Kane, 2013)","plainCitation":"(Kane, 2013)","noteIndex":0},"citationItems":[{"id":534,"uris":["http://zotero.org/users/local/8fpcHUeo/items/T34R65HH"],"uri":["http://zotero.org/users/local/8fpcHUeo/items/T34R65HH"],"itemData":{"id":534,"type":"article-journal","container-title":"Journal of Educational Measurement","DOI":"10.1111/jedm.12000","ISSN":"00220655","issue":"1","journalAbbreviation":"Journal of Educational Measurement","language":"en","page":"1-73","source":"DOI.org (Crossref)","title":"Validating the Interpretations and Uses of Test Scores: Validating the Interpretations and Uses of Test Scores","title-short":"Validating the Interpretations and Uses of Test Scores","volume":"50","author":[{"family":"Kane","given":"Michael T."}],"issued":{"date-parts":[["2013",3]]}}}],"schema":"https://github.com/citation-style-language/schema/raw/master/csl-citation.json"} </w:instrText>
      </w:r>
      <w:r w:rsidRPr="00065E56">
        <w:rPr>
          <w:color w:val="000000" w:themeColor="text1"/>
        </w:rPr>
        <w:fldChar w:fldCharType="separate"/>
      </w:r>
      <w:r w:rsidRPr="00065E56">
        <w:rPr>
          <w:noProof/>
          <w:color w:val="000000" w:themeColor="text1"/>
        </w:rPr>
        <w:t>(Kane, 2013)</w:t>
      </w:r>
      <w:r w:rsidRPr="00065E56">
        <w:rPr>
          <w:color w:val="000000" w:themeColor="text1"/>
        </w:rPr>
        <w:fldChar w:fldCharType="end"/>
      </w:r>
      <w:r w:rsidRPr="00065E56">
        <w:rPr>
          <w:color w:val="000000" w:themeColor="text1"/>
        </w:rPr>
        <w:t>. For this study, researchers sought to validate the comparison of identi</w:t>
      </w:r>
      <w:r>
        <w:rPr>
          <w:color w:val="000000" w:themeColor="text1"/>
        </w:rPr>
        <w:t xml:space="preserve">cal assessment items from the 2019 and 2020 cohorts in order to assess remote learning. To make that comparison, the assessment items also had to be validated as authentic measurements of anatomical knowledge. Additionally, researchers sought to validate the use of the student perspectives of anatomical knowledge survey. The remainder of this section is a discussion of the evidence in support of these stated uses.  </w:t>
      </w:r>
    </w:p>
    <w:p w14:paraId="330354B5" w14:textId="76976047" w:rsidR="00C817E1" w:rsidRDefault="00D81E54" w:rsidP="00D81E54">
      <w:pPr>
        <w:pStyle w:val="NormalWeb"/>
        <w:spacing w:line="480" w:lineRule="auto"/>
        <w:rPr>
          <w:b/>
          <w:bCs/>
          <w:i/>
          <w:iCs/>
          <w:color w:val="000000" w:themeColor="text1"/>
        </w:rPr>
      </w:pPr>
      <w:r>
        <w:rPr>
          <w:color w:val="000000" w:themeColor="text1"/>
        </w:rPr>
        <w:tab/>
      </w:r>
      <w:r w:rsidRPr="00F5749C">
        <w:rPr>
          <w:b/>
          <w:bCs/>
          <w:i/>
          <w:iCs/>
          <w:color w:val="000000" w:themeColor="text1"/>
        </w:rPr>
        <w:t>Assessment Items</w:t>
      </w:r>
      <w:r w:rsidR="00A851A5">
        <w:rPr>
          <w:b/>
          <w:bCs/>
          <w:i/>
          <w:iCs/>
          <w:color w:val="000000" w:themeColor="text1"/>
        </w:rPr>
        <w:t xml:space="preserve"> -</w:t>
      </w:r>
      <w:r>
        <w:rPr>
          <w:b/>
          <w:bCs/>
          <w:i/>
          <w:iCs/>
          <w:color w:val="000000" w:themeColor="text1"/>
        </w:rPr>
        <w:t xml:space="preserve"> </w:t>
      </w:r>
      <w:r w:rsidRPr="00F7155C">
        <w:rPr>
          <w:b/>
          <w:bCs/>
          <w:i/>
          <w:iCs/>
          <w:color w:val="000000" w:themeColor="text1"/>
        </w:rPr>
        <w:t>Summative</w:t>
      </w:r>
      <w:r>
        <w:rPr>
          <w:b/>
          <w:bCs/>
          <w:i/>
          <w:iCs/>
          <w:color w:val="000000" w:themeColor="text1"/>
        </w:rPr>
        <w:t xml:space="preserve">. </w:t>
      </w:r>
      <w:r>
        <w:rPr>
          <w:color w:val="000000" w:themeColor="text1"/>
        </w:rPr>
        <w:t xml:space="preserve">Each assessment item is one multiple choice question, or one observation in Kane’s IUA framework. For this study, each assessment item was used to assess both cohorts. In both years, faculty systematically assessed the statistical performance of each assessment item by two measures: item difficulty and point biserial correlation. </w:t>
      </w:r>
      <w:r w:rsidRPr="00190791">
        <w:rPr>
          <w:color w:val="000000" w:themeColor="text1"/>
        </w:rPr>
        <w:t>Item difficulty is the percentage of correct responses for an individual item</w:t>
      </w:r>
      <w:r>
        <w:rPr>
          <w:color w:val="000000" w:themeColor="text1"/>
        </w:rPr>
        <w:t xml:space="preserve">. Ranging from 0 (no one answered the question correctly) to 1 (everyone answered the question correctly, a range between 0.3-0.8 indicates an acceptable level of difficulty for an item </w:t>
      </w:r>
      <w:r>
        <w:rPr>
          <w:color w:val="000000" w:themeColor="text1"/>
        </w:rPr>
        <w:fldChar w:fldCharType="begin"/>
      </w:r>
      <w:r>
        <w:rPr>
          <w:color w:val="000000" w:themeColor="text1"/>
        </w:rPr>
        <w:instrText xml:space="preserve"> ADDIN ZOTERO_ITEM CSL_CITATION {"citationID":"rVE4mqpW","properties":{"formattedCitation":"(Tavakol &amp; Dennick, 2011)","plainCitation":"(Tavakol &amp; Dennick, 2011)","noteIndex":0},"citationItems":[{"id":536,"uris":["http://zotero.org/users/local/8fpcHUeo/items/9AREGEMN"],"uri":["http://zotero.org/users/local/8fpcHUeo/items/9AREGEMN"],"itemData":{"id":536,"type":"article-journal","abstract":"One of the key goals of assessment in medical education is the minimisation of all errors influencing a test in order to produce an observed score which approaches a learner’s ‘true’ score, as reliably and validly as possible. In order to achieve this, assessors need to be aware of the potential biases that can influence all components of the assessment cycle from question creation to the interpretation of exam scores. This Guide describes and explains the processes whereby objective examination results can be analysed to improve the validity and reliability of assessments in medical education. We cover the interpretation of measures of central tendency, measures of variability and standard scores. We describe how to calculate the item-difficulty index and itemdiscrimination index in examination tests using different statistical procedures. This is followed by an overview of reliability estimates. The post-examination analytical methods described in this guide enable medical educators to construct reliable and valid achievement tests. They also enable medical educators to develop question banks using the collection of appropriate questions from existing examination tests in order to use computerised adaptive testing.","container-title":"Medical Teacher","DOI":"10.3109/0142159X.2011.564682","ISSN":"0142-159X, 1466-187X","issue":"6","journalAbbreviation":"Medical Teacher","language":"en","page":"447-458","source":"DOI.org (Crossref)","title":"Post-examination analysis of objective tests","volume":"33","author":[{"family":"Tavakol","given":"Mohsen"},{"family":"Dennick","given":"Reg"}],"issued":{"date-parts":[["2011",6]]}}}],"schema":"https://github.com/citation-style-language/schema/raw/master/csl-citation.json"} </w:instrText>
      </w:r>
      <w:r>
        <w:rPr>
          <w:color w:val="000000" w:themeColor="text1"/>
        </w:rPr>
        <w:fldChar w:fldCharType="separate"/>
      </w:r>
      <w:r>
        <w:rPr>
          <w:noProof/>
          <w:color w:val="000000" w:themeColor="text1"/>
        </w:rPr>
        <w:t>(Tavakol &amp; Dennick, 2011)</w:t>
      </w:r>
      <w:r>
        <w:rPr>
          <w:color w:val="000000" w:themeColor="text1"/>
        </w:rPr>
        <w:fldChar w:fldCharType="end"/>
      </w:r>
      <w:r w:rsidRPr="00190791">
        <w:rPr>
          <w:color w:val="000000" w:themeColor="text1"/>
        </w:rPr>
        <w:t xml:space="preserve">. Item discrimination </w:t>
      </w:r>
      <w:r>
        <w:rPr>
          <w:color w:val="000000" w:themeColor="text1"/>
        </w:rPr>
        <w:t>was</w:t>
      </w:r>
      <w:r w:rsidRPr="00190791">
        <w:rPr>
          <w:color w:val="000000" w:themeColor="text1"/>
        </w:rPr>
        <w:t xml:space="preserve"> assessed by calculating the point biserial correlation. The point biserial correlation ranges from -1 to 1, with the individual test item response correlated to the overall exam score. </w:t>
      </w:r>
      <w:r>
        <w:rPr>
          <w:color w:val="000000" w:themeColor="text1"/>
        </w:rPr>
        <w:t xml:space="preserve">A score of 0.25+ indicates an acceptable correlation. </w:t>
      </w:r>
      <w:r w:rsidRPr="00190791">
        <w:rPr>
          <w:color w:val="000000" w:themeColor="text1"/>
        </w:rPr>
        <w:t xml:space="preserve">A high correlation indicates students that scored higher on the exam got the test item correct whereas the lower scoring </w:t>
      </w:r>
      <w:r w:rsidRPr="00190791">
        <w:rPr>
          <w:color w:val="000000" w:themeColor="text1"/>
        </w:rPr>
        <w:lastRenderedPageBreak/>
        <w:t>students did not get the test item correct</w:t>
      </w:r>
      <w:r>
        <w:rPr>
          <w:color w:val="000000" w:themeColor="text1"/>
        </w:rPr>
        <w:t xml:space="preserve"> </w:t>
      </w:r>
      <w:r>
        <w:rPr>
          <w:color w:val="000000" w:themeColor="text1"/>
        </w:rPr>
        <w:fldChar w:fldCharType="begin"/>
      </w:r>
      <w:r>
        <w:rPr>
          <w:color w:val="000000" w:themeColor="text1"/>
        </w:rPr>
        <w:instrText xml:space="preserve"> ADDIN ZOTERO_ITEM CSL_CITATION {"citationID":"fQvzecWM","properties":{"formattedCitation":"(Tavakol &amp; Dennick, 2017)","plainCitation":"(Tavakol &amp; Dennick, 2017)","noteIndex":0},"citationItems":[{"id":532,"uris":["http://zotero.org/users/local/8fpcHUeo/items/LN9UFRKX"],"uri":["http://zotero.org/users/local/8fpcHUeo/items/LN9UFRKX"],"itemData":{"id":532,"type":"article-journal","abstract":"As a medical educator, you may be directly or indirectly involved in the quality of assessments. Measurement has a substantial role in developing the quality of assessment questions and student learning. The information provided by psychometric data can improve pedagogical issues in medical education. Through measurement we are able to assess the learning experiences of students. Standard setting plays an important role in assessing the performance quality of students as doctors in the future. Presentation of performance data for standard setters may contribute towards developing a credible and defensible pass mark. Validity and reliability of test scores are the most important factors for developing quality assessment questions. Analysis of the answers to individual questions provides useful feedback for assessment leads to improve the quality of each question, and hence make students’ marks fair in terms of diversity and ethnicity. Item Characteristic Curves (ICC) can send signals to assessment leads to improve the quality of individual questions.","container-title":"Medical Teacher","DOI":"10.1080/0142159X.2017.1359521","ISSN":"0142-159X, 1466-187X","issue":"10","journalAbbreviation":"Medical Teacher","language":"en","page":"1010-1015","source":"DOI.org (Crossref)","title":"The foundations of measurement and assessment in medical education","volume":"39","author":[{"family":"Tavakol","given":"Mohsen"},{"family":"Dennick","given":"Reg"}],"issued":{"date-parts":[["2017",10,3]]}}}],"schema":"https://github.com/citation-style-language/schema/raw/master/csl-citation.json"} </w:instrText>
      </w:r>
      <w:r>
        <w:rPr>
          <w:color w:val="000000" w:themeColor="text1"/>
        </w:rPr>
        <w:fldChar w:fldCharType="separate"/>
      </w:r>
      <w:r>
        <w:rPr>
          <w:noProof/>
          <w:color w:val="000000" w:themeColor="text1"/>
        </w:rPr>
        <w:t>(Tavakol &amp; Dennick, 2017)</w:t>
      </w:r>
      <w:r>
        <w:rPr>
          <w:color w:val="000000" w:themeColor="text1"/>
        </w:rPr>
        <w:fldChar w:fldCharType="end"/>
      </w:r>
      <w:r w:rsidRPr="00190791">
        <w:rPr>
          <w:color w:val="000000" w:themeColor="text1"/>
        </w:rPr>
        <w:t xml:space="preserve">. </w:t>
      </w:r>
      <w:r>
        <w:rPr>
          <w:color w:val="000000" w:themeColor="text1"/>
        </w:rPr>
        <w:t>Upon review, the faculty decided whether or not to cull the question. A</w:t>
      </w:r>
      <w:r w:rsidRPr="00190791">
        <w:rPr>
          <w:color w:val="000000" w:themeColor="text1"/>
        </w:rPr>
        <w:t xml:space="preserve"> question that </w:t>
      </w:r>
      <w:r>
        <w:rPr>
          <w:color w:val="000000" w:themeColor="text1"/>
        </w:rPr>
        <w:t>wa</w:t>
      </w:r>
      <w:r w:rsidRPr="00190791">
        <w:rPr>
          <w:color w:val="000000" w:themeColor="text1"/>
        </w:rPr>
        <w:t xml:space="preserve">s </w:t>
      </w:r>
      <w:r>
        <w:rPr>
          <w:color w:val="000000" w:themeColor="text1"/>
        </w:rPr>
        <w:t xml:space="preserve">considered by faculty to be </w:t>
      </w:r>
      <w:r w:rsidRPr="00190791">
        <w:rPr>
          <w:color w:val="000000" w:themeColor="text1"/>
        </w:rPr>
        <w:t>essential knowledge may not have a high point biserial correlation or contribute to the reliability of the exam. The importance of the knowledge</w:t>
      </w:r>
      <w:r>
        <w:rPr>
          <w:color w:val="000000" w:themeColor="text1"/>
        </w:rPr>
        <w:t>, however,</w:t>
      </w:r>
      <w:r w:rsidRPr="00190791">
        <w:rPr>
          <w:color w:val="000000" w:themeColor="text1"/>
        </w:rPr>
        <w:t xml:space="preserve"> </w:t>
      </w:r>
      <w:proofErr w:type="spellStart"/>
      <w:r w:rsidRPr="00190791">
        <w:rPr>
          <w:color w:val="000000" w:themeColor="text1"/>
        </w:rPr>
        <w:t>supercede</w:t>
      </w:r>
      <w:r>
        <w:rPr>
          <w:color w:val="000000" w:themeColor="text1"/>
        </w:rPr>
        <w:t>d</w:t>
      </w:r>
      <w:proofErr w:type="spellEnd"/>
      <w:r w:rsidRPr="00190791">
        <w:rPr>
          <w:color w:val="000000" w:themeColor="text1"/>
        </w:rPr>
        <w:t xml:space="preserve"> the item analysis data in this case.</w:t>
      </w:r>
      <w:r>
        <w:rPr>
          <w:color w:val="000000" w:themeColor="text1"/>
        </w:rPr>
        <w:t xml:space="preserve"> </w:t>
      </w:r>
    </w:p>
    <w:p w14:paraId="0EE94C33" w14:textId="21D57667" w:rsidR="00D81E54" w:rsidRPr="00C817E1" w:rsidRDefault="00C817E1" w:rsidP="00D81E54">
      <w:pPr>
        <w:pStyle w:val="NormalWeb"/>
        <w:spacing w:line="480" w:lineRule="auto"/>
        <w:rPr>
          <w:b/>
          <w:bCs/>
          <w:i/>
          <w:iCs/>
          <w:color w:val="000000" w:themeColor="text1"/>
        </w:rPr>
      </w:pPr>
      <w:r>
        <w:rPr>
          <w:b/>
          <w:bCs/>
          <w:i/>
          <w:iCs/>
          <w:color w:val="000000" w:themeColor="text1"/>
        </w:rPr>
        <w:tab/>
      </w:r>
      <w:r w:rsidR="00D81E54">
        <w:rPr>
          <w:color w:val="000000" w:themeColor="text1"/>
        </w:rPr>
        <w:t xml:space="preserve">Faculty used a test blueprint in order to provide a consistent sampling of content. The number of questions on summative exams (50) was divided by the number of lectures in the unit, typically resulting in four or five questions per lecture. Newly written questions were compared to the learning objectives to ensure consistency to the stated Bloom’s Taxonomy level. Approximately 31% of the questions were written in a clinical vignette style, consistent with licensing examinations. The remainder were written according to current item writing best practices in medical education. The test blueprint process promotes the concept of the assessment items used in the exams as accurate representatives of all possible assessment items </w:t>
      </w:r>
      <w:r w:rsidR="00D81E54">
        <w:rPr>
          <w:color w:val="000000" w:themeColor="text1"/>
        </w:rPr>
        <w:fldChar w:fldCharType="begin"/>
      </w:r>
      <w:r w:rsidR="00D81E54">
        <w:rPr>
          <w:color w:val="000000" w:themeColor="text1"/>
        </w:rPr>
        <w:instrText xml:space="preserve"> ADDIN ZOTERO_ITEM CSL_CITATION {"citationID":"hqEa2RMA","properties":{"formattedCitation":"(Downing, 2003)","plainCitation":"(Downing, 2003)","noteIndex":0},"citationItems":[{"id":433,"uris":["http://zotero.org/users/local/8fpcHUeo/items/L738IGHV"],"uri":["http://zotero.org/users/local/8fpcHUeo/items/L738IGHV"],"itemData":{"id":433,"type":"article-journal","abstract":"Context All assessments in medical education require evidence of validity to be interpreted meaningfully. In contemporary usage, all validity is construct validity, which requires multiple sources of evidence; construct validity is the whole of validity, but has multiple facets. Five sources – content, response process, internal structure, relationship to other variables and consequences – are noted by the Standards for Educational and Psychological Testing as fruitful areas to seek validity evidence. Purpose The purpose of this article is to discuss construct validity in the context of medical education and to summarize, through example, some typical sources of validity evidence for a written and a performance examination. Summary Assessments are not valid or invalid; rather, the scores or outcomes of assessments have more or less evidence to support (or refute) a speciﬁc interpretation (such as passing or failing a course). Validity is approached as hypothesis and uses theory, logic and the scientiﬁc method to collect and assemble data to support or fail to support the proposed score interpretations, at a given point in time. Data and logic are assembled into arguments – pro and con – for some speciﬁc interpretation of assessment data. Examples of types of validity evidence, data and information from each source are discussed in the context of a high-stakes written and performance examination in medical education. Conclusion All assessments require evidence of the reasonableness of the proposed interpretation, as test data in education have little or no intrinsic meaning. The constructs purported to be measured by our assessments are important to students, faculty, administrators, patients and society and require solid scientiﬁc evidence of their meaning.","container-title":"Medical Education","DOI":"10.1046/j.1365-2923.2003.01594.x","ISSN":"0308-0110, 1365-2923","issue":"9","journalAbbreviation":"Med Educ","language":"en","page":"830-837","source":"DOI.org (Crossref)","title":"Validity: on the meaningful interpretation of assessment data","title-short":"Validity","volume":"37","author":[{"family":"Downing","given":"Steven M"}],"issued":{"date-parts":[["2003",9]]}}}],"schema":"https://github.com/citation-style-language/schema/raw/master/csl-citation.json"} </w:instrText>
      </w:r>
      <w:r w:rsidR="00D81E54">
        <w:rPr>
          <w:color w:val="000000" w:themeColor="text1"/>
        </w:rPr>
        <w:fldChar w:fldCharType="separate"/>
      </w:r>
      <w:r w:rsidR="00D81E54">
        <w:rPr>
          <w:noProof/>
          <w:color w:val="000000" w:themeColor="text1"/>
        </w:rPr>
        <w:t>(Downing, 2003)</w:t>
      </w:r>
      <w:r w:rsidR="00D81E54">
        <w:rPr>
          <w:color w:val="000000" w:themeColor="text1"/>
        </w:rPr>
        <w:fldChar w:fldCharType="end"/>
      </w:r>
      <w:r w:rsidR="00D81E54">
        <w:rPr>
          <w:color w:val="000000" w:themeColor="text1"/>
        </w:rPr>
        <w:t xml:space="preserve">. </w:t>
      </w:r>
    </w:p>
    <w:p w14:paraId="271CF9ED" w14:textId="77777777" w:rsidR="00D81E54" w:rsidRDefault="00D81E54" w:rsidP="00D81E54">
      <w:pPr>
        <w:pStyle w:val="NormalWeb"/>
        <w:spacing w:line="480" w:lineRule="auto"/>
        <w:rPr>
          <w:color w:val="000000" w:themeColor="text1"/>
        </w:rPr>
      </w:pPr>
      <w:r>
        <w:rPr>
          <w:color w:val="000000" w:themeColor="text1"/>
        </w:rPr>
        <w:tab/>
        <w:t xml:space="preserve">A test blueprint also maintained assessment consistency between cohorts; however, reliability is the most common method of assessing performance consistency. </w:t>
      </w:r>
      <w:r w:rsidRPr="00190791">
        <w:rPr>
          <w:color w:val="000000" w:themeColor="text1"/>
        </w:rPr>
        <w:t xml:space="preserve">Reliability </w:t>
      </w:r>
      <w:r>
        <w:rPr>
          <w:color w:val="000000" w:themeColor="text1"/>
        </w:rPr>
        <w:t>of the assessment items was</w:t>
      </w:r>
      <w:r w:rsidRPr="00190791">
        <w:rPr>
          <w:color w:val="000000" w:themeColor="text1"/>
        </w:rPr>
        <w:t xml:space="preserve"> measured using the Kuder Richardson 20 formula (KR-20). The KR-20 is a measure of the probability of getting the same results if the exam was administered to a similar group of students. Generally, the higher the variability in scores, the higher the reliability.</w:t>
      </w:r>
      <w:r>
        <w:rPr>
          <w:color w:val="000000" w:themeColor="text1"/>
        </w:rPr>
        <w:t xml:space="preserve"> The range of reliability coefficients for the summative assessment items ranges from 0.88-0.96, with 0.70+ considered an acceptable coefficient. The reliability coefficients for the assessment items, </w:t>
      </w:r>
      <w:r>
        <w:rPr>
          <w:color w:val="000000" w:themeColor="text1"/>
        </w:rPr>
        <w:lastRenderedPageBreak/>
        <w:t xml:space="preserve">combined with the test blueprint, provided evidence of generalization </w:t>
      </w:r>
      <w:r w:rsidRPr="00190791">
        <w:rPr>
          <w:color w:val="000000" w:themeColor="text1"/>
        </w:rPr>
        <w:fldChar w:fldCharType="begin"/>
      </w:r>
      <w:r>
        <w:rPr>
          <w:color w:val="000000" w:themeColor="text1"/>
        </w:rPr>
        <w:instrText xml:space="preserve"> ADDIN ZOTERO_ITEM CSL_CITATION {"citationID":"PQN8oXX0","properties":{"formattedCitation":"(McGahee &amp; Ball, 2009; Tavakol &amp; Dennick, 2017)","plainCitation":"(McGahee &amp; Ball, 2009; Tavakol &amp; Dennick, 2017)","noteIndex":0},"citationItems":[{"id":393,"uris":["http://zotero.org/users/local/8fpcHUeo/items/VT4EDGPZ"],"uri":["http://zotero.org/users/local/8fpcHUeo/items/VT4EDGPZ"],"itemData":{"id":393,"type":"article-journal","container-title":"Nurse Educator","DOI":"10.1097/NNE.0b013e3181aaba94","ISSN":"0363-3624","issue":"4","journalAbbreviation":"Nurse Educator","language":"en","page":"166-171","source":"DOI.org (Crossref)","title":"How to Read and Really Use an Item Analysis:","title-short":"How to Read and Really Use an Item Analysis","volume":"34","author":[{"family":"McGahee","given":"Thayer W."},{"family":"Ball","given":"Julia"}],"issued":{"date-parts":[["2009",7]]}}},{"id":532,"uris":["http://zotero.org/users/local/8fpcHUeo/items/LN9UFRKX"],"uri":["http://zotero.org/users/local/8fpcHUeo/items/LN9UFRKX"],"itemData":{"id":532,"type":"article-journal","abstract":"As a medical educator, you may be directly or indirectly involved in the quality of assessments. Measurement has a substantial role in developing the quality of assessment questions and student learning. The information provided by psychometric data can improve pedagogical issues in medical education. Through measurement we are able to assess the learning experiences of students. Standard setting plays an important role in assessing the performance quality of students as doctors in the future. Presentation of performance data for standard setters may contribute towards developing a credible and defensible pass mark. Validity and reliability of test scores are the most important factors for developing quality assessment questions. Analysis of the answers to individual questions provides useful feedback for assessment leads to improve the quality of each question, and hence make students’ marks fair in terms of diversity and ethnicity. Item Characteristic Curves (ICC) can send signals to assessment leads to improve the quality of individual questions.","container-title":"Medical Teacher","DOI":"10.1080/0142159X.2017.1359521","ISSN":"0142-159X, 1466-187X","issue":"10","journalAbbreviation":"Medical Teacher","language":"en","page":"1010-1015","source":"DOI.org (Crossref)","title":"The foundations of measurement and assessment in medical education","volume":"39","author":[{"family":"Tavakol","given":"Mohsen"},{"family":"Dennick","given":"Reg"}],"issued":{"date-parts":[["2017",10,3]]}}}],"schema":"https://github.com/citation-style-language/schema/raw/master/csl-citation.json"} </w:instrText>
      </w:r>
      <w:r w:rsidRPr="00190791">
        <w:rPr>
          <w:color w:val="000000" w:themeColor="text1"/>
        </w:rPr>
        <w:fldChar w:fldCharType="separate"/>
      </w:r>
      <w:r>
        <w:rPr>
          <w:noProof/>
          <w:color w:val="000000" w:themeColor="text1"/>
        </w:rPr>
        <w:t>(McGahee &amp; Ball, 2009; Tavakol &amp; Dennick, 2017)</w:t>
      </w:r>
      <w:r w:rsidRPr="00190791">
        <w:rPr>
          <w:color w:val="000000" w:themeColor="text1"/>
        </w:rPr>
        <w:fldChar w:fldCharType="end"/>
      </w:r>
      <w:r>
        <w:rPr>
          <w:color w:val="000000" w:themeColor="text1"/>
        </w:rPr>
        <w:t>.</w:t>
      </w:r>
    </w:p>
    <w:p w14:paraId="1DACB1D2" w14:textId="77777777" w:rsidR="00D81E54" w:rsidRDefault="00D81E54" w:rsidP="00D81E54">
      <w:pPr>
        <w:pStyle w:val="NormalWeb"/>
        <w:spacing w:line="480" w:lineRule="auto"/>
        <w:rPr>
          <w:color w:val="000000" w:themeColor="text1"/>
        </w:rPr>
      </w:pPr>
      <w:r>
        <w:rPr>
          <w:color w:val="000000" w:themeColor="text1"/>
        </w:rPr>
        <w:tab/>
        <w:t xml:space="preserve">As Kane noted, generalization and extrapolation are inversely related </w:t>
      </w:r>
      <w:r>
        <w:rPr>
          <w:color w:val="000000" w:themeColor="text1"/>
        </w:rPr>
        <w:fldChar w:fldCharType="begin"/>
      </w:r>
      <w:r>
        <w:rPr>
          <w:color w:val="000000" w:themeColor="text1"/>
        </w:rPr>
        <w:instrText xml:space="preserve"> ADDIN ZOTERO_ITEM CSL_CITATION {"citationID":"oVAb6eD3","properties":{"formattedCitation":"(Kane, 2013)","plainCitation":"(Kane, 2013)","noteIndex":0},"citationItems":[{"id":534,"uris":["http://zotero.org/users/local/8fpcHUeo/items/T34R65HH"],"uri":["http://zotero.org/users/local/8fpcHUeo/items/T34R65HH"],"itemData":{"id":534,"type":"article-journal","container-title":"Journal of Educational Measurement","DOI":"10.1111/jedm.12000","ISSN":"00220655","issue":"1","journalAbbreviation":"Journal of Educational Measurement","language":"en","page":"1-73","source":"DOI.org (Crossref)","title":"Validating the Interpretations and Uses of Test Scores: Validating the Interpretations and Uses of Test Scores","title-short":"Validating the Interpretations and Uses of Test Scores","volume":"50","author":[{"family":"Kane","given":"Michael T."}],"issued":{"date-parts":[["2013",3]]}}}],"schema":"https://github.com/citation-style-language/schema/raw/master/csl-citation.json"} </w:instrText>
      </w:r>
      <w:r>
        <w:rPr>
          <w:color w:val="000000" w:themeColor="text1"/>
        </w:rPr>
        <w:fldChar w:fldCharType="separate"/>
      </w:r>
      <w:r>
        <w:rPr>
          <w:noProof/>
          <w:color w:val="000000" w:themeColor="text1"/>
        </w:rPr>
        <w:t>(Kane, 2013)</w:t>
      </w:r>
      <w:r>
        <w:rPr>
          <w:color w:val="000000" w:themeColor="text1"/>
        </w:rPr>
        <w:fldChar w:fldCharType="end"/>
      </w:r>
      <w:r>
        <w:rPr>
          <w:color w:val="000000" w:themeColor="text1"/>
        </w:rPr>
        <w:t xml:space="preserve">. Extrapolation is the correlation of the assessment items to real world situations. The standardization and representativeness promoted as features of generalization limit the degree to which assessment item data correlates to a practical experience </w:t>
      </w:r>
      <w:r>
        <w:rPr>
          <w:color w:val="000000" w:themeColor="text1"/>
        </w:rPr>
        <w:fldChar w:fldCharType="begin"/>
      </w:r>
      <w:r>
        <w:rPr>
          <w:color w:val="000000" w:themeColor="text1"/>
        </w:rPr>
        <w:instrText xml:space="preserve"> ADDIN ZOTERO_ITEM CSL_CITATION {"citationID":"wgXd5g27","properties":{"formattedCitation":"(Cook et al., 2015)","plainCitation":"(Cook et al., 2015)","noteIndex":0},"citationItems":[{"id":434,"uris":["http://zotero.org/users/local/8fpcHUeo/items/D9H35Z3K"],"uri":["http://zotero.org/users/local/8fpcHUeo/items/D9H35Z3K"],"itemData":{"id":434,"type":"article-journal","container-title":"Medical Education","DOI":"10.1111/medu.12678","ISSN":"03080110","issue":"6","journalAbbreviation":"Med Educ","language":"en","page":"560-575","source":"DOI.org (Crossref)","title":"A contemporary approach to validity arguments: a practical guide to Kane's framework","title-short":"A contemporary approach to validity arguments","volume":"49","author":[{"family":"Cook","given":"David A"},{"family":"Brydges","given":"Ryan"},{"family":"Ginsburg","given":"Shiphra"},{"family":"Hatala","given":"Rose"}],"issued":{"date-parts":[["2015",6]]}}}],"schema":"https://github.com/citation-style-language/schema/raw/master/csl-citation.json"} </w:instrText>
      </w:r>
      <w:r>
        <w:rPr>
          <w:color w:val="000000" w:themeColor="text1"/>
        </w:rPr>
        <w:fldChar w:fldCharType="separate"/>
      </w:r>
      <w:r>
        <w:rPr>
          <w:noProof/>
          <w:color w:val="000000" w:themeColor="text1"/>
        </w:rPr>
        <w:t>(Cook et al., 2015)</w:t>
      </w:r>
      <w:r>
        <w:rPr>
          <w:color w:val="000000" w:themeColor="text1"/>
        </w:rPr>
        <w:fldChar w:fldCharType="end"/>
      </w:r>
      <w:r>
        <w:rPr>
          <w:color w:val="000000" w:themeColor="text1"/>
        </w:rPr>
        <w:t>. Neither cohort have taken a similar anatomy or licensure exam at this point to compare data points. The best evidence of extrapolation for the assessment items in this study was the attention paid to item writing. Assessment items written as clinical vignettes were modeled after assessment items students will encounter when taking licensing and certification exams. Since this study did not attempt to extrapolate information to apply beyond a curriculum assessment of clinical anatomy, weak extrapolation evidence was not considered a reason to invalidate the study.</w:t>
      </w:r>
    </w:p>
    <w:p w14:paraId="052E8C06" w14:textId="77777777" w:rsidR="00D81E54" w:rsidRDefault="00D81E54" w:rsidP="00D81E54">
      <w:pPr>
        <w:pStyle w:val="NormalWeb"/>
        <w:spacing w:line="480" w:lineRule="auto"/>
        <w:rPr>
          <w:color w:val="000000" w:themeColor="text1"/>
        </w:rPr>
      </w:pPr>
      <w:r>
        <w:rPr>
          <w:color w:val="000000" w:themeColor="text1"/>
        </w:rPr>
        <w:tab/>
        <w:t xml:space="preserve">The implications, or planned actions upon data analysis, were limited to potential curricular changes to the Clinical Anatomy curriculum based on student performance. The validating evidence supported the assessment items as authentic indicators of anatomical knowledge and as the basis of comparison of cohort performance. The implications for the use of the formative exams in the research study are the same, but the evidence of their validity differs. </w:t>
      </w:r>
    </w:p>
    <w:p w14:paraId="65BE87A3" w14:textId="2B89062D" w:rsidR="00D81E54" w:rsidRPr="00F7155C" w:rsidRDefault="00D81E54" w:rsidP="00D81E54">
      <w:pPr>
        <w:pStyle w:val="NormalWeb"/>
        <w:spacing w:line="480" w:lineRule="auto"/>
        <w:rPr>
          <w:i/>
          <w:iCs/>
          <w:color w:val="000000" w:themeColor="text1"/>
        </w:rPr>
      </w:pPr>
      <w:r>
        <w:rPr>
          <w:color w:val="000000" w:themeColor="text1"/>
        </w:rPr>
        <w:tab/>
      </w:r>
      <w:r w:rsidRPr="00F5749C">
        <w:rPr>
          <w:b/>
          <w:bCs/>
          <w:i/>
          <w:iCs/>
          <w:color w:val="000000" w:themeColor="text1"/>
        </w:rPr>
        <w:t>Assessment Items</w:t>
      </w:r>
      <w:r w:rsidR="00A851A5">
        <w:rPr>
          <w:b/>
          <w:bCs/>
          <w:i/>
          <w:iCs/>
          <w:color w:val="000000" w:themeColor="text1"/>
        </w:rPr>
        <w:t xml:space="preserve"> -</w:t>
      </w:r>
      <w:r>
        <w:rPr>
          <w:b/>
          <w:bCs/>
          <w:i/>
          <w:iCs/>
          <w:color w:val="000000" w:themeColor="text1"/>
        </w:rPr>
        <w:t xml:space="preserve"> Form</w:t>
      </w:r>
      <w:r w:rsidRPr="00F7155C">
        <w:rPr>
          <w:b/>
          <w:bCs/>
          <w:i/>
          <w:iCs/>
          <w:color w:val="000000" w:themeColor="text1"/>
        </w:rPr>
        <w:t>ative</w:t>
      </w:r>
      <w:r>
        <w:rPr>
          <w:b/>
          <w:bCs/>
          <w:i/>
          <w:iCs/>
          <w:color w:val="000000" w:themeColor="text1"/>
        </w:rPr>
        <w:t>.</w:t>
      </w:r>
      <w:r>
        <w:rPr>
          <w:i/>
          <w:iCs/>
          <w:color w:val="000000" w:themeColor="text1"/>
        </w:rPr>
        <w:t xml:space="preserve"> </w:t>
      </w:r>
      <w:r>
        <w:rPr>
          <w:color w:val="000000" w:themeColor="text1"/>
        </w:rPr>
        <w:t>The six formative exams for Clinical Anatomy consisted of 30 anatomical identification questions each. The 2019 F2F cohort viewed tagged cadavers, and the 2020 remote learning cohort viewed edited cadaveric images. Editing the cadaveric images consisted of adding an arrow to point to a specific location, adding a text box with directions (</w:t>
      </w:r>
      <w:proofErr w:type="gramStart"/>
      <w:r>
        <w:rPr>
          <w:color w:val="000000" w:themeColor="text1"/>
        </w:rPr>
        <w:t>i.e.</w:t>
      </w:r>
      <w:proofErr w:type="gramEnd"/>
      <w:r>
        <w:rPr>
          <w:color w:val="000000" w:themeColor="text1"/>
        </w:rPr>
        <w:t xml:space="preserve"> ‘Name the structure’), and occasionally providing an additional image for </w:t>
      </w:r>
      <w:r>
        <w:rPr>
          <w:color w:val="000000" w:themeColor="text1"/>
        </w:rPr>
        <w:lastRenderedPageBreak/>
        <w:t xml:space="preserve">orientation purposes. Scoring evidence for a fill-in-the-blank spotter-style exam was determined by evaluating of the accuracy and appropriateness of each question. Cadavers were routinely reviewed for multiple correct answers/interpretations of the tag, and dissection work to prepare the tagged cadavers were scrutinized for neatness and accuracy. When viewing a physical cadaver, orientation of the head and limbs helps a student orient the structure, and the ability to orient a detailed digital image can be difficult. Video images showing orientation and/or zooming out where appropriate served to emulate the orientation cues provided by a cadaver. Generally, though the format of the exams differed, every attempt was made for the same observation effect for the video questions as the cadaver tags.  </w:t>
      </w:r>
    </w:p>
    <w:p w14:paraId="596660AA" w14:textId="77777777" w:rsidR="00D81E54" w:rsidRDefault="00D81E54" w:rsidP="00D81E54">
      <w:pPr>
        <w:pStyle w:val="NormalWeb"/>
        <w:spacing w:line="480" w:lineRule="auto"/>
        <w:rPr>
          <w:color w:val="000000" w:themeColor="text1"/>
        </w:rPr>
      </w:pPr>
      <w:r>
        <w:rPr>
          <w:color w:val="000000" w:themeColor="text1"/>
        </w:rPr>
        <w:tab/>
        <w:t xml:space="preserve">Similar to the summative assessment items, faculty utilized a test blueprint to create the formative exam content. Explained in the Data Collection section, the blueprint was also followed when constructing video formatted exams and provided consistency between the cohorts. The test blueprint as a template allowed for reliable sampling from all possible tagged structures, whether cadaveric or digital </w:t>
      </w:r>
      <w:r>
        <w:rPr>
          <w:color w:val="000000" w:themeColor="text1"/>
        </w:rPr>
        <w:fldChar w:fldCharType="begin"/>
      </w:r>
      <w:r>
        <w:rPr>
          <w:color w:val="000000" w:themeColor="text1"/>
        </w:rPr>
        <w:instrText xml:space="preserve"> ADDIN ZOTERO_ITEM CSL_CITATION {"citationID":"qhdiUAcO","properties":{"formattedCitation":"(Downing, 2003)","plainCitation":"(Downing, 2003)","noteIndex":0},"citationItems":[{"id":433,"uris":["http://zotero.org/users/local/8fpcHUeo/items/L738IGHV"],"uri":["http://zotero.org/users/local/8fpcHUeo/items/L738IGHV"],"itemData":{"id":433,"type":"article-journal","abstract":"Context All assessments in medical education require evidence of validity to be interpreted meaningfully. In contemporary usage, all validity is construct validity, which requires multiple sources of evidence; construct validity is the whole of validity, but has multiple facets. Five sources – content, response process, internal structure, relationship to other variables and consequences – are noted by the Standards for Educational and Psychological Testing as fruitful areas to seek validity evidence. Purpose The purpose of this article is to discuss construct validity in the context of medical education and to summarize, through example, some typical sources of validity evidence for a written and a performance examination. Summary Assessments are not valid or invalid; rather, the scores or outcomes of assessments have more or less evidence to support (or refute) a speciﬁc interpretation (such as passing or failing a course). Validity is approached as hypothesis and uses theory, logic and the scientiﬁc method to collect and assemble data to support or fail to support the proposed score interpretations, at a given point in time. Data and logic are assembled into arguments – pro and con – for some speciﬁc interpretation of assessment data. Examples of types of validity evidence, data and information from each source are discussed in the context of a high-stakes written and performance examination in medical education. Conclusion All assessments require evidence of the reasonableness of the proposed interpretation, as test data in education have little or no intrinsic meaning. The constructs purported to be measured by our assessments are important to students, faculty, administrators, patients and society and require solid scientiﬁc evidence of their meaning.","container-title":"Medical Education","DOI":"10.1046/j.1365-2923.2003.01594.x","ISSN":"0308-0110, 1365-2923","issue":"9","journalAbbreviation":"Med Educ","language":"en","page":"830-837","source":"DOI.org (Crossref)","title":"Validity: on the meaningful interpretation of assessment data","title-short":"Validity","volume":"37","author":[{"family":"Downing","given":"Steven M"}],"issued":{"date-parts":[["2003",9]]}}}],"schema":"https://github.com/citation-style-language/schema/raw/master/csl-citation.json"} </w:instrText>
      </w:r>
      <w:r>
        <w:rPr>
          <w:color w:val="000000" w:themeColor="text1"/>
        </w:rPr>
        <w:fldChar w:fldCharType="separate"/>
      </w:r>
      <w:r>
        <w:rPr>
          <w:noProof/>
          <w:color w:val="000000" w:themeColor="text1"/>
        </w:rPr>
        <w:t>(Downing, 2003)</w:t>
      </w:r>
      <w:r>
        <w:rPr>
          <w:color w:val="000000" w:themeColor="text1"/>
        </w:rPr>
        <w:fldChar w:fldCharType="end"/>
      </w:r>
      <w:r>
        <w:rPr>
          <w:color w:val="000000" w:themeColor="text1"/>
        </w:rPr>
        <w:t xml:space="preserve">. No quantitative data was collected for the extrapolation of data, but ‘high value’ knowledge, or anatomical information likely to be seen again in a future exam or clinical simulation, were frequently emphasized. The curricular purpose of the formative exams was to provide students with evidence of their learning in real time. Tagged cadavers and video images were used to create exceptionally authentic assessments of low Bloom’s level anatomical knowledge. For the study, the formative exams represented a main source of pedagogical difference; the 2020 cohort received no in-person cadaveric laboratory instruction. Students watched videos and attended ‘dry lab’ videoconferencing sessions modeled after the F2F cadaveric laboratory experience. The evidence provided demonstrates how formative exam development processes support a consistent learning </w:t>
      </w:r>
      <w:r>
        <w:rPr>
          <w:color w:val="000000" w:themeColor="text1"/>
        </w:rPr>
        <w:lastRenderedPageBreak/>
        <w:t>experience between years and delivery formats. The standardization of the formative exam experience provided sufficient evidence for the validity of comparing formative exams as one measure of assessing anatomical knowledge.</w:t>
      </w:r>
    </w:p>
    <w:p w14:paraId="47973B8A" w14:textId="77777777" w:rsidR="00D81E54" w:rsidRPr="00F7155C" w:rsidRDefault="00D81E54" w:rsidP="00D81E54">
      <w:pPr>
        <w:pStyle w:val="NormalWeb"/>
        <w:spacing w:line="480" w:lineRule="auto"/>
        <w:rPr>
          <w:b/>
          <w:bCs/>
          <w:i/>
          <w:iCs/>
          <w:color w:val="000000" w:themeColor="text1"/>
        </w:rPr>
      </w:pPr>
      <w:r>
        <w:rPr>
          <w:b/>
          <w:bCs/>
          <w:i/>
          <w:iCs/>
          <w:color w:val="000000" w:themeColor="text1"/>
        </w:rPr>
        <w:tab/>
      </w:r>
      <w:r w:rsidRPr="00C862E9">
        <w:rPr>
          <w:b/>
          <w:bCs/>
          <w:i/>
          <w:iCs/>
          <w:color w:val="000000" w:themeColor="text1"/>
        </w:rPr>
        <w:t>Survey</w:t>
      </w:r>
      <w:r>
        <w:rPr>
          <w:b/>
          <w:bCs/>
          <w:i/>
          <w:iCs/>
          <w:color w:val="000000" w:themeColor="text1"/>
        </w:rPr>
        <w:t xml:space="preserve">. </w:t>
      </w:r>
      <w:r>
        <w:rPr>
          <w:color w:val="000000" w:themeColor="text1"/>
        </w:rPr>
        <w:t xml:space="preserve">The purpose of the Clinical Anatomy online survey component used in this study was to determine </w:t>
      </w:r>
      <w:r>
        <w:t>students’ perceptions of their anatomical knowledge</w:t>
      </w:r>
      <w:r>
        <w:rPr>
          <w:color w:val="000000" w:themeColor="text1"/>
        </w:rPr>
        <w:t xml:space="preserve">. The survey was designed from a semi-structured focus group interview of students by the lead teaching assistant (SH). Questions and prompts (Figure 2) were written to initiate a rich conversation between students. The transcription of this interview provided the material for survey construction. As noted in the Data Collection section, a researcher (SH) met with faculty (NH, MM) twice to review the transcription statements and identify items for inclusion. This process of construction, triangulation, and agreement of the categorization and inclusion of items supported the use of the survey as a mechanism to provide students with a voice regarding the course </w:t>
      </w:r>
      <w:r>
        <w:rPr>
          <w:color w:val="000000" w:themeColor="text1"/>
        </w:rPr>
        <w:fldChar w:fldCharType="begin"/>
      </w:r>
      <w:r>
        <w:rPr>
          <w:color w:val="000000" w:themeColor="text1"/>
        </w:rPr>
        <w:instrText xml:space="preserve"> ADDIN ZOTERO_ITEM CSL_CITATION {"citationID":"eUNsNHuv","properties":{"formattedCitation":"(Cook et al., 2015)","plainCitation":"(Cook et al., 2015)","noteIndex":0},"citationItems":[{"id":434,"uris":["http://zotero.org/users/local/8fpcHUeo/items/D9H35Z3K"],"uri":["http://zotero.org/users/local/8fpcHUeo/items/D9H35Z3K"],"itemData":{"id":434,"type":"article-journal","container-title":"Medical Education","DOI":"10.1111/medu.12678","ISSN":"03080110","issue":"6","journalAbbreviation":"Med Educ","language":"en","page":"560-575","source":"DOI.org (Crossref)","title":"A contemporary approach to validity arguments: a practical guide to Kane's framework","title-short":"A contemporary approach to validity arguments","volume":"49","author":[{"family":"Cook","given":"David A"},{"family":"Brydges","given":"Ryan"},{"family":"Ginsburg","given":"Shiphra"},{"family":"Hatala","given":"Rose"}],"issued":{"date-parts":[["2015",6]]}}}],"schema":"https://github.com/citation-style-language/schema/raw/master/csl-citation.json"} </w:instrText>
      </w:r>
      <w:r>
        <w:rPr>
          <w:color w:val="000000" w:themeColor="text1"/>
        </w:rPr>
        <w:fldChar w:fldCharType="separate"/>
      </w:r>
      <w:r>
        <w:rPr>
          <w:noProof/>
          <w:color w:val="000000" w:themeColor="text1"/>
        </w:rPr>
        <w:t>(Cook et al., 2015)</w:t>
      </w:r>
      <w:r>
        <w:rPr>
          <w:color w:val="000000" w:themeColor="text1"/>
        </w:rPr>
        <w:fldChar w:fldCharType="end"/>
      </w:r>
      <w:r>
        <w:rPr>
          <w:color w:val="000000" w:themeColor="text1"/>
        </w:rPr>
        <w:t xml:space="preserve">. </w:t>
      </w:r>
    </w:p>
    <w:p w14:paraId="0FD3F88C" w14:textId="5B069FAB" w:rsidR="00D81E54" w:rsidRPr="009E1789" w:rsidRDefault="00D81E54" w:rsidP="00D81E54">
      <w:pPr>
        <w:pStyle w:val="NormalWeb"/>
        <w:spacing w:line="480" w:lineRule="auto"/>
        <w:rPr>
          <w:color w:val="000000" w:themeColor="text1"/>
        </w:rPr>
      </w:pPr>
      <w:r>
        <w:rPr>
          <w:color w:val="FF0000"/>
        </w:rPr>
        <w:tab/>
      </w:r>
      <w:r w:rsidRPr="009E1789">
        <w:rPr>
          <w:color w:val="000000" w:themeColor="text1"/>
        </w:rPr>
        <w:t xml:space="preserve">Generalization </w:t>
      </w:r>
      <w:r>
        <w:rPr>
          <w:color w:val="000000" w:themeColor="text1"/>
        </w:rPr>
        <w:t>evidence was</w:t>
      </w:r>
      <w:r w:rsidRPr="009E1789">
        <w:rPr>
          <w:color w:val="000000" w:themeColor="text1"/>
        </w:rPr>
        <w:t xml:space="preserve"> limited in this situation as both the pandemic and remote Clinical Anatomy are two </w:t>
      </w:r>
      <w:r>
        <w:rPr>
          <w:color w:val="000000" w:themeColor="text1"/>
        </w:rPr>
        <w:t>exceptional</w:t>
      </w:r>
      <w:r w:rsidRPr="009E1789">
        <w:rPr>
          <w:color w:val="000000" w:themeColor="text1"/>
        </w:rPr>
        <w:t xml:space="preserve"> events. Additionally, this survey was developed from student input from one course on one campus. Researchers used the voluntary sampling method, thus students self-selected into participating in this survey. The data may be skewed toward those compelled to communicate. </w:t>
      </w:r>
      <w:r>
        <w:rPr>
          <w:color w:val="000000" w:themeColor="text1"/>
        </w:rPr>
        <w:t xml:space="preserve">A factor in favor of the representativeness of the survey data was that </w:t>
      </w:r>
      <w:r w:rsidRPr="009E1789">
        <w:rPr>
          <w:color w:val="000000" w:themeColor="text1"/>
        </w:rPr>
        <w:t>6</w:t>
      </w:r>
      <w:r w:rsidR="00C817E1">
        <w:rPr>
          <w:color w:val="000000" w:themeColor="text1"/>
        </w:rPr>
        <w:t>0</w:t>
      </w:r>
      <w:r w:rsidRPr="009E1789">
        <w:rPr>
          <w:color w:val="000000" w:themeColor="text1"/>
        </w:rPr>
        <w:t xml:space="preserve"> of 102 (</w:t>
      </w:r>
      <w:r w:rsidR="00C817E1">
        <w:rPr>
          <w:color w:val="000000" w:themeColor="text1"/>
        </w:rPr>
        <w:t>59</w:t>
      </w:r>
      <w:r w:rsidRPr="009E1789">
        <w:rPr>
          <w:color w:val="000000" w:themeColor="text1"/>
        </w:rPr>
        <w:t>%) students participated in the survey</w:t>
      </w:r>
      <w:r>
        <w:rPr>
          <w:color w:val="000000" w:themeColor="text1"/>
        </w:rPr>
        <w:t xml:space="preserve">. </w:t>
      </w:r>
    </w:p>
    <w:p w14:paraId="51F2DD6A" w14:textId="77777777" w:rsidR="00D81E54" w:rsidRPr="00065E56" w:rsidRDefault="00D81E54" w:rsidP="00D81E54">
      <w:pPr>
        <w:pStyle w:val="NormalWeb"/>
        <w:spacing w:line="480" w:lineRule="auto"/>
        <w:rPr>
          <w:color w:val="000000" w:themeColor="text1"/>
        </w:rPr>
      </w:pPr>
      <w:r w:rsidRPr="009E1789">
        <w:rPr>
          <w:color w:val="000000" w:themeColor="text1"/>
        </w:rPr>
        <w:tab/>
        <w:t>In allowing s</w:t>
      </w:r>
      <w:r w:rsidRPr="00065E56">
        <w:rPr>
          <w:color w:val="000000" w:themeColor="text1"/>
        </w:rPr>
        <w:t xml:space="preserve">tudents’ concerns and needs drive the interview, students were permitted to define the scope and purpose of the subsequent survey. Though lacking in standardization, the survey was relevant and authentic to students. Authenticity to students’ lived experiences provided support for the real-world utility of this survey. The implications for the survey were </w:t>
      </w:r>
      <w:r w:rsidRPr="00065E56">
        <w:rPr>
          <w:color w:val="000000" w:themeColor="text1"/>
        </w:rPr>
        <w:lastRenderedPageBreak/>
        <w:t>within the boundaries its construction. Student perspectives derived from the survey informed faculty of how students felt about their anatomical knowledge and provided context relatable to assessment items. Knowledge of what OUHSC PA and dental students experienced at a very unique time in history provided insight that could assist anatomy educators when providing future curricular innovations.</w:t>
      </w:r>
    </w:p>
    <w:p w14:paraId="6D24FB14" w14:textId="26ADEC42" w:rsidR="00D81E54" w:rsidRPr="00065E56" w:rsidRDefault="00D81E54" w:rsidP="00D81E54">
      <w:pPr>
        <w:pStyle w:val="NormalWeb"/>
        <w:spacing w:line="480" w:lineRule="auto"/>
        <w:rPr>
          <w:b/>
          <w:bCs/>
          <w:i/>
          <w:iCs/>
          <w:color w:val="000000" w:themeColor="text1"/>
        </w:rPr>
      </w:pPr>
      <w:r w:rsidRPr="00065E56">
        <w:rPr>
          <w:b/>
          <w:bCs/>
          <w:i/>
          <w:iCs/>
          <w:color w:val="000000" w:themeColor="text1"/>
        </w:rPr>
        <w:tab/>
        <w:t xml:space="preserve">Threat Assessment. </w:t>
      </w:r>
      <w:r w:rsidRPr="00065E56">
        <w:rPr>
          <w:color w:val="000000" w:themeColor="text1"/>
        </w:rPr>
        <w:t xml:space="preserve">Another framework from which to evaluate the validity of a study is to assess the external and internal threats to validity based on the study’s construction. Threat assessment is useful as a means of evaluating the limitations of the study design in order to ensure the conclusions drawn from the data are appropriate </w:t>
      </w:r>
      <w:r w:rsidRPr="00065E56">
        <w:rPr>
          <w:color w:val="000000" w:themeColor="text1"/>
        </w:rPr>
        <w:fldChar w:fldCharType="begin"/>
      </w:r>
      <w:r w:rsidRPr="00065E56">
        <w:rPr>
          <w:color w:val="000000" w:themeColor="text1"/>
        </w:rPr>
        <w:instrText xml:space="preserve"> ADDIN ZOTERO_ITEM CSL_CITATION {"citationID":"pFZjsFsJ","properties":{"formattedCitation":"(Downing, 2003)","plainCitation":"(Downing, 2003)","noteIndex":0},"citationItems":[{"id":433,"uris":["http://zotero.org/users/local/8fpcHUeo/items/L738IGHV"],"uri":["http://zotero.org/users/local/8fpcHUeo/items/L738IGHV"],"itemData":{"id":433,"type":"article-journal","abstract":"Context All assessments in medical education require evidence of validity to be interpreted meaningfully. In contemporary usage, all validity is construct validity, which requires multiple sources of evidence; construct validity is the whole of validity, but has multiple facets. Five sources – content, response process, internal structure, relationship to other variables and consequences – are noted by the Standards for Educational and Psychological Testing as fruitful areas to seek validity evidence. Purpose The purpose of this article is to discuss construct validity in the context of medical education and to summarize, through example, some typical sources of validity evidence for a written and a performance examination. Summary Assessments are not valid or invalid; rather, the scores or outcomes of assessments have more or less evidence to support (or refute) a speciﬁc interpretation (such as passing or failing a course). Validity is approached as hypothesis and uses theory, logic and the scientiﬁc method to collect and assemble data to support or fail to support the proposed score interpretations, at a given point in time. Data and logic are assembled into arguments – pro and con – for some speciﬁc interpretation of assessment data. Examples of types of validity evidence, data and information from each source are discussed in the context of a high-stakes written and performance examination in medical education. Conclusion All assessments require evidence of the reasonableness of the proposed interpretation, as test data in education have little or no intrinsic meaning. The constructs purported to be measured by our assessments are important to students, faculty, administrators, patients and society and require solid scientiﬁc evidence of their meaning.","container-title":"Medical Education","DOI":"10.1046/j.1365-2923.2003.01594.x","ISSN":"0308-0110, 1365-2923","issue":"9","journalAbbreviation":"Med Educ","language":"en","page":"830-837","source":"DOI.org (Crossref)","title":"Validity: on the meaningful interpretation of assessment data","title-short":"Validity","volume":"37","author":[{"family":"Downing","given":"Steven M"}],"issued":{"date-parts":[["2003",9]]}}}],"schema":"https://github.com/citation-style-language/schema/raw/master/csl-citation.json"} </w:instrText>
      </w:r>
      <w:r w:rsidRPr="00065E56">
        <w:rPr>
          <w:color w:val="000000" w:themeColor="text1"/>
        </w:rPr>
        <w:fldChar w:fldCharType="separate"/>
      </w:r>
      <w:r w:rsidRPr="00065E56">
        <w:rPr>
          <w:noProof/>
          <w:color w:val="000000" w:themeColor="text1"/>
        </w:rPr>
        <w:t>(Downing, 2003)</w:t>
      </w:r>
      <w:r w:rsidRPr="00065E56">
        <w:rPr>
          <w:color w:val="000000" w:themeColor="text1"/>
        </w:rPr>
        <w:fldChar w:fldCharType="end"/>
      </w:r>
      <w:r w:rsidRPr="00065E56">
        <w:rPr>
          <w:color w:val="000000" w:themeColor="text1"/>
        </w:rPr>
        <w:t xml:space="preserve">. Regarding the assessment item analysis, there are multiple potential threats to external validity when conducting a quasi-experimental study. The main threat concerns the lack of randomization of the students. Common to education, researchers frequently study naturally occurring cohorts rather than randomly sorting students into control and experimental groups, thus the ‘quasi-experimental’ label </w:t>
      </w:r>
      <w:r w:rsidRPr="00065E56">
        <w:rPr>
          <w:color w:val="000000" w:themeColor="text1"/>
        </w:rPr>
        <w:fldChar w:fldCharType="begin"/>
      </w:r>
      <w:r w:rsidRPr="00065E56">
        <w:rPr>
          <w:color w:val="000000" w:themeColor="text1"/>
        </w:rPr>
        <w:instrText xml:space="preserve"> ADDIN ZOTERO_ITEM CSL_CITATION {"citationID":"UBTjruU9","properties":{"formattedCitation":"(Johnson &amp; Christensen, 2016)","plainCitation":"(Johnson &amp; Christensen, 2016)","noteIndex":0},"citationItems":[{"id":163,"uris":["http://zotero.org/users/local/8fpcHUeo/items/64U7ZVCH"],"uri":["http://zotero.org/users/local/8fpcHUeo/items/64U7ZVCH"],"itemData":{"id":163,"type":"book","edition":"6th","ISBN":"978-1-4833-9160-1","number-of-pages":"744","publisher":"SAGE Publications, Inc","title":"Educational Research: Quantitative, Qualitative, and Mixed Approaches","author":[{"family":"Johnson","given":"R. Burke"},{"family":"Christensen","given":"Larry"}],"issued":{"date-parts":[["2016"]]}}}],"schema":"https://github.com/citation-style-language/schema/raw/master/csl-citation.json"} </w:instrText>
      </w:r>
      <w:r w:rsidRPr="00065E56">
        <w:rPr>
          <w:color w:val="000000" w:themeColor="text1"/>
        </w:rPr>
        <w:fldChar w:fldCharType="separate"/>
      </w:r>
      <w:r w:rsidRPr="00065E56">
        <w:rPr>
          <w:noProof/>
          <w:color w:val="000000" w:themeColor="text1"/>
        </w:rPr>
        <w:t>(Johnson &amp; Christensen, 2016)</w:t>
      </w:r>
      <w:r w:rsidRPr="00065E56">
        <w:rPr>
          <w:color w:val="000000" w:themeColor="text1"/>
        </w:rPr>
        <w:fldChar w:fldCharType="end"/>
      </w:r>
      <w:r w:rsidRPr="00065E56">
        <w:rPr>
          <w:color w:val="000000" w:themeColor="text1"/>
        </w:rPr>
        <w:t xml:space="preserve">. The concern is that if the populations are unique, the results will not be generalizable to other PA and dental programs at similar institutions. The justification of the 2019 F2F cohort functioning as the historical control was the similarities of the student cohort populations (Table 1). Though demographically similar, the 2019 F2F cohort must be considered a non-equivalent control group due to the lack of randomization. </w:t>
      </w:r>
    </w:p>
    <w:p w14:paraId="3EC12AB9" w14:textId="77777777" w:rsidR="00D81E54" w:rsidRPr="00065E56" w:rsidRDefault="00D81E54" w:rsidP="00D81E54">
      <w:pPr>
        <w:pStyle w:val="NormalWeb"/>
        <w:spacing w:line="480" w:lineRule="auto"/>
        <w:rPr>
          <w:color w:val="000000" w:themeColor="text1"/>
        </w:rPr>
      </w:pPr>
      <w:r w:rsidRPr="00065E56">
        <w:rPr>
          <w:color w:val="000000" w:themeColor="text1"/>
        </w:rPr>
        <w:tab/>
        <w:t xml:space="preserve">Other typical external validity threats did not significantly affect assessment item analysis. The 2020 cohort acceptance and decision deadlines to the dental or PA programs occurred prior to the onset of COVID-19, eliminating the pandemic as an historic influence on </w:t>
      </w:r>
      <w:r w:rsidRPr="00065E56">
        <w:rPr>
          <w:color w:val="000000" w:themeColor="text1"/>
        </w:rPr>
        <w:lastRenderedPageBreak/>
        <w:t>decisions to attend. Sampling bias was not a factor due to all identical assessment items being utilized. Other threats to external validity (treatment diffusion, maturation, selection bias) were irrelevant due to the retrospective nature of the data collection.</w:t>
      </w:r>
    </w:p>
    <w:p w14:paraId="1390C9CF" w14:textId="77777777" w:rsidR="00D81E54" w:rsidRPr="00065E56" w:rsidRDefault="00D81E54" w:rsidP="00D81E54">
      <w:pPr>
        <w:pStyle w:val="NormalWeb"/>
        <w:spacing w:line="480" w:lineRule="auto"/>
        <w:rPr>
          <w:color w:val="000000" w:themeColor="text1"/>
        </w:rPr>
      </w:pPr>
      <w:r w:rsidRPr="00065E56">
        <w:rPr>
          <w:color w:val="000000" w:themeColor="text1"/>
        </w:rPr>
        <w:tab/>
        <w:t xml:space="preserve">Internal validity is the degree to which a cause-and-effect relationship can be determined in a study </w:t>
      </w:r>
      <w:r w:rsidRPr="00065E56">
        <w:rPr>
          <w:color w:val="000000" w:themeColor="text1"/>
        </w:rPr>
        <w:fldChar w:fldCharType="begin"/>
      </w:r>
      <w:r w:rsidRPr="00065E56">
        <w:rPr>
          <w:color w:val="000000" w:themeColor="text1"/>
        </w:rPr>
        <w:instrText xml:space="preserve"> ADDIN ZOTERO_ITEM CSL_CITATION {"citationID":"kbfeniL9","properties":{"formattedCitation":"(Slack &amp; Draugalis, 2001)","plainCitation":"(Slack &amp; Draugalis, 2001)","noteIndex":0},"citationItems":[{"id":166,"uris":["http://zotero.org/users/local/8fpcHUeo/items/CT878EVR"],"uri":["http://zotero.org/users/local/8fpcHUeo/items/CT878EVR"],"itemData":{"id":166,"type":"article-journal","abstract":"The information needed to determine the internal and external validity of an experimental study is discussed. Internal validity is the degree to which a study establishes the cause-and-effect relationship between the treatment and the observed outcome. Establishing the internal validity of a study is based on a logical process. For a research report, the logical framework is provided by the report's structure. The methods section describes what procedures were followed to minimize threats to internal validity, the results section reports the relevant data, and the discussion section assesses the inﬂuence of bias. Eight threats to internal validity have been deﬁned: history, maturation, testing, instrumentation, regression, selection, experimental mortality, and an interaction of threats. A cognitive map may be used to guide investigators when addressing validity in a research report. The map is based on the premise that information in the report evolves from one section to the next to provide a complete logical description of each internal-validity problem. The map addresses experimental mortality, randomization, blinding, placebo effects, and adherence to the study protocol. Threats to internal validity may be a source of extraneous variance when the ﬁndings are not signiﬁcant. External validity is addressed by delineating inclusion and exclusion criteria, describing subjects in terms of relevant variables, and assessing generalizability.","container-title":"American Journal of Health-System Pharmacy","DOI":"10.1093/ajhp/58.22.2173","ISSN":"1079-2082, 1535-2900","issue":"22","language":"en","page":"2173-2181","source":"DOI.org (Crossref)","title":"Establishing the internal and external validity of experimental studies","volume":"58","author":[{"family":"Slack","given":"Marion K."},{"family":"Draugalis","given":"Jolaine R."}],"issued":{"date-parts":[["2001",11,15]]}}}],"schema":"https://github.com/citation-style-language/schema/raw/master/csl-citation.json"} </w:instrText>
      </w:r>
      <w:r w:rsidRPr="00065E56">
        <w:rPr>
          <w:color w:val="000000" w:themeColor="text1"/>
        </w:rPr>
        <w:fldChar w:fldCharType="separate"/>
      </w:r>
      <w:r w:rsidRPr="00065E56">
        <w:rPr>
          <w:noProof/>
          <w:color w:val="000000" w:themeColor="text1"/>
        </w:rPr>
        <w:t>(Slack &amp; Draugalis, 2001)</w:t>
      </w:r>
      <w:r w:rsidRPr="00065E56">
        <w:rPr>
          <w:color w:val="000000" w:themeColor="text1"/>
        </w:rPr>
        <w:fldChar w:fldCharType="end"/>
      </w:r>
      <w:r w:rsidRPr="00065E56">
        <w:rPr>
          <w:color w:val="000000" w:themeColor="text1"/>
        </w:rPr>
        <w:t xml:space="preserve">. Said another way, internal validity increases as more variables are eliminated. The lack of randomization was also a potential threat to internal validity. Since the students weren’t sorted into groups from the same pool of participants, the two cohorts may be inherently different and introduce an unknown variable. COVID-19 itself is an historical threat to internal validity. There is no way presently to quantify the emotional impact or the cognitive load of beginning professional school in the middle of a pandemic. The proposed study assesses remote learning of clinical anatomy during a pandemic, and with no way to measure the pandemic’s effects on individuals, the pandemic remains a confounding covariate. </w:t>
      </w:r>
      <w:r w:rsidRPr="00065E56">
        <w:rPr>
          <w:color w:val="000000" w:themeColor="text1"/>
        </w:rPr>
        <w:tab/>
        <w:t xml:space="preserve">As for the survey, quasi-experimental, one-group post-test surveys are essentially one-shot case studies </w:t>
      </w:r>
      <w:r w:rsidRPr="00065E56">
        <w:rPr>
          <w:color w:val="000000" w:themeColor="text1"/>
        </w:rPr>
        <w:fldChar w:fldCharType="begin"/>
      </w:r>
      <w:r w:rsidRPr="00065E56">
        <w:rPr>
          <w:color w:val="000000" w:themeColor="text1"/>
        </w:rPr>
        <w:instrText xml:space="preserve"> ADDIN ZOTERO_ITEM CSL_CITATION {"citationID":"vWBw4iPp","properties":{"formattedCitation":"(Campbell &amp; Stanley, 1967)","plainCitation":"(Campbell &amp; Stanley, 1967)","noteIndex":0},"citationItems":[{"id":160,"uris":["http://zotero.org/users/local/8fpcHUeo/items/7GKT9YRH"],"uri":["http://zotero.org/users/local/8fpcHUeo/items/7GKT9YRH"],"itemData":{"id":160,"type":"book","edition":"2. print; Reprinted from \"Handbook of research on teaching\"","event-place":"Boston","ISBN":"978-0-395-30787-8","language":"en","note":"OCLC: 247359300","number-of-pages":"84","publisher":"Houghton Mifflin Comp","publisher-place":"Boston","source":"Gemeinsamer Bibliotheksverbund ISBN","title":"Experimental and quasi-experimental designs for research","author":[{"family":"Campbell","given":"Donald Thomas"},{"family":"Stanley","given":"Julian Cecil"}],"issued":{"date-parts":[["1967"]]}}}],"schema":"https://github.com/citation-style-language/schema/raw/master/csl-citation.json"} </w:instrText>
      </w:r>
      <w:r w:rsidRPr="00065E56">
        <w:rPr>
          <w:color w:val="000000" w:themeColor="text1"/>
        </w:rPr>
        <w:fldChar w:fldCharType="separate"/>
      </w:r>
      <w:r w:rsidRPr="00065E56">
        <w:rPr>
          <w:noProof/>
          <w:color w:val="000000" w:themeColor="text1"/>
        </w:rPr>
        <w:t>(Campbell &amp; Stanley, 1967)</w:t>
      </w:r>
      <w:r w:rsidRPr="00065E56">
        <w:rPr>
          <w:color w:val="000000" w:themeColor="text1"/>
        </w:rPr>
        <w:fldChar w:fldCharType="end"/>
      </w:r>
      <w:r w:rsidRPr="00065E56">
        <w:rPr>
          <w:color w:val="000000" w:themeColor="text1"/>
        </w:rPr>
        <w:t xml:space="preserve">, and the threats to internal validity are significant. Most acutely, there was no control group to compare results </w:t>
      </w:r>
      <w:r w:rsidRPr="00065E56">
        <w:rPr>
          <w:color w:val="000000" w:themeColor="text1"/>
        </w:rPr>
        <w:fldChar w:fldCharType="begin"/>
      </w:r>
      <w:r w:rsidRPr="00065E56">
        <w:rPr>
          <w:color w:val="000000" w:themeColor="text1"/>
        </w:rPr>
        <w:instrText xml:space="preserve"> ADDIN ZOTERO_ITEM CSL_CITATION {"citationID":"wYMLW5yA","properties":{"formattedCitation":"(Johnson &amp; Christensen, 2016)","plainCitation":"(Johnson &amp; Christensen, 2016)","noteIndex":0},"citationItems":[{"id":163,"uris":["http://zotero.org/users/local/8fpcHUeo/items/64U7ZVCH"],"uri":["http://zotero.org/users/local/8fpcHUeo/items/64U7ZVCH"],"itemData":{"id":163,"type":"book","edition":"6th","ISBN":"978-1-4833-9160-1","number-of-pages":"744","publisher":"SAGE Publications, Inc","title":"Educational Research: Quantitative, Qualitative, and Mixed Approaches","author":[{"family":"Johnson","given":"R. Burke"},{"family":"Christensen","given":"Larry"}],"issued":{"date-parts":[["2016"]]}}}],"schema":"https://github.com/citation-style-language/schema/raw/master/csl-citation.json"} </w:instrText>
      </w:r>
      <w:r w:rsidRPr="00065E56">
        <w:rPr>
          <w:color w:val="000000" w:themeColor="text1"/>
        </w:rPr>
        <w:fldChar w:fldCharType="separate"/>
      </w:r>
      <w:r w:rsidRPr="00065E56">
        <w:rPr>
          <w:noProof/>
          <w:color w:val="000000" w:themeColor="text1"/>
        </w:rPr>
        <w:t>(Johnson &amp; Christensen, 2016)</w:t>
      </w:r>
      <w:r w:rsidRPr="00065E56">
        <w:rPr>
          <w:color w:val="000000" w:themeColor="text1"/>
        </w:rPr>
        <w:fldChar w:fldCharType="end"/>
      </w:r>
      <w:r w:rsidRPr="00065E56">
        <w:rPr>
          <w:color w:val="000000" w:themeColor="text1"/>
        </w:rPr>
        <w:t xml:space="preserve">. Due to the rapid onset of COVID-19 and the fact that Clinical Anatomy meets annually for 7 weeks, there was no possible way to administer this survey to a non-pandemic cohort at the same time-point in their schooling. The result was the survey data collected was essentially narrative in rigor even though the data is numerical in nature. </w:t>
      </w:r>
    </w:p>
    <w:p w14:paraId="0439DD8F" w14:textId="77777777" w:rsidR="00A851A5" w:rsidRDefault="00D81E54" w:rsidP="00A851A5">
      <w:pPr>
        <w:pStyle w:val="NormalWeb"/>
        <w:spacing w:line="480" w:lineRule="auto"/>
        <w:rPr>
          <w:color w:val="000000" w:themeColor="text1"/>
        </w:rPr>
      </w:pPr>
      <w:r w:rsidRPr="00065E56">
        <w:rPr>
          <w:color w:val="000000" w:themeColor="text1"/>
        </w:rPr>
        <w:tab/>
        <w:t xml:space="preserve">The construction process of the survey potentially allowed for two external threats to validity. Students were invited to participate in a focus group to provide survey construction data for the researcher. While not a true testing effect, participating in a large focus group may have </w:t>
      </w:r>
      <w:r w:rsidRPr="00065E56">
        <w:rPr>
          <w:color w:val="000000" w:themeColor="text1"/>
        </w:rPr>
        <w:lastRenderedPageBreak/>
        <w:t xml:space="preserve">changed the perceptions students held prior to the administration of the survey. Consistent with the quasi-testing effect, a maturation effect was possible in that students may reflect on a completed course differently than one in which they currently participate </w:t>
      </w:r>
      <w:r w:rsidRPr="00065E56">
        <w:rPr>
          <w:color w:val="000000" w:themeColor="text1"/>
        </w:rPr>
        <w:fldChar w:fldCharType="begin"/>
      </w:r>
      <w:r w:rsidRPr="00065E56">
        <w:rPr>
          <w:color w:val="000000" w:themeColor="text1"/>
        </w:rPr>
        <w:instrText xml:space="preserve"> ADDIN ZOTERO_ITEM CSL_CITATION {"citationID":"o8j0d2PS","properties":{"formattedCitation":"(Campbell &amp; Stanley, 1967)","plainCitation":"(Campbell &amp; Stanley, 1967)","noteIndex":0},"citationItems":[{"id":160,"uris":["http://zotero.org/users/local/8fpcHUeo/items/7GKT9YRH"],"uri":["http://zotero.org/users/local/8fpcHUeo/items/7GKT9YRH"],"itemData":{"id":160,"type":"book","edition":"2. print; Reprinted from \"Handbook of research on teaching\"","event-place":"Boston","ISBN":"978-0-395-30787-8","language":"en","note":"OCLC: 247359300","number-of-pages":"84","publisher":"Houghton Mifflin Comp","publisher-place":"Boston","source":"Gemeinsamer Bibliotheksverbund ISBN","title":"Experimental and quasi-experimental designs for research","author":[{"family":"Campbell","given":"Donald Thomas"},{"family":"Stanley","given":"Julian Cecil"}],"issued":{"date-parts":[["1967"]]}}}],"schema":"https://github.com/citation-style-language/schema/raw/master/csl-citation.json"} </w:instrText>
      </w:r>
      <w:r w:rsidRPr="00065E56">
        <w:rPr>
          <w:color w:val="000000" w:themeColor="text1"/>
        </w:rPr>
        <w:fldChar w:fldCharType="separate"/>
      </w:r>
      <w:r w:rsidRPr="00065E56">
        <w:rPr>
          <w:noProof/>
          <w:color w:val="000000" w:themeColor="text1"/>
        </w:rPr>
        <w:t>(Campbell &amp; Stanley, 1967)</w:t>
      </w:r>
      <w:r w:rsidRPr="00065E56">
        <w:rPr>
          <w:color w:val="000000" w:themeColor="text1"/>
        </w:rPr>
        <w:fldChar w:fldCharType="end"/>
      </w:r>
      <w:r w:rsidRPr="00065E56">
        <w:rPr>
          <w:color w:val="000000" w:themeColor="text1"/>
        </w:rPr>
        <w:t xml:space="preserve">. With the limitations noted, gathering data in the students’ voices allowed faculty a window into the minds of students during a historically unique time.  </w:t>
      </w:r>
    </w:p>
    <w:p w14:paraId="4522CD26" w14:textId="3AF55E23" w:rsidR="00D81E54" w:rsidRPr="00A851A5" w:rsidRDefault="00A851A5" w:rsidP="00A851A5">
      <w:pPr>
        <w:pStyle w:val="NormalWeb"/>
        <w:spacing w:line="480" w:lineRule="auto"/>
        <w:rPr>
          <w:color w:val="000000" w:themeColor="text1"/>
        </w:rPr>
      </w:pPr>
      <w:r>
        <w:rPr>
          <w:color w:val="000000" w:themeColor="text1"/>
        </w:rPr>
        <w:tab/>
      </w:r>
      <w:r w:rsidR="00D81E54" w:rsidRPr="00065E56">
        <w:rPr>
          <w:b/>
          <w:bCs/>
        </w:rPr>
        <w:t>Multimethod triangulation.</w:t>
      </w:r>
      <w:r w:rsidR="00D81E54" w:rsidRPr="00065E56">
        <w:t xml:space="preserve"> In this study, triangulation referred to relating assessment items to survey data where possible. After assessing the difference in means of assessment items, the results were discussed in the context that the survey data provided. Significant findings will be displayed graphically, with contextual survey results highlighted in text boxes nearby.</w:t>
      </w:r>
    </w:p>
    <w:p w14:paraId="6324FF3F" w14:textId="77777777" w:rsidR="00D81E54" w:rsidRPr="00065E56" w:rsidRDefault="00D81E54" w:rsidP="00D81E54">
      <w:pPr>
        <w:rPr>
          <w:rFonts w:ascii="Times New Roman" w:hAnsi="Times New Roman" w:cs="Times New Roman"/>
        </w:rPr>
      </w:pPr>
    </w:p>
    <w:p w14:paraId="1D6108ED" w14:textId="77777777" w:rsidR="00D81E54" w:rsidRPr="00065E56" w:rsidRDefault="00D81E54" w:rsidP="00D81E54">
      <w:pPr>
        <w:spacing w:line="480" w:lineRule="auto"/>
        <w:rPr>
          <w:rFonts w:ascii="Times New Roman" w:hAnsi="Times New Roman" w:cs="Times New Roman"/>
          <w:b/>
          <w:bCs/>
        </w:rPr>
      </w:pPr>
      <w:r w:rsidRPr="00065E56">
        <w:rPr>
          <w:rFonts w:ascii="Times New Roman" w:hAnsi="Times New Roman" w:cs="Times New Roman"/>
          <w:b/>
          <w:bCs/>
        </w:rPr>
        <w:t>Conclusion</w:t>
      </w:r>
    </w:p>
    <w:p w14:paraId="30396054" w14:textId="77777777" w:rsidR="0087350E" w:rsidRDefault="00D81E54" w:rsidP="0087350E">
      <w:pPr>
        <w:spacing w:line="480" w:lineRule="auto"/>
        <w:rPr>
          <w:rFonts w:ascii="Times New Roman" w:hAnsi="Times New Roman" w:cs="Times New Roman"/>
        </w:rPr>
      </w:pPr>
      <w:r w:rsidRPr="00065E56">
        <w:rPr>
          <w:rFonts w:ascii="Times New Roman" w:hAnsi="Times New Roman" w:cs="Times New Roman"/>
        </w:rPr>
        <w:tab/>
        <w:t xml:space="preserve">The purpose of this research was to determine the effects of remote Clinical Anatomy during a pandemic on actual and perceived anatomical knowledge. </w:t>
      </w:r>
      <w:r w:rsidR="00CB4E26">
        <w:rPr>
          <w:rFonts w:ascii="Times New Roman" w:hAnsi="Times New Roman" w:cs="Times New Roman"/>
        </w:rPr>
        <w:t>In the next chapter, a s</w:t>
      </w:r>
      <w:r w:rsidRPr="00065E56">
        <w:rPr>
          <w:rFonts w:ascii="Times New Roman" w:hAnsi="Times New Roman" w:cs="Times New Roman"/>
        </w:rPr>
        <w:t xml:space="preserve">tatistical analysis of assessment items </w:t>
      </w:r>
      <w:r w:rsidR="00CB4E26">
        <w:rPr>
          <w:rFonts w:ascii="Times New Roman" w:hAnsi="Times New Roman" w:cs="Times New Roman"/>
        </w:rPr>
        <w:t xml:space="preserve">will </w:t>
      </w:r>
      <w:r w:rsidRPr="00065E56">
        <w:rPr>
          <w:rFonts w:ascii="Times New Roman" w:hAnsi="Times New Roman" w:cs="Times New Roman"/>
        </w:rPr>
        <w:t>provid</w:t>
      </w:r>
      <w:r w:rsidR="00CB4E26">
        <w:rPr>
          <w:rFonts w:ascii="Times New Roman" w:hAnsi="Times New Roman" w:cs="Times New Roman"/>
        </w:rPr>
        <w:t>e</w:t>
      </w:r>
      <w:r w:rsidRPr="00065E56">
        <w:rPr>
          <w:rFonts w:ascii="Times New Roman" w:hAnsi="Times New Roman" w:cs="Times New Roman"/>
        </w:rPr>
        <w:t xml:space="preserve"> a quantitative approximation of actual student knowledge. </w:t>
      </w:r>
      <w:r w:rsidR="00CB4E26">
        <w:rPr>
          <w:rFonts w:ascii="Times New Roman" w:hAnsi="Times New Roman" w:cs="Times New Roman"/>
        </w:rPr>
        <w:t xml:space="preserve">Additionally, the student survey data will be presented and discussed. </w:t>
      </w:r>
      <w:r w:rsidRPr="00065E56">
        <w:rPr>
          <w:rFonts w:ascii="Times New Roman" w:hAnsi="Times New Roman" w:cs="Times New Roman"/>
        </w:rPr>
        <w:t xml:space="preserve">Including students in the construction of the student perspectives survey provided an authentic tool for students to amplify their voices regarding their concerns about their anatomical knowledge. </w:t>
      </w:r>
      <w:r w:rsidR="00CB4E26">
        <w:rPr>
          <w:rFonts w:ascii="Times New Roman" w:hAnsi="Times New Roman" w:cs="Times New Roman"/>
        </w:rPr>
        <w:t>The final component of the next chapter will be the presentation of r</w:t>
      </w:r>
      <w:r w:rsidRPr="00065E56">
        <w:rPr>
          <w:rFonts w:ascii="Times New Roman" w:hAnsi="Times New Roman" w:cs="Times New Roman"/>
        </w:rPr>
        <w:t>elati</w:t>
      </w:r>
      <w:r w:rsidR="00CB4E26">
        <w:rPr>
          <w:rFonts w:ascii="Times New Roman" w:hAnsi="Times New Roman" w:cs="Times New Roman"/>
        </w:rPr>
        <w:t>onships</w:t>
      </w:r>
      <w:r w:rsidRPr="00065E56">
        <w:rPr>
          <w:rFonts w:ascii="Times New Roman" w:hAnsi="Times New Roman" w:cs="Times New Roman"/>
        </w:rPr>
        <w:t xml:space="preserve"> </w:t>
      </w:r>
      <w:r w:rsidR="00CB4E26">
        <w:rPr>
          <w:rFonts w:ascii="Times New Roman" w:hAnsi="Times New Roman" w:cs="Times New Roman"/>
        </w:rPr>
        <w:t xml:space="preserve">between </w:t>
      </w:r>
      <w:r w:rsidRPr="00065E56">
        <w:rPr>
          <w:rFonts w:ascii="Times New Roman" w:hAnsi="Times New Roman" w:cs="Times New Roman"/>
        </w:rPr>
        <w:t>actual and perceived knowledge</w:t>
      </w:r>
      <w:r w:rsidR="00CB4E26">
        <w:rPr>
          <w:rFonts w:ascii="Times New Roman" w:hAnsi="Times New Roman" w:cs="Times New Roman"/>
        </w:rPr>
        <w:t xml:space="preserve">. These findings </w:t>
      </w:r>
      <w:r w:rsidRPr="00065E56">
        <w:rPr>
          <w:rFonts w:ascii="Times New Roman" w:hAnsi="Times New Roman" w:cs="Times New Roman"/>
        </w:rPr>
        <w:t>potentially provide insight for faculty to construct meaningful changes to the clinical anatomy curriculum.</w:t>
      </w:r>
      <w:r w:rsidR="00FC398E">
        <w:rPr>
          <w:rFonts w:ascii="Times New Roman" w:hAnsi="Times New Roman" w:cs="Times New Roman"/>
        </w:rPr>
        <w:t xml:space="preserve"> </w:t>
      </w:r>
    </w:p>
    <w:p w14:paraId="6575FBD8" w14:textId="77777777" w:rsidR="00A94ACD" w:rsidRDefault="00A94ACD" w:rsidP="0087350E">
      <w:pPr>
        <w:spacing w:line="480" w:lineRule="auto"/>
        <w:rPr>
          <w:rFonts w:ascii="Times New Roman" w:hAnsi="Times New Roman" w:cs="Times New Roman"/>
          <w:b/>
          <w:bCs/>
        </w:rPr>
      </w:pPr>
    </w:p>
    <w:p w14:paraId="3B4E01C9" w14:textId="77777777" w:rsidR="00A94ACD" w:rsidRDefault="00A94ACD" w:rsidP="0087350E">
      <w:pPr>
        <w:spacing w:line="480" w:lineRule="auto"/>
        <w:rPr>
          <w:rFonts w:ascii="Times New Roman" w:hAnsi="Times New Roman" w:cs="Times New Roman"/>
          <w:b/>
          <w:bCs/>
        </w:rPr>
      </w:pPr>
    </w:p>
    <w:p w14:paraId="038F8BE5" w14:textId="77777777" w:rsidR="00480362" w:rsidRDefault="00480362" w:rsidP="0087350E">
      <w:pPr>
        <w:spacing w:line="480" w:lineRule="auto"/>
        <w:rPr>
          <w:rFonts w:ascii="Times New Roman" w:hAnsi="Times New Roman" w:cs="Times New Roman"/>
          <w:b/>
          <w:bCs/>
        </w:rPr>
      </w:pPr>
    </w:p>
    <w:p w14:paraId="6331DD7E" w14:textId="62FF9F4F" w:rsidR="00731A8D" w:rsidRPr="0087350E" w:rsidRDefault="00731A8D" w:rsidP="0087350E">
      <w:pPr>
        <w:spacing w:line="480" w:lineRule="auto"/>
        <w:rPr>
          <w:rFonts w:ascii="Times New Roman" w:hAnsi="Times New Roman" w:cs="Times New Roman"/>
        </w:rPr>
      </w:pPr>
      <w:r w:rsidRPr="00065E56">
        <w:rPr>
          <w:rFonts w:ascii="Times New Roman" w:hAnsi="Times New Roman" w:cs="Times New Roman"/>
          <w:b/>
          <w:bCs/>
        </w:rPr>
        <w:lastRenderedPageBreak/>
        <w:t>Chapter 4</w:t>
      </w:r>
      <w:r w:rsidR="00A851A5">
        <w:rPr>
          <w:rFonts w:ascii="Times New Roman" w:hAnsi="Times New Roman" w:cs="Times New Roman"/>
          <w:b/>
          <w:bCs/>
        </w:rPr>
        <w:t>: Results and Analysis</w:t>
      </w:r>
    </w:p>
    <w:p w14:paraId="0B0B28E2" w14:textId="77777777" w:rsidR="00731A8D" w:rsidRPr="00065E56" w:rsidRDefault="00731A8D" w:rsidP="00731A8D">
      <w:pPr>
        <w:rPr>
          <w:rFonts w:ascii="Times New Roman" w:hAnsi="Times New Roman" w:cs="Times New Roman"/>
          <w:b/>
          <w:bCs/>
        </w:rPr>
      </w:pPr>
    </w:p>
    <w:p w14:paraId="77F4D3EC" w14:textId="10F58AFF" w:rsidR="00CB4E26" w:rsidRDefault="00CB4E26" w:rsidP="00731A8D">
      <w:pPr>
        <w:spacing w:line="480" w:lineRule="auto"/>
        <w:rPr>
          <w:rFonts w:ascii="Times New Roman" w:hAnsi="Times New Roman" w:cs="Times New Roman"/>
          <w:b/>
          <w:bCs/>
        </w:rPr>
      </w:pPr>
      <w:r>
        <w:rPr>
          <w:rFonts w:ascii="Times New Roman" w:hAnsi="Times New Roman" w:cs="Times New Roman"/>
          <w:b/>
          <w:bCs/>
        </w:rPr>
        <w:tab/>
      </w:r>
      <w:r>
        <w:rPr>
          <w:rFonts w:ascii="Times New Roman" w:hAnsi="Times New Roman" w:cs="Times New Roman"/>
        </w:rPr>
        <w:t xml:space="preserve">This chapter will present the actual and perceived anatomical </w:t>
      </w:r>
      <w:r w:rsidRPr="00CB4E26">
        <w:rPr>
          <w:rFonts w:ascii="Times New Roman" w:hAnsi="Times New Roman" w:cs="Times New Roman"/>
        </w:rPr>
        <w:t>knowledge data</w:t>
      </w:r>
      <w:r>
        <w:rPr>
          <w:rFonts w:ascii="Times New Roman" w:hAnsi="Times New Roman" w:cs="Times New Roman"/>
        </w:rPr>
        <w:t xml:space="preserve">. Actual knowledge, determined for this study to be summative and formative assessment items, were </w:t>
      </w:r>
      <w:r w:rsidR="00583A08">
        <w:rPr>
          <w:rFonts w:ascii="Times New Roman" w:hAnsi="Times New Roman" w:cs="Times New Roman"/>
        </w:rPr>
        <w:t>compared between a remote cohort and a face-to-face (F2F) cohort. Perceived anatomical knowledge was a student perspectives survey for this study. A data analysis, including a multimethod triangulation to determine if any relationships exist between actual and perceived knowledge, will conclude the chapter.</w:t>
      </w:r>
    </w:p>
    <w:p w14:paraId="462C0E1D" w14:textId="36E2213E" w:rsidR="00731A8D" w:rsidRPr="00065E56" w:rsidRDefault="00583A08" w:rsidP="00731A8D">
      <w:pPr>
        <w:spacing w:line="480" w:lineRule="auto"/>
        <w:rPr>
          <w:rFonts w:ascii="Times New Roman" w:hAnsi="Times New Roman" w:cs="Times New Roman"/>
        </w:rPr>
      </w:pPr>
      <w:r>
        <w:rPr>
          <w:rFonts w:ascii="Times New Roman" w:hAnsi="Times New Roman" w:cs="Times New Roman"/>
        </w:rPr>
        <w:tab/>
      </w:r>
      <w:r w:rsidR="00731A8D" w:rsidRPr="00065E56">
        <w:rPr>
          <w:rFonts w:ascii="Times New Roman" w:hAnsi="Times New Roman" w:cs="Times New Roman"/>
        </w:rPr>
        <w:t xml:space="preserve">In light of the lack of knowledge of best practices for remote clinical anatomy, explaining and evaluating curricular changes is a necessary first step toward identifying what anatomy educators want to continue in their praxis for remote learning during a pandemic and potentially beyond. Two common practices in medical education are to evaluate the academic outcomes and student perceptions of a curricular change. Based on Kirkpatrick’s four levels of training evaluation </w:t>
      </w:r>
      <w:r w:rsidR="00731A8D" w:rsidRPr="00065E56">
        <w:rPr>
          <w:rFonts w:ascii="Times New Roman" w:hAnsi="Times New Roman" w:cs="Times New Roman"/>
        </w:rPr>
        <w:fldChar w:fldCharType="begin"/>
      </w:r>
      <w:r w:rsidR="00731A8D" w:rsidRPr="00065E56">
        <w:rPr>
          <w:rFonts w:ascii="Times New Roman" w:hAnsi="Times New Roman" w:cs="Times New Roman"/>
        </w:rPr>
        <w:instrText xml:space="preserve"> ADDIN ZOTERO_ITEM CSL_CITATION {"citationID":"AJlgl2bA","properties":{"formattedCitation":"(Kirkpatrick &amp; Kirkpatrick, n.d.)","plainCitation":"(Kirkpatrick &amp; Kirkpatrick, n.d.)","dontUpdate":true,"noteIndex":0},"citationItems":[{"id":225,"uris":["http://zotero.org/users/local/8fpcHUeo/items/M656XR74"],"uri":["http://zotero.org/users/local/8fpcHUeo/items/M656XR74"],"itemData":{"id":225,"type":"webpage","title":"Kirkpatrick's Four Levels of Training Evaluation - James D. Kirkpatrick, Wendy Kayser Kirkpatrick - Google Books","URL":"https://books.google.com/books?id=mo--DAAAQBAJ&amp;printsec=frontcover","author":[{"family":"Kirkpatrick","given":"James D."},{"family":"Kirkpatrick","given":"Wendy Kayser"}],"accessed":{"date-parts":[["2020",9,16]]}}}],"schema":"https://github.com/citation-style-language/schema/raw/master/csl-citation.json"} </w:instrText>
      </w:r>
      <w:r w:rsidR="00731A8D" w:rsidRPr="00065E56">
        <w:rPr>
          <w:rFonts w:ascii="Times New Roman" w:hAnsi="Times New Roman" w:cs="Times New Roman"/>
        </w:rPr>
        <w:fldChar w:fldCharType="separate"/>
      </w:r>
      <w:r w:rsidR="00731A8D" w:rsidRPr="00065E56">
        <w:rPr>
          <w:rFonts w:ascii="Times New Roman" w:hAnsi="Times New Roman" w:cs="Times New Roman"/>
          <w:noProof/>
        </w:rPr>
        <w:t>(Kirkpatrick &amp; Kirkpatrick, 2016)</w:t>
      </w:r>
      <w:r w:rsidR="00731A8D" w:rsidRPr="00065E56">
        <w:rPr>
          <w:rFonts w:ascii="Times New Roman" w:hAnsi="Times New Roman" w:cs="Times New Roman"/>
        </w:rPr>
        <w:fldChar w:fldCharType="end"/>
      </w:r>
      <w:r w:rsidR="00731A8D" w:rsidRPr="00065E56">
        <w:rPr>
          <w:rFonts w:ascii="Times New Roman" w:hAnsi="Times New Roman" w:cs="Times New Roman"/>
        </w:rPr>
        <w:t xml:space="preserve">, the first two levels are ‘reaction’ and ‘learning’. Essentially, Kirkpatrick posits that to know the effects of training, researchers must first study how trainees perceive the training and what the trainees learned. Once that data is established, researchers can then investigate if trainee behavior changed as a result of the training and if the behavior change causes an institutional change. Though the original model has been modified to include that researchers do not necessarily have to investigate the levels in order, the convention in medical education remains that evidence of curriculum changes in the absence of academic outcomes assessments is limited. </w:t>
      </w:r>
    </w:p>
    <w:p w14:paraId="2326483A" w14:textId="77777777" w:rsidR="00731A8D" w:rsidRPr="00065E56" w:rsidRDefault="00731A8D" w:rsidP="00731A8D">
      <w:pPr>
        <w:spacing w:line="480" w:lineRule="auto"/>
        <w:rPr>
          <w:rFonts w:ascii="Times New Roman" w:hAnsi="Times New Roman" w:cs="Times New Roman"/>
        </w:rPr>
      </w:pPr>
      <w:r w:rsidRPr="00065E56">
        <w:rPr>
          <w:rFonts w:ascii="Times New Roman" w:hAnsi="Times New Roman" w:cs="Times New Roman"/>
        </w:rPr>
        <w:tab/>
        <w:t xml:space="preserve">The response to COVID-19 offered anatomy educators a unique opportunity to investigate fully remote clinical anatomy. The majority of anatomy educators taught with cadaveric dissection in the laboratory prior to 2020 </w:t>
      </w:r>
      <w:r w:rsidRPr="00065E56">
        <w:rPr>
          <w:rFonts w:ascii="Times New Roman" w:hAnsi="Times New Roman" w:cs="Times New Roman"/>
        </w:rPr>
        <w:fldChar w:fldCharType="begin"/>
      </w:r>
      <w:r w:rsidRPr="00065E56">
        <w:rPr>
          <w:rFonts w:ascii="Times New Roman" w:hAnsi="Times New Roman" w:cs="Times New Roman"/>
        </w:rPr>
        <w:instrText xml:space="preserve"> ADDIN ZOTERO_ITEM CSL_CITATION {"citationID":"gJCw8kcG","properties":{"formattedCitation":"(McBride &amp; Drake, 2018)","plainCitation":"(McBride &amp; Drake, 2018)","noteIndex":0},"citationItems":[{"id":528,"uris":["http://zotero.org/users/local/8fpcHUeo/items/ZDM6VDSV"],"uri":["http://zotero.org/users/local/8fpcHUeo/items/ZDM6VDSV"],"itemData":{"id":528,"type":"article-journal","container-title":"Anatomical Sciences Education","DOI":"10.1002/ase.1760","ISSN":"19359772","issue":"1","journalAbbreviation":"American Association of Anatomists","language":"en","page":"7-14","source":"DOI.org (Crossref)","title":"National survey on anatomical sciences in medical education: Anatomical Sciences in Medical Education","title-short":"National survey on anatomical sciences in medical education","volume":"11","author":[{"family":"McBride","given":"Jennifer M."},{"family":"Drake","given":"Richard L."}],"issued":{"date-parts":[["2018",1]]}}}],"schema":"https://github.com/citation-style-language/schema/raw/master/csl-citation.json"} </w:instrText>
      </w:r>
      <w:r w:rsidRPr="00065E56">
        <w:rPr>
          <w:rFonts w:ascii="Times New Roman" w:hAnsi="Times New Roman" w:cs="Times New Roman"/>
        </w:rPr>
        <w:fldChar w:fldCharType="separate"/>
      </w:r>
      <w:r w:rsidRPr="00065E56">
        <w:rPr>
          <w:rFonts w:ascii="Times New Roman" w:hAnsi="Times New Roman" w:cs="Times New Roman"/>
          <w:noProof/>
        </w:rPr>
        <w:t>(McBride &amp; Drake, 2018)</w:t>
      </w:r>
      <w:r w:rsidRPr="00065E56">
        <w:rPr>
          <w:rFonts w:ascii="Times New Roman" w:hAnsi="Times New Roman" w:cs="Times New Roman"/>
        </w:rPr>
        <w:fldChar w:fldCharType="end"/>
      </w:r>
      <w:r w:rsidRPr="00065E56">
        <w:rPr>
          <w:rFonts w:ascii="Times New Roman" w:hAnsi="Times New Roman" w:cs="Times New Roman"/>
        </w:rPr>
        <w:t xml:space="preserve">. Switching to </w:t>
      </w:r>
      <w:r w:rsidRPr="00065E56">
        <w:rPr>
          <w:rFonts w:ascii="Times New Roman" w:hAnsi="Times New Roman" w:cs="Times New Roman"/>
        </w:rPr>
        <w:lastRenderedPageBreak/>
        <w:t xml:space="preserve">remote learning represented a dramatic shift in how laboratory content was offered. Laboratory was a place of formative, or </w:t>
      </w:r>
      <w:proofErr w:type="gramStart"/>
      <w:r w:rsidRPr="00065E56">
        <w:rPr>
          <w:rFonts w:ascii="Times New Roman" w:hAnsi="Times New Roman" w:cs="Times New Roman"/>
        </w:rPr>
        <w:t>low-stakes</w:t>
      </w:r>
      <w:proofErr w:type="gramEnd"/>
      <w:r w:rsidRPr="00065E56">
        <w:rPr>
          <w:rFonts w:ascii="Times New Roman" w:hAnsi="Times New Roman" w:cs="Times New Roman"/>
        </w:rPr>
        <w:t xml:space="preserve"> learning, and changing how it was offered in a clinical anatomy course may impact students’ academic outcomes. One purpose of this study was to determine if the academic outcomes of a F2F course differed from a remote course. Summative and formative assessments were statistically analyzed for significant differences in means. A second purpose of this study was to assess student perspectives of their anatomical knowledge. The final purpose was to see what/if any relationships existed between students’ actual and perceived anatomical knowledge.</w:t>
      </w:r>
    </w:p>
    <w:p w14:paraId="0EAD9CCF" w14:textId="77777777" w:rsidR="00731A8D" w:rsidRPr="00065E56" w:rsidRDefault="00731A8D" w:rsidP="00731A8D">
      <w:pPr>
        <w:spacing w:line="480" w:lineRule="auto"/>
        <w:rPr>
          <w:rFonts w:ascii="Times New Roman" w:hAnsi="Times New Roman" w:cs="Times New Roman"/>
        </w:rPr>
      </w:pPr>
      <w:r w:rsidRPr="00065E56">
        <w:rPr>
          <w:rFonts w:ascii="Times New Roman" w:hAnsi="Times New Roman" w:cs="Times New Roman"/>
        </w:rPr>
        <w:tab/>
        <w:t xml:space="preserve">This chapter begins with a discussion of academic outcomes results, both summative and formative. Recall from chapter 3 that the statistical analysis consisted of T-tests between the F2F 2019 cohort data and the remote 2020 cohort data. The summative exams were additionally analyzed by program (dental or PA) and Bloom’s level (high or low). The formative exams (laboratory practical exams) were analyzed by program as well. The Clinical Anatomy Online Learning Survey results are discussed after the academic outcomes section. The chapter concludes with data analysis of the components as well as an evaluation of relationships between academic outcomes and student perceptions of their anatomical knowledge. </w:t>
      </w:r>
    </w:p>
    <w:p w14:paraId="35656C78" w14:textId="77777777" w:rsidR="00731A8D" w:rsidRPr="00065E56" w:rsidRDefault="00731A8D" w:rsidP="00731A8D">
      <w:pPr>
        <w:spacing w:line="480" w:lineRule="auto"/>
        <w:rPr>
          <w:rFonts w:ascii="Times New Roman" w:hAnsi="Times New Roman" w:cs="Times New Roman"/>
          <w:b/>
          <w:bCs/>
          <w:i/>
          <w:iCs/>
        </w:rPr>
      </w:pPr>
      <w:r w:rsidRPr="00065E56">
        <w:rPr>
          <w:rFonts w:ascii="Times New Roman" w:hAnsi="Times New Roman" w:cs="Times New Roman"/>
          <w:b/>
          <w:bCs/>
          <w:i/>
          <w:iCs/>
        </w:rPr>
        <w:t>Results</w:t>
      </w:r>
    </w:p>
    <w:p w14:paraId="0EFF0513" w14:textId="4F0D5E90" w:rsidR="00731A8D" w:rsidRPr="00065E56" w:rsidRDefault="00731A8D" w:rsidP="00731A8D">
      <w:pPr>
        <w:spacing w:line="480" w:lineRule="auto"/>
        <w:rPr>
          <w:rFonts w:ascii="Times New Roman" w:hAnsi="Times New Roman" w:cs="Times New Roman"/>
          <w:b/>
          <w:bCs/>
        </w:rPr>
      </w:pPr>
      <w:r w:rsidRPr="00065E56">
        <w:rPr>
          <w:rFonts w:ascii="Times New Roman" w:hAnsi="Times New Roman" w:cs="Times New Roman"/>
        </w:rPr>
        <w:tab/>
      </w:r>
      <w:r w:rsidRPr="00065E56">
        <w:rPr>
          <w:rFonts w:ascii="Times New Roman" w:hAnsi="Times New Roman" w:cs="Times New Roman"/>
          <w:b/>
          <w:bCs/>
        </w:rPr>
        <w:t xml:space="preserve">Academic Outcomes. </w:t>
      </w:r>
      <w:r w:rsidRPr="00065E56">
        <w:rPr>
          <w:rFonts w:ascii="Times New Roman" w:hAnsi="Times New Roman" w:cs="Times New Roman"/>
        </w:rPr>
        <w:t xml:space="preserve">For both Clinical Anatomy cohorts, </w:t>
      </w:r>
      <w:r w:rsidR="00A62390" w:rsidRPr="00065E56">
        <w:rPr>
          <w:rFonts w:ascii="Times New Roman" w:hAnsi="Times New Roman" w:cs="Times New Roman"/>
        </w:rPr>
        <w:t>three</w:t>
      </w:r>
      <w:r w:rsidRPr="00065E56">
        <w:rPr>
          <w:rFonts w:ascii="Times New Roman" w:hAnsi="Times New Roman" w:cs="Times New Roman"/>
        </w:rPr>
        <w:t xml:space="preserve"> summative exams were administered at </w:t>
      </w:r>
      <w:r w:rsidR="00A62390" w:rsidRPr="00065E56">
        <w:rPr>
          <w:rFonts w:ascii="Times New Roman" w:hAnsi="Times New Roman" w:cs="Times New Roman"/>
        </w:rPr>
        <w:t>two</w:t>
      </w:r>
      <w:r w:rsidRPr="00065E56">
        <w:rPr>
          <w:rFonts w:ascii="Times New Roman" w:hAnsi="Times New Roman" w:cs="Times New Roman"/>
        </w:rPr>
        <w:t xml:space="preserve">-week intervals, featuring content of the extremities and back, head and neck, and thoracic/abdominal cavities, respectively. A total of 150 multiple choice questions were administered to students in the </w:t>
      </w:r>
      <w:r w:rsidR="00A62390" w:rsidRPr="00065E56">
        <w:rPr>
          <w:rFonts w:ascii="Times New Roman" w:hAnsi="Times New Roman" w:cs="Times New Roman"/>
        </w:rPr>
        <w:t>three</w:t>
      </w:r>
      <w:r w:rsidRPr="00065E56">
        <w:rPr>
          <w:rFonts w:ascii="Times New Roman" w:hAnsi="Times New Roman" w:cs="Times New Roman"/>
        </w:rPr>
        <w:t xml:space="preserve"> exams, and 99 questions are included in this study. The 99 questions, or assessment items, were offered to both the 2019 and 2020 cohorts. In 2020, the course was expanded by one week to front-load embryology and histology lecture material and </w:t>
      </w:r>
      <w:r w:rsidRPr="00065E56">
        <w:rPr>
          <w:rFonts w:ascii="Times New Roman" w:hAnsi="Times New Roman" w:cs="Times New Roman"/>
        </w:rPr>
        <w:lastRenderedPageBreak/>
        <w:t xml:space="preserve">to introduce remote laboratory procedures. A ‘mini-summative’ quiz of 30 questions was administered prior to the </w:t>
      </w:r>
      <w:r w:rsidR="00A62390" w:rsidRPr="00065E56">
        <w:rPr>
          <w:rFonts w:ascii="Times New Roman" w:hAnsi="Times New Roman" w:cs="Times New Roman"/>
        </w:rPr>
        <w:t>three</w:t>
      </w:r>
      <w:r w:rsidRPr="00065E56">
        <w:rPr>
          <w:rFonts w:ascii="Times New Roman" w:hAnsi="Times New Roman" w:cs="Times New Roman"/>
        </w:rPr>
        <w:t xml:space="preserve"> previously mentioned. Ten of the questions that appeared on the 2019 Summative Exam 1 were on the 2020 Mini-Summative Quiz and included in this study. The remaining 89 assessment items analyzed in the study were administered to students in the </w:t>
      </w:r>
      <w:r w:rsidR="00A62390" w:rsidRPr="00065E56">
        <w:rPr>
          <w:rFonts w:ascii="Times New Roman" w:hAnsi="Times New Roman" w:cs="Times New Roman"/>
        </w:rPr>
        <w:t>three</w:t>
      </w:r>
      <w:r w:rsidRPr="00065E56">
        <w:rPr>
          <w:rFonts w:ascii="Times New Roman" w:hAnsi="Times New Roman" w:cs="Times New Roman"/>
        </w:rPr>
        <w:t xml:space="preserve"> main summative exams. </w:t>
      </w:r>
    </w:p>
    <w:p w14:paraId="68725655" w14:textId="5BF01D3A" w:rsidR="00731A8D" w:rsidRPr="00065E56" w:rsidRDefault="00731A8D" w:rsidP="00731A8D">
      <w:pPr>
        <w:spacing w:line="480" w:lineRule="auto"/>
        <w:rPr>
          <w:rFonts w:ascii="Times New Roman" w:hAnsi="Times New Roman" w:cs="Times New Roman"/>
          <w:color w:val="000000" w:themeColor="text1"/>
        </w:rPr>
      </w:pPr>
      <w:r w:rsidRPr="00065E56">
        <w:rPr>
          <w:rFonts w:ascii="Times New Roman" w:hAnsi="Times New Roman" w:cs="Times New Roman"/>
        </w:rPr>
        <w:tab/>
        <w:t xml:space="preserve">For both the 2019 and 2020 cohorts, </w:t>
      </w:r>
      <w:r w:rsidR="00A62390" w:rsidRPr="00065E56">
        <w:rPr>
          <w:rFonts w:ascii="Times New Roman" w:hAnsi="Times New Roman" w:cs="Times New Roman"/>
        </w:rPr>
        <w:t>six</w:t>
      </w:r>
      <w:r w:rsidRPr="00065E56">
        <w:rPr>
          <w:rFonts w:ascii="Times New Roman" w:hAnsi="Times New Roman" w:cs="Times New Roman"/>
        </w:rPr>
        <w:t xml:space="preserve"> weekly practical laboratory exams were administered to provide students feedback regarding the progress of their learning. These formative, low-stakes assessments consisted of 30 identification items. In 2019, the items were tagged on multiple cadavers, but in 2020 the items were tagged on digital images and administered remotely. </w:t>
      </w:r>
    </w:p>
    <w:p w14:paraId="0566F012" w14:textId="77777777" w:rsidR="00731A8D" w:rsidRPr="00065E56" w:rsidRDefault="00731A8D" w:rsidP="00731A8D">
      <w:pPr>
        <w:spacing w:line="480" w:lineRule="auto"/>
        <w:rPr>
          <w:rFonts w:ascii="Times New Roman" w:hAnsi="Times New Roman" w:cs="Times New Roman"/>
        </w:rPr>
      </w:pPr>
      <w:r w:rsidRPr="00065E56">
        <w:rPr>
          <w:rFonts w:ascii="Times New Roman" w:hAnsi="Times New Roman" w:cs="Times New Roman"/>
        </w:rPr>
        <w:tab/>
      </w:r>
      <w:r w:rsidRPr="00065E56">
        <w:rPr>
          <w:rFonts w:ascii="Times New Roman" w:hAnsi="Times New Roman" w:cs="Times New Roman"/>
          <w:b/>
          <w:bCs/>
          <w:i/>
          <w:iCs/>
        </w:rPr>
        <w:t xml:space="preserve">Summative. </w:t>
      </w:r>
      <w:r w:rsidRPr="00065E56">
        <w:rPr>
          <w:rFonts w:ascii="Times New Roman" w:hAnsi="Times New Roman" w:cs="Times New Roman"/>
        </w:rPr>
        <w:t xml:space="preserve">Independent t-tests were conducted on the assessment items and were classified by the following categories: year, program, and Bloom’s Taxonomy level </w:t>
      </w:r>
      <w:r w:rsidRPr="00065E56">
        <w:rPr>
          <w:rFonts w:ascii="Times New Roman" w:hAnsi="Times New Roman" w:cs="Times New Roman"/>
        </w:rPr>
        <w:fldChar w:fldCharType="begin"/>
      </w:r>
      <w:r w:rsidRPr="00065E56">
        <w:rPr>
          <w:rFonts w:ascii="Times New Roman" w:hAnsi="Times New Roman" w:cs="Times New Roman"/>
        </w:rPr>
        <w:instrText xml:space="preserve"> ADDIN ZOTERO_ITEM CSL_CITATION {"citationID":"9qEpdX8w","properties":{"formattedCitation":"(Anderson &amp; Krathwohl, 2001; Bloom, Benjamin, n.d.)","plainCitation":"(Anderson &amp; Krathwohl, 2001; Bloom, Benjamin, n.d.)","dontUpdate":true,"noteIndex":0},"citationItems":[{"id":382,"uris":["http://zotero.org/users/local/8fpcHUeo/items/QGAJA3KF"],"uri":["http://zotero.org/users/local/8fpcHUeo/items/QGAJA3KF"],"itemData":{"id":382,"type":"book","event-place":"New York","ISBN":"978-0-8013-1903-7","publisher":"Longman","publisher-place":"New York","title":"A Taxonomy for Learning, Teaching, and Assessing: A Revision of Bloom's Taxonomy of Educational Objectives","author":[{"family":"Anderson","given":"Lorin W."},{"family":"Krathwohl","given":"David R."}],"issued":{"date-parts":[["2001"]]}}},{"id":156,"uris":["http://zotero.org/users/local/8fpcHUeo/items/WH9WHRCL"],"uri":["http://zotero.org/users/local/8fpcHUeo/items/WH9WHRCL"],"itemData":{"id":156,"type":"book","ISBN":"ISBN-13: 978-0582280106","title":"Taxonomy of Educational Objectives, Handbook 1: Cognitive Domain","author":[{"family":"Bloom, Benjamin","given":""}]}}],"schema":"https://github.com/citation-style-language/schema/raw/master/csl-citation.json"} </w:instrText>
      </w:r>
      <w:r w:rsidRPr="00065E56">
        <w:rPr>
          <w:rFonts w:ascii="Times New Roman" w:hAnsi="Times New Roman" w:cs="Times New Roman"/>
        </w:rPr>
        <w:fldChar w:fldCharType="separate"/>
      </w:r>
      <w:r w:rsidRPr="00065E56">
        <w:rPr>
          <w:rFonts w:ascii="Times New Roman" w:hAnsi="Times New Roman" w:cs="Times New Roman"/>
          <w:noProof/>
        </w:rPr>
        <w:t>(Anderson &amp; Krathwohl, 2001; Bloom, 1956)</w:t>
      </w:r>
      <w:r w:rsidRPr="00065E56">
        <w:rPr>
          <w:rFonts w:ascii="Times New Roman" w:hAnsi="Times New Roman" w:cs="Times New Roman"/>
        </w:rPr>
        <w:fldChar w:fldCharType="end"/>
      </w:r>
      <w:r w:rsidRPr="00065E56">
        <w:rPr>
          <w:rFonts w:ascii="Times New Roman" w:hAnsi="Times New Roman" w:cs="Times New Roman"/>
        </w:rPr>
        <w:t xml:space="preserve">. For the year and program, each student’s score (number of correct answers obtained per student) was summed for each category of questions and divided by the number of students to determine the mean. Each question’s score (number of correct answers obtained) was calculated for the Bloom’s </w:t>
      </w:r>
      <w:proofErr w:type="gramStart"/>
      <w:r w:rsidRPr="00065E56">
        <w:rPr>
          <w:rFonts w:ascii="Times New Roman" w:hAnsi="Times New Roman" w:cs="Times New Roman"/>
        </w:rPr>
        <w:t>high level</w:t>
      </w:r>
      <w:proofErr w:type="gramEnd"/>
      <w:r w:rsidRPr="00065E56">
        <w:rPr>
          <w:rFonts w:ascii="Times New Roman" w:hAnsi="Times New Roman" w:cs="Times New Roman"/>
        </w:rPr>
        <w:t xml:space="preserve"> questions and for the Bloom’s low level questions. The mean was then calculated from the sums for both categories divided by the number of questions. The summative assessment items statistical analysis was conducted using </w:t>
      </w:r>
      <w:r w:rsidRPr="00065E56">
        <w:rPr>
          <w:rFonts w:ascii="Times New Roman" w:hAnsi="Times New Roman" w:cs="Times New Roman"/>
          <w:color w:val="000000" w:themeColor="text1"/>
        </w:rPr>
        <w:t xml:space="preserve">SAS© Enterprise Guide 7.1 (SAS Institute, Incorporated. </w:t>
      </w:r>
      <w:r w:rsidRPr="00065E56">
        <w:rPr>
          <w:rFonts w:ascii="Times New Roman" w:hAnsi="Times New Roman" w:cs="Times New Roman"/>
          <w:color w:val="000000" w:themeColor="text1"/>
          <w:shd w:val="clear" w:color="auto" w:fill="FFFFFF"/>
        </w:rPr>
        <w:t xml:space="preserve">Cary, North Carolina). Prior to comparing assessment item means in a t-test, the homogeneity of variances (homoscedasticity) was assessed. Variance measures the spread between numbers in a data set, and t-test calculations differ depending on whether the variances are equal or unequal </w:t>
      </w:r>
      <w:r w:rsidRPr="00065E56">
        <w:rPr>
          <w:rFonts w:ascii="Times New Roman" w:hAnsi="Times New Roman" w:cs="Times New Roman"/>
          <w:color w:val="000000" w:themeColor="text1"/>
          <w:shd w:val="clear" w:color="auto" w:fill="FFFFFF"/>
        </w:rPr>
        <w:fldChar w:fldCharType="begin"/>
      </w:r>
      <w:r w:rsidRPr="00065E56">
        <w:rPr>
          <w:rFonts w:ascii="Times New Roman" w:hAnsi="Times New Roman" w:cs="Times New Roman"/>
          <w:color w:val="000000" w:themeColor="text1"/>
          <w:shd w:val="clear" w:color="auto" w:fill="FFFFFF"/>
        </w:rPr>
        <w:instrText xml:space="preserve"> ADDIN ZOTERO_ITEM CSL_CITATION {"citationID":"NrYyByB1","properties":{"formattedCitation":"(Johnson &amp; Christensen, 2016)","plainCitation":"(Johnson &amp; Christensen, 2016)","noteIndex":0},"citationItems":[{"id":163,"uris":["http://zotero.org/users/local/8fpcHUeo/items/64U7ZVCH"],"uri":["http://zotero.org/users/local/8fpcHUeo/items/64U7ZVCH"],"itemData":{"id":163,"type":"book","edition":"6th","ISBN":"978-1-4833-9160-1","number-of-pages":"744","publisher":"SAGE Publications, Inc","title":"Educational Research: Quantitative, Qualitative, and Mixed Approaches","author":[{"family":"Johnson","given":"R. Burke"},{"family":"Christensen","given":"Larry"}],"issued":{"date-parts":[["2016"]]}}}],"schema":"https://github.com/citation-style-language/schema/raw/master/csl-citation.json"} </w:instrText>
      </w:r>
      <w:r w:rsidRPr="00065E56">
        <w:rPr>
          <w:rFonts w:ascii="Times New Roman" w:hAnsi="Times New Roman" w:cs="Times New Roman"/>
          <w:color w:val="000000" w:themeColor="text1"/>
          <w:shd w:val="clear" w:color="auto" w:fill="FFFFFF"/>
        </w:rPr>
        <w:fldChar w:fldCharType="separate"/>
      </w:r>
      <w:r w:rsidRPr="00065E56">
        <w:rPr>
          <w:rFonts w:ascii="Times New Roman" w:hAnsi="Times New Roman" w:cs="Times New Roman"/>
          <w:noProof/>
          <w:color w:val="000000" w:themeColor="text1"/>
          <w:shd w:val="clear" w:color="auto" w:fill="FFFFFF"/>
        </w:rPr>
        <w:t xml:space="preserve">(Johnson &amp; </w:t>
      </w:r>
      <w:r w:rsidRPr="00065E56">
        <w:rPr>
          <w:rFonts w:ascii="Times New Roman" w:hAnsi="Times New Roman" w:cs="Times New Roman"/>
          <w:noProof/>
          <w:color w:val="000000" w:themeColor="text1"/>
          <w:shd w:val="clear" w:color="auto" w:fill="FFFFFF"/>
        </w:rPr>
        <w:lastRenderedPageBreak/>
        <w:t>Christensen, 2016)</w:t>
      </w:r>
      <w:r w:rsidRPr="00065E56">
        <w:rPr>
          <w:rFonts w:ascii="Times New Roman" w:hAnsi="Times New Roman" w:cs="Times New Roman"/>
          <w:color w:val="000000" w:themeColor="text1"/>
          <w:shd w:val="clear" w:color="auto" w:fill="FFFFFF"/>
        </w:rPr>
        <w:fldChar w:fldCharType="end"/>
      </w:r>
      <w:r w:rsidRPr="00065E56">
        <w:rPr>
          <w:rFonts w:ascii="Times New Roman" w:hAnsi="Times New Roman" w:cs="Times New Roman"/>
          <w:color w:val="000000" w:themeColor="text1"/>
          <w:shd w:val="clear" w:color="auto" w:fill="FFFFFF"/>
        </w:rPr>
        <w:t>.</w:t>
      </w:r>
      <w:r w:rsidRPr="00065E56">
        <w:rPr>
          <w:rFonts w:ascii="Times New Roman" w:hAnsi="Times New Roman" w:cs="Times New Roman"/>
        </w:rPr>
        <w:t xml:space="preserve"> For the summative exam assessment items, all of the comparisons had equal variances as determined by the Folded F test. </w:t>
      </w:r>
    </w:p>
    <w:p w14:paraId="5914994F" w14:textId="77777777" w:rsidR="00731A8D" w:rsidRPr="00065E56" w:rsidRDefault="00731A8D" w:rsidP="00731A8D">
      <w:pPr>
        <w:spacing w:line="480" w:lineRule="auto"/>
        <w:rPr>
          <w:rFonts w:ascii="Times New Roman" w:hAnsi="Times New Roman" w:cs="Times New Roman"/>
          <w:color w:val="000000" w:themeColor="text1"/>
        </w:rPr>
      </w:pPr>
      <w:r w:rsidRPr="00065E56">
        <w:rPr>
          <w:rFonts w:ascii="Times New Roman" w:hAnsi="Times New Roman" w:cs="Times New Roman"/>
        </w:rPr>
        <w:tab/>
        <w:t xml:space="preserve">Two additional comparisons were made between the high and low Bloom’s level assessment items for each program to assess the validity of the Bloom’s levels. Both comparisons had unequal variances, so the Satterthwaite method of assessing variance was applied. The Satterthwaite method utilizes a weighted average of variances as opposed to a regular average. A weighted average, instead of the pooled (straight) averages found in equal variances, mathematically corrects non-homogeneous variances so that the test statistic comparison has meaning </w:t>
      </w:r>
      <w:r w:rsidRPr="00065E56">
        <w:rPr>
          <w:rFonts w:ascii="Times New Roman" w:hAnsi="Times New Roman" w:cs="Times New Roman"/>
          <w:color w:val="000000" w:themeColor="text1"/>
          <w:shd w:val="clear" w:color="auto" w:fill="FFFFFF"/>
        </w:rPr>
        <w:fldChar w:fldCharType="begin"/>
      </w:r>
      <w:r w:rsidRPr="00065E56">
        <w:rPr>
          <w:rFonts w:ascii="Times New Roman" w:hAnsi="Times New Roman" w:cs="Times New Roman"/>
          <w:color w:val="000000" w:themeColor="text1"/>
          <w:shd w:val="clear" w:color="auto" w:fill="FFFFFF"/>
        </w:rPr>
        <w:instrText xml:space="preserve"> ADDIN ZOTERO_ITEM CSL_CITATION {"citationID":"LrvJkUO2","properties":{"formattedCitation":"(Johnson &amp; Christensen, 2016)","plainCitation":"(Johnson &amp; Christensen, 2016)","noteIndex":0},"citationItems":[{"id":163,"uris":["http://zotero.org/users/local/8fpcHUeo/items/64U7ZVCH"],"uri":["http://zotero.org/users/local/8fpcHUeo/items/64U7ZVCH"],"itemData":{"id":163,"type":"book","edition":"6th","ISBN":"978-1-4833-9160-1","number-of-pages":"744","publisher":"SAGE Publications, Inc","title":"Educational Research: Quantitative, Qualitative, and Mixed Approaches","author":[{"family":"Johnson","given":"R. Burke"},{"family":"Christensen","given":"Larry"}],"issued":{"date-parts":[["2016"]]}}}],"schema":"https://github.com/citation-style-language/schema/raw/master/csl-citation.json"} </w:instrText>
      </w:r>
      <w:r w:rsidRPr="00065E56">
        <w:rPr>
          <w:rFonts w:ascii="Times New Roman" w:hAnsi="Times New Roman" w:cs="Times New Roman"/>
          <w:color w:val="000000" w:themeColor="text1"/>
          <w:shd w:val="clear" w:color="auto" w:fill="FFFFFF"/>
        </w:rPr>
        <w:fldChar w:fldCharType="separate"/>
      </w:r>
      <w:r w:rsidRPr="00065E56">
        <w:rPr>
          <w:rFonts w:ascii="Times New Roman" w:hAnsi="Times New Roman" w:cs="Times New Roman"/>
          <w:noProof/>
          <w:color w:val="000000" w:themeColor="text1"/>
          <w:shd w:val="clear" w:color="auto" w:fill="FFFFFF"/>
        </w:rPr>
        <w:t>(Johnson &amp; Christensen, 2016)</w:t>
      </w:r>
      <w:r w:rsidRPr="00065E56">
        <w:rPr>
          <w:rFonts w:ascii="Times New Roman" w:hAnsi="Times New Roman" w:cs="Times New Roman"/>
          <w:color w:val="000000" w:themeColor="text1"/>
          <w:shd w:val="clear" w:color="auto" w:fill="FFFFFF"/>
        </w:rPr>
        <w:fldChar w:fldCharType="end"/>
      </w:r>
      <w:r w:rsidRPr="00065E56">
        <w:rPr>
          <w:rFonts w:ascii="Times New Roman" w:hAnsi="Times New Roman" w:cs="Times New Roman"/>
        </w:rPr>
        <w:t xml:space="preserve">. A weighted average also requires mathematically determining the degrees of freedom rather than a simple sum. All f-tests and variance data for summative academic outcomes is found in Appendix C.  Table </w:t>
      </w:r>
      <w:r w:rsidRPr="00065E56">
        <w:rPr>
          <w:rFonts w:ascii="Times New Roman" w:hAnsi="Times New Roman" w:cs="Times New Roman"/>
          <w:color w:val="000000" w:themeColor="text1"/>
        </w:rPr>
        <w:t>3</w:t>
      </w:r>
      <w:r w:rsidRPr="00065E56">
        <w:rPr>
          <w:rFonts w:ascii="Times New Roman" w:hAnsi="Times New Roman" w:cs="Times New Roman"/>
          <w:color w:val="FF0000"/>
        </w:rPr>
        <w:t xml:space="preserve"> </w:t>
      </w:r>
      <w:r w:rsidRPr="00065E56">
        <w:rPr>
          <w:rFonts w:ascii="Times New Roman" w:hAnsi="Times New Roman" w:cs="Times New Roman"/>
          <w:color w:val="000000" w:themeColor="text1"/>
        </w:rPr>
        <w:t>contains the summary of t-test data for the summative assessment items.</w:t>
      </w:r>
    </w:p>
    <w:p w14:paraId="064A6370" w14:textId="77777777" w:rsidR="00731A8D" w:rsidRPr="00065E56" w:rsidRDefault="00731A8D" w:rsidP="00731A8D">
      <w:pPr>
        <w:spacing w:line="480" w:lineRule="auto"/>
        <w:rPr>
          <w:rFonts w:ascii="Times New Roman" w:hAnsi="Times New Roman" w:cs="Times New Roman"/>
          <w:b/>
          <w:bCs/>
          <w:color w:val="000000" w:themeColor="text1"/>
        </w:rPr>
      </w:pPr>
      <w:r w:rsidRPr="00065E56">
        <w:rPr>
          <w:rFonts w:ascii="Times New Roman" w:hAnsi="Times New Roman" w:cs="Times New Roman"/>
          <w:b/>
          <w:bCs/>
          <w:color w:val="000000" w:themeColor="text1"/>
        </w:rPr>
        <w:t>Table 3</w:t>
      </w:r>
    </w:p>
    <w:p w14:paraId="6ED57D33" w14:textId="77777777" w:rsidR="00731A8D" w:rsidRPr="00065E56" w:rsidRDefault="00695F3E" w:rsidP="00731A8D">
      <w:pPr>
        <w:spacing w:line="480" w:lineRule="auto"/>
        <w:rPr>
          <w:rFonts w:ascii="Times New Roman" w:hAnsi="Times New Roman" w:cs="Times New Roman"/>
          <w:b/>
          <w:bCs/>
          <w:color w:val="FF0000"/>
        </w:rPr>
      </w:pPr>
      <w:r>
        <w:rPr>
          <w:rFonts w:ascii="Times New Roman" w:eastAsia="Times New Roman" w:hAnsi="Times New Roman" w:cs="Times New Roman"/>
          <w:b/>
          <w:bCs/>
          <w:noProof/>
          <w:color w:val="000000" w:themeColor="text1"/>
        </w:rPr>
        <w:object w:dxaOrig="9340" w:dyaOrig="2960" w14:anchorId="2F9F9BD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alt="" style="width:466.75pt;height:147.8pt;mso-width-percent:0;mso-height-percent:0;mso-width-percent:0;mso-height-percent:0" o:ole="">
            <v:imagedata r:id="rId12" o:title=""/>
          </v:shape>
          <o:OLEObject Type="Embed" ProgID="Excel.Sheet.12" ShapeID="_x0000_i1038" DrawAspect="Content" ObjectID="_1681813808" r:id="rId13"/>
        </w:object>
      </w:r>
    </w:p>
    <w:p w14:paraId="0F31129A" w14:textId="77777777" w:rsidR="00731A8D" w:rsidRPr="00065E56" w:rsidRDefault="00731A8D" w:rsidP="00731A8D">
      <w:pPr>
        <w:spacing w:line="480" w:lineRule="auto"/>
        <w:rPr>
          <w:rFonts w:ascii="Times New Roman" w:hAnsi="Times New Roman" w:cs="Times New Roman"/>
          <w:noProof/>
          <w:color w:val="000000" w:themeColor="text1"/>
        </w:rPr>
      </w:pPr>
      <w:r w:rsidRPr="00065E56">
        <w:rPr>
          <w:rFonts w:ascii="Times New Roman" w:hAnsi="Times New Roman" w:cs="Times New Roman"/>
          <w:i/>
          <w:iCs/>
          <w:sz w:val="20"/>
          <w:szCs w:val="20"/>
        </w:rPr>
        <w:t>Note:</w:t>
      </w:r>
      <w:r w:rsidRPr="00065E56">
        <w:rPr>
          <w:rFonts w:ascii="Times New Roman" w:hAnsi="Times New Roman" w:cs="Times New Roman"/>
          <w:sz w:val="20"/>
          <w:szCs w:val="20"/>
        </w:rPr>
        <w:t xml:space="preserve"> *Significance threshold at the p &lt; 0.05 level.</w:t>
      </w:r>
      <w:r w:rsidRPr="00065E56">
        <w:rPr>
          <w:rFonts w:ascii="Times New Roman" w:hAnsi="Times New Roman" w:cs="Times New Roman"/>
          <w:color w:val="000000" w:themeColor="text1"/>
        </w:rPr>
        <w:t xml:space="preserve"> </w:t>
      </w:r>
      <w:r w:rsidRPr="00065E56">
        <w:rPr>
          <w:rFonts w:ascii="Times New Roman" w:hAnsi="Times New Roman" w:cs="Times New Roman"/>
          <w:color w:val="000000" w:themeColor="text1"/>
          <w:sz w:val="20"/>
          <w:szCs w:val="20"/>
        </w:rPr>
        <w:t>Orange shading to highlight significance.</w:t>
      </w:r>
    </w:p>
    <w:p w14:paraId="68A36832" w14:textId="44C1A051" w:rsidR="00731A8D" w:rsidRPr="00065E56" w:rsidRDefault="00731A8D" w:rsidP="00731A8D">
      <w:pPr>
        <w:spacing w:line="480" w:lineRule="auto"/>
        <w:rPr>
          <w:rFonts w:ascii="Times New Roman" w:hAnsi="Times New Roman" w:cs="Times New Roman"/>
          <w:color w:val="000000" w:themeColor="text1"/>
        </w:rPr>
      </w:pPr>
      <w:r w:rsidRPr="00065E56">
        <w:rPr>
          <w:rFonts w:ascii="Times New Roman" w:hAnsi="Times New Roman" w:cs="Times New Roman"/>
          <w:color w:val="000000" w:themeColor="text1"/>
        </w:rPr>
        <w:tab/>
        <w:t xml:space="preserve">The mean for the 2020 remote assessment items was 81.08, which was significantly higher than the 2019 F2F mean of 78.48, p = .040, d = 0.29. For the program assessment items, dental students’ means from 2019 were compared to dental students’ means from 2020, and the same calculations were made for PA students. Dental student means were 77.75 and 78.09 for </w:t>
      </w:r>
      <w:r w:rsidRPr="00065E56">
        <w:rPr>
          <w:rFonts w:ascii="Times New Roman" w:hAnsi="Times New Roman" w:cs="Times New Roman"/>
          <w:color w:val="000000" w:themeColor="text1"/>
        </w:rPr>
        <w:lastRenderedPageBreak/>
        <w:t xml:space="preserve">2019 and 2020, respectively, and the difference was not significant. PA student means on assessment items, however, did reach significance. For 2019 and 2020, the means for PA assessment items were 79.33 and 84.31, respectively, p = .0025. The results indicated that the 2020 cohort of remote learners performed better than the 2019 cohort of F2F learners, and the difference was </w:t>
      </w:r>
      <w:r w:rsidR="00875529">
        <w:rPr>
          <w:rFonts w:ascii="Times New Roman" w:hAnsi="Times New Roman" w:cs="Times New Roman"/>
          <w:color w:val="000000" w:themeColor="text1"/>
        </w:rPr>
        <w:t>almost entirely</w:t>
      </w:r>
      <w:r w:rsidRPr="00065E56">
        <w:rPr>
          <w:rFonts w:ascii="Times New Roman" w:hAnsi="Times New Roman" w:cs="Times New Roman"/>
          <w:color w:val="000000" w:themeColor="text1"/>
        </w:rPr>
        <w:t xml:space="preserve"> attributable to the PA students</w:t>
      </w:r>
      <w:r w:rsidR="00875529">
        <w:rPr>
          <w:rFonts w:ascii="Times New Roman" w:hAnsi="Times New Roman" w:cs="Times New Roman"/>
          <w:color w:val="000000" w:themeColor="text1"/>
        </w:rPr>
        <w:t>’ performance</w:t>
      </w:r>
      <w:r w:rsidRPr="00065E56">
        <w:rPr>
          <w:rFonts w:ascii="Times New Roman" w:hAnsi="Times New Roman" w:cs="Times New Roman"/>
          <w:color w:val="000000" w:themeColor="text1"/>
        </w:rPr>
        <w:t xml:space="preserve">. </w:t>
      </w:r>
    </w:p>
    <w:p w14:paraId="5FE14697" w14:textId="5208F449" w:rsidR="00731A8D" w:rsidRPr="00065E56" w:rsidRDefault="00731A8D" w:rsidP="00731A8D">
      <w:pPr>
        <w:spacing w:line="480" w:lineRule="auto"/>
        <w:rPr>
          <w:rFonts w:ascii="Times New Roman" w:hAnsi="Times New Roman" w:cs="Times New Roman"/>
          <w:color w:val="000000" w:themeColor="text1"/>
        </w:rPr>
      </w:pPr>
      <w:r w:rsidRPr="00065E56">
        <w:rPr>
          <w:rFonts w:ascii="Times New Roman" w:hAnsi="Times New Roman" w:cs="Times New Roman"/>
          <w:color w:val="000000" w:themeColor="text1"/>
        </w:rPr>
        <w:tab/>
        <w:t xml:space="preserve">For the Bloom’s level analyses, 32 of the 99 assessment items were considered high Bloom’s level (apply or analyze), and 67 assessment items were considered low Bloom’s level (remember or understand). </w:t>
      </w:r>
      <w:r w:rsidR="00875529">
        <w:rPr>
          <w:rFonts w:ascii="Times New Roman" w:hAnsi="Times New Roman" w:cs="Times New Roman"/>
          <w:color w:val="000000" w:themeColor="text1"/>
        </w:rPr>
        <w:t>The r</w:t>
      </w:r>
      <w:r w:rsidRPr="00065E56">
        <w:rPr>
          <w:rFonts w:ascii="Times New Roman" w:hAnsi="Times New Roman" w:cs="Times New Roman"/>
          <w:color w:val="000000" w:themeColor="text1"/>
        </w:rPr>
        <w:t>esults of all high Bloom’s level questions from 2019 were compared with the results of 2020. The same comparison was made for the low Bloom’s level. To obtain the means, the sum of points earned per question for each category were averaged for 2019 and 2020. Though the means for 2020 were higher for both Bloom’s levels,</w:t>
      </w:r>
      <w:r w:rsidRPr="00065E56">
        <w:rPr>
          <w:rFonts w:ascii="Times New Roman" w:hAnsi="Times New Roman" w:cs="Times New Roman"/>
          <w:color w:val="FF0000"/>
        </w:rPr>
        <w:t xml:space="preserve"> </w:t>
      </w:r>
      <w:r w:rsidRPr="00065E56">
        <w:rPr>
          <w:rFonts w:ascii="Times New Roman" w:hAnsi="Times New Roman" w:cs="Times New Roman"/>
          <w:color w:val="000000" w:themeColor="text1"/>
        </w:rPr>
        <w:t xml:space="preserve">neither the high Bloom’s level nor the low Bloom’s level difference in means reached significance (Table 3). Ultimately, Bloom’s level did not appear </w:t>
      </w:r>
      <w:r w:rsidR="004D1429">
        <w:rPr>
          <w:rFonts w:ascii="Times New Roman" w:hAnsi="Times New Roman" w:cs="Times New Roman"/>
          <w:color w:val="000000" w:themeColor="text1"/>
        </w:rPr>
        <w:t>correlated to</w:t>
      </w:r>
      <w:r w:rsidRPr="00065E56">
        <w:rPr>
          <w:rFonts w:ascii="Times New Roman" w:hAnsi="Times New Roman" w:cs="Times New Roman"/>
          <w:color w:val="000000" w:themeColor="text1"/>
        </w:rPr>
        <w:t xml:space="preserve"> remote and F2F learn</w:t>
      </w:r>
      <w:r w:rsidR="004D1429">
        <w:rPr>
          <w:rFonts w:ascii="Times New Roman" w:hAnsi="Times New Roman" w:cs="Times New Roman"/>
          <w:color w:val="000000" w:themeColor="text1"/>
        </w:rPr>
        <w:t>ing</w:t>
      </w:r>
      <w:r w:rsidRPr="00065E56">
        <w:rPr>
          <w:rFonts w:ascii="Times New Roman" w:hAnsi="Times New Roman" w:cs="Times New Roman"/>
          <w:color w:val="000000" w:themeColor="text1"/>
        </w:rPr>
        <w:t xml:space="preserve"> differen</w:t>
      </w:r>
      <w:r w:rsidR="004D1429">
        <w:rPr>
          <w:rFonts w:ascii="Times New Roman" w:hAnsi="Times New Roman" w:cs="Times New Roman"/>
          <w:color w:val="000000" w:themeColor="text1"/>
        </w:rPr>
        <w:t>ces</w:t>
      </w:r>
      <w:r w:rsidRPr="00065E56">
        <w:rPr>
          <w:rFonts w:ascii="Times New Roman" w:hAnsi="Times New Roman" w:cs="Times New Roman"/>
          <w:color w:val="000000" w:themeColor="text1"/>
        </w:rPr>
        <w:t xml:space="preserve">. </w:t>
      </w:r>
    </w:p>
    <w:p w14:paraId="605DF56E" w14:textId="77777777" w:rsidR="00731A8D" w:rsidRPr="00065E56" w:rsidRDefault="00731A8D" w:rsidP="00731A8D">
      <w:pPr>
        <w:spacing w:line="480" w:lineRule="auto"/>
        <w:rPr>
          <w:rFonts w:ascii="Times New Roman" w:hAnsi="Times New Roman" w:cs="Times New Roman"/>
          <w:color w:val="000000" w:themeColor="text1"/>
        </w:rPr>
      </w:pPr>
      <w:r w:rsidRPr="00065E56">
        <w:rPr>
          <w:rFonts w:ascii="Times New Roman" w:hAnsi="Times New Roman" w:cs="Times New Roman"/>
          <w:color w:val="000000" w:themeColor="text1"/>
        </w:rPr>
        <w:tab/>
        <w:t xml:space="preserve">The difference in means </w:t>
      </w:r>
      <w:r w:rsidRPr="00065E56">
        <w:rPr>
          <w:rFonts w:ascii="Times New Roman" w:hAnsi="Times New Roman" w:cs="Times New Roman"/>
          <w:i/>
          <w:iCs/>
          <w:color w:val="000000" w:themeColor="text1"/>
        </w:rPr>
        <w:t>between</w:t>
      </w:r>
      <w:r w:rsidRPr="00065E56">
        <w:rPr>
          <w:rFonts w:ascii="Times New Roman" w:hAnsi="Times New Roman" w:cs="Times New Roman"/>
          <w:color w:val="000000" w:themeColor="text1"/>
        </w:rPr>
        <w:t xml:space="preserve"> high and low Bloom’s questions was assessed for each program. The dental Bloom’s </w:t>
      </w:r>
      <w:proofErr w:type="gramStart"/>
      <w:r w:rsidRPr="00065E56">
        <w:rPr>
          <w:rFonts w:ascii="Times New Roman" w:hAnsi="Times New Roman" w:cs="Times New Roman"/>
          <w:color w:val="000000" w:themeColor="text1"/>
        </w:rPr>
        <w:t>high level</w:t>
      </w:r>
      <w:proofErr w:type="gramEnd"/>
      <w:r w:rsidRPr="00065E56">
        <w:rPr>
          <w:rFonts w:ascii="Times New Roman" w:hAnsi="Times New Roman" w:cs="Times New Roman"/>
          <w:color w:val="000000" w:themeColor="text1"/>
        </w:rPr>
        <w:t xml:space="preserve"> mean was 74.54, while the mean for the Bloom’s low level was 80.69 for 2020, p = .001. Similarly, the PA Bloom’s </w:t>
      </w:r>
      <w:proofErr w:type="gramStart"/>
      <w:r w:rsidRPr="00065E56">
        <w:rPr>
          <w:rFonts w:ascii="Times New Roman" w:hAnsi="Times New Roman" w:cs="Times New Roman"/>
          <w:color w:val="000000" w:themeColor="text1"/>
        </w:rPr>
        <w:t>high level</w:t>
      </w:r>
      <w:proofErr w:type="gramEnd"/>
      <w:r w:rsidRPr="00065E56">
        <w:rPr>
          <w:rFonts w:ascii="Times New Roman" w:hAnsi="Times New Roman" w:cs="Times New Roman"/>
          <w:color w:val="000000" w:themeColor="text1"/>
        </w:rPr>
        <w:t xml:space="preserve"> mean was 78.74, while the mean for the low level was 84.55, p = .001 (Appendix D). The means for the Bloom’s high level were significantly lower than the means of the Bloom’s low level for both dental and PA programs. Students of both programs scored significantly lower on the Bloom’s </w:t>
      </w:r>
      <w:proofErr w:type="gramStart"/>
      <w:r w:rsidRPr="00065E56">
        <w:rPr>
          <w:rFonts w:ascii="Times New Roman" w:hAnsi="Times New Roman" w:cs="Times New Roman"/>
          <w:color w:val="000000" w:themeColor="text1"/>
        </w:rPr>
        <w:t>high level</w:t>
      </w:r>
      <w:proofErr w:type="gramEnd"/>
      <w:r w:rsidRPr="00065E56">
        <w:rPr>
          <w:rFonts w:ascii="Times New Roman" w:hAnsi="Times New Roman" w:cs="Times New Roman"/>
          <w:color w:val="000000" w:themeColor="text1"/>
        </w:rPr>
        <w:t xml:space="preserve"> questions than on the Bloom’s low level questions.</w:t>
      </w:r>
    </w:p>
    <w:p w14:paraId="0F9D705B" w14:textId="3A5FA12E" w:rsidR="00731A8D" w:rsidRPr="00065E56" w:rsidRDefault="00731A8D" w:rsidP="00A62390">
      <w:pPr>
        <w:spacing w:line="480" w:lineRule="auto"/>
        <w:rPr>
          <w:rFonts w:ascii="Times New Roman" w:hAnsi="Times New Roman" w:cs="Times New Roman"/>
          <w:color w:val="000000" w:themeColor="text1"/>
        </w:rPr>
      </w:pPr>
      <w:r w:rsidRPr="00065E56">
        <w:rPr>
          <w:rFonts w:ascii="Times New Roman" w:hAnsi="Times New Roman" w:cs="Times New Roman"/>
        </w:rPr>
        <w:tab/>
      </w:r>
      <w:r w:rsidRPr="00065E56">
        <w:rPr>
          <w:rFonts w:ascii="Times New Roman" w:hAnsi="Times New Roman" w:cs="Times New Roman"/>
          <w:b/>
          <w:bCs/>
          <w:i/>
          <w:iCs/>
        </w:rPr>
        <w:t>Formative (</w:t>
      </w:r>
      <w:proofErr w:type="gramStart"/>
      <w:r w:rsidRPr="00065E56">
        <w:rPr>
          <w:rFonts w:ascii="Times New Roman" w:hAnsi="Times New Roman" w:cs="Times New Roman"/>
          <w:b/>
          <w:bCs/>
          <w:i/>
          <w:iCs/>
        </w:rPr>
        <w:t>low-stakes</w:t>
      </w:r>
      <w:proofErr w:type="gramEnd"/>
      <w:r w:rsidRPr="00065E56">
        <w:rPr>
          <w:rFonts w:ascii="Times New Roman" w:hAnsi="Times New Roman" w:cs="Times New Roman"/>
          <w:b/>
          <w:bCs/>
          <w:i/>
          <w:iCs/>
        </w:rPr>
        <w:t xml:space="preserve">). </w:t>
      </w:r>
      <w:r w:rsidRPr="00065E56">
        <w:rPr>
          <w:rFonts w:ascii="Times New Roman" w:hAnsi="Times New Roman" w:cs="Times New Roman"/>
        </w:rPr>
        <w:t xml:space="preserve">Independent t-tests were conducted on the weekly formative exams. Each of the </w:t>
      </w:r>
      <w:r w:rsidR="00C817E1" w:rsidRPr="00065E56">
        <w:rPr>
          <w:rFonts w:ascii="Times New Roman" w:hAnsi="Times New Roman" w:cs="Times New Roman"/>
        </w:rPr>
        <w:t>six</w:t>
      </w:r>
      <w:r w:rsidRPr="00065E56">
        <w:rPr>
          <w:rFonts w:ascii="Times New Roman" w:hAnsi="Times New Roman" w:cs="Times New Roman"/>
        </w:rPr>
        <w:t xml:space="preserve"> exams were analyzed by year and program. Examining the formative exams by week was appropriate due to the volume of changes made to the laboratory versus the </w:t>
      </w:r>
      <w:r w:rsidRPr="00065E56">
        <w:rPr>
          <w:rFonts w:ascii="Times New Roman" w:hAnsi="Times New Roman" w:cs="Times New Roman"/>
        </w:rPr>
        <w:lastRenderedPageBreak/>
        <w:t xml:space="preserve">lecture components of the course. Analysis of each week of formative exams was also consistent with the concept of matching the statistical analysis to the intervention, mentioned previously in chapter 2 </w:t>
      </w:r>
      <w:r w:rsidRPr="00065E56">
        <w:rPr>
          <w:rFonts w:ascii="Times New Roman" w:hAnsi="Times New Roman" w:cs="Times New Roman"/>
        </w:rPr>
        <w:fldChar w:fldCharType="begin"/>
      </w:r>
      <w:r w:rsidRPr="00065E56">
        <w:rPr>
          <w:rFonts w:ascii="Times New Roman" w:hAnsi="Times New Roman" w:cs="Times New Roman"/>
        </w:rPr>
        <w:instrText xml:space="preserve"> ADDIN ZOTERO_ITEM CSL_CITATION {"citationID":"Zmf9caWN","properties":{"formattedCitation":"(Morton &amp; Colbert-Getz, 2017)","plainCitation":"(Morton &amp; Colbert-Getz, 2017)","noteIndex":0},"citationItems":[{"id":339,"uris":["http://zotero.org/users/local/8fpcHUeo/items/MBEEW2RL"],"uri":["http://zotero.org/users/local/8fpcHUeo/items/MBEEW2RL"],"itemData":{"id":339,"type":"article-journal","abstract":"The ﬂipped classroom (FC) model has emerged as an innovative solution to improve student‐centered learning. However, studies measuring student performance of material in the FC relative to the lecture classroom (LC) have shown mixed results. An aim of this study was to determine if the disparity in results of prior research is due to level of cognition (low or high) needed to perform well on the outcome, or course assessment. This study tested the hypothesis that (1) students in a FC would perform better than students in a LC on an assessment requiring higher cognition and (2) there would be no diﬀerence in performance for an assessment requiring lower cognition. To test this hypothesis the performance of 28 multiple choice anatomy items that were part of a ﬁnal examination were compared between two classes of ﬁrst year medical students at the University of Utah School of Medicine. Items were categorized as requiring knowledge (low cognition), application, or analysis (high cognition). Thirty hours of anatomy content was delivered in LC format to 101 students in 2013 and in FC format to 104 students in 2014. Mann Whitney tests indicated FC students performed better than LC students on analysis items, U = 4243.00, P = 0.030, r =  0.19, but there were no diﬀerences in performance between FC and LC students for knowledge, U = 5002.00, P = 0.720 or application, U = 4990.00, P = 0.700, items. The FC may beneﬁt retention when students are expected to analyze material. Anat Sci Educ 10: 170–175. © 2016 American Association of Anatomists.","container-title":"Anatomical Sciences Education","DOI":"10.1002/ase.1635","ISSN":"19359772","issue":"2","journalAbbreviation":"American Association of Anatomists","language":"en","page":"170-175","source":"DOI.org (Crossref)","title":"Measuring the impact of the flipped anatomy classroom: The importance of categorizing an assessment by Bloom's taxonomy: Impact of the Flipped Anatomy Classroom","title-short":"Measuring the impact of the flipped anatomy classroom","volume":"10","author":[{"family":"Morton","given":"David A."},{"family":"Colbert-Getz","given":"Jorie M."}],"issued":{"date-parts":[["2017",3]]}}}],"schema":"https://github.com/citation-style-language/schema/raw/master/csl-citation.json"} </w:instrText>
      </w:r>
      <w:r w:rsidRPr="00065E56">
        <w:rPr>
          <w:rFonts w:ascii="Times New Roman" w:hAnsi="Times New Roman" w:cs="Times New Roman"/>
        </w:rPr>
        <w:fldChar w:fldCharType="separate"/>
      </w:r>
      <w:r w:rsidRPr="00065E56">
        <w:rPr>
          <w:rFonts w:ascii="Times New Roman" w:hAnsi="Times New Roman" w:cs="Times New Roman"/>
          <w:noProof/>
        </w:rPr>
        <w:t>(Morton &amp; Colbert-Getz, 2017)</w:t>
      </w:r>
      <w:r w:rsidRPr="00065E56">
        <w:rPr>
          <w:rFonts w:ascii="Times New Roman" w:hAnsi="Times New Roman" w:cs="Times New Roman"/>
        </w:rPr>
        <w:fldChar w:fldCharType="end"/>
      </w:r>
      <w:r w:rsidRPr="00065E56">
        <w:rPr>
          <w:rFonts w:ascii="Times New Roman" w:hAnsi="Times New Roman" w:cs="Times New Roman"/>
        </w:rPr>
        <w:t xml:space="preserve">. Each student’s score (number of correct answers) was calculated for each week to determine the overall means for analysis. Student scores were separated by program and week to determine the program analyses. All formative analyses were calculated in Microsoft© Excel Version 16.46. Similar to the summative assessment items, F-tests were conducted to determine the homogeneity of variance for each test. F-test results are in Appendix </w:t>
      </w:r>
      <w:r w:rsidRPr="00065E56">
        <w:rPr>
          <w:rFonts w:ascii="Times New Roman" w:hAnsi="Times New Roman" w:cs="Times New Roman"/>
          <w:color w:val="000000" w:themeColor="text1"/>
        </w:rPr>
        <w:t>E</w:t>
      </w:r>
      <w:r w:rsidRPr="00065E56">
        <w:rPr>
          <w:rFonts w:ascii="Times New Roman" w:hAnsi="Times New Roman" w:cs="Times New Roman"/>
        </w:rPr>
        <w:t xml:space="preserve">. Table </w:t>
      </w:r>
      <w:r w:rsidRPr="00065E56">
        <w:rPr>
          <w:rFonts w:ascii="Times New Roman" w:hAnsi="Times New Roman" w:cs="Times New Roman"/>
          <w:color w:val="000000" w:themeColor="text1"/>
        </w:rPr>
        <w:t>4</w:t>
      </w:r>
      <w:r w:rsidRPr="00065E56">
        <w:rPr>
          <w:rFonts w:ascii="Times New Roman" w:hAnsi="Times New Roman" w:cs="Times New Roman"/>
          <w:color w:val="FF0000"/>
        </w:rPr>
        <w:t xml:space="preserve"> </w:t>
      </w:r>
      <w:r w:rsidRPr="00065E56">
        <w:rPr>
          <w:rFonts w:ascii="Times New Roman" w:hAnsi="Times New Roman" w:cs="Times New Roman"/>
          <w:color w:val="000000" w:themeColor="text1"/>
        </w:rPr>
        <w:t>contains the summary of t-test data for the summative assessment items.</w:t>
      </w:r>
    </w:p>
    <w:p w14:paraId="25EBFC0C" w14:textId="77777777" w:rsidR="00731A8D" w:rsidRPr="00065E56" w:rsidRDefault="00731A8D" w:rsidP="00731A8D">
      <w:pPr>
        <w:spacing w:line="480" w:lineRule="auto"/>
        <w:rPr>
          <w:rFonts w:ascii="Times New Roman" w:hAnsi="Times New Roman" w:cs="Times New Roman"/>
          <w:b/>
          <w:bCs/>
          <w:color w:val="000000" w:themeColor="text1"/>
        </w:rPr>
      </w:pPr>
      <w:r w:rsidRPr="00065E56">
        <w:rPr>
          <w:rFonts w:ascii="Times New Roman" w:hAnsi="Times New Roman" w:cs="Times New Roman"/>
          <w:b/>
          <w:bCs/>
          <w:color w:val="000000" w:themeColor="text1"/>
        </w:rPr>
        <w:t>Table 4</w:t>
      </w:r>
    </w:p>
    <w:p w14:paraId="6931198B" w14:textId="77777777" w:rsidR="00731A8D" w:rsidRPr="00065E56" w:rsidRDefault="00695F3E" w:rsidP="00731A8D">
      <w:pPr>
        <w:spacing w:line="480" w:lineRule="auto"/>
        <w:rPr>
          <w:rFonts w:ascii="Times New Roman" w:hAnsi="Times New Roman" w:cs="Times New Roman"/>
          <w:i/>
          <w:iCs/>
          <w:sz w:val="20"/>
          <w:szCs w:val="20"/>
        </w:rPr>
      </w:pPr>
      <w:r>
        <w:rPr>
          <w:rFonts w:ascii="Times New Roman" w:eastAsia="Times New Roman" w:hAnsi="Times New Roman" w:cs="Times New Roman"/>
          <w:i/>
          <w:iCs/>
          <w:noProof/>
          <w:sz w:val="20"/>
          <w:szCs w:val="20"/>
        </w:rPr>
        <w:object w:dxaOrig="7740" w:dyaOrig="6600" w14:anchorId="111AD180">
          <v:shape id="_x0000_i1037" type="#_x0000_t75" alt="" style="width:387.15pt;height:330.95pt;mso-width-percent:0;mso-height-percent:0;mso-width-percent:0;mso-height-percent:0" o:ole="">
            <v:imagedata r:id="rId14" o:title=""/>
          </v:shape>
          <o:OLEObject Type="Embed" ProgID="Excel.Sheet.12" ShapeID="_x0000_i1037" DrawAspect="Content" ObjectID="_1681813809" r:id="rId15"/>
        </w:object>
      </w:r>
    </w:p>
    <w:p w14:paraId="1BADEAC0" w14:textId="77777777" w:rsidR="00731A8D" w:rsidRPr="00065E56" w:rsidRDefault="00731A8D" w:rsidP="00731A8D">
      <w:pPr>
        <w:rPr>
          <w:rFonts w:ascii="Times New Roman" w:hAnsi="Times New Roman" w:cs="Times New Roman"/>
        </w:rPr>
      </w:pPr>
      <w:r w:rsidRPr="00065E56">
        <w:rPr>
          <w:rFonts w:ascii="Times New Roman" w:hAnsi="Times New Roman" w:cs="Times New Roman"/>
          <w:i/>
          <w:iCs/>
          <w:sz w:val="20"/>
          <w:szCs w:val="20"/>
        </w:rPr>
        <w:t>Note:</w:t>
      </w:r>
      <w:r w:rsidRPr="00065E56">
        <w:rPr>
          <w:rFonts w:ascii="Times New Roman" w:hAnsi="Times New Roman" w:cs="Times New Roman"/>
          <w:sz w:val="20"/>
          <w:szCs w:val="20"/>
        </w:rPr>
        <w:t xml:space="preserve"> *Significance threshold at the p &lt; 0.05 level. Orange shading = significant 2020 results. Green shading = significant 2019 results.</w:t>
      </w:r>
      <w:r w:rsidRPr="00065E56">
        <w:rPr>
          <w:rFonts w:ascii="Times New Roman" w:hAnsi="Times New Roman" w:cs="Times New Roman"/>
          <w:sz w:val="20"/>
          <w:szCs w:val="20"/>
        </w:rPr>
        <w:tab/>
      </w:r>
      <w:r w:rsidRPr="00065E56">
        <w:rPr>
          <w:rFonts w:ascii="Times New Roman" w:hAnsi="Times New Roman" w:cs="Times New Roman"/>
        </w:rPr>
        <w:tab/>
      </w:r>
    </w:p>
    <w:p w14:paraId="7A1387E3" w14:textId="77777777" w:rsidR="00731A8D" w:rsidRPr="00065E56" w:rsidRDefault="00731A8D" w:rsidP="00731A8D">
      <w:pPr>
        <w:spacing w:line="480" w:lineRule="auto"/>
        <w:rPr>
          <w:rFonts w:ascii="Times New Roman" w:hAnsi="Times New Roman" w:cs="Times New Roman"/>
        </w:rPr>
      </w:pPr>
    </w:p>
    <w:p w14:paraId="5A50FBE3" w14:textId="1E16A03A" w:rsidR="00731A8D" w:rsidRPr="00065E56" w:rsidRDefault="00731A8D" w:rsidP="00731A8D">
      <w:pPr>
        <w:spacing w:line="480" w:lineRule="auto"/>
        <w:rPr>
          <w:rFonts w:ascii="Times New Roman" w:hAnsi="Times New Roman" w:cs="Times New Roman"/>
        </w:rPr>
      </w:pPr>
      <w:r w:rsidRPr="00065E56">
        <w:rPr>
          <w:rFonts w:ascii="Times New Roman" w:hAnsi="Times New Roman" w:cs="Times New Roman"/>
        </w:rPr>
        <w:lastRenderedPageBreak/>
        <w:tab/>
      </w:r>
      <w:r w:rsidR="004C22E2" w:rsidRPr="00065E56">
        <w:rPr>
          <w:rFonts w:ascii="Times New Roman" w:hAnsi="Times New Roman" w:cs="Times New Roman"/>
        </w:rPr>
        <w:t xml:space="preserve">Overall, the 2020 remote cohort formative exam scores were 0.58 points higher than the 2019 F2F cohort scores, p = .008, d = 0.15. </w:t>
      </w:r>
      <w:r w:rsidRPr="00065E56">
        <w:rPr>
          <w:rFonts w:ascii="Times New Roman" w:hAnsi="Times New Roman" w:cs="Times New Roman"/>
        </w:rPr>
        <w:t xml:space="preserve">Sixteen of the 18 formative exam differences in means between 2019 and 2020 were statistically significant. For week 1, the 2019 F2F cohort means were significantly higher for all categories. In week 2 the 2020 remote cohort averages were greater, again for all categories. Week 3 data diverged; overall and PA means were higher for the 2020 remote cohort, with no significant difference in means for dental students. Week 4 data was consistent for all categories, with the 2020 cohort means significantly higher than the 2019 F2F cohort. Week 5 deviated from the previous </w:t>
      </w:r>
      <w:r w:rsidR="00A62390" w:rsidRPr="00065E56">
        <w:rPr>
          <w:rFonts w:ascii="Times New Roman" w:hAnsi="Times New Roman" w:cs="Times New Roman"/>
        </w:rPr>
        <w:t>three</w:t>
      </w:r>
      <w:r w:rsidRPr="00065E56">
        <w:rPr>
          <w:rFonts w:ascii="Times New Roman" w:hAnsi="Times New Roman" w:cs="Times New Roman"/>
        </w:rPr>
        <w:t xml:space="preserve"> weeks; the 2019 F2F cohort means were significantly higher for dental students and students overall. PA means’ differences for week 5 were not statistically significant. Week 6 results were consistent with weeks 2 and 4 in that the 2020 remote cohort means were significantly higher than the 2019 F2F means.  For the 2020 remote cohort, a total of </w:t>
      </w:r>
      <w:r w:rsidR="00A62390" w:rsidRPr="00065E56">
        <w:rPr>
          <w:rFonts w:ascii="Times New Roman" w:hAnsi="Times New Roman" w:cs="Times New Roman"/>
        </w:rPr>
        <w:t>four</w:t>
      </w:r>
      <w:r w:rsidRPr="00065E56">
        <w:rPr>
          <w:rFonts w:ascii="Times New Roman" w:hAnsi="Times New Roman" w:cs="Times New Roman"/>
        </w:rPr>
        <w:t xml:space="preserve"> of the </w:t>
      </w:r>
      <w:r w:rsidR="00A62390" w:rsidRPr="00065E56">
        <w:rPr>
          <w:rFonts w:ascii="Times New Roman" w:hAnsi="Times New Roman" w:cs="Times New Roman"/>
        </w:rPr>
        <w:t>six</w:t>
      </w:r>
      <w:r w:rsidRPr="00065E56">
        <w:rPr>
          <w:rFonts w:ascii="Times New Roman" w:hAnsi="Times New Roman" w:cs="Times New Roman"/>
        </w:rPr>
        <w:t xml:space="preserve"> exams were significant for the students overall and PA students specifically, and </w:t>
      </w:r>
      <w:r w:rsidR="00A62390" w:rsidRPr="00065E56">
        <w:rPr>
          <w:rFonts w:ascii="Times New Roman" w:hAnsi="Times New Roman" w:cs="Times New Roman"/>
        </w:rPr>
        <w:t>three</w:t>
      </w:r>
      <w:r w:rsidRPr="00065E56">
        <w:rPr>
          <w:rFonts w:ascii="Times New Roman" w:hAnsi="Times New Roman" w:cs="Times New Roman"/>
        </w:rPr>
        <w:t xml:space="preserve"> of the </w:t>
      </w:r>
      <w:r w:rsidR="00A62390" w:rsidRPr="00065E56">
        <w:rPr>
          <w:rFonts w:ascii="Times New Roman" w:hAnsi="Times New Roman" w:cs="Times New Roman"/>
        </w:rPr>
        <w:t>six</w:t>
      </w:r>
      <w:r w:rsidRPr="00065E56">
        <w:rPr>
          <w:rFonts w:ascii="Times New Roman" w:hAnsi="Times New Roman" w:cs="Times New Roman"/>
        </w:rPr>
        <w:t xml:space="preserve"> exams were significant for the dental students. For the 2019 F2F cohort, a total of </w:t>
      </w:r>
      <w:r w:rsidR="00A62390" w:rsidRPr="00065E56">
        <w:rPr>
          <w:rFonts w:ascii="Times New Roman" w:hAnsi="Times New Roman" w:cs="Times New Roman"/>
        </w:rPr>
        <w:t>two</w:t>
      </w:r>
      <w:r w:rsidRPr="00065E56">
        <w:rPr>
          <w:rFonts w:ascii="Times New Roman" w:hAnsi="Times New Roman" w:cs="Times New Roman"/>
        </w:rPr>
        <w:t xml:space="preserve"> of the </w:t>
      </w:r>
      <w:r w:rsidR="00A62390" w:rsidRPr="00065E56">
        <w:rPr>
          <w:rFonts w:ascii="Times New Roman" w:hAnsi="Times New Roman" w:cs="Times New Roman"/>
        </w:rPr>
        <w:t>six</w:t>
      </w:r>
      <w:r w:rsidRPr="00065E56">
        <w:rPr>
          <w:rFonts w:ascii="Times New Roman" w:hAnsi="Times New Roman" w:cs="Times New Roman"/>
        </w:rPr>
        <w:t xml:space="preserve"> exams were significant for the students overall and dental students specifically, and </w:t>
      </w:r>
      <w:r w:rsidR="00A62390" w:rsidRPr="00065E56">
        <w:rPr>
          <w:rFonts w:ascii="Times New Roman" w:hAnsi="Times New Roman" w:cs="Times New Roman"/>
        </w:rPr>
        <w:t>one</w:t>
      </w:r>
      <w:r w:rsidRPr="00065E56">
        <w:rPr>
          <w:rFonts w:ascii="Times New Roman" w:hAnsi="Times New Roman" w:cs="Times New Roman"/>
        </w:rPr>
        <w:t xml:space="preserve"> exam was significant for PA students. Though there were a few </w:t>
      </w:r>
      <w:proofErr w:type="gramStart"/>
      <w:r w:rsidRPr="00065E56">
        <w:rPr>
          <w:rFonts w:ascii="Times New Roman" w:hAnsi="Times New Roman" w:cs="Times New Roman"/>
        </w:rPr>
        <w:t>inconsistencies</w:t>
      </w:r>
      <w:proofErr w:type="gramEnd"/>
      <w:r w:rsidR="004C22E2" w:rsidRPr="00065E56">
        <w:rPr>
          <w:rFonts w:ascii="Times New Roman" w:hAnsi="Times New Roman" w:cs="Times New Roman"/>
        </w:rPr>
        <w:t xml:space="preserve"> and the effect size was small</w:t>
      </w:r>
      <w:r w:rsidRPr="00065E56">
        <w:rPr>
          <w:rFonts w:ascii="Times New Roman" w:hAnsi="Times New Roman" w:cs="Times New Roman"/>
        </w:rPr>
        <w:t xml:space="preserve">, the results suggest that the 2020 remote cohort performed </w:t>
      </w:r>
      <w:r w:rsidR="004C22E2" w:rsidRPr="00065E56">
        <w:rPr>
          <w:rFonts w:ascii="Times New Roman" w:hAnsi="Times New Roman" w:cs="Times New Roman"/>
        </w:rPr>
        <w:t xml:space="preserve">slightly </w:t>
      </w:r>
      <w:r w:rsidRPr="00065E56">
        <w:rPr>
          <w:rFonts w:ascii="Times New Roman" w:hAnsi="Times New Roman" w:cs="Times New Roman"/>
        </w:rPr>
        <w:t>better than the 2019 F2F cohort after week 1.</w:t>
      </w:r>
    </w:p>
    <w:p w14:paraId="6FDC0702" w14:textId="77777777" w:rsidR="00731A8D" w:rsidRPr="00065E56" w:rsidRDefault="00731A8D" w:rsidP="00731A8D">
      <w:pPr>
        <w:spacing w:line="480" w:lineRule="auto"/>
        <w:rPr>
          <w:rFonts w:ascii="Times New Roman" w:hAnsi="Times New Roman" w:cs="Times New Roman"/>
        </w:rPr>
      </w:pPr>
      <w:r w:rsidRPr="00065E56">
        <w:rPr>
          <w:rFonts w:ascii="Times New Roman" w:hAnsi="Times New Roman" w:cs="Times New Roman"/>
        </w:rPr>
        <w:tab/>
      </w:r>
      <w:r w:rsidRPr="00065E56">
        <w:rPr>
          <w:rFonts w:ascii="Times New Roman" w:hAnsi="Times New Roman" w:cs="Times New Roman"/>
          <w:b/>
          <w:bCs/>
        </w:rPr>
        <w:t xml:space="preserve">Clinical Anatomy Online Learning Survey. </w:t>
      </w:r>
      <w:r w:rsidRPr="00065E56">
        <w:rPr>
          <w:rFonts w:ascii="Times New Roman" w:hAnsi="Times New Roman" w:cs="Times New Roman"/>
        </w:rPr>
        <w:t xml:space="preserve">Student were invited to participate in a survey to determine their perceptions regarding their anatomical knowledge. All students (n=102) were invited, and 60 (59%) participated. Of those 60 students, 24 were from the dental program and 36 were from the PA program. Of the 24 dental students, seven participated in cadaveric dissection at the undergraduate level, and 11 completed undergraduate anatomy without cadaveric dissection. Seven dental students did not take an undergraduate anatomy </w:t>
      </w:r>
      <w:r w:rsidRPr="00065E56">
        <w:rPr>
          <w:rFonts w:ascii="Times New Roman" w:hAnsi="Times New Roman" w:cs="Times New Roman"/>
        </w:rPr>
        <w:lastRenderedPageBreak/>
        <w:t xml:space="preserve">course. Undergraduate anatomy was required for the 36 PA students, with 19 of the 36 participating in an anatomy course with cadaveric dissection. When asked if participating in cadaveric dissection enhanced their interest in applying to the program, dental students were fairly split, with 10 answering ‘yes’ and 14 answering ‘no.’ PA students were more likely to answer ‘yes,’ with 29 of 35 answering affirmatively (1 PA student declined to answer). </w:t>
      </w:r>
    </w:p>
    <w:p w14:paraId="6705C5DE" w14:textId="77777777" w:rsidR="00731A8D" w:rsidRPr="00065E56" w:rsidRDefault="00731A8D" w:rsidP="00731A8D">
      <w:pPr>
        <w:spacing w:line="480" w:lineRule="auto"/>
        <w:rPr>
          <w:rFonts w:ascii="Times New Roman" w:hAnsi="Times New Roman" w:cs="Times New Roman"/>
        </w:rPr>
      </w:pPr>
      <w:r w:rsidRPr="00065E56">
        <w:rPr>
          <w:rFonts w:ascii="Times New Roman" w:hAnsi="Times New Roman" w:cs="Times New Roman"/>
        </w:rPr>
        <w:tab/>
        <w:t xml:space="preserve">Most of the remainder of the questions were statements with a Likert-style, 5-point rating scale. Answer choices ranged from ‘very true for me,’ ‘fairly true for me,’ somewhat true for me,’ ‘not very true for me,’ and ‘not at all true for me.’ Recall from chapter 3 that the statements were largely derived from a focus group of PA and dental students, with faculty making adjustments for clarity and neutrality. Overall student data, along with separated dental and PA student data, are found in Table </w:t>
      </w:r>
      <w:r w:rsidRPr="00065E56">
        <w:rPr>
          <w:rFonts w:ascii="Times New Roman" w:hAnsi="Times New Roman" w:cs="Times New Roman"/>
          <w:color w:val="000000" w:themeColor="text1"/>
        </w:rPr>
        <w:t>5</w:t>
      </w:r>
      <w:r w:rsidRPr="00065E56">
        <w:rPr>
          <w:rFonts w:ascii="Times New Roman" w:hAnsi="Times New Roman" w:cs="Times New Roman"/>
        </w:rPr>
        <w:t xml:space="preserve"> below. Dental and PA results </w:t>
      </w:r>
      <w:proofErr w:type="gramStart"/>
      <w:r w:rsidRPr="00065E56">
        <w:rPr>
          <w:rFonts w:ascii="Times New Roman" w:hAnsi="Times New Roman" w:cs="Times New Roman"/>
        </w:rPr>
        <w:t>were</w:t>
      </w:r>
      <w:proofErr w:type="gramEnd"/>
      <w:r w:rsidRPr="00065E56">
        <w:rPr>
          <w:rFonts w:ascii="Times New Roman" w:hAnsi="Times New Roman" w:cs="Times New Roman"/>
        </w:rPr>
        <w:t xml:space="preserve"> further broken out by their undergraduate anatomy status and were included in the discussion if there was a relevant finding. Undergraduate anatomy status by program results </w:t>
      </w:r>
      <w:proofErr w:type="gramStart"/>
      <w:r w:rsidRPr="00065E56">
        <w:rPr>
          <w:rFonts w:ascii="Times New Roman" w:hAnsi="Times New Roman" w:cs="Times New Roman"/>
        </w:rPr>
        <w:t>are</w:t>
      </w:r>
      <w:proofErr w:type="gramEnd"/>
      <w:r w:rsidRPr="00065E56">
        <w:rPr>
          <w:rFonts w:ascii="Times New Roman" w:hAnsi="Times New Roman" w:cs="Times New Roman"/>
        </w:rPr>
        <w:t xml:space="preserve"> found in Appendix </w:t>
      </w:r>
      <w:r w:rsidRPr="00065E56">
        <w:rPr>
          <w:rFonts w:ascii="Times New Roman" w:hAnsi="Times New Roman" w:cs="Times New Roman"/>
          <w:color w:val="000000" w:themeColor="text1"/>
        </w:rPr>
        <w:t>F</w:t>
      </w:r>
      <w:r w:rsidRPr="00065E56">
        <w:rPr>
          <w:rFonts w:ascii="Times New Roman" w:hAnsi="Times New Roman" w:cs="Times New Roman"/>
        </w:rPr>
        <w:t>.</w:t>
      </w:r>
    </w:p>
    <w:p w14:paraId="6384D673" w14:textId="650D8269" w:rsidR="00731A8D" w:rsidRPr="00065E56" w:rsidRDefault="00731A8D" w:rsidP="00731A8D">
      <w:pPr>
        <w:spacing w:line="480" w:lineRule="auto"/>
        <w:rPr>
          <w:rFonts w:ascii="Times New Roman" w:hAnsi="Times New Roman" w:cs="Times New Roman"/>
        </w:rPr>
      </w:pPr>
      <w:r w:rsidRPr="00065E56">
        <w:rPr>
          <w:rFonts w:ascii="Times New Roman" w:hAnsi="Times New Roman" w:cs="Times New Roman"/>
          <w:b/>
          <w:bCs/>
        </w:rPr>
        <w:tab/>
      </w:r>
      <w:r w:rsidRPr="00065E56">
        <w:rPr>
          <w:rFonts w:ascii="Times New Roman" w:hAnsi="Times New Roman" w:cs="Times New Roman"/>
        </w:rPr>
        <w:t xml:space="preserve">Statement 1 was designed to solicit general student opinion about their anatomical knowledge in the context of their beginner status. The majority of participants, 72%, indicated that statement 1 was ‘very’ or ‘fairly’ true for themselves. Another 20% indicated the statement was ‘somewhat’ true, with 8% selecting ‘not very true for me.’ The PA and dental student specific data denoted a similar trend. Statement 2 addressed fragmented anatomical knowledge perception, and the question was written as a negative statement. Fifty percent of survey participants indicated that the statement was ‘not very’ or ‘not at all true for me,’ indicating they did not feel their knowledge was fragmented. ‘Somewhat’ true was selected 34% of the time, and 16% indicated that statement 2 felt ‘very’ or ‘fairly’ true for them. The PA and dental student specific data denoted a similar trend. Of the 18 dental students responding ‘somewhat’ or ‘not </w:t>
      </w:r>
      <w:r w:rsidRPr="00065E56">
        <w:rPr>
          <w:rFonts w:ascii="Times New Roman" w:hAnsi="Times New Roman" w:cs="Times New Roman"/>
        </w:rPr>
        <w:lastRenderedPageBreak/>
        <w:t xml:space="preserve">very’ true for me, 14 of those students had previous undergraduate anatomy experience (Appendix </w:t>
      </w:r>
      <w:r w:rsidRPr="00065E56">
        <w:rPr>
          <w:rFonts w:ascii="Times New Roman" w:hAnsi="Times New Roman" w:cs="Times New Roman"/>
          <w:color w:val="000000" w:themeColor="text1"/>
        </w:rPr>
        <w:t>F</w:t>
      </w:r>
      <w:r w:rsidRPr="00065E56">
        <w:rPr>
          <w:rFonts w:ascii="Times New Roman" w:hAnsi="Times New Roman" w:cs="Times New Roman"/>
        </w:rPr>
        <w:t xml:space="preserve">). </w:t>
      </w:r>
    </w:p>
    <w:p w14:paraId="7A23DCD4" w14:textId="6759274E" w:rsidR="00731A8D" w:rsidRPr="00065E56" w:rsidRDefault="00731A8D" w:rsidP="00731A8D">
      <w:pPr>
        <w:spacing w:line="480" w:lineRule="auto"/>
        <w:rPr>
          <w:rFonts w:ascii="Times New Roman" w:hAnsi="Times New Roman" w:cs="Times New Roman"/>
          <w:b/>
          <w:bCs/>
        </w:rPr>
      </w:pPr>
      <w:r w:rsidRPr="00065E56">
        <w:rPr>
          <w:rFonts w:ascii="Times New Roman" w:hAnsi="Times New Roman" w:cs="Times New Roman"/>
          <w:b/>
          <w:bCs/>
        </w:rPr>
        <w:tab/>
      </w:r>
      <w:r w:rsidRPr="00065E56">
        <w:rPr>
          <w:rFonts w:ascii="Times New Roman" w:hAnsi="Times New Roman" w:cs="Times New Roman"/>
        </w:rPr>
        <w:t>Statement 3 addressed students’ abilities to perceive an anatomical component (muscle or organ) as part of a larger system. A full 93% of students indicated this statement was ‘very,’ ‘fairly,’ or ‘somewhat true for me.’ Of the 11% of the 36 PA students indicating ‘not very’ or ‘not at all true,’ the majority (</w:t>
      </w:r>
      <w:r w:rsidR="004C22E2" w:rsidRPr="00065E56">
        <w:rPr>
          <w:rFonts w:ascii="Times New Roman" w:hAnsi="Times New Roman" w:cs="Times New Roman"/>
        </w:rPr>
        <w:t>three</w:t>
      </w:r>
      <w:r w:rsidRPr="00065E56">
        <w:rPr>
          <w:rFonts w:ascii="Times New Roman" w:hAnsi="Times New Roman" w:cs="Times New Roman"/>
        </w:rPr>
        <w:t xml:space="preserve"> out of </w:t>
      </w:r>
      <w:r w:rsidR="004C22E2" w:rsidRPr="00065E56">
        <w:rPr>
          <w:rFonts w:ascii="Times New Roman" w:hAnsi="Times New Roman" w:cs="Times New Roman"/>
        </w:rPr>
        <w:t>four</w:t>
      </w:r>
      <w:r w:rsidRPr="00065E56">
        <w:rPr>
          <w:rFonts w:ascii="Times New Roman" w:hAnsi="Times New Roman" w:cs="Times New Roman"/>
        </w:rPr>
        <w:t>) of those students did not perform cadaveric dissection in their undergraduate anatomy course.</w:t>
      </w:r>
    </w:p>
    <w:p w14:paraId="20093BAE" w14:textId="77777777" w:rsidR="00E71E5D" w:rsidRPr="00065E56" w:rsidRDefault="00E71E5D" w:rsidP="00E71E5D">
      <w:pPr>
        <w:spacing w:line="480" w:lineRule="auto"/>
        <w:rPr>
          <w:rFonts w:ascii="Times New Roman" w:hAnsi="Times New Roman" w:cs="Times New Roman"/>
        </w:rPr>
      </w:pPr>
      <w:r>
        <w:rPr>
          <w:rFonts w:ascii="Times New Roman" w:hAnsi="Times New Roman" w:cs="Times New Roman"/>
          <w:b/>
          <w:bCs/>
        </w:rPr>
        <w:tab/>
      </w:r>
      <w:r w:rsidRPr="00065E56">
        <w:rPr>
          <w:rFonts w:ascii="Times New Roman" w:hAnsi="Times New Roman" w:cs="Times New Roman"/>
        </w:rPr>
        <w:t>Statements 4 and 5 addressed tissue depths and textures. For statement 4, 85% of students indicated the statement was ‘very’, ‘fairly’ or ‘somewhat true for me,’ and the percentages were distributed evenly among the three choices. The remaining 15% selected ‘not very true for me,’ and there were no distinctions between those students as to their undergraduate anatomy status. For statement 5, the positive versus negative outcomes were similar to statement 4, with 88% of students selecting ‘very,’ ‘fairly,’ or ‘somewhat true for me.’ Twelve percent indicated that statement 5 was ‘not very’ true. The percentages are less evenly distributed than the statement 4 results, however, with only 15% selecting ‘very’ true, 45% selecting ‘fairly’ true, and 28% selecting ‘somewhat true for me.’</w:t>
      </w:r>
    </w:p>
    <w:p w14:paraId="1F90E8D8" w14:textId="1D435648" w:rsidR="00E71E5D" w:rsidRDefault="00E71E5D" w:rsidP="00731A8D">
      <w:pPr>
        <w:spacing w:line="480" w:lineRule="auto"/>
        <w:rPr>
          <w:rFonts w:ascii="Times New Roman" w:hAnsi="Times New Roman" w:cs="Times New Roman"/>
          <w:b/>
          <w:bCs/>
        </w:rPr>
      </w:pPr>
    </w:p>
    <w:p w14:paraId="0B297C4A" w14:textId="77777777" w:rsidR="00E71E5D" w:rsidRDefault="00E71E5D" w:rsidP="00731A8D">
      <w:pPr>
        <w:spacing w:line="480" w:lineRule="auto"/>
        <w:rPr>
          <w:rFonts w:ascii="Times New Roman" w:hAnsi="Times New Roman" w:cs="Times New Roman"/>
          <w:b/>
          <w:bCs/>
        </w:rPr>
      </w:pPr>
    </w:p>
    <w:p w14:paraId="65E735EA" w14:textId="77777777" w:rsidR="00E71E5D" w:rsidRDefault="00E71E5D" w:rsidP="00731A8D">
      <w:pPr>
        <w:spacing w:line="480" w:lineRule="auto"/>
        <w:rPr>
          <w:rFonts w:ascii="Times New Roman" w:hAnsi="Times New Roman" w:cs="Times New Roman"/>
          <w:b/>
          <w:bCs/>
        </w:rPr>
      </w:pPr>
    </w:p>
    <w:p w14:paraId="5C67828C" w14:textId="77777777" w:rsidR="00E71E5D" w:rsidRDefault="00E71E5D" w:rsidP="00731A8D">
      <w:pPr>
        <w:spacing w:line="480" w:lineRule="auto"/>
        <w:rPr>
          <w:rFonts w:ascii="Times New Roman" w:hAnsi="Times New Roman" w:cs="Times New Roman"/>
          <w:b/>
          <w:bCs/>
        </w:rPr>
      </w:pPr>
    </w:p>
    <w:p w14:paraId="75FA0EBA" w14:textId="77777777" w:rsidR="00E71E5D" w:rsidRDefault="00E71E5D" w:rsidP="00731A8D">
      <w:pPr>
        <w:spacing w:line="480" w:lineRule="auto"/>
        <w:rPr>
          <w:rFonts w:ascii="Times New Roman" w:hAnsi="Times New Roman" w:cs="Times New Roman"/>
          <w:b/>
          <w:bCs/>
        </w:rPr>
      </w:pPr>
    </w:p>
    <w:p w14:paraId="36B4E21D" w14:textId="77777777" w:rsidR="00E71E5D" w:rsidRDefault="00E71E5D" w:rsidP="00731A8D">
      <w:pPr>
        <w:spacing w:line="480" w:lineRule="auto"/>
        <w:rPr>
          <w:rFonts w:ascii="Times New Roman" w:hAnsi="Times New Roman" w:cs="Times New Roman"/>
          <w:b/>
          <w:bCs/>
        </w:rPr>
      </w:pPr>
    </w:p>
    <w:p w14:paraId="4E329280" w14:textId="77777777" w:rsidR="00E71E5D" w:rsidRDefault="00E71E5D" w:rsidP="00731A8D">
      <w:pPr>
        <w:spacing w:line="480" w:lineRule="auto"/>
        <w:rPr>
          <w:rFonts w:ascii="Times New Roman" w:hAnsi="Times New Roman" w:cs="Times New Roman"/>
          <w:b/>
          <w:bCs/>
        </w:rPr>
      </w:pPr>
    </w:p>
    <w:p w14:paraId="4CDBB62A" w14:textId="3B51DA5A" w:rsidR="00731A8D" w:rsidRPr="00065E56" w:rsidRDefault="00731A8D" w:rsidP="00731A8D">
      <w:pPr>
        <w:spacing w:line="480" w:lineRule="auto"/>
        <w:rPr>
          <w:rFonts w:ascii="Times New Roman" w:hAnsi="Times New Roman" w:cs="Times New Roman"/>
          <w:b/>
          <w:bCs/>
        </w:rPr>
      </w:pPr>
      <w:r w:rsidRPr="00065E56">
        <w:rPr>
          <w:rFonts w:ascii="Times New Roman" w:hAnsi="Times New Roman" w:cs="Times New Roman"/>
          <w:b/>
          <w:bCs/>
        </w:rPr>
        <w:lastRenderedPageBreak/>
        <w:t>Table 5</w:t>
      </w:r>
    </w:p>
    <w:p w14:paraId="23E83A8F" w14:textId="77777777" w:rsidR="00731A8D" w:rsidRPr="00065E56" w:rsidRDefault="00695F3E" w:rsidP="00731A8D">
      <w:pPr>
        <w:spacing w:line="480" w:lineRule="auto"/>
        <w:rPr>
          <w:rFonts w:ascii="Times New Roman" w:hAnsi="Times New Roman" w:cs="Times New Roman"/>
        </w:rPr>
      </w:pPr>
      <w:r>
        <w:rPr>
          <w:rFonts w:ascii="Times New Roman" w:eastAsia="Times New Roman" w:hAnsi="Times New Roman" w:cs="Times New Roman"/>
          <w:noProof/>
        </w:rPr>
        <w:object w:dxaOrig="6760" w:dyaOrig="10880" w14:anchorId="577A91A2">
          <v:shape id="_x0000_i1036" type="#_x0000_t75" alt="" style="width:337.9pt;height:543.8pt;mso-width-percent:0;mso-height-percent:0;mso-width-percent:0;mso-height-percent:0" o:ole="">
            <v:imagedata r:id="rId16" o:title=""/>
          </v:shape>
          <o:OLEObject Type="Embed" ProgID="Excel.Sheet.12" ShapeID="_x0000_i1036" DrawAspect="Content" ObjectID="_1681813810" r:id="rId17"/>
        </w:object>
      </w:r>
      <w:r w:rsidR="00731A8D" w:rsidRPr="00065E56">
        <w:rPr>
          <w:rFonts w:ascii="Times New Roman" w:hAnsi="Times New Roman" w:cs="Times New Roman"/>
        </w:rPr>
        <w:tab/>
      </w:r>
    </w:p>
    <w:p w14:paraId="1F1B3680" w14:textId="754DA163" w:rsidR="00731A8D" w:rsidRPr="00065E56" w:rsidRDefault="00731A8D" w:rsidP="00731A8D">
      <w:pPr>
        <w:spacing w:line="480" w:lineRule="auto"/>
        <w:rPr>
          <w:rFonts w:ascii="Times New Roman" w:hAnsi="Times New Roman" w:cs="Times New Roman"/>
        </w:rPr>
      </w:pPr>
      <w:r w:rsidRPr="00065E56">
        <w:rPr>
          <w:rFonts w:ascii="Times New Roman" w:hAnsi="Times New Roman" w:cs="Times New Roman"/>
        </w:rPr>
        <w:tab/>
      </w:r>
    </w:p>
    <w:p w14:paraId="720688F7" w14:textId="77777777" w:rsidR="00731A8D" w:rsidRPr="00065E56" w:rsidRDefault="00731A8D" w:rsidP="00731A8D">
      <w:pPr>
        <w:spacing w:line="480" w:lineRule="auto"/>
        <w:rPr>
          <w:rFonts w:ascii="Times New Roman" w:hAnsi="Times New Roman" w:cs="Times New Roman"/>
        </w:rPr>
      </w:pPr>
      <w:r w:rsidRPr="00065E56">
        <w:rPr>
          <w:rFonts w:ascii="Times New Roman" w:hAnsi="Times New Roman" w:cs="Times New Roman"/>
        </w:rPr>
        <w:lastRenderedPageBreak/>
        <w:tab/>
        <w:t xml:space="preserve">The first two statements of question 7 (Table </w:t>
      </w:r>
      <w:r w:rsidRPr="00065E56">
        <w:rPr>
          <w:rFonts w:ascii="Times New Roman" w:hAnsi="Times New Roman" w:cs="Times New Roman"/>
          <w:color w:val="000000" w:themeColor="text1"/>
        </w:rPr>
        <w:t>6</w:t>
      </w:r>
      <w:r w:rsidRPr="00065E56">
        <w:rPr>
          <w:rFonts w:ascii="Times New Roman" w:hAnsi="Times New Roman" w:cs="Times New Roman"/>
        </w:rPr>
        <w:t>) addressed the lack of cadaveric dissection. Ninety-five percent of students indicated a desire to dissect a cadaver, with 79% selecting ‘very’ or ‘fairly true for me.’ ‘Very true for me’ was indicated at a higher percentage of PA students than dental students, 60% versus 46%, respectively. Statement 2 results had a larger spread than most other responses of this survey, and the PA and dental responses were divergent. For the total responses, 45% indicated that feeling behind on surgery skills was ‘very’ or ‘fairly true for me,’ and 22% indicated the statement was ‘somewhat true for me.’ Thirty-three percent of students felt the statement was ‘not very’ or ‘not at all true’ for them. The extreme answer choices diverged for PA and dental students, with 43% of PA students and just 13% of dental</w:t>
      </w:r>
    </w:p>
    <w:p w14:paraId="7FC15BF8" w14:textId="77777777" w:rsidR="00731A8D" w:rsidRPr="00065E56" w:rsidRDefault="00731A8D" w:rsidP="00731A8D">
      <w:pPr>
        <w:spacing w:line="480" w:lineRule="auto"/>
        <w:rPr>
          <w:rFonts w:ascii="Times New Roman" w:hAnsi="Times New Roman" w:cs="Times New Roman"/>
        </w:rPr>
      </w:pPr>
      <w:r w:rsidRPr="00065E56">
        <w:rPr>
          <w:rFonts w:ascii="Times New Roman" w:hAnsi="Times New Roman" w:cs="Times New Roman"/>
        </w:rPr>
        <w:t xml:space="preserve">students selecting ‘very true for me.’ The ‘not at all true for me’ values were inverted, with only 5% of PA students versus 21% of dental students selecting that answer choice. </w:t>
      </w:r>
    </w:p>
    <w:p w14:paraId="632263A1" w14:textId="2B2CA404" w:rsidR="00731A8D" w:rsidRPr="00065E56" w:rsidRDefault="00731A8D" w:rsidP="00731A8D">
      <w:pPr>
        <w:spacing w:line="480" w:lineRule="auto"/>
        <w:rPr>
          <w:rFonts w:ascii="Times New Roman" w:hAnsi="Times New Roman" w:cs="Times New Roman"/>
          <w:b/>
          <w:bCs/>
        </w:rPr>
      </w:pPr>
      <w:r w:rsidRPr="00065E56">
        <w:rPr>
          <w:rFonts w:ascii="Times New Roman" w:hAnsi="Times New Roman" w:cs="Times New Roman"/>
        </w:rPr>
        <w:tab/>
        <w:t>Statements 3 and 4 of question 7 referred to the use of models for studying. Fully 98% of</w:t>
      </w:r>
      <w:r w:rsidR="004C22E2" w:rsidRPr="00065E56">
        <w:rPr>
          <w:rFonts w:ascii="Times New Roman" w:hAnsi="Times New Roman" w:cs="Times New Roman"/>
          <w:b/>
          <w:bCs/>
        </w:rPr>
        <w:t xml:space="preserve"> </w:t>
      </w:r>
      <w:r w:rsidRPr="00065E56">
        <w:rPr>
          <w:rFonts w:ascii="Times New Roman" w:hAnsi="Times New Roman" w:cs="Times New Roman"/>
        </w:rPr>
        <w:t xml:space="preserve">participants indicated that having physical models would have contributed to their anatomical knowledge, with the largest percentage (67%) indicating statement 3 was ‘very true for me.’  Statement 4 extended the line of questioning to include the adequacy of three-dimensional, online models. ‘Not very’ or ‘not at all true for me’ choices were selected by 58% students, and 28% indicated the statement was ‘somewhat true for me.’ Just 14% of students chose ‘very’ or ‘fairly true for me.’ </w:t>
      </w:r>
    </w:p>
    <w:p w14:paraId="601AE8E6" w14:textId="77777777" w:rsidR="00E71E5D" w:rsidRDefault="00E71E5D" w:rsidP="00731A8D">
      <w:pPr>
        <w:spacing w:line="480" w:lineRule="auto"/>
        <w:rPr>
          <w:rFonts w:ascii="Times New Roman" w:hAnsi="Times New Roman" w:cs="Times New Roman"/>
          <w:b/>
          <w:bCs/>
        </w:rPr>
      </w:pPr>
    </w:p>
    <w:p w14:paraId="6BB4C99F" w14:textId="77777777" w:rsidR="00E71E5D" w:rsidRDefault="00E71E5D" w:rsidP="00731A8D">
      <w:pPr>
        <w:spacing w:line="480" w:lineRule="auto"/>
        <w:rPr>
          <w:rFonts w:ascii="Times New Roman" w:hAnsi="Times New Roman" w:cs="Times New Roman"/>
          <w:b/>
          <w:bCs/>
        </w:rPr>
      </w:pPr>
    </w:p>
    <w:p w14:paraId="6AA6823D" w14:textId="77777777" w:rsidR="00E71E5D" w:rsidRDefault="00E71E5D" w:rsidP="00731A8D">
      <w:pPr>
        <w:spacing w:line="480" w:lineRule="auto"/>
        <w:rPr>
          <w:rFonts w:ascii="Times New Roman" w:hAnsi="Times New Roman" w:cs="Times New Roman"/>
          <w:b/>
          <w:bCs/>
        </w:rPr>
      </w:pPr>
    </w:p>
    <w:p w14:paraId="64310796" w14:textId="77777777" w:rsidR="00E71E5D" w:rsidRDefault="00E71E5D" w:rsidP="00731A8D">
      <w:pPr>
        <w:spacing w:line="480" w:lineRule="auto"/>
        <w:rPr>
          <w:rFonts w:ascii="Times New Roman" w:hAnsi="Times New Roman" w:cs="Times New Roman"/>
          <w:b/>
          <w:bCs/>
        </w:rPr>
      </w:pPr>
    </w:p>
    <w:p w14:paraId="4B9D6B37" w14:textId="77777777" w:rsidR="00E71E5D" w:rsidRDefault="00E71E5D" w:rsidP="00731A8D">
      <w:pPr>
        <w:spacing w:line="480" w:lineRule="auto"/>
        <w:rPr>
          <w:rFonts w:ascii="Times New Roman" w:hAnsi="Times New Roman" w:cs="Times New Roman"/>
          <w:b/>
          <w:bCs/>
        </w:rPr>
      </w:pPr>
    </w:p>
    <w:p w14:paraId="395507BB" w14:textId="47FCE301" w:rsidR="00731A8D" w:rsidRPr="00065E56" w:rsidRDefault="00731A8D" w:rsidP="00731A8D">
      <w:pPr>
        <w:spacing w:line="480" w:lineRule="auto"/>
        <w:rPr>
          <w:rFonts w:ascii="Times New Roman" w:hAnsi="Times New Roman" w:cs="Times New Roman"/>
          <w:b/>
          <w:bCs/>
        </w:rPr>
      </w:pPr>
      <w:r w:rsidRPr="00065E56">
        <w:rPr>
          <w:rFonts w:ascii="Times New Roman" w:hAnsi="Times New Roman" w:cs="Times New Roman"/>
          <w:b/>
          <w:bCs/>
        </w:rPr>
        <w:lastRenderedPageBreak/>
        <w:t>Table 6</w:t>
      </w:r>
    </w:p>
    <w:p w14:paraId="03BD3EDF" w14:textId="709215B8" w:rsidR="00731A8D" w:rsidRPr="00A851A5" w:rsidRDefault="00695F3E" w:rsidP="00731A8D">
      <w:pPr>
        <w:spacing w:line="480" w:lineRule="auto"/>
        <w:rPr>
          <w:rFonts w:ascii="Times New Roman" w:hAnsi="Times New Roman" w:cs="Times New Roman"/>
        </w:rPr>
      </w:pPr>
      <w:r>
        <w:rPr>
          <w:rFonts w:ascii="Times New Roman" w:eastAsia="Times New Roman" w:hAnsi="Times New Roman" w:cs="Times New Roman"/>
          <w:noProof/>
        </w:rPr>
        <w:object w:dxaOrig="6760" w:dyaOrig="9660" w14:anchorId="6C381E50">
          <v:shape id="_x0000_i1035" type="#_x0000_t75" alt="" style="width:337.9pt;height:483.15pt;mso-width-percent:0;mso-height-percent:0;mso-width-percent:0;mso-height-percent:0" o:ole="">
            <v:imagedata r:id="rId18" o:title=""/>
          </v:shape>
          <o:OLEObject Type="Embed" ProgID="Excel.Sheet.12" ShapeID="_x0000_i1035" DrawAspect="Content" ObjectID="_1681813811" r:id="rId19"/>
        </w:object>
      </w:r>
    </w:p>
    <w:p w14:paraId="7D425A31" w14:textId="77777777" w:rsidR="00E71E5D" w:rsidRDefault="00E71E5D" w:rsidP="00731A8D">
      <w:pPr>
        <w:spacing w:line="480" w:lineRule="auto"/>
        <w:rPr>
          <w:rFonts w:ascii="Times New Roman" w:hAnsi="Times New Roman" w:cs="Times New Roman"/>
          <w:b/>
          <w:bCs/>
        </w:rPr>
      </w:pPr>
    </w:p>
    <w:p w14:paraId="72D4D10E" w14:textId="77777777" w:rsidR="00E71E5D" w:rsidRDefault="00E71E5D" w:rsidP="00731A8D">
      <w:pPr>
        <w:spacing w:line="480" w:lineRule="auto"/>
        <w:rPr>
          <w:rFonts w:ascii="Times New Roman" w:hAnsi="Times New Roman" w:cs="Times New Roman"/>
          <w:b/>
          <w:bCs/>
        </w:rPr>
      </w:pPr>
    </w:p>
    <w:p w14:paraId="61AF6DA6" w14:textId="77777777" w:rsidR="00E71E5D" w:rsidRDefault="00E71E5D" w:rsidP="00731A8D">
      <w:pPr>
        <w:spacing w:line="480" w:lineRule="auto"/>
        <w:rPr>
          <w:rFonts w:ascii="Times New Roman" w:hAnsi="Times New Roman" w:cs="Times New Roman"/>
          <w:b/>
          <w:bCs/>
        </w:rPr>
      </w:pPr>
    </w:p>
    <w:p w14:paraId="1C44D0D9" w14:textId="77777777" w:rsidR="00E71E5D" w:rsidRDefault="00E71E5D" w:rsidP="00731A8D">
      <w:pPr>
        <w:spacing w:line="480" w:lineRule="auto"/>
        <w:rPr>
          <w:rFonts w:ascii="Times New Roman" w:hAnsi="Times New Roman" w:cs="Times New Roman"/>
          <w:b/>
          <w:bCs/>
        </w:rPr>
      </w:pPr>
    </w:p>
    <w:p w14:paraId="0E21AB9C" w14:textId="220E5E4F" w:rsidR="00731A8D" w:rsidRPr="00065E56" w:rsidRDefault="00731A8D" w:rsidP="00731A8D">
      <w:pPr>
        <w:spacing w:line="480" w:lineRule="auto"/>
        <w:rPr>
          <w:rFonts w:ascii="Times New Roman" w:hAnsi="Times New Roman" w:cs="Times New Roman"/>
        </w:rPr>
      </w:pPr>
      <w:r w:rsidRPr="00065E56">
        <w:rPr>
          <w:rFonts w:ascii="Times New Roman" w:hAnsi="Times New Roman" w:cs="Times New Roman"/>
          <w:b/>
          <w:bCs/>
        </w:rPr>
        <w:lastRenderedPageBreak/>
        <w:t>Table 7</w:t>
      </w:r>
    </w:p>
    <w:p w14:paraId="3CC134CC" w14:textId="77777777" w:rsidR="00731A8D" w:rsidRPr="00065E56" w:rsidRDefault="00695F3E" w:rsidP="00731A8D">
      <w:pPr>
        <w:spacing w:line="480" w:lineRule="auto"/>
        <w:rPr>
          <w:rFonts w:ascii="Times New Roman" w:hAnsi="Times New Roman" w:cs="Times New Roman"/>
        </w:rPr>
      </w:pPr>
      <w:r>
        <w:rPr>
          <w:rFonts w:ascii="Times New Roman" w:eastAsia="Times New Roman" w:hAnsi="Times New Roman" w:cs="Times New Roman"/>
          <w:noProof/>
        </w:rPr>
        <w:object w:dxaOrig="5380" w:dyaOrig="5520" w14:anchorId="73EA02CE">
          <v:shape id="_x0000_i1034" type="#_x0000_t75" alt="" style="width:269.05pt;height:276pt;mso-width-percent:0;mso-height-percent:0;mso-width-percent:0;mso-height-percent:0" o:ole="">
            <v:imagedata r:id="rId20" o:title=""/>
          </v:shape>
          <o:OLEObject Type="Embed" ProgID="Excel.Sheet.12" ShapeID="_x0000_i1034" DrawAspect="Content" ObjectID="_1681813812" r:id="rId21"/>
        </w:object>
      </w:r>
    </w:p>
    <w:p w14:paraId="5B1347A1" w14:textId="77777777" w:rsidR="00731A8D" w:rsidRPr="00065E56" w:rsidRDefault="00731A8D" w:rsidP="00731A8D">
      <w:pPr>
        <w:spacing w:line="480" w:lineRule="auto"/>
        <w:rPr>
          <w:rFonts w:ascii="Times New Roman" w:hAnsi="Times New Roman" w:cs="Times New Roman"/>
        </w:rPr>
      </w:pPr>
      <w:r w:rsidRPr="00065E56">
        <w:rPr>
          <w:rFonts w:ascii="Times New Roman" w:hAnsi="Times New Roman" w:cs="Times New Roman"/>
        </w:rPr>
        <w:tab/>
        <w:t xml:space="preserve">Questions 8 and 9 (Table </w:t>
      </w:r>
      <w:r w:rsidRPr="00065E56">
        <w:rPr>
          <w:rFonts w:ascii="Times New Roman" w:hAnsi="Times New Roman" w:cs="Times New Roman"/>
          <w:color w:val="000000" w:themeColor="text1"/>
        </w:rPr>
        <w:t>7</w:t>
      </w:r>
      <w:r w:rsidRPr="00065E56">
        <w:rPr>
          <w:rFonts w:ascii="Times New Roman" w:hAnsi="Times New Roman" w:cs="Times New Roman"/>
        </w:rPr>
        <w:t>) completed the series of statements regarding models. When asked if students purchased models for the course, 25% answered affirmatively, and 75% answered negatively. When classifying students by their previous anatomy experience, dental students who did not take undergraduate anatomy were approximately half as likely to buy a model than students who did take a previous anatomy course (Appendix F). PA students without cadaveric dissection as an undergraduate were less likely to buy a model than students that did dissect in their undergraduate anatomy course. When asked if the university should provide models for study, 78% of students responded affirmatively, and 22% answered negatively. Percentages for PA and dental students were consistent with the total percentages, and previous undergraduate anatomy experience did not factor into the results.</w:t>
      </w:r>
    </w:p>
    <w:p w14:paraId="0DAFDD4F" w14:textId="77777777" w:rsidR="00731A8D" w:rsidRPr="00065E56" w:rsidRDefault="00731A8D" w:rsidP="00731A8D">
      <w:pPr>
        <w:spacing w:line="480" w:lineRule="auto"/>
        <w:rPr>
          <w:rFonts w:ascii="Times New Roman" w:hAnsi="Times New Roman" w:cs="Times New Roman"/>
        </w:rPr>
      </w:pPr>
      <w:r w:rsidRPr="00065E56">
        <w:rPr>
          <w:rFonts w:ascii="Times New Roman" w:hAnsi="Times New Roman" w:cs="Times New Roman"/>
        </w:rPr>
        <w:tab/>
        <w:t xml:space="preserve">Question 10 (Table </w:t>
      </w:r>
      <w:r w:rsidRPr="00065E56">
        <w:rPr>
          <w:rFonts w:ascii="Times New Roman" w:hAnsi="Times New Roman" w:cs="Times New Roman"/>
          <w:color w:val="000000" w:themeColor="text1"/>
        </w:rPr>
        <w:t>8</w:t>
      </w:r>
      <w:r w:rsidRPr="00065E56">
        <w:rPr>
          <w:rFonts w:ascii="Times New Roman" w:hAnsi="Times New Roman" w:cs="Times New Roman"/>
        </w:rPr>
        <w:t xml:space="preserve">) consisted of 5 statements and concluded the quantitative anatomical knowledge perception portion of the survey. When asked to evaluate how much their </w:t>
      </w:r>
      <w:r w:rsidRPr="00065E56">
        <w:rPr>
          <w:rFonts w:ascii="Times New Roman" w:hAnsi="Times New Roman" w:cs="Times New Roman"/>
        </w:rPr>
        <w:lastRenderedPageBreak/>
        <w:t xml:space="preserve">undergraduate course contributed to their three-dimensional understanding in Clinical Anatomy, 36% of students selected ‘not very’ or ‘not at all true for me.’ Removing the dental students that had no undergraduate anatomy experience from the calculation dropped the total negative responses to 28%. Total affirmative responses ranged from 32% choosing ‘very true’ to 17% and 15% for ‘fairly’ and ‘somewhat true for me,’ respectively. </w:t>
      </w:r>
    </w:p>
    <w:p w14:paraId="2EC9CFCE" w14:textId="23466F6A" w:rsidR="00731A8D" w:rsidRPr="00065E56" w:rsidRDefault="00731A8D" w:rsidP="00731A8D">
      <w:pPr>
        <w:spacing w:line="480" w:lineRule="auto"/>
        <w:rPr>
          <w:rFonts w:ascii="Times New Roman" w:hAnsi="Times New Roman" w:cs="Times New Roman"/>
        </w:rPr>
      </w:pPr>
      <w:r w:rsidRPr="00065E56">
        <w:rPr>
          <w:rFonts w:ascii="Times New Roman" w:hAnsi="Times New Roman" w:cs="Times New Roman"/>
        </w:rPr>
        <w:tab/>
        <w:t xml:space="preserve">For the PA students, whether or not their undergraduate anatomy experience included cadaveric dissection affected their </w:t>
      </w:r>
      <w:r w:rsidR="00A62390" w:rsidRPr="00065E56">
        <w:rPr>
          <w:rFonts w:ascii="Times New Roman" w:hAnsi="Times New Roman" w:cs="Times New Roman"/>
        </w:rPr>
        <w:t xml:space="preserve">response to how much their undergraduate anatomy course influenced their understanding of three-dimensional anatomy </w:t>
      </w:r>
      <w:r w:rsidR="00514DE5" w:rsidRPr="00065E56">
        <w:rPr>
          <w:rFonts w:ascii="Times New Roman" w:hAnsi="Times New Roman" w:cs="Times New Roman"/>
        </w:rPr>
        <w:t xml:space="preserve">in clinical anatomy </w:t>
      </w:r>
      <w:r w:rsidRPr="00065E56">
        <w:rPr>
          <w:rFonts w:ascii="Times New Roman" w:hAnsi="Times New Roman" w:cs="Times New Roman"/>
        </w:rPr>
        <w:t xml:space="preserve">(Figure </w:t>
      </w:r>
      <w:r w:rsidR="00CC1AAB" w:rsidRPr="00065E56">
        <w:rPr>
          <w:rFonts w:ascii="Times New Roman" w:hAnsi="Times New Roman" w:cs="Times New Roman"/>
        </w:rPr>
        <w:t>9</w:t>
      </w:r>
      <w:r w:rsidRPr="00065E56">
        <w:rPr>
          <w:rFonts w:ascii="Times New Roman" w:hAnsi="Times New Roman" w:cs="Times New Roman"/>
        </w:rPr>
        <w:t xml:space="preserve">). Of the PA student survey participants, 17 of the 20 that responded ‘very’ or ‘fairly true for me’ had previous dissection experience, and none with that experience responded negatively. This result contrasted with the 17 PA students who had undergraduate anatomy without cadaveric dissection: 10 responded negatively, and 4 responded ‘somewhat true for me.’ Only </w:t>
      </w:r>
      <w:r w:rsidR="00CC1AAB" w:rsidRPr="00065E56">
        <w:rPr>
          <w:rFonts w:ascii="Times New Roman" w:hAnsi="Times New Roman" w:cs="Times New Roman"/>
        </w:rPr>
        <w:t xml:space="preserve">three </w:t>
      </w:r>
      <w:r w:rsidRPr="00065E56">
        <w:rPr>
          <w:rFonts w:ascii="Times New Roman" w:hAnsi="Times New Roman" w:cs="Times New Roman"/>
        </w:rPr>
        <w:t xml:space="preserve">respondents without previous cadaveric dissection experience answered ‘very’ or ‘fairly true for me.’ The dental student data, when sorted by previous cadaveric dissection experience, did not show the same inverse relationship. All six </w:t>
      </w:r>
      <w:r w:rsidR="00514DE5" w:rsidRPr="00065E56">
        <w:rPr>
          <w:rFonts w:ascii="Times New Roman" w:hAnsi="Times New Roman" w:cs="Times New Roman"/>
        </w:rPr>
        <w:t xml:space="preserve">of the </w:t>
      </w:r>
      <w:r w:rsidRPr="00065E56">
        <w:rPr>
          <w:rFonts w:ascii="Times New Roman" w:hAnsi="Times New Roman" w:cs="Times New Roman"/>
        </w:rPr>
        <w:t xml:space="preserve">dental student survey participants with no cadaveric dissection experience in their undergraduate anatomy course answered the question in the negative, however. Recall that undergraduate anatomy experience data is found in Appendix F. </w:t>
      </w:r>
    </w:p>
    <w:p w14:paraId="0F35DCD8" w14:textId="77777777" w:rsidR="00731A8D" w:rsidRPr="00065E56" w:rsidRDefault="00731A8D" w:rsidP="00731A8D">
      <w:pPr>
        <w:spacing w:line="480" w:lineRule="auto"/>
        <w:rPr>
          <w:rFonts w:ascii="Times New Roman" w:hAnsi="Times New Roman" w:cs="Times New Roman"/>
        </w:rPr>
      </w:pPr>
      <w:r w:rsidRPr="00065E56">
        <w:rPr>
          <w:rFonts w:ascii="Times New Roman" w:hAnsi="Times New Roman" w:cs="Times New Roman"/>
        </w:rPr>
        <w:tab/>
        <w:t xml:space="preserve">For question 10 (Table 8), the majority (93%) of survey participants indicated that integrating lab and lecture knowledge into activities would have contributed to their learning (statement 2), with 35% and 37% of participants responding with ‘very’ or ‘fairly true for me.’ For statement 3, the negative wording of ‘I’m not sure how well I understand anatomy’ resulted </w:t>
      </w:r>
      <w:r w:rsidRPr="00065E56">
        <w:rPr>
          <w:rFonts w:ascii="Times New Roman" w:hAnsi="Times New Roman" w:cs="Times New Roman"/>
        </w:rPr>
        <w:lastRenderedPageBreak/>
        <w:t xml:space="preserve">in 70% students </w:t>
      </w:r>
      <w:proofErr w:type="gramStart"/>
      <w:r w:rsidRPr="00065E56">
        <w:rPr>
          <w:rFonts w:ascii="Times New Roman" w:hAnsi="Times New Roman" w:cs="Times New Roman"/>
        </w:rPr>
        <w:t>responding</w:t>
      </w:r>
      <w:proofErr w:type="gramEnd"/>
      <w:r w:rsidRPr="00065E56">
        <w:rPr>
          <w:rFonts w:ascii="Times New Roman" w:hAnsi="Times New Roman" w:cs="Times New Roman"/>
        </w:rPr>
        <w:t xml:space="preserve"> ‘not very’ or ‘not at all true for me.’ The last two statements of question 10 asked students to evaluate opportunities for future cadaveric anatomy review.</w:t>
      </w:r>
    </w:p>
    <w:p w14:paraId="2065F721" w14:textId="77777777" w:rsidR="00731A8D" w:rsidRPr="00065E56" w:rsidRDefault="00731A8D" w:rsidP="00731A8D">
      <w:pPr>
        <w:spacing w:line="480" w:lineRule="auto"/>
        <w:rPr>
          <w:rFonts w:ascii="Times New Roman" w:hAnsi="Times New Roman" w:cs="Times New Roman"/>
        </w:rPr>
      </w:pPr>
    </w:p>
    <w:p w14:paraId="02C66A5C" w14:textId="0FBF992A" w:rsidR="00731A8D" w:rsidRPr="00065E56" w:rsidRDefault="00731A8D" w:rsidP="00731A8D">
      <w:pPr>
        <w:spacing w:line="480" w:lineRule="auto"/>
        <w:rPr>
          <w:rFonts w:ascii="Times New Roman" w:hAnsi="Times New Roman" w:cs="Times New Roman"/>
          <w:noProof/>
        </w:rPr>
      </w:pPr>
      <w:r w:rsidRPr="00065E56">
        <w:rPr>
          <w:rFonts w:ascii="Times New Roman" w:hAnsi="Times New Roman" w:cs="Times New Roman"/>
          <w:b/>
          <w:bCs/>
        </w:rPr>
        <w:t xml:space="preserve">Figure </w:t>
      </w:r>
      <w:r w:rsidR="00CC1AAB" w:rsidRPr="00065E56">
        <w:rPr>
          <w:rFonts w:ascii="Times New Roman" w:hAnsi="Times New Roman" w:cs="Times New Roman"/>
          <w:b/>
          <w:bCs/>
        </w:rPr>
        <w:t>9</w:t>
      </w:r>
    </w:p>
    <w:p w14:paraId="10EAF5D6" w14:textId="29FCD79B" w:rsidR="00731A8D" w:rsidRPr="00065E56" w:rsidRDefault="00731A8D" w:rsidP="00731A8D">
      <w:pPr>
        <w:spacing w:line="480" w:lineRule="auto"/>
        <w:rPr>
          <w:rFonts w:ascii="Times New Roman" w:hAnsi="Times New Roman" w:cs="Times New Roman"/>
          <w:b/>
          <w:bCs/>
        </w:rPr>
      </w:pPr>
      <w:r w:rsidRPr="00065E56">
        <w:rPr>
          <w:rFonts w:ascii="Times New Roman" w:hAnsi="Times New Roman" w:cs="Times New Roman"/>
          <w:noProof/>
        </w:rPr>
        <w:drawing>
          <wp:inline distT="0" distB="0" distL="0" distR="0" wp14:anchorId="29962722" wp14:editId="4A39E46C">
            <wp:extent cx="4218940" cy="2326005"/>
            <wp:effectExtent l="0" t="0" r="10160" b="10795"/>
            <wp:docPr id="22" name="Chart 22">
              <a:extLst xmlns:a="http://schemas.openxmlformats.org/drawingml/2006/main">
                <a:ext uri="{FF2B5EF4-FFF2-40B4-BE49-F238E27FC236}">
                  <a16:creationId xmlns:a16="http://schemas.microsoft.com/office/drawing/2014/main" id="{F8850A02-3064-9A40-BF9C-3DE1F7939E0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20E5BEE1" w14:textId="77777777" w:rsidR="00731A8D" w:rsidRPr="00065E56" w:rsidRDefault="00731A8D" w:rsidP="00731A8D">
      <w:pPr>
        <w:rPr>
          <w:rFonts w:ascii="Times New Roman" w:hAnsi="Times New Roman" w:cs="Times New Roman"/>
          <w:sz w:val="20"/>
          <w:szCs w:val="20"/>
        </w:rPr>
      </w:pPr>
      <w:r w:rsidRPr="00065E56">
        <w:rPr>
          <w:rFonts w:ascii="Times New Roman" w:hAnsi="Times New Roman" w:cs="Times New Roman"/>
          <w:i/>
          <w:iCs/>
          <w:sz w:val="20"/>
          <w:szCs w:val="20"/>
        </w:rPr>
        <w:t>Note:</w:t>
      </w:r>
      <w:r w:rsidRPr="00065E56">
        <w:rPr>
          <w:rFonts w:ascii="Times New Roman" w:hAnsi="Times New Roman" w:cs="Times New Roman"/>
          <w:sz w:val="20"/>
          <w:szCs w:val="20"/>
        </w:rPr>
        <w:t xml:space="preserve"> PA students with cadaveric dissection in an undergraduate anatomy course had far more positive responses that PA students without cadaveric dissection in an undergraduate anatomy course.</w:t>
      </w:r>
    </w:p>
    <w:p w14:paraId="28D887B2" w14:textId="77777777" w:rsidR="00731A8D" w:rsidRPr="00065E56" w:rsidRDefault="00731A8D" w:rsidP="00731A8D">
      <w:pPr>
        <w:spacing w:line="480" w:lineRule="auto"/>
        <w:rPr>
          <w:rFonts w:ascii="Times New Roman" w:hAnsi="Times New Roman" w:cs="Times New Roman"/>
        </w:rPr>
      </w:pPr>
      <w:r w:rsidRPr="00065E56">
        <w:rPr>
          <w:rFonts w:ascii="Times New Roman" w:hAnsi="Times New Roman" w:cs="Times New Roman"/>
        </w:rPr>
        <w:t xml:space="preserve"> </w:t>
      </w:r>
    </w:p>
    <w:p w14:paraId="15DA75DC" w14:textId="77777777" w:rsidR="00731A8D" w:rsidRPr="00065E56" w:rsidRDefault="00731A8D" w:rsidP="00731A8D">
      <w:pPr>
        <w:spacing w:line="480" w:lineRule="auto"/>
        <w:rPr>
          <w:rFonts w:ascii="Times New Roman" w:hAnsi="Times New Roman" w:cs="Times New Roman"/>
        </w:rPr>
      </w:pPr>
      <w:r w:rsidRPr="00065E56">
        <w:rPr>
          <w:rFonts w:ascii="Times New Roman" w:hAnsi="Times New Roman" w:cs="Times New Roman"/>
        </w:rPr>
        <w:t xml:space="preserve">Eighty-three percent of students indicated they would like more cadaver review time in future classes, with 64% of participants selecting ‘very’ or ‘fairly true for me.’ Students evaluating statement 5 answered affirmatively; 98% of students felt that reviewing a cadaver in future classes would help them visualize anatomical relationships. Undergraduate anatomy status did not appear to influence student responses to statements 4 or 5. </w:t>
      </w:r>
    </w:p>
    <w:p w14:paraId="7EEB16AB" w14:textId="77777777" w:rsidR="00A851A5" w:rsidRDefault="00731A8D" w:rsidP="00731A8D">
      <w:pPr>
        <w:spacing w:line="480" w:lineRule="auto"/>
        <w:rPr>
          <w:rFonts w:ascii="Times New Roman" w:hAnsi="Times New Roman" w:cs="Times New Roman"/>
        </w:rPr>
      </w:pPr>
      <w:r w:rsidRPr="00065E56">
        <w:rPr>
          <w:rFonts w:ascii="Times New Roman" w:hAnsi="Times New Roman" w:cs="Times New Roman"/>
        </w:rPr>
        <w:tab/>
        <w:t xml:space="preserve">Survey question 11 was an open response box for additional comments. Responses were not required, and 22 students contributed a written comment. The qualitative data summary is displayed in Table 9. Open coding of the 22 written comments identified 4 codes: anatomical relationships lost, cadaver lab benefit, online disadvantage, and students perceive adequate anatomical knowledge. The first three codes collapsed into one theme: a lack of dimensionality </w:t>
      </w:r>
    </w:p>
    <w:p w14:paraId="66D9D4D3" w14:textId="61E08F6C" w:rsidR="00731A8D" w:rsidRPr="00A851A5" w:rsidRDefault="00731A8D" w:rsidP="00731A8D">
      <w:pPr>
        <w:spacing w:line="480" w:lineRule="auto"/>
        <w:rPr>
          <w:rFonts w:ascii="Times New Roman" w:hAnsi="Times New Roman" w:cs="Times New Roman"/>
        </w:rPr>
      </w:pPr>
      <w:r w:rsidRPr="00065E56">
        <w:rPr>
          <w:rFonts w:ascii="Times New Roman" w:hAnsi="Times New Roman" w:cs="Times New Roman"/>
          <w:b/>
          <w:bCs/>
        </w:rPr>
        <w:lastRenderedPageBreak/>
        <w:t>Table 8</w:t>
      </w:r>
    </w:p>
    <w:p w14:paraId="4DC67EBD" w14:textId="77777777" w:rsidR="00731A8D" w:rsidRPr="00065E56" w:rsidRDefault="00695F3E" w:rsidP="00731A8D">
      <w:pPr>
        <w:spacing w:line="480" w:lineRule="auto"/>
        <w:rPr>
          <w:rFonts w:ascii="Times New Roman" w:hAnsi="Times New Roman" w:cs="Times New Roman"/>
        </w:rPr>
      </w:pPr>
      <w:r>
        <w:rPr>
          <w:rFonts w:ascii="Times New Roman" w:eastAsia="Times New Roman" w:hAnsi="Times New Roman" w:cs="Times New Roman"/>
          <w:noProof/>
        </w:rPr>
        <w:object w:dxaOrig="6760" w:dyaOrig="11440" w14:anchorId="25E7B2A7">
          <v:shape id="_x0000_i1033" type="#_x0000_t75" alt="" style="width:337.9pt;height:572.2pt;mso-width-percent:0;mso-height-percent:0;mso-width-percent:0;mso-height-percent:0" o:ole="">
            <v:imagedata r:id="rId23" o:title=""/>
          </v:shape>
          <o:OLEObject Type="Embed" ProgID="Excel.Sheet.12" ShapeID="_x0000_i1033" DrawAspect="Content" ObjectID="_1681813813" r:id="rId24"/>
        </w:object>
      </w:r>
    </w:p>
    <w:p w14:paraId="52F8FB91" w14:textId="77777777" w:rsidR="00731A8D" w:rsidRPr="00065E56" w:rsidRDefault="00731A8D" w:rsidP="00731A8D">
      <w:pPr>
        <w:spacing w:line="480" w:lineRule="auto"/>
        <w:rPr>
          <w:rFonts w:ascii="Times New Roman" w:hAnsi="Times New Roman" w:cs="Times New Roman"/>
        </w:rPr>
      </w:pPr>
      <w:r w:rsidRPr="00065E56">
        <w:rPr>
          <w:rFonts w:ascii="Times New Roman" w:hAnsi="Times New Roman" w:cs="Times New Roman"/>
        </w:rPr>
        <w:lastRenderedPageBreak/>
        <w:t>and context inhibits deep learning. The final code and theme were similar: online clinical anatomy provided an adequate learning experience.</w:t>
      </w:r>
    </w:p>
    <w:p w14:paraId="34D7BA86" w14:textId="77777777" w:rsidR="00731A8D" w:rsidRPr="00065E56" w:rsidRDefault="00731A8D" w:rsidP="00731A8D">
      <w:pPr>
        <w:spacing w:line="480" w:lineRule="auto"/>
        <w:rPr>
          <w:rFonts w:ascii="Times New Roman" w:hAnsi="Times New Roman" w:cs="Times New Roman"/>
        </w:rPr>
      </w:pPr>
      <w:r w:rsidRPr="00065E56">
        <w:rPr>
          <w:rFonts w:ascii="Times New Roman" w:hAnsi="Times New Roman" w:cs="Times New Roman"/>
        </w:rPr>
        <w:tab/>
        <w:t xml:space="preserve">The majority of students contributing comments coded as ‘anatomical relationships lost’ participated in an undergraduate anatomy course. One student </w:t>
      </w:r>
      <w:proofErr w:type="gramStart"/>
      <w:r w:rsidRPr="00065E56">
        <w:rPr>
          <w:rFonts w:ascii="Times New Roman" w:hAnsi="Times New Roman" w:cs="Times New Roman"/>
        </w:rPr>
        <w:t>responded</w:t>
      </w:r>
      <w:proofErr w:type="gramEnd"/>
      <w:r w:rsidRPr="00065E56">
        <w:rPr>
          <w:rFonts w:ascii="Times New Roman" w:hAnsi="Times New Roman" w:cs="Times New Roman"/>
        </w:rPr>
        <w:t xml:space="preserve"> “I’m afraid that I did a ton of memorizing videos and things rather than truly understanding how it all fits together,” while another stated “It was just hard to get the whole picture so many times over the course.” Even though most commenters had taken a previous anatomy course, their statements suggested they struggled with creating a meaningful schema for their learning.</w:t>
      </w:r>
    </w:p>
    <w:p w14:paraId="531B8025" w14:textId="77777777" w:rsidR="00731A8D" w:rsidRPr="00065E56" w:rsidRDefault="00731A8D" w:rsidP="00731A8D">
      <w:pPr>
        <w:spacing w:line="480" w:lineRule="auto"/>
        <w:rPr>
          <w:rFonts w:ascii="Times New Roman" w:hAnsi="Times New Roman" w:cs="Times New Roman"/>
        </w:rPr>
      </w:pPr>
      <w:r w:rsidRPr="00065E56">
        <w:rPr>
          <w:rFonts w:ascii="Times New Roman" w:hAnsi="Times New Roman" w:cs="Times New Roman"/>
        </w:rPr>
        <w:tab/>
        <w:t xml:space="preserve">Twelve students’ comments were coded as ‘cadaver lab benefit,’ meaning cadaver lab was perceived as a helpful tool to learn anatomical relationships. “I firmly believe a cadaver would have helped solidify and really tie everything together” was a typical response, similar to “The cadaver would have helped [me] better understand the anatomy and its relationships.” The majority of responders for this code took an undergraduate anatomy course without dissection and were PA students. </w:t>
      </w:r>
    </w:p>
    <w:p w14:paraId="610FE0A2" w14:textId="77777777" w:rsidR="00731A8D" w:rsidRPr="00065E56" w:rsidRDefault="00731A8D" w:rsidP="00731A8D">
      <w:pPr>
        <w:spacing w:line="480" w:lineRule="auto"/>
        <w:rPr>
          <w:rFonts w:ascii="Times New Roman" w:hAnsi="Times New Roman" w:cs="Times New Roman"/>
        </w:rPr>
      </w:pPr>
      <w:r w:rsidRPr="00065E56">
        <w:rPr>
          <w:rFonts w:ascii="Times New Roman" w:hAnsi="Times New Roman" w:cs="Times New Roman"/>
        </w:rPr>
        <w:tab/>
        <w:t xml:space="preserve">For the code ‘adequate anatomical knowledge,’ all of the respondents had participated in an undergraduate anatomy course. One student linked the sufficiency of online clinical anatomy with an effective use of time: “Online was plenty sufficient. Better time to study vs time it takes to dissect and dissect out fat etc.” Whether or not their undergraduate anatomy course included cadaveric dissection did not influence their comments, and commenters were evenly split between PA and dental students. Two-thirds of the commenters coupled the adequacy of online clinical anatomy with an acknowledgement of the unusual circumstances: “given the situation” and “all things considered” or other qualifying statements were common. These results are in contrast to the students whose comments coded as ‘online disadvantage.’ Students with </w:t>
      </w:r>
      <w:r w:rsidRPr="00065E56">
        <w:rPr>
          <w:rFonts w:ascii="Times New Roman" w:hAnsi="Times New Roman" w:cs="Times New Roman"/>
        </w:rPr>
        <w:lastRenderedPageBreak/>
        <w:t xml:space="preserve">undergraduate anatomy without cadaveric dissection uniformly stated that being online was a disadvantage, as did the commenter with no previous anatomy experience. </w:t>
      </w:r>
    </w:p>
    <w:p w14:paraId="392994D9" w14:textId="77777777" w:rsidR="00731A8D" w:rsidRPr="00065E56" w:rsidRDefault="00731A8D" w:rsidP="00731A8D">
      <w:pPr>
        <w:spacing w:line="480" w:lineRule="auto"/>
        <w:rPr>
          <w:rFonts w:ascii="Times New Roman" w:hAnsi="Times New Roman" w:cs="Times New Roman"/>
        </w:rPr>
      </w:pPr>
      <w:r w:rsidRPr="00065E56">
        <w:rPr>
          <w:rFonts w:ascii="Times New Roman" w:hAnsi="Times New Roman" w:cs="Times New Roman"/>
          <w:b/>
          <w:bCs/>
        </w:rPr>
        <w:t>Table 9</w:t>
      </w:r>
    </w:p>
    <w:p w14:paraId="0B401530" w14:textId="77777777" w:rsidR="00731A8D" w:rsidRPr="00065E56" w:rsidRDefault="00731A8D" w:rsidP="00731A8D">
      <w:pPr>
        <w:spacing w:line="480" w:lineRule="auto"/>
        <w:rPr>
          <w:rFonts w:ascii="Times New Roman" w:hAnsi="Times New Roman" w:cs="Times New Roman"/>
        </w:rPr>
      </w:pPr>
      <w:r w:rsidRPr="00065E56">
        <w:rPr>
          <w:rFonts w:ascii="Times New Roman" w:hAnsi="Times New Roman" w:cs="Times New Roman"/>
        </w:rPr>
        <w:t>Qualitative Data Summary: Codes, Definitions, Samples, and Themes.</w:t>
      </w:r>
    </w:p>
    <w:tbl>
      <w:tblPr>
        <w:tblStyle w:val="TableGrid"/>
        <w:tblW w:w="9485" w:type="dxa"/>
        <w:tblInd w:w="-5" w:type="dxa"/>
        <w:tblLook w:val="04A0" w:firstRow="1" w:lastRow="0" w:firstColumn="1" w:lastColumn="0" w:noHBand="0" w:noVBand="1"/>
      </w:tblPr>
      <w:tblGrid>
        <w:gridCol w:w="2371"/>
        <w:gridCol w:w="2371"/>
        <w:gridCol w:w="2371"/>
        <w:gridCol w:w="2372"/>
      </w:tblGrid>
      <w:tr w:rsidR="00731A8D" w:rsidRPr="00065E56" w14:paraId="6A09EF1C" w14:textId="77777777" w:rsidTr="00731A8D">
        <w:trPr>
          <w:trHeight w:val="422"/>
        </w:trPr>
        <w:tc>
          <w:tcPr>
            <w:tcW w:w="2371" w:type="dxa"/>
            <w:tcBorders>
              <w:top w:val="single" w:sz="4" w:space="0" w:color="auto"/>
              <w:left w:val="single" w:sz="4" w:space="0" w:color="auto"/>
              <w:bottom w:val="single" w:sz="4" w:space="0" w:color="auto"/>
              <w:right w:val="single" w:sz="4" w:space="0" w:color="auto"/>
            </w:tcBorders>
            <w:hideMark/>
          </w:tcPr>
          <w:p w14:paraId="34798970" w14:textId="77777777" w:rsidR="00731A8D" w:rsidRPr="00065E56" w:rsidRDefault="00731A8D">
            <w:pPr>
              <w:rPr>
                <w:rFonts w:ascii="Times New Roman" w:hAnsi="Times New Roman" w:cs="Times New Roman"/>
              </w:rPr>
            </w:pPr>
            <w:r w:rsidRPr="00065E56">
              <w:rPr>
                <w:rFonts w:ascii="Times New Roman" w:hAnsi="Times New Roman" w:cs="Times New Roman"/>
              </w:rPr>
              <w:t xml:space="preserve">Codes </w:t>
            </w:r>
          </w:p>
        </w:tc>
        <w:tc>
          <w:tcPr>
            <w:tcW w:w="2371" w:type="dxa"/>
            <w:tcBorders>
              <w:top w:val="single" w:sz="4" w:space="0" w:color="auto"/>
              <w:left w:val="single" w:sz="4" w:space="0" w:color="auto"/>
              <w:bottom w:val="single" w:sz="4" w:space="0" w:color="auto"/>
              <w:right w:val="single" w:sz="4" w:space="0" w:color="auto"/>
            </w:tcBorders>
          </w:tcPr>
          <w:p w14:paraId="359A4D9A" w14:textId="77777777" w:rsidR="00731A8D" w:rsidRPr="00065E56" w:rsidRDefault="00731A8D">
            <w:pPr>
              <w:rPr>
                <w:rFonts w:ascii="Times New Roman" w:hAnsi="Times New Roman" w:cs="Times New Roman"/>
              </w:rPr>
            </w:pPr>
            <w:r w:rsidRPr="00065E56">
              <w:rPr>
                <w:rFonts w:ascii="Times New Roman" w:hAnsi="Times New Roman" w:cs="Times New Roman"/>
              </w:rPr>
              <w:t xml:space="preserve">Code Definitions </w:t>
            </w:r>
          </w:p>
          <w:p w14:paraId="7B9FE475" w14:textId="77777777" w:rsidR="00731A8D" w:rsidRPr="00065E56" w:rsidRDefault="00731A8D">
            <w:pPr>
              <w:rPr>
                <w:rFonts w:ascii="Times New Roman" w:hAnsi="Times New Roman" w:cs="Times New Roman"/>
              </w:rPr>
            </w:pPr>
          </w:p>
        </w:tc>
        <w:tc>
          <w:tcPr>
            <w:tcW w:w="2371" w:type="dxa"/>
            <w:tcBorders>
              <w:top w:val="single" w:sz="4" w:space="0" w:color="auto"/>
              <w:left w:val="single" w:sz="4" w:space="0" w:color="auto"/>
              <w:bottom w:val="single" w:sz="4" w:space="0" w:color="auto"/>
              <w:right w:val="single" w:sz="4" w:space="0" w:color="auto"/>
            </w:tcBorders>
            <w:hideMark/>
          </w:tcPr>
          <w:p w14:paraId="400C62B3" w14:textId="77777777" w:rsidR="00731A8D" w:rsidRPr="00065E56" w:rsidRDefault="00731A8D">
            <w:pPr>
              <w:rPr>
                <w:rFonts w:ascii="Times New Roman" w:hAnsi="Times New Roman" w:cs="Times New Roman"/>
              </w:rPr>
            </w:pPr>
            <w:r w:rsidRPr="00065E56">
              <w:rPr>
                <w:rFonts w:ascii="Times New Roman" w:hAnsi="Times New Roman" w:cs="Times New Roman"/>
              </w:rPr>
              <w:t xml:space="preserve">Sample Statements </w:t>
            </w:r>
          </w:p>
        </w:tc>
        <w:tc>
          <w:tcPr>
            <w:tcW w:w="2372" w:type="dxa"/>
            <w:tcBorders>
              <w:top w:val="single" w:sz="4" w:space="0" w:color="auto"/>
              <w:left w:val="single" w:sz="4" w:space="0" w:color="auto"/>
              <w:bottom w:val="single" w:sz="4" w:space="0" w:color="auto"/>
              <w:right w:val="single" w:sz="4" w:space="0" w:color="auto"/>
            </w:tcBorders>
            <w:hideMark/>
          </w:tcPr>
          <w:p w14:paraId="36335328" w14:textId="77777777" w:rsidR="00731A8D" w:rsidRPr="00065E56" w:rsidRDefault="00731A8D">
            <w:pPr>
              <w:rPr>
                <w:rFonts w:ascii="Times New Roman" w:hAnsi="Times New Roman" w:cs="Times New Roman"/>
              </w:rPr>
            </w:pPr>
            <w:r w:rsidRPr="00065E56">
              <w:rPr>
                <w:rFonts w:ascii="Times New Roman" w:hAnsi="Times New Roman" w:cs="Times New Roman"/>
              </w:rPr>
              <w:t xml:space="preserve">Themes </w:t>
            </w:r>
          </w:p>
        </w:tc>
      </w:tr>
      <w:tr w:rsidR="00731A8D" w:rsidRPr="00065E56" w14:paraId="330A6D42" w14:textId="77777777" w:rsidTr="00731A8D">
        <w:trPr>
          <w:trHeight w:val="1291"/>
        </w:trPr>
        <w:tc>
          <w:tcPr>
            <w:tcW w:w="2371" w:type="dxa"/>
            <w:tcBorders>
              <w:top w:val="single" w:sz="4" w:space="0" w:color="auto"/>
              <w:left w:val="single" w:sz="4" w:space="0" w:color="auto"/>
              <w:bottom w:val="single" w:sz="4" w:space="0" w:color="auto"/>
              <w:right w:val="single" w:sz="4" w:space="0" w:color="auto"/>
            </w:tcBorders>
            <w:hideMark/>
          </w:tcPr>
          <w:p w14:paraId="1A26ED40" w14:textId="77777777" w:rsidR="00731A8D" w:rsidRPr="00065E56" w:rsidRDefault="00731A8D">
            <w:pPr>
              <w:rPr>
                <w:rFonts w:ascii="Times New Roman" w:hAnsi="Times New Roman" w:cs="Times New Roman"/>
                <w:color w:val="000000" w:themeColor="text1"/>
              </w:rPr>
            </w:pPr>
            <w:r w:rsidRPr="00065E56">
              <w:rPr>
                <w:rFonts w:ascii="Times New Roman" w:hAnsi="Times New Roman" w:cs="Times New Roman"/>
                <w:color w:val="000000" w:themeColor="text1"/>
              </w:rPr>
              <w:t>Anatomical relationships lost</w:t>
            </w:r>
          </w:p>
        </w:tc>
        <w:tc>
          <w:tcPr>
            <w:tcW w:w="2371" w:type="dxa"/>
            <w:tcBorders>
              <w:top w:val="single" w:sz="4" w:space="0" w:color="auto"/>
              <w:left w:val="single" w:sz="4" w:space="0" w:color="auto"/>
              <w:bottom w:val="single" w:sz="4" w:space="0" w:color="auto"/>
              <w:right w:val="single" w:sz="4" w:space="0" w:color="auto"/>
            </w:tcBorders>
            <w:hideMark/>
          </w:tcPr>
          <w:p w14:paraId="62686F30" w14:textId="77777777" w:rsidR="00731A8D" w:rsidRPr="00065E56" w:rsidRDefault="00731A8D">
            <w:pPr>
              <w:rPr>
                <w:rFonts w:ascii="Times New Roman" w:hAnsi="Times New Roman" w:cs="Times New Roman"/>
              </w:rPr>
            </w:pPr>
            <w:r w:rsidRPr="00065E56">
              <w:rPr>
                <w:rFonts w:ascii="Times New Roman" w:hAnsi="Times New Roman" w:cs="Times New Roman"/>
              </w:rPr>
              <w:t>Recognition of the body as integrated system, acknowledgement of the lack of spatial awareness/context, reliance on rote learning as context is lost.</w:t>
            </w:r>
          </w:p>
        </w:tc>
        <w:tc>
          <w:tcPr>
            <w:tcW w:w="2371" w:type="dxa"/>
            <w:tcBorders>
              <w:top w:val="single" w:sz="4" w:space="0" w:color="auto"/>
              <w:left w:val="single" w:sz="4" w:space="0" w:color="auto"/>
              <w:bottom w:val="single" w:sz="4" w:space="0" w:color="auto"/>
              <w:right w:val="single" w:sz="4" w:space="0" w:color="auto"/>
            </w:tcBorders>
            <w:hideMark/>
          </w:tcPr>
          <w:p w14:paraId="5B7E7474" w14:textId="77777777" w:rsidR="00731A8D" w:rsidRPr="00065E56" w:rsidRDefault="00731A8D">
            <w:pPr>
              <w:rPr>
                <w:rFonts w:ascii="Times New Roman" w:hAnsi="Times New Roman" w:cs="Times New Roman"/>
              </w:rPr>
            </w:pPr>
            <w:r w:rsidRPr="00065E56">
              <w:rPr>
                <w:rFonts w:ascii="Times New Roman" w:hAnsi="Times New Roman" w:cs="Times New Roman"/>
              </w:rPr>
              <w:t>I found the online anatomy course to be very difficult in understanding how to connect everything together.</w:t>
            </w:r>
          </w:p>
        </w:tc>
        <w:tc>
          <w:tcPr>
            <w:tcW w:w="2372" w:type="dxa"/>
            <w:tcBorders>
              <w:top w:val="single" w:sz="4" w:space="0" w:color="auto"/>
              <w:left w:val="single" w:sz="4" w:space="0" w:color="auto"/>
              <w:bottom w:val="nil"/>
              <w:right w:val="single" w:sz="4" w:space="0" w:color="auto"/>
            </w:tcBorders>
            <w:hideMark/>
          </w:tcPr>
          <w:p w14:paraId="1D467530" w14:textId="77777777" w:rsidR="00731A8D" w:rsidRPr="00065E56" w:rsidRDefault="00731A8D">
            <w:pPr>
              <w:rPr>
                <w:rFonts w:ascii="Times New Roman" w:hAnsi="Times New Roman" w:cs="Times New Roman"/>
              </w:rPr>
            </w:pPr>
            <w:r w:rsidRPr="00065E56">
              <w:rPr>
                <w:rFonts w:ascii="Times New Roman" w:hAnsi="Times New Roman" w:cs="Times New Roman"/>
              </w:rPr>
              <w:t>Lack of dimensionality and context inhibits deep learning.</w:t>
            </w:r>
          </w:p>
        </w:tc>
      </w:tr>
      <w:tr w:rsidR="00731A8D" w:rsidRPr="00065E56" w14:paraId="2328AB3C" w14:textId="77777777" w:rsidTr="00731A8D">
        <w:trPr>
          <w:trHeight w:val="1074"/>
        </w:trPr>
        <w:tc>
          <w:tcPr>
            <w:tcW w:w="2371" w:type="dxa"/>
            <w:tcBorders>
              <w:top w:val="single" w:sz="4" w:space="0" w:color="auto"/>
              <w:left w:val="single" w:sz="4" w:space="0" w:color="auto"/>
              <w:bottom w:val="single" w:sz="4" w:space="0" w:color="auto"/>
              <w:right w:val="single" w:sz="4" w:space="0" w:color="auto"/>
            </w:tcBorders>
          </w:tcPr>
          <w:p w14:paraId="320E4702" w14:textId="77777777" w:rsidR="00731A8D" w:rsidRPr="00065E56" w:rsidRDefault="00731A8D">
            <w:pPr>
              <w:rPr>
                <w:rFonts w:ascii="Times New Roman" w:hAnsi="Times New Roman" w:cs="Times New Roman"/>
                <w:color w:val="000000" w:themeColor="text1"/>
              </w:rPr>
            </w:pPr>
            <w:r w:rsidRPr="00065E56">
              <w:rPr>
                <w:rFonts w:ascii="Times New Roman" w:hAnsi="Times New Roman" w:cs="Times New Roman"/>
                <w:color w:val="000000" w:themeColor="text1"/>
              </w:rPr>
              <w:t>Cadaver lab benefit</w:t>
            </w:r>
          </w:p>
          <w:p w14:paraId="68C6DCE2" w14:textId="77777777" w:rsidR="00731A8D" w:rsidRPr="00065E56" w:rsidRDefault="00731A8D">
            <w:pPr>
              <w:rPr>
                <w:rFonts w:ascii="Times New Roman" w:hAnsi="Times New Roman" w:cs="Times New Roman"/>
                <w:color w:val="000000" w:themeColor="text1"/>
              </w:rPr>
            </w:pPr>
          </w:p>
        </w:tc>
        <w:tc>
          <w:tcPr>
            <w:tcW w:w="2371" w:type="dxa"/>
            <w:tcBorders>
              <w:top w:val="single" w:sz="4" w:space="0" w:color="auto"/>
              <w:left w:val="single" w:sz="4" w:space="0" w:color="auto"/>
              <w:bottom w:val="single" w:sz="4" w:space="0" w:color="auto"/>
              <w:right w:val="single" w:sz="4" w:space="0" w:color="auto"/>
            </w:tcBorders>
            <w:hideMark/>
          </w:tcPr>
          <w:p w14:paraId="3014BD0B" w14:textId="77777777" w:rsidR="00731A8D" w:rsidRPr="00065E56" w:rsidRDefault="00731A8D">
            <w:pPr>
              <w:rPr>
                <w:rFonts w:ascii="Times New Roman" w:hAnsi="Times New Roman" w:cs="Times New Roman"/>
              </w:rPr>
            </w:pPr>
            <w:r w:rsidRPr="00065E56">
              <w:rPr>
                <w:rFonts w:ascii="Times New Roman" w:hAnsi="Times New Roman" w:cs="Times New Roman"/>
              </w:rPr>
              <w:t>Acknowledgement of the cadaver as important visual and tactical component of learning anatomy, particularly 3D relationships.</w:t>
            </w:r>
          </w:p>
        </w:tc>
        <w:tc>
          <w:tcPr>
            <w:tcW w:w="2371" w:type="dxa"/>
            <w:tcBorders>
              <w:top w:val="single" w:sz="4" w:space="0" w:color="auto"/>
              <w:left w:val="single" w:sz="4" w:space="0" w:color="auto"/>
              <w:bottom w:val="single" w:sz="4" w:space="0" w:color="auto"/>
              <w:right w:val="single" w:sz="4" w:space="0" w:color="auto"/>
            </w:tcBorders>
            <w:hideMark/>
          </w:tcPr>
          <w:p w14:paraId="26A51AE6" w14:textId="77777777" w:rsidR="00731A8D" w:rsidRPr="00065E56" w:rsidRDefault="00731A8D">
            <w:pPr>
              <w:rPr>
                <w:rFonts w:ascii="Times New Roman" w:hAnsi="Times New Roman" w:cs="Times New Roman"/>
              </w:rPr>
            </w:pPr>
            <w:r w:rsidRPr="00065E56">
              <w:rPr>
                <w:rFonts w:ascii="Times New Roman" w:hAnsi="Times New Roman" w:cs="Times New Roman"/>
              </w:rPr>
              <w:t>The cadaver would have helped [me] better understand the anatomy and its relationships.</w:t>
            </w:r>
          </w:p>
        </w:tc>
        <w:tc>
          <w:tcPr>
            <w:tcW w:w="2372" w:type="dxa"/>
            <w:tcBorders>
              <w:top w:val="nil"/>
              <w:left w:val="single" w:sz="4" w:space="0" w:color="auto"/>
              <w:bottom w:val="nil"/>
              <w:right w:val="single" w:sz="4" w:space="0" w:color="auto"/>
            </w:tcBorders>
          </w:tcPr>
          <w:p w14:paraId="2705C378" w14:textId="77777777" w:rsidR="00731A8D" w:rsidRPr="00065E56" w:rsidRDefault="00731A8D">
            <w:pPr>
              <w:rPr>
                <w:rFonts w:ascii="Times New Roman" w:hAnsi="Times New Roman" w:cs="Times New Roman"/>
              </w:rPr>
            </w:pPr>
          </w:p>
        </w:tc>
      </w:tr>
      <w:tr w:rsidR="00731A8D" w:rsidRPr="00065E56" w14:paraId="7F47EC8E" w14:textId="77777777" w:rsidTr="00731A8D">
        <w:trPr>
          <w:trHeight w:val="867"/>
        </w:trPr>
        <w:tc>
          <w:tcPr>
            <w:tcW w:w="2371" w:type="dxa"/>
            <w:tcBorders>
              <w:top w:val="single" w:sz="4" w:space="0" w:color="auto"/>
              <w:left w:val="single" w:sz="4" w:space="0" w:color="auto"/>
              <w:bottom w:val="single" w:sz="4" w:space="0" w:color="auto"/>
              <w:right w:val="single" w:sz="4" w:space="0" w:color="auto"/>
            </w:tcBorders>
          </w:tcPr>
          <w:p w14:paraId="6A3DF210" w14:textId="77777777" w:rsidR="00731A8D" w:rsidRPr="00065E56" w:rsidRDefault="00731A8D">
            <w:pPr>
              <w:rPr>
                <w:rFonts w:ascii="Times New Roman" w:hAnsi="Times New Roman" w:cs="Times New Roman"/>
                <w:color w:val="000000" w:themeColor="text1"/>
              </w:rPr>
            </w:pPr>
            <w:r w:rsidRPr="00065E56">
              <w:rPr>
                <w:rFonts w:ascii="Times New Roman" w:hAnsi="Times New Roman" w:cs="Times New Roman"/>
                <w:color w:val="000000" w:themeColor="text1"/>
              </w:rPr>
              <w:t>Online disadvantage</w:t>
            </w:r>
          </w:p>
          <w:p w14:paraId="657C44C6" w14:textId="77777777" w:rsidR="00731A8D" w:rsidRPr="00065E56" w:rsidRDefault="00731A8D">
            <w:pPr>
              <w:rPr>
                <w:rFonts w:ascii="Times New Roman" w:hAnsi="Times New Roman" w:cs="Times New Roman"/>
                <w:color w:val="000000" w:themeColor="text1"/>
              </w:rPr>
            </w:pPr>
          </w:p>
        </w:tc>
        <w:tc>
          <w:tcPr>
            <w:tcW w:w="2371" w:type="dxa"/>
            <w:tcBorders>
              <w:top w:val="single" w:sz="4" w:space="0" w:color="auto"/>
              <w:left w:val="single" w:sz="4" w:space="0" w:color="auto"/>
              <w:bottom w:val="single" w:sz="4" w:space="0" w:color="auto"/>
              <w:right w:val="single" w:sz="4" w:space="0" w:color="auto"/>
            </w:tcBorders>
            <w:hideMark/>
          </w:tcPr>
          <w:p w14:paraId="6B674E86" w14:textId="77777777" w:rsidR="00731A8D" w:rsidRPr="00065E56" w:rsidRDefault="00731A8D">
            <w:pPr>
              <w:rPr>
                <w:rFonts w:ascii="Times New Roman" w:hAnsi="Times New Roman" w:cs="Times New Roman"/>
              </w:rPr>
            </w:pPr>
            <w:r w:rsidRPr="00065E56">
              <w:rPr>
                <w:rFonts w:ascii="Times New Roman" w:hAnsi="Times New Roman" w:cs="Times New Roman"/>
              </w:rPr>
              <w:t>Perception of being online as a barrier to deep learning, lack of 3-dimensionality hindered context, retention.</w:t>
            </w:r>
          </w:p>
        </w:tc>
        <w:tc>
          <w:tcPr>
            <w:tcW w:w="2371" w:type="dxa"/>
            <w:tcBorders>
              <w:top w:val="single" w:sz="4" w:space="0" w:color="auto"/>
              <w:left w:val="single" w:sz="4" w:space="0" w:color="auto"/>
              <w:bottom w:val="single" w:sz="4" w:space="0" w:color="auto"/>
              <w:right w:val="single" w:sz="4" w:space="0" w:color="auto"/>
            </w:tcBorders>
            <w:hideMark/>
          </w:tcPr>
          <w:p w14:paraId="753C4869" w14:textId="77777777" w:rsidR="00731A8D" w:rsidRPr="00065E56" w:rsidRDefault="00731A8D">
            <w:pPr>
              <w:rPr>
                <w:rFonts w:ascii="Times New Roman" w:hAnsi="Times New Roman" w:cs="Times New Roman"/>
              </w:rPr>
            </w:pPr>
            <w:r w:rsidRPr="00065E56">
              <w:rPr>
                <w:rFonts w:ascii="Times New Roman" w:hAnsi="Times New Roman" w:cs="Times New Roman"/>
              </w:rPr>
              <w:t>[T]his course presented online hindered my ability to grasp the subject well.</w:t>
            </w:r>
          </w:p>
        </w:tc>
        <w:tc>
          <w:tcPr>
            <w:tcW w:w="2372" w:type="dxa"/>
            <w:tcBorders>
              <w:top w:val="nil"/>
              <w:left w:val="single" w:sz="4" w:space="0" w:color="auto"/>
              <w:bottom w:val="single" w:sz="4" w:space="0" w:color="auto"/>
              <w:right w:val="single" w:sz="4" w:space="0" w:color="auto"/>
            </w:tcBorders>
          </w:tcPr>
          <w:p w14:paraId="24B2ED57" w14:textId="77777777" w:rsidR="00731A8D" w:rsidRPr="00065E56" w:rsidRDefault="00731A8D">
            <w:pPr>
              <w:rPr>
                <w:rFonts w:ascii="Times New Roman" w:hAnsi="Times New Roman" w:cs="Times New Roman"/>
              </w:rPr>
            </w:pPr>
          </w:p>
        </w:tc>
      </w:tr>
      <w:tr w:rsidR="00731A8D" w:rsidRPr="00065E56" w14:paraId="29C99AC9" w14:textId="77777777" w:rsidTr="00731A8D">
        <w:trPr>
          <w:trHeight w:val="639"/>
        </w:trPr>
        <w:tc>
          <w:tcPr>
            <w:tcW w:w="2371" w:type="dxa"/>
            <w:tcBorders>
              <w:top w:val="single" w:sz="4" w:space="0" w:color="auto"/>
              <w:left w:val="single" w:sz="4" w:space="0" w:color="auto"/>
              <w:bottom w:val="single" w:sz="4" w:space="0" w:color="auto"/>
              <w:right w:val="single" w:sz="4" w:space="0" w:color="auto"/>
            </w:tcBorders>
            <w:hideMark/>
          </w:tcPr>
          <w:p w14:paraId="054B0E82" w14:textId="77777777" w:rsidR="00731A8D" w:rsidRPr="00065E56" w:rsidRDefault="00731A8D">
            <w:pPr>
              <w:rPr>
                <w:rFonts w:ascii="Times New Roman" w:hAnsi="Times New Roman" w:cs="Times New Roman"/>
                <w:color w:val="000000" w:themeColor="text1"/>
              </w:rPr>
            </w:pPr>
            <w:r w:rsidRPr="00065E56">
              <w:rPr>
                <w:rFonts w:ascii="Times New Roman" w:hAnsi="Times New Roman" w:cs="Times New Roman"/>
                <w:color w:val="000000" w:themeColor="text1"/>
              </w:rPr>
              <w:t>Students perceive adequate anatomical knowledge</w:t>
            </w:r>
          </w:p>
        </w:tc>
        <w:tc>
          <w:tcPr>
            <w:tcW w:w="2371" w:type="dxa"/>
            <w:tcBorders>
              <w:top w:val="single" w:sz="4" w:space="0" w:color="auto"/>
              <w:left w:val="single" w:sz="4" w:space="0" w:color="auto"/>
              <w:bottom w:val="single" w:sz="4" w:space="0" w:color="auto"/>
              <w:right w:val="single" w:sz="4" w:space="0" w:color="auto"/>
            </w:tcBorders>
            <w:hideMark/>
          </w:tcPr>
          <w:p w14:paraId="2B783BB6" w14:textId="77777777" w:rsidR="00731A8D" w:rsidRPr="00065E56" w:rsidRDefault="00731A8D">
            <w:pPr>
              <w:rPr>
                <w:rFonts w:ascii="Times New Roman" w:hAnsi="Times New Roman" w:cs="Times New Roman"/>
              </w:rPr>
            </w:pPr>
            <w:r w:rsidRPr="00065E56">
              <w:rPr>
                <w:rFonts w:ascii="Times New Roman" w:hAnsi="Times New Roman" w:cs="Times New Roman"/>
              </w:rPr>
              <w:t>Perception of sufficiency of knowledge even with unexpected delivery method.</w:t>
            </w:r>
          </w:p>
        </w:tc>
        <w:tc>
          <w:tcPr>
            <w:tcW w:w="2371" w:type="dxa"/>
            <w:tcBorders>
              <w:top w:val="single" w:sz="4" w:space="0" w:color="auto"/>
              <w:left w:val="single" w:sz="4" w:space="0" w:color="auto"/>
              <w:bottom w:val="single" w:sz="4" w:space="0" w:color="auto"/>
              <w:right w:val="single" w:sz="4" w:space="0" w:color="auto"/>
            </w:tcBorders>
            <w:hideMark/>
          </w:tcPr>
          <w:p w14:paraId="3E978E95" w14:textId="77777777" w:rsidR="00731A8D" w:rsidRPr="00065E56" w:rsidRDefault="00731A8D">
            <w:pPr>
              <w:rPr>
                <w:rFonts w:ascii="Times New Roman" w:hAnsi="Times New Roman" w:cs="Times New Roman"/>
              </w:rPr>
            </w:pPr>
            <w:r w:rsidRPr="00065E56">
              <w:rPr>
                <w:rFonts w:ascii="Times New Roman" w:hAnsi="Times New Roman" w:cs="Times New Roman"/>
              </w:rPr>
              <w:t>I think my experience was good and sufficient for moving forward to my other courses.</w:t>
            </w:r>
          </w:p>
        </w:tc>
        <w:tc>
          <w:tcPr>
            <w:tcW w:w="2372" w:type="dxa"/>
            <w:tcBorders>
              <w:top w:val="single" w:sz="4" w:space="0" w:color="auto"/>
              <w:left w:val="single" w:sz="4" w:space="0" w:color="auto"/>
              <w:bottom w:val="single" w:sz="4" w:space="0" w:color="auto"/>
              <w:right w:val="single" w:sz="4" w:space="0" w:color="auto"/>
            </w:tcBorders>
            <w:hideMark/>
          </w:tcPr>
          <w:p w14:paraId="5745BF52" w14:textId="77777777" w:rsidR="00731A8D" w:rsidRPr="00065E56" w:rsidRDefault="00731A8D">
            <w:pPr>
              <w:rPr>
                <w:rFonts w:ascii="Times New Roman" w:hAnsi="Times New Roman" w:cs="Times New Roman"/>
              </w:rPr>
            </w:pPr>
            <w:r w:rsidRPr="00065E56">
              <w:rPr>
                <w:rFonts w:ascii="Times New Roman" w:hAnsi="Times New Roman" w:cs="Times New Roman"/>
              </w:rPr>
              <w:t>Online clinical anatomy provided an adequate learning experience.</w:t>
            </w:r>
          </w:p>
        </w:tc>
      </w:tr>
    </w:tbl>
    <w:p w14:paraId="3643DD5F" w14:textId="77777777" w:rsidR="00731A8D" w:rsidRPr="00065E56" w:rsidRDefault="00731A8D" w:rsidP="00731A8D">
      <w:pPr>
        <w:spacing w:line="480" w:lineRule="auto"/>
        <w:rPr>
          <w:rFonts w:ascii="Times New Roman" w:eastAsia="Times New Roman" w:hAnsi="Times New Roman" w:cs="Times New Roman"/>
          <w:b/>
          <w:bCs/>
          <w:i/>
          <w:iCs/>
        </w:rPr>
      </w:pPr>
    </w:p>
    <w:p w14:paraId="649062DF" w14:textId="77777777" w:rsidR="00731A8D" w:rsidRPr="00065E56" w:rsidRDefault="00731A8D" w:rsidP="00731A8D">
      <w:pPr>
        <w:spacing w:line="480" w:lineRule="auto"/>
        <w:rPr>
          <w:rFonts w:ascii="Times New Roman" w:hAnsi="Times New Roman" w:cs="Times New Roman"/>
          <w:b/>
          <w:bCs/>
          <w:i/>
          <w:iCs/>
        </w:rPr>
      </w:pPr>
      <w:r w:rsidRPr="00065E56">
        <w:rPr>
          <w:rFonts w:ascii="Times New Roman" w:hAnsi="Times New Roman" w:cs="Times New Roman"/>
          <w:b/>
          <w:bCs/>
          <w:i/>
          <w:iCs/>
        </w:rPr>
        <w:t>Analysis</w:t>
      </w:r>
    </w:p>
    <w:p w14:paraId="122DEB4B" w14:textId="77777777" w:rsidR="00731A8D" w:rsidRPr="00065E56" w:rsidRDefault="00731A8D" w:rsidP="00731A8D">
      <w:pPr>
        <w:spacing w:line="480" w:lineRule="auto"/>
        <w:rPr>
          <w:rFonts w:ascii="Times New Roman" w:hAnsi="Times New Roman" w:cs="Times New Roman"/>
          <w:b/>
          <w:bCs/>
        </w:rPr>
      </w:pPr>
      <w:r w:rsidRPr="00065E56">
        <w:rPr>
          <w:rFonts w:ascii="Times New Roman" w:hAnsi="Times New Roman" w:cs="Times New Roman"/>
        </w:rPr>
        <w:tab/>
      </w:r>
      <w:r w:rsidRPr="00065E56">
        <w:rPr>
          <w:rFonts w:ascii="Times New Roman" w:hAnsi="Times New Roman" w:cs="Times New Roman"/>
          <w:b/>
          <w:bCs/>
        </w:rPr>
        <w:t>Academic Outcomes.</w:t>
      </w:r>
    </w:p>
    <w:p w14:paraId="06A84D67" w14:textId="77777777" w:rsidR="00731A8D" w:rsidRPr="00065E56" w:rsidRDefault="00731A8D" w:rsidP="00731A8D">
      <w:pPr>
        <w:spacing w:line="480" w:lineRule="auto"/>
        <w:rPr>
          <w:rFonts w:ascii="Times New Roman" w:hAnsi="Times New Roman" w:cs="Times New Roman"/>
        </w:rPr>
      </w:pPr>
      <w:r w:rsidRPr="00065E56">
        <w:rPr>
          <w:rFonts w:ascii="Times New Roman" w:hAnsi="Times New Roman" w:cs="Times New Roman"/>
        </w:rPr>
        <w:tab/>
      </w:r>
      <w:r w:rsidRPr="00065E56">
        <w:rPr>
          <w:rFonts w:ascii="Times New Roman" w:hAnsi="Times New Roman" w:cs="Times New Roman"/>
        </w:rPr>
        <w:tab/>
      </w:r>
      <w:r w:rsidRPr="00065E56">
        <w:rPr>
          <w:rFonts w:ascii="Times New Roman" w:hAnsi="Times New Roman" w:cs="Times New Roman"/>
          <w:b/>
          <w:bCs/>
          <w:i/>
          <w:iCs/>
        </w:rPr>
        <w:t xml:space="preserve">Summative. </w:t>
      </w:r>
      <w:r w:rsidRPr="00065E56">
        <w:rPr>
          <w:rFonts w:ascii="Times New Roman" w:hAnsi="Times New Roman" w:cs="Times New Roman"/>
        </w:rPr>
        <w:t xml:space="preserve">The means of the students’ scores of all assessment items were significantly higher for remote learners than for F2F learners. This is consistent with the body of </w:t>
      </w:r>
      <w:r w:rsidRPr="00065E56">
        <w:rPr>
          <w:rFonts w:ascii="Times New Roman" w:hAnsi="Times New Roman" w:cs="Times New Roman"/>
        </w:rPr>
        <w:lastRenderedPageBreak/>
        <w:t xml:space="preserve">evidence within education generally supporting online pedagogy as an equitable alternative to face-to-face pedagogy </w:t>
      </w:r>
      <w:r w:rsidRPr="00065E56">
        <w:rPr>
          <w:rFonts w:ascii="Times New Roman" w:hAnsi="Times New Roman" w:cs="Times New Roman"/>
        </w:rPr>
        <w:fldChar w:fldCharType="begin"/>
      </w:r>
      <w:r w:rsidRPr="00065E56">
        <w:rPr>
          <w:rFonts w:ascii="Times New Roman" w:hAnsi="Times New Roman" w:cs="Times New Roman"/>
        </w:rPr>
        <w:instrText xml:space="preserve"> ADDIN ZOTERO_ITEM CSL_CITATION {"citationID":"Gi5jgB9U","properties":{"formattedCitation":"(Moore &amp; Diehl, William C., n.d.)","plainCitation":"(Moore &amp; Diehl, William C., n.d.)","dontUpdate":true,"noteIndex":0},"citationItems":[{"id":138,"uris":["http://zotero.org/users/local/8fpcHUeo/items/3JDA36LL"],"uri":["http://zotero.org/users/local/8fpcHUeo/items/3JDA36LL"],"itemData":{"id":138,"type":"book","edition":"Fourth","ISBN":"978-1-138-23900-5","publisher":"Routledge","title":"Handbook of Distance Education","author":[{"family":"Moore","given":"Michael G."},{"family":"Diehl, William C.","given":""}]}}],"schema":"https://github.com/citation-style-language/schema/raw/master/csl-citation.json"} </w:instrText>
      </w:r>
      <w:r w:rsidRPr="00065E56">
        <w:rPr>
          <w:rFonts w:ascii="Times New Roman" w:hAnsi="Times New Roman" w:cs="Times New Roman"/>
        </w:rPr>
        <w:fldChar w:fldCharType="separate"/>
      </w:r>
      <w:r w:rsidRPr="00065E56">
        <w:rPr>
          <w:rFonts w:ascii="Times New Roman" w:hAnsi="Times New Roman" w:cs="Times New Roman"/>
          <w:noProof/>
        </w:rPr>
        <w:t>(Moore &amp; Diehl, 2019)</w:t>
      </w:r>
      <w:r w:rsidRPr="00065E56">
        <w:rPr>
          <w:rFonts w:ascii="Times New Roman" w:hAnsi="Times New Roman" w:cs="Times New Roman"/>
        </w:rPr>
        <w:fldChar w:fldCharType="end"/>
      </w:r>
      <w:r w:rsidRPr="00065E56">
        <w:rPr>
          <w:rFonts w:ascii="Times New Roman" w:hAnsi="Times New Roman" w:cs="Times New Roman"/>
        </w:rPr>
        <w:t xml:space="preserve">. Admittedly, the lecture portion of the course changed very little by switching to remote delivery, so it could be argued that summative performance should not have changed, either. The concern (and impetus for the study) lay in that the laboratory is the foundation of formative learning. For Clinical Anatomy, formative learning in a laboratory adds context and authenticity to summative learning as well as low-stakes knowledge evaluation opportunities. It was unknown if significantly altering the delivery method of laboratory content from live small-group facilitation and dissection to remote large-group facilitation and dissection videos would affect students’ ability to learn the formative material. </w:t>
      </w:r>
    </w:p>
    <w:p w14:paraId="01AE21E4" w14:textId="77777777" w:rsidR="00731A8D" w:rsidRPr="00065E56" w:rsidRDefault="00731A8D" w:rsidP="00731A8D">
      <w:pPr>
        <w:spacing w:line="480" w:lineRule="auto"/>
        <w:rPr>
          <w:rFonts w:ascii="Times New Roman" w:hAnsi="Times New Roman" w:cs="Times New Roman"/>
        </w:rPr>
      </w:pPr>
      <w:r w:rsidRPr="00065E56">
        <w:rPr>
          <w:rFonts w:ascii="Times New Roman" w:hAnsi="Times New Roman" w:cs="Times New Roman"/>
        </w:rPr>
        <w:tab/>
        <w:t xml:space="preserve">PA students’ summative means were significantly higher for the 2020 remote cohort than the 2019 F2F cohort, also. In fact, the significance of the overall results is largely due to the PA students’ performance. Dental students also performed better in 2020, but the difference was not significant. One student commented in the survey that (s)he had more time to study due to not having to dissect, and this is a possible explanation for the improved performance in 2020. As noted in chapter 2, time was a rarely controlled variable in studies assessing online learning, and this study is no exception. Another possible explanation is that the groups might have been inherently different despite similarities in demography and undergraduate performance. </w:t>
      </w:r>
    </w:p>
    <w:p w14:paraId="1056E785" w14:textId="77777777" w:rsidR="00731A8D" w:rsidRPr="00065E56" w:rsidRDefault="00731A8D" w:rsidP="00731A8D">
      <w:pPr>
        <w:spacing w:line="480" w:lineRule="auto"/>
        <w:rPr>
          <w:rFonts w:ascii="Times New Roman" w:hAnsi="Times New Roman" w:cs="Times New Roman"/>
        </w:rPr>
      </w:pPr>
      <w:r w:rsidRPr="00065E56">
        <w:rPr>
          <w:rFonts w:ascii="Times New Roman" w:hAnsi="Times New Roman" w:cs="Times New Roman"/>
        </w:rPr>
        <w:tab/>
        <w:t xml:space="preserve">As for the Bloom’s Taxonomy levels, both low and high assessment items performed better in 2020 than in 2019 but failed to reach significance. Researchers also collapsed the years together and looked at the differences in means between high and low Bloom’s level assessment items. While not a comparison of remote versus F2F learning, the differences were significant, indicating the low Bloom’s level questions were answered correctly more than the high Bloom’s level questions were. These results supported that the classification of questions according to the </w:t>
      </w:r>
      <w:r w:rsidRPr="00065E56">
        <w:rPr>
          <w:rFonts w:ascii="Times New Roman" w:hAnsi="Times New Roman" w:cs="Times New Roman"/>
        </w:rPr>
        <w:lastRenderedPageBreak/>
        <w:t xml:space="preserve">Blooming Anatomy Tool </w:t>
      </w:r>
      <w:r w:rsidRPr="00065E56">
        <w:rPr>
          <w:rFonts w:ascii="Times New Roman" w:hAnsi="Times New Roman" w:cs="Times New Roman"/>
        </w:rPr>
        <w:fldChar w:fldCharType="begin"/>
      </w:r>
      <w:r w:rsidRPr="00065E56">
        <w:rPr>
          <w:rFonts w:ascii="Times New Roman" w:hAnsi="Times New Roman" w:cs="Times New Roman"/>
        </w:rPr>
        <w:instrText xml:space="preserve"> ADDIN ZOTERO_ITEM CSL_CITATION {"citationID":"JkCr3qHp","properties":{"formattedCitation":"(Thompson &amp; O\\uc0\\u8217{}Loughlin, 2015)","plainCitation":"(Thompson &amp; O’Loughlin, 2015)","noteIndex":0},"citationItems":[{"id":154,"uris":["http://zotero.org/users/local/8fpcHUeo/items/HIGKAVXD"],"uri":["http://zotero.org/users/local/8fpcHUeo/items/HIGKAVXD"],"itemData":{"id":154,"type":"article-journal","abstract":"Bloom's taxonomy is a resource commonly used to assess the cognitive level associated with course assignments and examination questions. Although widely utilized in educational research, Bloom's taxonomy has received limited attention as an analytical tool in the anatomical sciences. Building on previous research, the Blooming Anatomy Tool (BAT) was developed. This rubric provides discipline‐speciﬁc guidelines to Blooming anatomy multiple‐choice questions (MCQs). To test the eﬃcacy of the BAT, a group of volunteers were randomly split up and asked to Bloom a series of anatomy MCQs using either the BAT or a traditional Bloom's reference called Bloom's Learning Objectives (BLO). Both groups utilized each rubric for a diﬀerent series of MCQs. Examination question categorizations made using each rubric were tested for accuracy and interrater reliability. In addition, previous experience in anatomy and Bloom's taxonomy were considered. Results demonstrated that volunteers using the BAT had consistently higher levels of interrater reliability, but accuracy varied and was similar between rubrics. Neither measure was substantially impacted by experience in Bloom's taxonomy or anatomy. A poststudy survey indicated that volunteers strongly preferred the BAT and felt it was more helpful in categorizing anatomy MCQs than the BLO. These results suggest that the BAT can be useful in educational research in the anatomical sciences to aid in aligning observer judgment on Bloom taxonomic levels and improve consistency, especially when used in conjunction with a norming session prior to data collection. Anat Sci Educ 8: 493–501. © 2014 American Association of Anatomists.","container-title":"Anatomical Sciences Education","DOI":"10.1002/ase.1507","ISSN":"19359772","issue":"6","journalAbbreviation":"American Association of Anatomists","language":"en","page":"493-501","source":"DOI.org (Crossref)","title":"The Blooming Anatomy Tool (BAT): A discipline-specific rubric for utilizing Bloom's taxonomy in the design and evaluation of assessments in the anatomical sciences: Blooming Anatomy Tool for Evaluating MCQs","title-short":"The Blooming Anatomy Tool (BAT)","volume":"8","author":[{"family":"Thompson","given":"Andrew R."},{"family":"O'Loughlin","given":"Valerie D."}],"issued":{"date-parts":[["2015",11,12]]}}}],"schema":"https://github.com/citation-style-language/schema/raw/master/csl-citation.json"} </w:instrText>
      </w:r>
      <w:r w:rsidRPr="00065E56">
        <w:rPr>
          <w:rFonts w:ascii="Times New Roman" w:hAnsi="Times New Roman" w:cs="Times New Roman"/>
        </w:rPr>
        <w:fldChar w:fldCharType="separate"/>
      </w:r>
      <w:r w:rsidRPr="00065E56">
        <w:rPr>
          <w:rFonts w:ascii="Times New Roman" w:hAnsi="Times New Roman" w:cs="Times New Roman"/>
        </w:rPr>
        <w:t>(Thompson &amp; O’Loughlin, 2015)</w:t>
      </w:r>
      <w:r w:rsidRPr="00065E56">
        <w:rPr>
          <w:rFonts w:ascii="Times New Roman" w:hAnsi="Times New Roman" w:cs="Times New Roman"/>
        </w:rPr>
        <w:fldChar w:fldCharType="end"/>
      </w:r>
      <w:r w:rsidRPr="00065E56">
        <w:rPr>
          <w:rFonts w:ascii="Times New Roman" w:hAnsi="Times New Roman" w:cs="Times New Roman"/>
        </w:rPr>
        <w:t xml:space="preserve"> did properly discriminate between levels. </w:t>
      </w:r>
    </w:p>
    <w:p w14:paraId="70FC9BED" w14:textId="0319EE77" w:rsidR="00731A8D" w:rsidRPr="00065E56" w:rsidRDefault="00731A8D" w:rsidP="00731A8D">
      <w:pPr>
        <w:spacing w:line="480" w:lineRule="auto"/>
        <w:rPr>
          <w:rFonts w:ascii="Times New Roman" w:hAnsi="Times New Roman" w:cs="Times New Roman"/>
        </w:rPr>
      </w:pPr>
      <w:r w:rsidRPr="00065E56">
        <w:rPr>
          <w:rFonts w:ascii="Times New Roman" w:hAnsi="Times New Roman" w:cs="Times New Roman"/>
        </w:rPr>
        <w:tab/>
      </w:r>
      <w:r w:rsidRPr="00065E56">
        <w:rPr>
          <w:rFonts w:ascii="Times New Roman" w:hAnsi="Times New Roman" w:cs="Times New Roman"/>
          <w:b/>
          <w:bCs/>
          <w:i/>
          <w:iCs/>
        </w:rPr>
        <w:t xml:space="preserve">Formative. </w:t>
      </w:r>
      <w:r w:rsidRPr="00065E56">
        <w:rPr>
          <w:rFonts w:ascii="Times New Roman" w:hAnsi="Times New Roman" w:cs="Times New Roman"/>
        </w:rPr>
        <w:t xml:space="preserve">Students in the 2019 F2F cohort performed better in weeks one and five, corresponding to the lower limb &amp; shoulder, and thoracic &amp; abdominal cavity content. The 2020 remote cohort outperformed the 2019 F2F cohort in weeks two (upper limb), three &amp; four (head &amp; neck), and six (abdominopelvic cavity &amp; perineum). The overall significance of weeks three and five depended upon either PA or dental students as only one program had significant results. The week 1 results could indicate a steep learning curve for students beginning a remote Clinical Anatomy course. Students in the remote cohort had to navigate a completely online system of daily video call links and identification numbers, breakout rooms, online proctoring software, learner management system software, and transactional distance inherent to online learning. The volume of technological changes may have been a larger cognitive load than anticipated and may indicate more support is necessary for students in the beginning of a fully remote/online course. By week 2, the remote cohort differences in means were consistently higher and remained so other than for week 5. Possibly this is due to the previously mentioned suggestion that not dissecting allowed for more study time. Because 2019 was a historical control, it is also possible that the 2020 formative exams were easier in spite of the care taken to follow the same test blueprint. When reviewing the formative exams collectively, the 2020 remote cohort outperformed the 2019 F2F cohort twice as often. </w:t>
      </w:r>
    </w:p>
    <w:p w14:paraId="25F6D64D" w14:textId="0C6F6187" w:rsidR="00731A8D" w:rsidRPr="00065E56" w:rsidRDefault="00731A8D" w:rsidP="00731A8D">
      <w:pPr>
        <w:spacing w:line="480" w:lineRule="auto"/>
        <w:rPr>
          <w:rFonts w:ascii="Times New Roman" w:hAnsi="Times New Roman" w:cs="Times New Roman"/>
        </w:rPr>
      </w:pPr>
      <w:r w:rsidRPr="00065E56">
        <w:rPr>
          <w:rFonts w:ascii="Times New Roman" w:hAnsi="Times New Roman" w:cs="Times New Roman"/>
        </w:rPr>
        <w:tab/>
      </w:r>
      <w:r w:rsidRPr="00065E56">
        <w:rPr>
          <w:rFonts w:ascii="Times New Roman" w:hAnsi="Times New Roman" w:cs="Times New Roman"/>
          <w:b/>
          <w:bCs/>
        </w:rPr>
        <w:t xml:space="preserve">Clinical Anatomy Online Learning Survey. </w:t>
      </w:r>
      <w:r w:rsidRPr="00065E56">
        <w:rPr>
          <w:rFonts w:ascii="Times New Roman" w:hAnsi="Times New Roman" w:cs="Times New Roman"/>
        </w:rPr>
        <w:t xml:space="preserve">Survey statements were grouped by domain for analysis. There were four statements categorized in the cognitive domain, eight in the psychomotor domain, and four in the affective domain. All percentages are for the total number of students unless otherwise specified. Cognitive domain response totals are found in </w:t>
      </w:r>
      <w:r w:rsidR="00CC1AAB" w:rsidRPr="00065E56">
        <w:rPr>
          <w:rFonts w:ascii="Times New Roman" w:hAnsi="Times New Roman" w:cs="Times New Roman"/>
        </w:rPr>
        <w:t>Figure 10</w:t>
      </w:r>
      <w:r w:rsidRPr="00065E56">
        <w:rPr>
          <w:rFonts w:ascii="Times New Roman" w:hAnsi="Times New Roman" w:cs="Times New Roman"/>
        </w:rPr>
        <w:t>.</w:t>
      </w:r>
    </w:p>
    <w:p w14:paraId="0987FD8D" w14:textId="77777777" w:rsidR="00731A8D" w:rsidRPr="00065E56" w:rsidRDefault="00731A8D" w:rsidP="00731A8D">
      <w:pPr>
        <w:spacing w:line="480" w:lineRule="auto"/>
        <w:rPr>
          <w:rFonts w:ascii="Times New Roman" w:hAnsi="Times New Roman" w:cs="Times New Roman"/>
          <w:b/>
          <w:bCs/>
        </w:rPr>
      </w:pPr>
      <w:r w:rsidRPr="00065E56">
        <w:rPr>
          <w:rFonts w:ascii="Times New Roman" w:hAnsi="Times New Roman" w:cs="Times New Roman"/>
          <w:b/>
          <w:bCs/>
        </w:rPr>
        <w:lastRenderedPageBreak/>
        <w:tab/>
      </w:r>
      <w:r w:rsidRPr="00065E56">
        <w:rPr>
          <w:rFonts w:ascii="Times New Roman" w:hAnsi="Times New Roman" w:cs="Times New Roman"/>
        </w:rPr>
        <w:t>With the cognitive domain statements grouped together, the general positivity of student perceptions becomes clear. The first two statements refer to students’ anatomical knowledge specifically and exceed 70% agreement when collapsing ‘very’ and ‘fairly true for me.’ Including ‘somewhat true for me,’ a statement intended to be ambivalent but may have been interpreted as weakly positive, and agreement exceeds 90%. Regarding undergraduate cadaveric anatomy (third statement), it should be understood that 25% of the individuals marking ‘not at all true for me’ did not take anatomy at all.</w:t>
      </w:r>
    </w:p>
    <w:p w14:paraId="4116B8D4" w14:textId="3B3FA02D" w:rsidR="00731A8D" w:rsidRPr="00065E56" w:rsidRDefault="00731A8D" w:rsidP="00731A8D">
      <w:pPr>
        <w:spacing w:line="480" w:lineRule="auto"/>
        <w:rPr>
          <w:rFonts w:ascii="Times New Roman" w:hAnsi="Times New Roman" w:cs="Times New Roman"/>
        </w:rPr>
      </w:pPr>
      <w:r w:rsidRPr="00065E56">
        <w:rPr>
          <w:rFonts w:ascii="Times New Roman" w:hAnsi="Times New Roman" w:cs="Times New Roman"/>
          <w:b/>
          <w:bCs/>
        </w:rPr>
        <w:t>Figure 1</w:t>
      </w:r>
      <w:r w:rsidR="00CC1AAB" w:rsidRPr="00065E56">
        <w:rPr>
          <w:rFonts w:ascii="Times New Roman" w:hAnsi="Times New Roman" w:cs="Times New Roman"/>
          <w:b/>
          <w:bCs/>
        </w:rPr>
        <w:t>0</w:t>
      </w:r>
    </w:p>
    <w:p w14:paraId="1FBD761C" w14:textId="788AFA3C" w:rsidR="00731A8D" w:rsidRPr="00065E56" w:rsidRDefault="00731A8D" w:rsidP="00731A8D">
      <w:pPr>
        <w:spacing w:line="480" w:lineRule="auto"/>
        <w:rPr>
          <w:rFonts w:ascii="Times New Roman" w:hAnsi="Times New Roman" w:cs="Times New Roman"/>
        </w:rPr>
      </w:pPr>
      <w:r w:rsidRPr="00065E56">
        <w:rPr>
          <w:rFonts w:ascii="Times New Roman" w:hAnsi="Times New Roman" w:cs="Times New Roman"/>
          <w:noProof/>
        </w:rPr>
        <w:drawing>
          <wp:inline distT="0" distB="0" distL="0" distR="0" wp14:anchorId="30E20444" wp14:editId="7F5EF286">
            <wp:extent cx="5382260" cy="2975610"/>
            <wp:effectExtent l="0" t="0" r="15240" b="8890"/>
            <wp:docPr id="21" name="Chart 21">
              <a:extLst xmlns:a="http://schemas.openxmlformats.org/drawingml/2006/main">
                <a:ext uri="{FF2B5EF4-FFF2-40B4-BE49-F238E27FC236}">
                  <a16:creationId xmlns:a16="http://schemas.microsoft.com/office/drawing/2014/main" id="{9B3F9552-37BC-844F-A202-E18E134A560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4268C286" w14:textId="372B9278" w:rsidR="00731A8D" w:rsidRPr="00065E56" w:rsidRDefault="00731A8D" w:rsidP="00731A8D">
      <w:pPr>
        <w:spacing w:line="480" w:lineRule="auto"/>
        <w:rPr>
          <w:rFonts w:ascii="Times New Roman" w:hAnsi="Times New Roman" w:cs="Times New Roman"/>
        </w:rPr>
      </w:pPr>
      <w:r w:rsidRPr="00065E56">
        <w:rPr>
          <w:rFonts w:ascii="Times New Roman" w:hAnsi="Times New Roman" w:cs="Times New Roman"/>
        </w:rPr>
        <w:t xml:space="preserve">The fourth statement invited student opinion regarding integration activities for lecture and laboratory. Over 70% of students indicated integrated activities would have contributed to their learning. An interesting point regarding this statement: the virtual laboratory groups that met in breakout rooms after lecture were designed to provide a space to review laboratory content </w:t>
      </w:r>
      <w:r w:rsidRPr="00065E56">
        <w:rPr>
          <w:rFonts w:ascii="Times New Roman" w:hAnsi="Times New Roman" w:cs="Times New Roman"/>
          <w:i/>
          <w:iCs/>
        </w:rPr>
        <w:t>and</w:t>
      </w:r>
      <w:r w:rsidRPr="00065E56">
        <w:rPr>
          <w:rFonts w:ascii="Times New Roman" w:hAnsi="Times New Roman" w:cs="Times New Roman"/>
        </w:rPr>
        <w:t xml:space="preserve"> to integrate that material into the lecture content. It is possible that faculty need to articulate the purpose more clearly to students and teaching assistants. Additionally, more scaffolding may be </w:t>
      </w:r>
      <w:r w:rsidRPr="00065E56">
        <w:rPr>
          <w:rFonts w:ascii="Times New Roman" w:hAnsi="Times New Roman" w:cs="Times New Roman"/>
        </w:rPr>
        <w:lastRenderedPageBreak/>
        <w:t>needed initially to provide concrete instruction to teaching assistants on the best practices for online integration activities. Due to the remote nature of the 2020 course, teaching assistants and faculty alike were adapting to student needs in real time and concrete activities such as interactive quizzes evolved as the class progressed. The short duration of the course and the daily volume of new material may need to be considered when planning online activities. Though faculty do</w:t>
      </w:r>
      <w:r w:rsidR="00514DE5" w:rsidRPr="00065E56">
        <w:rPr>
          <w:rFonts w:ascii="Times New Roman" w:hAnsi="Times New Roman" w:cs="Times New Roman"/>
        </w:rPr>
        <w:t xml:space="preserve"> not</w:t>
      </w:r>
      <w:r w:rsidRPr="00065E56">
        <w:rPr>
          <w:rFonts w:ascii="Times New Roman" w:hAnsi="Times New Roman" w:cs="Times New Roman"/>
        </w:rPr>
        <w:t xml:space="preserve"> want to tailor the content with a reductionist approach, guiding students toward the most relevant material may need to be more explicit when considering the transactional distance inherent to online learning. </w:t>
      </w:r>
    </w:p>
    <w:p w14:paraId="47FB6AEB" w14:textId="77777777" w:rsidR="00731A8D" w:rsidRPr="00065E56" w:rsidRDefault="00731A8D" w:rsidP="00731A8D">
      <w:pPr>
        <w:spacing w:line="480" w:lineRule="auto"/>
        <w:rPr>
          <w:rFonts w:ascii="Times New Roman" w:hAnsi="Times New Roman" w:cs="Times New Roman"/>
        </w:rPr>
      </w:pPr>
      <w:r w:rsidRPr="00065E56">
        <w:rPr>
          <w:rFonts w:ascii="Times New Roman" w:hAnsi="Times New Roman" w:cs="Times New Roman"/>
        </w:rPr>
        <w:tab/>
        <w:t>Though students participating in the focus group mentioned incomplete and/or surface-level anatomical knowledge, the majority of students indicated a positive perspective regarding the cognitive domain of their learning. This could be due to several factors. It is possible that only a few vocal students felt their knowledge was fragmented or rote, with the remainder of students satisfied. Timing of the focus group and survey could also be a factor. The focus group occurred at the start of the third unit, while the survey was open for two weeks after the course. Emotions could have been more extreme in the midst of the course as opposed to after the course, thus dampening the survey response. Last, a quasi-testing effect could have affected student responses. Students participating in the focus group heard most of the statements that would become the survey and may have responded differently upon reflection. Ultimately, the majority of students regarded their anatomical knowledge positively.</w:t>
      </w:r>
    </w:p>
    <w:p w14:paraId="536C0ACD" w14:textId="00CC5A46" w:rsidR="00731A8D" w:rsidRPr="00065E56" w:rsidRDefault="00731A8D" w:rsidP="00731A8D">
      <w:pPr>
        <w:spacing w:line="480" w:lineRule="auto"/>
        <w:rPr>
          <w:rFonts w:ascii="Times New Roman" w:hAnsi="Times New Roman" w:cs="Times New Roman"/>
        </w:rPr>
      </w:pPr>
      <w:r w:rsidRPr="00065E56">
        <w:rPr>
          <w:rFonts w:ascii="Times New Roman" w:hAnsi="Times New Roman" w:cs="Times New Roman"/>
          <w:b/>
          <w:bCs/>
        </w:rPr>
        <w:tab/>
      </w:r>
      <w:r w:rsidRPr="00065E56">
        <w:rPr>
          <w:rFonts w:ascii="Times New Roman" w:hAnsi="Times New Roman" w:cs="Times New Roman"/>
        </w:rPr>
        <w:t>The psychomotor domain response totals, though less emphatic and less consistent than the cognitive domain totals, still represent overall positivity of responses to most statements</w:t>
      </w:r>
      <w:r w:rsidR="00CC1AAB" w:rsidRPr="00065E56">
        <w:rPr>
          <w:rFonts w:ascii="Times New Roman" w:hAnsi="Times New Roman" w:cs="Times New Roman"/>
        </w:rPr>
        <w:t xml:space="preserve"> (Figure 11)</w:t>
      </w:r>
      <w:r w:rsidRPr="00065E56">
        <w:rPr>
          <w:rFonts w:ascii="Times New Roman" w:hAnsi="Times New Roman" w:cs="Times New Roman"/>
        </w:rPr>
        <w:t xml:space="preserve">. The first two statements were designed to evaluate students’ perceptions of tissue depths and textures. Depth and texture were discussed in the videos and laboratory review </w:t>
      </w:r>
      <w:r w:rsidRPr="00065E56">
        <w:rPr>
          <w:rFonts w:ascii="Times New Roman" w:hAnsi="Times New Roman" w:cs="Times New Roman"/>
        </w:rPr>
        <w:lastRenderedPageBreak/>
        <w:t xml:space="preserve">sessions but were unable to be directly observed or felt in the remote course, and both support contextual understanding of lecture content. Over 80% of students felt these statements were ‘very’ or ‘fairly’ or ‘somewhat true for me.’ No students indicated ‘not at all true for me’ for either statement. These results support the efforts faculty made to discuss tactile knowledge that would typically be determined during cadaveric dissection. </w:t>
      </w:r>
    </w:p>
    <w:p w14:paraId="72E734AF" w14:textId="362AE29C" w:rsidR="00731A8D" w:rsidRPr="00065E56" w:rsidRDefault="00731A8D" w:rsidP="00731A8D">
      <w:pPr>
        <w:spacing w:line="480" w:lineRule="auto"/>
        <w:rPr>
          <w:rFonts w:ascii="Times New Roman" w:hAnsi="Times New Roman" w:cs="Times New Roman"/>
        </w:rPr>
      </w:pPr>
      <w:r w:rsidRPr="00065E56">
        <w:rPr>
          <w:rFonts w:ascii="Times New Roman" w:hAnsi="Times New Roman" w:cs="Times New Roman"/>
          <w:b/>
          <w:bCs/>
        </w:rPr>
        <w:t>Figure 1</w:t>
      </w:r>
      <w:r w:rsidR="00CC1AAB" w:rsidRPr="00065E56">
        <w:rPr>
          <w:rFonts w:ascii="Times New Roman" w:hAnsi="Times New Roman" w:cs="Times New Roman"/>
          <w:b/>
          <w:bCs/>
        </w:rPr>
        <w:t>1</w:t>
      </w:r>
    </w:p>
    <w:p w14:paraId="2ADD1217" w14:textId="0B846765" w:rsidR="00731A8D" w:rsidRPr="00065E56" w:rsidRDefault="00731A8D" w:rsidP="00731A8D">
      <w:pPr>
        <w:spacing w:line="480" w:lineRule="auto"/>
        <w:rPr>
          <w:rFonts w:ascii="Times New Roman" w:hAnsi="Times New Roman" w:cs="Times New Roman"/>
        </w:rPr>
      </w:pPr>
      <w:r w:rsidRPr="00065E56">
        <w:rPr>
          <w:rFonts w:ascii="Times New Roman" w:hAnsi="Times New Roman" w:cs="Times New Roman"/>
          <w:noProof/>
        </w:rPr>
        <w:drawing>
          <wp:inline distT="0" distB="0" distL="0" distR="0" wp14:anchorId="69CA6571" wp14:editId="0B6DB9FA">
            <wp:extent cx="5967730" cy="3673475"/>
            <wp:effectExtent l="0" t="0" r="13970" b="9525"/>
            <wp:docPr id="20" name="Chart 20">
              <a:extLst xmlns:a="http://schemas.openxmlformats.org/drawingml/2006/main">
                <a:ext uri="{FF2B5EF4-FFF2-40B4-BE49-F238E27FC236}">
                  <a16:creationId xmlns:a16="http://schemas.microsoft.com/office/drawing/2014/main" id="{F3187D55-E9ED-3543-84E2-1AC7DBB60EF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065E56">
        <w:rPr>
          <w:rFonts w:ascii="Times New Roman" w:hAnsi="Times New Roman" w:cs="Times New Roman"/>
        </w:rPr>
        <w:t xml:space="preserve"> </w:t>
      </w:r>
    </w:p>
    <w:p w14:paraId="7E0BC136" w14:textId="4B89C8C0" w:rsidR="00731A8D" w:rsidRPr="00065E56" w:rsidRDefault="00731A8D" w:rsidP="00731A8D">
      <w:pPr>
        <w:spacing w:line="480" w:lineRule="auto"/>
        <w:rPr>
          <w:rFonts w:ascii="Times New Roman" w:hAnsi="Times New Roman" w:cs="Times New Roman"/>
        </w:rPr>
      </w:pPr>
      <w:r w:rsidRPr="00065E56">
        <w:rPr>
          <w:rFonts w:ascii="Times New Roman" w:hAnsi="Times New Roman" w:cs="Times New Roman"/>
        </w:rPr>
        <w:tab/>
        <w:t xml:space="preserve">The next two statements evaluated the use of models. Recall that 25% of students purchased a model for their own personal use, and 75% of students felt models should be provided in an online course (Table 7). Approximately 85% of students felt physical models would have helped them to learn. Slightly over 40% of students agreed that online models were just as good as physical models. The difference in response to these two statements provides insight into how some new health professions students perceive the utility of physical models, </w:t>
      </w:r>
      <w:r w:rsidRPr="00065E56">
        <w:rPr>
          <w:rFonts w:ascii="Times New Roman" w:hAnsi="Times New Roman" w:cs="Times New Roman"/>
        </w:rPr>
        <w:lastRenderedPageBreak/>
        <w:t xml:space="preserve">and this is consistent with the findings discussed in chapter 2 regarding the limitations of online anatomy </w:t>
      </w:r>
      <w:r w:rsidRPr="00065E56">
        <w:rPr>
          <w:rFonts w:ascii="Times New Roman" w:hAnsi="Times New Roman" w:cs="Times New Roman"/>
        </w:rPr>
        <w:fldChar w:fldCharType="begin"/>
      </w:r>
      <w:r w:rsidRPr="00065E56">
        <w:rPr>
          <w:rFonts w:ascii="Times New Roman" w:hAnsi="Times New Roman" w:cs="Times New Roman"/>
        </w:rPr>
        <w:instrText xml:space="preserve"> ADDIN ZOTERO_ITEM CSL_CITATION {"citationID":"2NErdnon","properties":{"formattedCitation":"(Attardi et al., 2016; Davis et al., 2014)","plainCitation":"(Attardi et al., 2016; Davis et al., 2014)","noteIndex":0},"citationItems":[{"id":343,"uris":["http://zotero.org/users/local/8fpcHUeo/items/B2XEUR4E"],"uri":["http://zotero.org/users/local/8fpcHUeo/items/B2XEUR4E"],"itemData":{"id":343,"type":"article-journal","container-title":"Anatomical Sciences Education","DOI":"10.1002/ase.1584","ISSN":"19359772","issue":"3","journalAbbreviation":"American Association of Anatomists","language":"en","page":"272-285","source":"DOI.org (Crossref)","title":"Mixed methods student evaluation of an online systemic human anatomy course with laboratory: Mixed Methods Student Evaluation of Online Human Anatomy Course","title-short":"Mixed methods student evaluation of an online systemic human anatomy course with laboratory","volume":"9","author":[{"family":"Attardi","given":"Stefanie M."},{"family":"Choi","given":"Suwhan"},{"family":"Barnett","given":"John"},{"family":"Rogers","given":"Kem A."}],"issued":{"date-parts":[["2016",5,6]]}}},{"id":315,"uris":["http://zotero.org/users/local/8fpcHUeo/items/ZEIW5TJX"],"uri":["http://zotero.org/users/local/8fpcHUeo/items/ZEIW5TJX"],"itemData":{"id":315,"type":"article-journal","abstract":"Anatomy teaching methods have evolved as the medical undergraduate curriculum has modernized. Traditional teaching methods of dissection, prosection, tutorials and lectures are now supplemented by anatomical models and e‐learning. Despite these changes, the preferences of medical students and anatomy faculty towards both traditional and contemporary teaching methods and tools are largely unknown. This study quantiﬁed medical student and anatomy faculty opinion on various aspects of anatomical teaching at the Department of Anatomy, University of Bristol, UK. A questionnaire was used to explore the perceived eﬀectiveness of diﬀerent anatomical teaching methods and tools among anatomy faculty (AF) and medical students in year one (Y1) and year two (Y2). A total of 370 preclinical medical students entered the study (76% response rate). Responses were quantiﬁed and intergroup comparisons were made. All students and AF were strongly in favor of access to cadaveric specimens and supported traditional methods of small‐group teaching with medically qualiﬁed demonstrators. Other teaching methods, including elearning, anatomical models and surgical videos, were considered useful educational tools. In several areas there was disharmony between the opinions of AF and medical students. This study emphasizes the importance of collecting student preferences to optimize teaching methods used in the undergraduate anatomy curriculum. Anat Sci Educ 7: 262–272. © 2013 American Association of Anatomists.","container-title":"Anatomical Sciences Education","DOI":"10.1002/ase.1424","ISSN":"19359772","issue":"4","journalAbbreviation":"American Association of Anatomists","language":"en","page":"262-272","source":"DOI.org (Crossref)","title":"Human Anatomy: Let the students tell us how to teach: Human Anatomy-Let the Students Tell Us How to Teach","title-short":"Human Anatomy","volume":"7","author":[{"family":"Davis","given":"Christopher R."},{"family":"Bates","given":"Anthony S."},{"family":"Ellis","given":"Harold"},{"family":"Roberts","given":"Alice M."}],"issued":{"date-parts":[["2014",7,8]]}}}],"schema":"https://github.com/citation-style-language/schema/raw/master/csl-citation.json"} </w:instrText>
      </w:r>
      <w:r w:rsidRPr="00065E56">
        <w:rPr>
          <w:rFonts w:ascii="Times New Roman" w:hAnsi="Times New Roman" w:cs="Times New Roman"/>
        </w:rPr>
        <w:fldChar w:fldCharType="separate"/>
      </w:r>
      <w:r w:rsidRPr="00065E56">
        <w:rPr>
          <w:rFonts w:ascii="Times New Roman" w:hAnsi="Times New Roman" w:cs="Times New Roman"/>
          <w:noProof/>
        </w:rPr>
        <w:t>(Attardi et al., 2016; Davis et al., 2014)</w:t>
      </w:r>
      <w:r w:rsidRPr="00065E56">
        <w:rPr>
          <w:rFonts w:ascii="Times New Roman" w:hAnsi="Times New Roman" w:cs="Times New Roman"/>
        </w:rPr>
        <w:fldChar w:fldCharType="end"/>
      </w:r>
      <w:r w:rsidRPr="00065E56">
        <w:rPr>
          <w:rFonts w:ascii="Times New Roman" w:hAnsi="Times New Roman" w:cs="Times New Roman"/>
        </w:rPr>
        <w:t xml:space="preserve">. It is possible that </w:t>
      </w:r>
      <w:r w:rsidR="00514DE5" w:rsidRPr="00065E56">
        <w:rPr>
          <w:rFonts w:ascii="Times New Roman" w:hAnsi="Times New Roman" w:cs="Times New Roman"/>
        </w:rPr>
        <w:t>three</w:t>
      </w:r>
      <w:r w:rsidRPr="00065E56">
        <w:rPr>
          <w:rFonts w:ascii="Times New Roman" w:hAnsi="Times New Roman" w:cs="Times New Roman"/>
        </w:rPr>
        <w:t xml:space="preserve">-dimensional, physical models provide an easier learning experience, if not an academically superior one for new learners. </w:t>
      </w:r>
    </w:p>
    <w:p w14:paraId="2400320D" w14:textId="77777777" w:rsidR="00731A8D" w:rsidRPr="00065E56" w:rsidRDefault="00731A8D" w:rsidP="00731A8D">
      <w:pPr>
        <w:spacing w:line="480" w:lineRule="auto"/>
        <w:rPr>
          <w:rFonts w:ascii="Times New Roman" w:hAnsi="Times New Roman" w:cs="Times New Roman"/>
        </w:rPr>
      </w:pPr>
      <w:r w:rsidRPr="00065E56">
        <w:rPr>
          <w:rFonts w:ascii="Times New Roman" w:hAnsi="Times New Roman" w:cs="Times New Roman"/>
        </w:rPr>
        <w:tab/>
        <w:t xml:space="preserve">The last two statements pertain to students’ preferences regarding future cadaveric review time. Due to the remote nature of the course, most students would prefer a vertically integrated, just-in-time cadaveric review pertinent to their new material. Generally, vertically integrated anatomy review is positively reviewed in the literature </w:t>
      </w:r>
      <w:r w:rsidRPr="00065E56">
        <w:rPr>
          <w:rFonts w:ascii="Times New Roman" w:hAnsi="Times New Roman" w:cs="Times New Roman"/>
        </w:rPr>
        <w:fldChar w:fldCharType="begin"/>
      </w:r>
      <w:r w:rsidRPr="00065E56">
        <w:rPr>
          <w:rFonts w:ascii="Times New Roman" w:hAnsi="Times New Roman" w:cs="Times New Roman"/>
        </w:rPr>
        <w:instrText xml:space="preserve"> ADDIN ZOTERO_ITEM CSL_CITATION {"citationID":"3NLOTV3U","properties":{"formattedCitation":"(Wijnen-Meijer et al., 2020)","plainCitation":"(Wijnen-Meijer et al., 2020)","noteIndex":0},"citationItems":[{"id":449,"uris":["http://zotero.org/users/local/8fpcHUeo/items/23T36UKS"],"uri":["http://zotero.org/users/local/8fpcHUeo/items/23T36UKS"],"itemData":{"id":449,"type":"article-journal","abstract":"Curricular integration represents collaborations between disciplines to establish a coherent curriculum and has become the dominant recommendation for medical education in the second half of the twentieth century. Vertical integration specifically is the integration between the clinical and basic science parts throughout the program. Vertically integrated curricula present basic sciences imbedded in a clinical context from the start of medical school. The authors briefly discuss vertical integration in relationship with context theory, motivation theory, professional identity formation, transition to practice and the continuum of education and practice. They conclude that vertical integration, rather than horizontal integration, extends far beyond curriculum structure. They consider vertical integration a philosophy of education, with impact on students’ maturation and engagement with the profession, and which applies not only to undergraduate education but to the lifelong learning of professionals. The definition of vertical integration as “an educational approach that fosters a gradual increase of learner participation in the professional community through a stepwise increase of knowledge-based engagement in practice with graduated responsibilities in patient care” is more comprehensive than its older conceptualization.","container-title":"BMC Medical Education","DOI":"10.1186/s12909-020-02433-6","ISSN":"1472-6920","issue":"1","journalAbbreviation":"BMC Med Educ","language":"en","page":"509","source":"DOI.org (Crossref)","title":"Vertical integration in medical education: the broader perspective","title-short":"Vertical integration in medical education","volume":"20","author":[{"family":"Wijnen-Meijer","given":"Marjo"},{"family":"Broek","given":"Sjoukje","non-dropping-particle":"van den"},{"family":"Koens","given":"Franciska"},{"family":"Cate","given":"Olle","non-dropping-particle":"ten"}],"issued":{"date-parts":[["2020",12]]}}}],"schema":"https://github.com/citation-style-language/schema/raw/master/csl-citation.json"} </w:instrText>
      </w:r>
      <w:r w:rsidRPr="00065E56">
        <w:rPr>
          <w:rFonts w:ascii="Times New Roman" w:hAnsi="Times New Roman" w:cs="Times New Roman"/>
        </w:rPr>
        <w:fldChar w:fldCharType="separate"/>
      </w:r>
      <w:r w:rsidRPr="00065E56">
        <w:rPr>
          <w:rFonts w:ascii="Times New Roman" w:hAnsi="Times New Roman" w:cs="Times New Roman"/>
          <w:noProof/>
        </w:rPr>
        <w:t>(Wijnen-Meijer et al., 2020)</w:t>
      </w:r>
      <w:r w:rsidRPr="00065E56">
        <w:rPr>
          <w:rFonts w:ascii="Times New Roman" w:hAnsi="Times New Roman" w:cs="Times New Roman"/>
        </w:rPr>
        <w:fldChar w:fldCharType="end"/>
      </w:r>
      <w:r w:rsidRPr="00065E56">
        <w:rPr>
          <w:rFonts w:ascii="Times New Roman" w:hAnsi="Times New Roman" w:cs="Times New Roman"/>
        </w:rPr>
        <w:t>, and it may be that just-in-time cadaveric reviews would be especially beneficial to remote clinical anatomy students.</w:t>
      </w:r>
    </w:p>
    <w:p w14:paraId="368CD2E6" w14:textId="229FFEE7" w:rsidR="00731A8D" w:rsidRPr="00065E56" w:rsidRDefault="00731A8D" w:rsidP="00731A8D">
      <w:pPr>
        <w:spacing w:line="480" w:lineRule="auto"/>
        <w:rPr>
          <w:rFonts w:ascii="Times New Roman" w:hAnsi="Times New Roman" w:cs="Times New Roman"/>
        </w:rPr>
      </w:pPr>
      <w:r w:rsidRPr="00065E56">
        <w:rPr>
          <w:rFonts w:ascii="Times New Roman" w:hAnsi="Times New Roman" w:cs="Times New Roman"/>
        </w:rPr>
        <w:tab/>
        <w:t>The first statement of the affective domain seemed like a negative version of the cognitive domains’ ‘I am able to picture a muscle or organ as part of a group or system;’ however, students did not answer it in the same manner</w:t>
      </w:r>
      <w:r w:rsidR="00CC1AAB" w:rsidRPr="00065E56">
        <w:rPr>
          <w:rFonts w:ascii="Times New Roman" w:hAnsi="Times New Roman" w:cs="Times New Roman"/>
        </w:rPr>
        <w:t xml:space="preserve"> (Figure 12)</w:t>
      </w:r>
      <w:r w:rsidRPr="00065E56">
        <w:rPr>
          <w:rFonts w:ascii="Times New Roman" w:hAnsi="Times New Roman" w:cs="Times New Roman"/>
        </w:rPr>
        <w:t>. Approximately half responded negatively to the statement indicating that they did not feel that their knowledge felt fragmented. This is in contrast to the 80% positive response to the cognitive domain statement. More students felt their knowledge was fragmented than felt they could not place an organ or muscle in a group or system. Perhaps the discrepancy observed between the two statements is part of the main conclusion to be drawn from this study. In other words, students largely perceived their learning as appropriate, but</w:t>
      </w:r>
      <w:r w:rsidRPr="00065E56">
        <w:rPr>
          <w:rFonts w:ascii="Times New Roman" w:hAnsi="Times New Roman" w:cs="Times New Roman"/>
          <w:i/>
          <w:iCs/>
        </w:rPr>
        <w:t xml:space="preserve"> </w:t>
      </w:r>
      <w:r w:rsidRPr="00065E56">
        <w:rPr>
          <w:rFonts w:ascii="Times New Roman" w:hAnsi="Times New Roman" w:cs="Times New Roman"/>
        </w:rPr>
        <w:t xml:space="preserve">many </w:t>
      </w:r>
      <w:r w:rsidRPr="00065E56">
        <w:rPr>
          <w:rFonts w:ascii="Times New Roman" w:hAnsi="Times New Roman" w:cs="Times New Roman"/>
          <w:i/>
          <w:iCs/>
        </w:rPr>
        <w:t>felt</w:t>
      </w:r>
      <w:r w:rsidRPr="00065E56">
        <w:rPr>
          <w:rFonts w:ascii="Times New Roman" w:hAnsi="Times New Roman" w:cs="Times New Roman"/>
        </w:rPr>
        <w:t xml:space="preserve"> uneasy about it. Remote learning was new to many students and faculty alike in June of 2020, and it could be that the feelings regarding the new format or remote learning in general affected the assessment of their feelings about their anatomical knowledge. </w:t>
      </w:r>
    </w:p>
    <w:p w14:paraId="5383818B" w14:textId="77777777" w:rsidR="00731A8D" w:rsidRPr="00065E56" w:rsidRDefault="00731A8D" w:rsidP="00731A8D">
      <w:pPr>
        <w:spacing w:line="480" w:lineRule="auto"/>
        <w:rPr>
          <w:rFonts w:ascii="Times New Roman" w:hAnsi="Times New Roman" w:cs="Times New Roman"/>
        </w:rPr>
      </w:pPr>
      <w:r w:rsidRPr="00065E56">
        <w:rPr>
          <w:rFonts w:ascii="Times New Roman" w:hAnsi="Times New Roman" w:cs="Times New Roman"/>
        </w:rPr>
        <w:lastRenderedPageBreak/>
        <w:t xml:space="preserve">The last statement was an attempt to ask how they felt about their anatomical knowledge from another perspective. Approximately 30% agreed at least ‘somewhat true for me.’ This result also contrasts somewhat with the ‘I am able to picture a muscle or organ as part of a group or system’ cognitive domain statement. Asking students how they felt about their knowledge consistently yielded </w:t>
      </w:r>
      <w:proofErr w:type="gramStart"/>
      <w:r w:rsidRPr="00065E56">
        <w:rPr>
          <w:rFonts w:ascii="Times New Roman" w:hAnsi="Times New Roman" w:cs="Times New Roman"/>
        </w:rPr>
        <w:t>less</w:t>
      </w:r>
      <w:proofErr w:type="gramEnd"/>
      <w:r w:rsidRPr="00065E56">
        <w:rPr>
          <w:rFonts w:ascii="Times New Roman" w:hAnsi="Times New Roman" w:cs="Times New Roman"/>
        </w:rPr>
        <w:t xml:space="preserve"> positive results than when students were asked about the knowledge directly.</w:t>
      </w:r>
    </w:p>
    <w:p w14:paraId="5E596BE5" w14:textId="001A1AC9" w:rsidR="00731A8D" w:rsidRPr="00065E56" w:rsidRDefault="00731A8D" w:rsidP="00731A8D">
      <w:pPr>
        <w:spacing w:line="480" w:lineRule="auto"/>
        <w:rPr>
          <w:rFonts w:ascii="Times New Roman" w:hAnsi="Times New Roman" w:cs="Times New Roman"/>
          <w:b/>
          <w:bCs/>
        </w:rPr>
      </w:pPr>
      <w:r w:rsidRPr="00065E56">
        <w:rPr>
          <w:rFonts w:ascii="Times New Roman" w:hAnsi="Times New Roman" w:cs="Times New Roman"/>
          <w:b/>
          <w:bCs/>
        </w:rPr>
        <w:tab/>
      </w:r>
      <w:r w:rsidRPr="00065E56">
        <w:rPr>
          <w:rFonts w:ascii="Times New Roman" w:hAnsi="Times New Roman" w:cs="Times New Roman"/>
        </w:rPr>
        <w:t xml:space="preserve">The middle statements were directed toward their feelings regarding not being able to dissect. </w:t>
      </w:r>
      <w:r w:rsidR="00514DE5" w:rsidRPr="00065E56">
        <w:rPr>
          <w:rFonts w:ascii="Times New Roman" w:hAnsi="Times New Roman" w:cs="Times New Roman"/>
        </w:rPr>
        <w:t>The most positively rated statement in the affective domain was ‘I wanted to dissect a cadaver.</w:t>
      </w:r>
      <w:r w:rsidR="00514DE5" w:rsidRPr="00065E56">
        <w:rPr>
          <w:rFonts w:ascii="Times New Roman" w:hAnsi="Times New Roman" w:cs="Times New Roman"/>
          <w:b/>
          <w:bCs/>
        </w:rPr>
        <w:t xml:space="preserve"> </w:t>
      </w:r>
      <w:r w:rsidRPr="00065E56">
        <w:rPr>
          <w:rFonts w:ascii="Times New Roman" w:hAnsi="Times New Roman" w:cs="Times New Roman"/>
        </w:rPr>
        <w:t>Students were more divided on feeling behind on surgery skills.</w:t>
      </w:r>
    </w:p>
    <w:p w14:paraId="278D169F" w14:textId="07254107" w:rsidR="00731A8D" w:rsidRPr="00065E56" w:rsidRDefault="00731A8D" w:rsidP="00731A8D">
      <w:pPr>
        <w:spacing w:line="480" w:lineRule="auto"/>
        <w:rPr>
          <w:rFonts w:ascii="Times New Roman" w:hAnsi="Times New Roman" w:cs="Times New Roman"/>
          <w:b/>
          <w:bCs/>
        </w:rPr>
      </w:pPr>
      <w:r w:rsidRPr="00065E56">
        <w:rPr>
          <w:rFonts w:ascii="Times New Roman" w:hAnsi="Times New Roman" w:cs="Times New Roman"/>
          <w:b/>
          <w:bCs/>
        </w:rPr>
        <w:t>Figure 1</w:t>
      </w:r>
      <w:r w:rsidR="00CC1AAB" w:rsidRPr="00065E56">
        <w:rPr>
          <w:rFonts w:ascii="Times New Roman" w:hAnsi="Times New Roman" w:cs="Times New Roman"/>
          <w:b/>
          <w:bCs/>
        </w:rPr>
        <w:t>2</w:t>
      </w:r>
    </w:p>
    <w:p w14:paraId="6AA990D9" w14:textId="02526F93" w:rsidR="00731A8D" w:rsidRPr="00065E56" w:rsidRDefault="00731A8D" w:rsidP="00731A8D">
      <w:pPr>
        <w:spacing w:line="480" w:lineRule="auto"/>
        <w:rPr>
          <w:rFonts w:ascii="Times New Roman" w:hAnsi="Times New Roman" w:cs="Times New Roman"/>
        </w:rPr>
      </w:pPr>
      <w:r w:rsidRPr="00065E56">
        <w:rPr>
          <w:rFonts w:ascii="Times New Roman" w:hAnsi="Times New Roman" w:cs="Times New Roman"/>
          <w:noProof/>
        </w:rPr>
        <w:drawing>
          <wp:inline distT="0" distB="0" distL="0" distR="0" wp14:anchorId="14A285E2" wp14:editId="4F3A155D">
            <wp:extent cx="5967730" cy="3063875"/>
            <wp:effectExtent l="0" t="0" r="13970" b="9525"/>
            <wp:docPr id="19" name="Chart 19">
              <a:extLst xmlns:a="http://schemas.openxmlformats.org/drawingml/2006/main">
                <a:ext uri="{FF2B5EF4-FFF2-40B4-BE49-F238E27FC236}">
                  <a16:creationId xmlns:a16="http://schemas.microsoft.com/office/drawing/2014/main" id="{1235B930-5E83-5C43-A81A-8D2E3176424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0626D2CA" w14:textId="1EC0AB86" w:rsidR="00731A8D" w:rsidRPr="00065E56" w:rsidRDefault="00731A8D" w:rsidP="00731A8D">
      <w:pPr>
        <w:spacing w:line="480" w:lineRule="auto"/>
        <w:rPr>
          <w:rFonts w:ascii="Times New Roman" w:hAnsi="Times New Roman" w:cs="Times New Roman"/>
        </w:rPr>
      </w:pPr>
      <w:r w:rsidRPr="00065E56">
        <w:rPr>
          <w:rFonts w:ascii="Times New Roman" w:hAnsi="Times New Roman" w:cs="Times New Roman"/>
        </w:rPr>
        <w:t xml:space="preserve">This may be due to the fact that not all dental and PA students want to make surgery their specialty. The possibility also exists, however, that students recognized that a remote 6.5-week course in a </w:t>
      </w:r>
      <w:proofErr w:type="gramStart"/>
      <w:r w:rsidR="00514DE5" w:rsidRPr="00065E56">
        <w:rPr>
          <w:rFonts w:ascii="Times New Roman" w:hAnsi="Times New Roman" w:cs="Times New Roman"/>
        </w:rPr>
        <w:t>two</w:t>
      </w:r>
      <w:r w:rsidRPr="00065E56">
        <w:rPr>
          <w:rFonts w:ascii="Times New Roman" w:hAnsi="Times New Roman" w:cs="Times New Roman"/>
        </w:rPr>
        <w:t xml:space="preserve"> or </w:t>
      </w:r>
      <w:r w:rsidR="00514DE5" w:rsidRPr="00065E56">
        <w:rPr>
          <w:rFonts w:ascii="Times New Roman" w:hAnsi="Times New Roman" w:cs="Times New Roman"/>
        </w:rPr>
        <w:t xml:space="preserve">four </w:t>
      </w:r>
      <w:r w:rsidRPr="00065E56">
        <w:rPr>
          <w:rFonts w:ascii="Times New Roman" w:hAnsi="Times New Roman" w:cs="Times New Roman"/>
        </w:rPr>
        <w:t>year</w:t>
      </w:r>
      <w:proofErr w:type="gramEnd"/>
      <w:r w:rsidRPr="00065E56">
        <w:rPr>
          <w:rFonts w:ascii="Times New Roman" w:hAnsi="Times New Roman" w:cs="Times New Roman"/>
        </w:rPr>
        <w:t xml:space="preserve"> program would not permanently impair their surgery skills. </w:t>
      </w:r>
    </w:p>
    <w:p w14:paraId="1A714FD3" w14:textId="77777777" w:rsidR="00731A8D" w:rsidRPr="00065E56" w:rsidRDefault="00731A8D" w:rsidP="00731A8D">
      <w:pPr>
        <w:spacing w:line="480" w:lineRule="auto"/>
        <w:rPr>
          <w:rFonts w:ascii="Times New Roman" w:hAnsi="Times New Roman" w:cs="Times New Roman"/>
        </w:rPr>
      </w:pPr>
      <w:r w:rsidRPr="00065E56">
        <w:rPr>
          <w:rFonts w:ascii="Times New Roman" w:hAnsi="Times New Roman" w:cs="Times New Roman"/>
        </w:rPr>
        <w:tab/>
        <w:t xml:space="preserve">The open response box provided context for the quantitative portion of the survey. Though students generally rated each domain positively, the response box offered an opportunity </w:t>
      </w:r>
      <w:r w:rsidRPr="00065E56">
        <w:rPr>
          <w:rFonts w:ascii="Times New Roman" w:hAnsi="Times New Roman" w:cs="Times New Roman"/>
        </w:rPr>
        <w:lastRenderedPageBreak/>
        <w:t xml:space="preserve">for dissenters to articulate explanations and feelings. These statements led to the first three codes and theme: ‘lack of dimensionality and context inhibits deep learning.’ In contrast, the other theme emerging from the qualitative data was ‘Online clinical anatomy provided an adequate learning experience.’ This theme was more consistent with the quantitative portion of the survey and the academic outcomes. It’s possible that the students contributing to the ‘lack of dimensionality and context inhibits deep learning’ theme were also in the minority or outliers in the quantitative survey. </w:t>
      </w:r>
    </w:p>
    <w:p w14:paraId="08100D39" w14:textId="4F318DEF" w:rsidR="00731A8D" w:rsidRPr="00065E56" w:rsidRDefault="00731A8D" w:rsidP="00731A8D">
      <w:pPr>
        <w:spacing w:line="480" w:lineRule="auto"/>
        <w:rPr>
          <w:rFonts w:ascii="Times New Roman" w:hAnsi="Times New Roman" w:cs="Times New Roman"/>
        </w:rPr>
      </w:pPr>
      <w:r w:rsidRPr="00065E56">
        <w:rPr>
          <w:rFonts w:ascii="Times New Roman" w:hAnsi="Times New Roman" w:cs="Times New Roman"/>
        </w:rPr>
        <w:tab/>
      </w:r>
      <w:r w:rsidRPr="00065E56">
        <w:rPr>
          <w:rFonts w:ascii="Times New Roman" w:hAnsi="Times New Roman" w:cs="Times New Roman"/>
          <w:b/>
          <w:bCs/>
        </w:rPr>
        <w:t xml:space="preserve">Relationships between Actual and Perceived Knowledge. </w:t>
      </w:r>
      <w:r w:rsidR="00514DE5" w:rsidRPr="00065E56">
        <w:rPr>
          <w:rFonts w:ascii="Times New Roman" w:hAnsi="Times New Roman" w:cs="Times New Roman"/>
        </w:rPr>
        <w:t>With</w:t>
      </w:r>
      <w:r w:rsidRPr="00065E56">
        <w:rPr>
          <w:rFonts w:ascii="Times New Roman" w:hAnsi="Times New Roman" w:cs="Times New Roman"/>
        </w:rPr>
        <w:t xml:space="preserve"> the academic outcomes and student perspectives are analyzed, the final step is to determine what, if any, relationships exist between the two. The academic outcomes, or actual knowledge, was fairly uniform: the 2020 remote cohort outperformed the 2019 F2F cohort by 2.60 points on the summative assessment items and the majority of the formative exams (average of 2.1 points greater </w:t>
      </w:r>
      <w:proofErr w:type="gramStart"/>
      <w:r w:rsidRPr="00065E56">
        <w:rPr>
          <w:rFonts w:ascii="Times New Roman" w:hAnsi="Times New Roman" w:cs="Times New Roman"/>
        </w:rPr>
        <w:t>on</w:t>
      </w:r>
      <w:proofErr w:type="gramEnd"/>
      <w:r w:rsidRPr="00065E56">
        <w:rPr>
          <w:rFonts w:ascii="Times New Roman" w:hAnsi="Times New Roman" w:cs="Times New Roman"/>
        </w:rPr>
        <w:t xml:space="preserve"> 2020 significant exams). The survey of student perspectives, or perceived knowledge, was generally positive but less uniform. Each domain of the survey was evaluated for data most in agreement </w:t>
      </w:r>
      <w:r w:rsidR="00CC1AAB" w:rsidRPr="00065E56">
        <w:rPr>
          <w:rFonts w:ascii="Times New Roman" w:hAnsi="Times New Roman" w:cs="Times New Roman"/>
        </w:rPr>
        <w:t xml:space="preserve">(Figure 13) </w:t>
      </w:r>
      <w:r w:rsidRPr="00065E56">
        <w:rPr>
          <w:rFonts w:ascii="Times New Roman" w:hAnsi="Times New Roman" w:cs="Times New Roman"/>
        </w:rPr>
        <w:t>or disagreement</w:t>
      </w:r>
      <w:r w:rsidR="00CC1AAB" w:rsidRPr="00065E56">
        <w:rPr>
          <w:rFonts w:ascii="Times New Roman" w:hAnsi="Times New Roman" w:cs="Times New Roman"/>
        </w:rPr>
        <w:t xml:space="preserve"> (Figure 14)</w:t>
      </w:r>
      <w:r w:rsidRPr="00065E56">
        <w:rPr>
          <w:rFonts w:ascii="Times New Roman" w:hAnsi="Times New Roman" w:cs="Times New Roman"/>
        </w:rPr>
        <w:t xml:space="preserve"> with the academic outcomes. Agreement was determined as at least 50% of students </w:t>
      </w:r>
      <w:proofErr w:type="gramStart"/>
      <w:r w:rsidRPr="00065E56">
        <w:rPr>
          <w:rFonts w:ascii="Times New Roman" w:hAnsi="Times New Roman" w:cs="Times New Roman"/>
        </w:rPr>
        <w:t>responding</w:t>
      </w:r>
      <w:proofErr w:type="gramEnd"/>
      <w:r w:rsidRPr="00065E56">
        <w:rPr>
          <w:rFonts w:ascii="Times New Roman" w:hAnsi="Times New Roman" w:cs="Times New Roman"/>
        </w:rPr>
        <w:t xml:space="preserve"> ‘very true for me’ or ‘fairly true for me.’ ‘Somewhat true for me’ was not included so that the positive and negative responses were assessed with two answer choices each. Disagreement was determined by identifying the highest percentage of negative responses per domain. Disagreement rarely exceeded 50%, so the same criteria was not applied. </w:t>
      </w:r>
    </w:p>
    <w:p w14:paraId="6AD806B1" w14:textId="77777777" w:rsidR="00731A8D" w:rsidRPr="00065E56" w:rsidRDefault="00731A8D" w:rsidP="00731A8D">
      <w:pPr>
        <w:spacing w:line="480" w:lineRule="auto"/>
        <w:rPr>
          <w:rFonts w:ascii="Times New Roman" w:hAnsi="Times New Roman" w:cs="Times New Roman"/>
        </w:rPr>
      </w:pPr>
      <w:r w:rsidRPr="00065E56">
        <w:rPr>
          <w:rFonts w:ascii="Times New Roman" w:hAnsi="Times New Roman" w:cs="Times New Roman"/>
        </w:rPr>
        <w:tab/>
        <w:t xml:space="preserve">Between 70-80% of students felt that their knowledge was adequate for where they were in the program as well as agreed that they could picture a muscle or organ within a group or system. Somewhat surprisingly, 50-60% responded favorably that they could perceive different </w:t>
      </w:r>
      <w:r w:rsidRPr="00065E56">
        <w:rPr>
          <w:rFonts w:ascii="Times New Roman" w:hAnsi="Times New Roman" w:cs="Times New Roman"/>
        </w:rPr>
        <w:lastRenderedPageBreak/>
        <w:t>tissue textures and depths accurately. For the affective domain, approximately 50% of students did not agree that their anatomical knowledge felt fragmented, and this statement was included in the disagreement figure as well.  The majority of students disagreed with ‘regardless of my grade, I am not sure how well I understand anatomy.’ Enough students wrote comments stating or describing the sufficiency of online Clinical Anatomy that a code and theme emerged even though it was less frequently described than other codes and subsequent theme. In light of the superior academic outcomes for the 2020 remote cohort, the positivity and support from each survey domain and method indicated that at least a slim majority of students’ perceptions were in agreement with their academic outcomes.</w:t>
      </w:r>
    </w:p>
    <w:p w14:paraId="7E223C2B" w14:textId="5980BFCD" w:rsidR="00A851A5" w:rsidRPr="00065E56" w:rsidRDefault="00A851A5" w:rsidP="00A851A5">
      <w:pPr>
        <w:spacing w:line="480" w:lineRule="auto"/>
        <w:rPr>
          <w:rFonts w:ascii="Times New Roman" w:hAnsi="Times New Roman" w:cs="Times New Roman"/>
        </w:rPr>
      </w:pPr>
      <w:r>
        <w:rPr>
          <w:rFonts w:ascii="Times New Roman" w:hAnsi="Times New Roman" w:cs="Times New Roman"/>
          <w:b/>
          <w:bCs/>
        </w:rPr>
        <w:tab/>
      </w:r>
      <w:r w:rsidRPr="00065E56">
        <w:rPr>
          <w:rFonts w:ascii="Times New Roman" w:hAnsi="Times New Roman" w:cs="Times New Roman"/>
        </w:rPr>
        <w:t>A significant minority of students’ perceptions were in disagreement with the academic outcomes</w:t>
      </w:r>
      <w:r>
        <w:rPr>
          <w:rFonts w:ascii="Times New Roman" w:hAnsi="Times New Roman" w:cs="Times New Roman"/>
        </w:rPr>
        <w:t xml:space="preserve"> (Figure 14)</w:t>
      </w:r>
      <w:r w:rsidRPr="00065E56">
        <w:rPr>
          <w:rFonts w:ascii="Times New Roman" w:hAnsi="Times New Roman" w:cs="Times New Roman"/>
        </w:rPr>
        <w:t xml:space="preserve">. For the cognitive domain, the highest percentage of disagreement (even after removing the students who had not taken undergraduate anatomy) was with the statement ‘undergraduate cadaveric anatomy contributed to my three-dimensional understanding of a human body in this course.’ Since the statement referred to how much their undergraduate course contributed to their ability to see the three-dimensionality of the human body and not the current </w:t>
      </w:r>
    </w:p>
    <w:p w14:paraId="628EB65B" w14:textId="77777777" w:rsidR="00A851A5" w:rsidRPr="00065E56" w:rsidRDefault="00A851A5" w:rsidP="00A851A5">
      <w:pPr>
        <w:spacing w:line="480" w:lineRule="auto"/>
        <w:rPr>
          <w:rFonts w:ascii="Times New Roman" w:hAnsi="Times New Roman" w:cs="Times New Roman"/>
          <w:b/>
          <w:bCs/>
        </w:rPr>
      </w:pPr>
      <w:r w:rsidRPr="00065E56">
        <w:rPr>
          <w:rFonts w:ascii="Times New Roman" w:hAnsi="Times New Roman" w:cs="Times New Roman"/>
        </w:rPr>
        <w:t>course, it was excluded from this discussion. The remainder of responses were less than 10% negative, so the cognitive domain was excluded from the disagreement analysis.</w:t>
      </w:r>
    </w:p>
    <w:p w14:paraId="5540560D" w14:textId="17F6A0AB" w:rsidR="00A851A5" w:rsidRDefault="00A851A5" w:rsidP="00A851A5">
      <w:pPr>
        <w:spacing w:line="480" w:lineRule="auto"/>
        <w:rPr>
          <w:rFonts w:ascii="Times New Roman" w:hAnsi="Times New Roman" w:cs="Times New Roman"/>
          <w:b/>
          <w:bCs/>
        </w:rPr>
      </w:pPr>
      <w:r w:rsidRPr="00065E56">
        <w:rPr>
          <w:rFonts w:ascii="Times New Roman" w:hAnsi="Times New Roman" w:cs="Times New Roman"/>
        </w:rPr>
        <w:tab/>
        <w:t>The psychomotor domain statements most in disagreement with the academic outcomes regarded models. Between 80-90% of students indicated that physical models would have helped them study, and 78% felt models should have been provided by the university. Over 50% did not</w:t>
      </w:r>
    </w:p>
    <w:p w14:paraId="3CC8D118" w14:textId="1C5DDEE6" w:rsidR="00A851A5" w:rsidRDefault="00A851A5" w:rsidP="00731A8D">
      <w:pPr>
        <w:spacing w:line="480" w:lineRule="auto"/>
        <w:rPr>
          <w:rFonts w:ascii="Times New Roman" w:hAnsi="Times New Roman" w:cs="Times New Roman"/>
          <w:b/>
          <w:bCs/>
        </w:rPr>
      </w:pPr>
      <w:r w:rsidRPr="00065E56">
        <w:rPr>
          <w:rFonts w:ascii="Times New Roman" w:hAnsi="Times New Roman" w:cs="Times New Roman"/>
        </w:rPr>
        <w:t>agree that online three-dimensional models were as good as physical models. These results reflected a perceived lack of tactile learning opportunities for this course. Approximately 50% of</w:t>
      </w:r>
    </w:p>
    <w:p w14:paraId="60537189" w14:textId="77777777" w:rsidR="00E71E5D" w:rsidRDefault="00E71E5D" w:rsidP="00731A8D">
      <w:pPr>
        <w:spacing w:line="480" w:lineRule="auto"/>
        <w:rPr>
          <w:rFonts w:ascii="Times New Roman" w:hAnsi="Times New Roman" w:cs="Times New Roman"/>
          <w:b/>
          <w:bCs/>
        </w:rPr>
      </w:pPr>
    </w:p>
    <w:p w14:paraId="1651CC13" w14:textId="170CC7A3" w:rsidR="00A851A5" w:rsidRPr="00A851A5" w:rsidRDefault="00A851A5" w:rsidP="00731A8D">
      <w:pPr>
        <w:spacing w:line="480" w:lineRule="auto"/>
        <w:rPr>
          <w:rFonts w:ascii="Times New Roman" w:hAnsi="Times New Roman" w:cs="Times New Roman"/>
          <w:b/>
          <w:bCs/>
        </w:rPr>
      </w:pPr>
      <w:r>
        <w:rPr>
          <w:rFonts w:ascii="Times New Roman" w:hAnsi="Times New Roman" w:cs="Times New Roman"/>
          <w:b/>
          <w:bCs/>
        </w:rPr>
        <w:lastRenderedPageBreak/>
        <w:t>Figure 13</w:t>
      </w:r>
    </w:p>
    <w:p w14:paraId="22FE1BBD" w14:textId="77777777" w:rsidR="00A851A5" w:rsidRDefault="00A851A5" w:rsidP="00731A8D">
      <w:pPr>
        <w:spacing w:line="480" w:lineRule="auto"/>
        <w:rPr>
          <w:rFonts w:ascii="Times New Roman" w:hAnsi="Times New Roman" w:cs="Times New Roman"/>
        </w:rPr>
      </w:pPr>
    </w:p>
    <w:p w14:paraId="2CE3F338" w14:textId="40FF737B" w:rsidR="00731A8D" w:rsidRPr="00065E56" w:rsidRDefault="00731A8D" w:rsidP="00731A8D">
      <w:pPr>
        <w:spacing w:line="480" w:lineRule="auto"/>
        <w:rPr>
          <w:rFonts w:ascii="Times New Roman" w:hAnsi="Times New Roman" w:cs="Times New Roman"/>
        </w:rPr>
      </w:pPr>
      <w:r w:rsidRPr="00065E56">
        <w:rPr>
          <w:rFonts w:ascii="Times New Roman" w:hAnsi="Times New Roman" w:cs="Times New Roman"/>
          <w:b/>
          <w:noProof/>
        </w:rPr>
        <w:drawing>
          <wp:inline distT="0" distB="0" distL="0" distR="0" wp14:anchorId="39F6DCCF" wp14:editId="1B224C40">
            <wp:extent cx="5927725" cy="458787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27725" cy="4587875"/>
                    </a:xfrm>
                    <a:prstGeom prst="rect">
                      <a:avLst/>
                    </a:prstGeom>
                    <a:noFill/>
                    <a:ln>
                      <a:noFill/>
                    </a:ln>
                  </pic:spPr>
                </pic:pic>
              </a:graphicData>
            </a:graphic>
          </wp:inline>
        </w:drawing>
      </w:r>
      <w:r w:rsidRPr="00065E56">
        <w:rPr>
          <w:rFonts w:ascii="Times New Roman" w:hAnsi="Times New Roman" w:cs="Times New Roman"/>
        </w:rPr>
        <w:tab/>
        <w:t xml:space="preserve"> </w:t>
      </w:r>
    </w:p>
    <w:p w14:paraId="6FA7FFBF" w14:textId="6D955DBC" w:rsidR="00A851A5" w:rsidRDefault="00A851A5" w:rsidP="00731A8D">
      <w:pPr>
        <w:spacing w:line="480" w:lineRule="auto"/>
        <w:rPr>
          <w:rFonts w:ascii="Times New Roman" w:hAnsi="Times New Roman" w:cs="Times New Roman"/>
        </w:rPr>
      </w:pPr>
      <w:r w:rsidRPr="00065E56">
        <w:rPr>
          <w:rFonts w:ascii="Times New Roman" w:hAnsi="Times New Roman" w:cs="Times New Roman"/>
        </w:rPr>
        <w:t xml:space="preserve">students indicated that their anatomical knowledge felt fragmented and that they could not see whole body connections, which is in contrast to both the cognitive domain survey results as well as the academic outcomes. The theme, ‘lack of dimensionality and context inhibits deep learning,’ supported the findings of the psychomotor domain regarding students’ desire for physical models. The theme could also explain the discrepancy between the cognitive and affective domain as well as the disagreement between the affective domain and the academic outcomes. Students may perceive that 3-dimensional, tactile learning is essential to deep </w:t>
      </w:r>
      <w:r w:rsidRPr="00065E56">
        <w:rPr>
          <w:rFonts w:ascii="Times New Roman" w:hAnsi="Times New Roman" w:cs="Times New Roman"/>
        </w:rPr>
        <w:lastRenderedPageBreak/>
        <w:t>learning, this could account for the feelings of fragmented anatomical knowledge. It is also possible that students perceive their anatomical knowledge (cognitive domain) as sufficient for</w:t>
      </w:r>
    </w:p>
    <w:p w14:paraId="1639F8F3" w14:textId="77777777" w:rsidR="00A851A5" w:rsidRPr="00A851A5" w:rsidRDefault="00A851A5" w:rsidP="00731A8D">
      <w:pPr>
        <w:spacing w:line="480" w:lineRule="auto"/>
        <w:rPr>
          <w:rFonts w:ascii="Times New Roman" w:hAnsi="Times New Roman" w:cs="Times New Roman"/>
        </w:rPr>
      </w:pPr>
    </w:p>
    <w:p w14:paraId="6ED07436" w14:textId="238CE7DE" w:rsidR="00731A8D" w:rsidRPr="00065E56" w:rsidRDefault="00731A8D" w:rsidP="00731A8D">
      <w:pPr>
        <w:spacing w:line="480" w:lineRule="auto"/>
        <w:rPr>
          <w:rFonts w:ascii="Times New Roman" w:hAnsi="Times New Roman" w:cs="Times New Roman"/>
          <w:b/>
          <w:bCs/>
        </w:rPr>
      </w:pPr>
      <w:r w:rsidRPr="00065E56">
        <w:rPr>
          <w:rFonts w:ascii="Times New Roman" w:hAnsi="Times New Roman" w:cs="Times New Roman"/>
          <w:b/>
          <w:bCs/>
        </w:rPr>
        <w:t>Figure 1</w:t>
      </w:r>
      <w:r w:rsidR="00A851A5">
        <w:rPr>
          <w:rFonts w:ascii="Times New Roman" w:hAnsi="Times New Roman" w:cs="Times New Roman"/>
          <w:b/>
          <w:bCs/>
        </w:rPr>
        <w:t>4</w:t>
      </w:r>
    </w:p>
    <w:p w14:paraId="6225C27D" w14:textId="49103B4C" w:rsidR="00731A8D" w:rsidRPr="00A851A5" w:rsidRDefault="00731A8D" w:rsidP="00731A8D">
      <w:pPr>
        <w:spacing w:line="480" w:lineRule="auto"/>
        <w:rPr>
          <w:rFonts w:ascii="Times New Roman" w:hAnsi="Times New Roman" w:cs="Times New Roman"/>
          <w:b/>
          <w:bCs/>
        </w:rPr>
      </w:pPr>
      <w:r w:rsidRPr="00065E56">
        <w:rPr>
          <w:rFonts w:ascii="Times New Roman" w:hAnsi="Times New Roman" w:cs="Times New Roman"/>
          <w:b/>
          <w:noProof/>
        </w:rPr>
        <w:drawing>
          <wp:inline distT="0" distB="0" distL="0" distR="0" wp14:anchorId="4E81C365" wp14:editId="62075BD9">
            <wp:extent cx="5927725" cy="458787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27725" cy="4587875"/>
                    </a:xfrm>
                    <a:prstGeom prst="rect">
                      <a:avLst/>
                    </a:prstGeom>
                    <a:noFill/>
                    <a:ln>
                      <a:noFill/>
                    </a:ln>
                  </pic:spPr>
                </pic:pic>
              </a:graphicData>
            </a:graphic>
          </wp:inline>
        </w:drawing>
      </w:r>
      <w:r w:rsidRPr="00065E56">
        <w:rPr>
          <w:rFonts w:ascii="Times New Roman" w:hAnsi="Times New Roman" w:cs="Times New Roman"/>
        </w:rPr>
        <w:t>multiple choice or fill-in-the-blank exams, as these types of assessment questions typically do not exceed the ‘analyze’ level of Bloom’s Taxonomy for this course.</w:t>
      </w:r>
    </w:p>
    <w:p w14:paraId="5DA31E16" w14:textId="77777777" w:rsidR="00731A8D" w:rsidRPr="00065E56" w:rsidRDefault="00731A8D" w:rsidP="00731A8D">
      <w:pPr>
        <w:spacing w:line="480" w:lineRule="auto"/>
        <w:rPr>
          <w:rFonts w:ascii="Times New Roman" w:hAnsi="Times New Roman" w:cs="Times New Roman"/>
          <w:b/>
          <w:bCs/>
          <w:i/>
          <w:iCs/>
        </w:rPr>
      </w:pPr>
      <w:r w:rsidRPr="00065E56">
        <w:rPr>
          <w:rFonts w:ascii="Times New Roman" w:hAnsi="Times New Roman" w:cs="Times New Roman"/>
          <w:b/>
          <w:bCs/>
          <w:i/>
          <w:iCs/>
        </w:rPr>
        <w:t>Conclusions</w:t>
      </w:r>
    </w:p>
    <w:p w14:paraId="55C61951" w14:textId="77777777" w:rsidR="00731A8D" w:rsidRPr="00065E56" w:rsidRDefault="00731A8D" w:rsidP="00731A8D">
      <w:pPr>
        <w:spacing w:line="480" w:lineRule="auto"/>
        <w:rPr>
          <w:rFonts w:ascii="Times New Roman" w:hAnsi="Times New Roman" w:cs="Times New Roman"/>
        </w:rPr>
      </w:pPr>
      <w:r w:rsidRPr="00065E56">
        <w:rPr>
          <w:rFonts w:ascii="Times New Roman" w:hAnsi="Times New Roman" w:cs="Times New Roman"/>
          <w:b/>
          <w:bCs/>
          <w:i/>
          <w:iCs/>
        </w:rPr>
        <w:tab/>
      </w:r>
      <w:r w:rsidRPr="00065E56">
        <w:rPr>
          <w:rFonts w:ascii="Times New Roman" w:hAnsi="Times New Roman" w:cs="Times New Roman"/>
        </w:rPr>
        <w:t xml:space="preserve">The 2020 remote cohort had higher academic outcomes on summative assessment items than the 2019 F2F cohort. When separated by program, the PA students’ means were significantly higher than the PA students from 2019, but the dental students’ means were not. </w:t>
      </w:r>
      <w:r w:rsidRPr="00065E56">
        <w:rPr>
          <w:rFonts w:ascii="Times New Roman" w:hAnsi="Times New Roman" w:cs="Times New Roman"/>
        </w:rPr>
        <w:lastRenderedPageBreak/>
        <w:t>Bloom’s level of question difficulty was not affected by remote delivery. The 2020 remote cohort had higher academic outcomes on the majority of formative exams after week 1.</w:t>
      </w:r>
    </w:p>
    <w:p w14:paraId="2BC624C6" w14:textId="77777777" w:rsidR="00731A8D" w:rsidRPr="00065E56" w:rsidRDefault="00731A8D" w:rsidP="00731A8D">
      <w:pPr>
        <w:spacing w:line="480" w:lineRule="auto"/>
        <w:rPr>
          <w:rFonts w:ascii="Times New Roman" w:hAnsi="Times New Roman" w:cs="Times New Roman"/>
        </w:rPr>
      </w:pPr>
      <w:r w:rsidRPr="00065E56">
        <w:rPr>
          <w:rFonts w:ascii="Times New Roman" w:hAnsi="Times New Roman" w:cs="Times New Roman"/>
        </w:rPr>
        <w:tab/>
        <w:t xml:space="preserve">The Clinical Anatomy Online Survey results were generally positive. The cognitive domain statements garnered the highest percentages of positive responses, and portions of the psychomotor and affective domains garnered the lowest. Qualitative responses supported both the high cognitive domain responses and the lower psychomotor/affective domain responses. The overall results of the survey indicated students perceived their anatomical cognition as adequate but would prefer psychomotor domain supports like physical models in lieu of cadavers for fully online Clinical Anatomy. The affective domain statement responses regarding students’ feelings about their anatomical knowledge varied.  </w:t>
      </w:r>
    </w:p>
    <w:p w14:paraId="27BBA8B6" w14:textId="31840539" w:rsidR="00D81E54" w:rsidRPr="00065E56" w:rsidRDefault="00731A8D" w:rsidP="00E179E4">
      <w:pPr>
        <w:spacing w:line="480" w:lineRule="auto"/>
        <w:rPr>
          <w:rFonts w:ascii="Times New Roman" w:hAnsi="Times New Roman" w:cs="Times New Roman"/>
        </w:rPr>
      </w:pPr>
      <w:r w:rsidRPr="00065E56">
        <w:rPr>
          <w:rFonts w:ascii="Times New Roman" w:hAnsi="Times New Roman" w:cs="Times New Roman"/>
        </w:rPr>
        <w:tab/>
        <w:t>Relationships between actual and perceived anatomical knowledge fell into two dichotomous categories of agreement and disagreement. The cognitive survey statements were highly positive indicating agreement with the academic outcomes. Alternatively, psychomotor and affective domain responses were both in agreement and disagreement with academic</w:t>
      </w:r>
      <w:r w:rsidR="00E179E4" w:rsidRPr="00065E56">
        <w:rPr>
          <w:rFonts w:ascii="Times New Roman" w:hAnsi="Times New Roman" w:cs="Times New Roman"/>
        </w:rPr>
        <w:t xml:space="preserve"> outcomes.</w:t>
      </w:r>
      <w:r w:rsidR="00583A08">
        <w:rPr>
          <w:rFonts w:ascii="Times New Roman" w:hAnsi="Times New Roman" w:cs="Times New Roman"/>
        </w:rPr>
        <w:t xml:space="preserve"> The following chapter will provide a discussion of these results. Key findings will be stated and situated within the literature, and a discussion of what the results mean within a Clinical Anatomy classroom and for anatomy education </w:t>
      </w:r>
      <w:r w:rsidR="00B009F3">
        <w:rPr>
          <w:rFonts w:ascii="Times New Roman" w:hAnsi="Times New Roman" w:cs="Times New Roman"/>
        </w:rPr>
        <w:t>will follow. Chapter five will conclude with a discussion of future research and implications.</w:t>
      </w:r>
    </w:p>
    <w:p w14:paraId="58C437DC" w14:textId="7A9FDC58" w:rsidR="00E179E4" w:rsidRDefault="00E179E4" w:rsidP="00E179E4">
      <w:pPr>
        <w:spacing w:line="480" w:lineRule="auto"/>
      </w:pPr>
    </w:p>
    <w:p w14:paraId="61D50B9C" w14:textId="452B5263" w:rsidR="00E179E4" w:rsidRDefault="00E179E4" w:rsidP="00E179E4">
      <w:pPr>
        <w:spacing w:line="480" w:lineRule="auto"/>
      </w:pPr>
    </w:p>
    <w:p w14:paraId="2A047D54" w14:textId="0948BF6F" w:rsidR="00E179E4" w:rsidRDefault="00E179E4" w:rsidP="00E179E4">
      <w:pPr>
        <w:spacing w:line="480" w:lineRule="auto"/>
      </w:pPr>
    </w:p>
    <w:p w14:paraId="46E4B67A" w14:textId="4F394627" w:rsidR="00E179E4" w:rsidRDefault="00E179E4" w:rsidP="00E179E4">
      <w:pPr>
        <w:spacing w:line="480" w:lineRule="auto"/>
      </w:pPr>
    </w:p>
    <w:p w14:paraId="2DA5C0BF" w14:textId="77777777" w:rsidR="00B009F3" w:rsidRDefault="00B009F3" w:rsidP="00E179E4"/>
    <w:p w14:paraId="1448970B" w14:textId="77777777" w:rsidR="00B009F3" w:rsidRDefault="00B009F3" w:rsidP="00E179E4"/>
    <w:p w14:paraId="31926E91" w14:textId="4AE02718" w:rsidR="00E179E4" w:rsidRDefault="00E179E4" w:rsidP="00E179E4">
      <w:pPr>
        <w:rPr>
          <w:rFonts w:ascii="Times New Roman" w:hAnsi="Times New Roman" w:cs="Times New Roman"/>
          <w:b/>
          <w:bCs/>
        </w:rPr>
      </w:pPr>
      <w:r w:rsidRPr="002803A0">
        <w:rPr>
          <w:rFonts w:ascii="Times New Roman" w:hAnsi="Times New Roman" w:cs="Times New Roman"/>
          <w:b/>
          <w:bCs/>
        </w:rPr>
        <w:lastRenderedPageBreak/>
        <w:t>Chapter 5</w:t>
      </w:r>
      <w:r w:rsidR="00A851A5">
        <w:rPr>
          <w:rFonts w:ascii="Times New Roman" w:hAnsi="Times New Roman" w:cs="Times New Roman"/>
          <w:b/>
          <w:bCs/>
        </w:rPr>
        <w:t>: Discussion</w:t>
      </w:r>
    </w:p>
    <w:p w14:paraId="59A870BD" w14:textId="43BC1988" w:rsidR="00E179E4" w:rsidRDefault="00E179E4" w:rsidP="00E179E4">
      <w:pPr>
        <w:rPr>
          <w:rFonts w:ascii="Times New Roman" w:hAnsi="Times New Roman" w:cs="Times New Roman"/>
          <w:b/>
          <w:bCs/>
        </w:rPr>
      </w:pPr>
    </w:p>
    <w:p w14:paraId="366499D0" w14:textId="7B6E04EB" w:rsidR="00B009F3" w:rsidRDefault="00B009F3" w:rsidP="00B009F3">
      <w:pPr>
        <w:tabs>
          <w:tab w:val="num" w:pos="720"/>
        </w:tabs>
        <w:spacing w:line="480" w:lineRule="auto"/>
        <w:rPr>
          <w:rFonts w:ascii="Times New Roman" w:hAnsi="Times New Roman" w:cs="Times New Roman"/>
        </w:rPr>
      </w:pPr>
      <w:r>
        <w:rPr>
          <w:rFonts w:ascii="Times New Roman" w:hAnsi="Times New Roman" w:cs="Times New Roman"/>
          <w:b/>
          <w:bCs/>
        </w:rPr>
        <w:tab/>
      </w:r>
      <w:r>
        <w:rPr>
          <w:rFonts w:ascii="Times New Roman" w:hAnsi="Times New Roman" w:cs="Times New Roman"/>
        </w:rPr>
        <w:t>This final chapter will include a discussion of the two major findings from this research study. The findings were analyzed according to Bloom’s Domains of Learning. Bloom’s Domains are education models for three different modes of learning: cognitive, psychomotor, and affective.  The limitations of the study follow. Looking toward the future, the last two sections of this chapter include implications for educators and future research. The remainder of the introduction is a review of this study.</w:t>
      </w:r>
    </w:p>
    <w:p w14:paraId="2DF9E81D" w14:textId="57770AF6" w:rsidR="00E179E4" w:rsidRDefault="00B009F3" w:rsidP="00E179E4">
      <w:pPr>
        <w:spacing w:line="480" w:lineRule="auto"/>
        <w:rPr>
          <w:rFonts w:ascii="Times New Roman" w:hAnsi="Times New Roman" w:cs="Times New Roman"/>
        </w:rPr>
      </w:pPr>
      <w:r>
        <w:rPr>
          <w:rFonts w:ascii="Times New Roman" w:hAnsi="Times New Roman" w:cs="Times New Roman"/>
          <w:b/>
          <w:bCs/>
        </w:rPr>
        <w:tab/>
      </w:r>
      <w:r w:rsidR="00E179E4" w:rsidRPr="007156BE">
        <w:rPr>
          <w:rFonts w:ascii="Times New Roman" w:hAnsi="Times New Roman" w:cs="Times New Roman"/>
        </w:rPr>
        <w:t>The COVID-19 pandemic</w:t>
      </w:r>
      <w:r w:rsidR="00E179E4">
        <w:rPr>
          <w:rFonts w:ascii="Times New Roman" w:hAnsi="Times New Roman" w:cs="Times New Roman"/>
        </w:rPr>
        <w:t xml:space="preserve"> forced educators worldwide to adopt online learning pedagogy. In a rapidly evolving situation, distance learning is called emergency remote teaching (ERT), and the major discriminating factor between online learning and emergency remote teaching is the time available for planning. Online learning pedagogy has established best practices that promote student learning, and educators spend months to years preparing an online course </w:t>
      </w:r>
      <w:r w:rsidR="00E179E4">
        <w:rPr>
          <w:rFonts w:ascii="Times New Roman" w:hAnsi="Times New Roman" w:cs="Times New Roman"/>
        </w:rPr>
        <w:fldChar w:fldCharType="begin"/>
      </w:r>
      <w:r w:rsidR="00E179E4">
        <w:rPr>
          <w:rFonts w:ascii="Times New Roman" w:hAnsi="Times New Roman" w:cs="Times New Roman"/>
        </w:rPr>
        <w:instrText xml:space="preserve"> ADDIN ZOTERO_ITEM CSL_CITATION {"citationID":"AJd7u5eE","properties":{"formattedCitation":"(Reyna, 2020)","plainCitation":"(Reyna, 2020)","noteIndex":0},"citationItems":[{"id":178,"uris":["http://zotero.org/users/local/8fpcHUeo/items/A9MVELBJ"],"uri":["http://zotero.org/users/local/8fpcHUeo/items/A9MVELBJ"],"itemData":{"id":178,"type":"article-journal","abstract":"The COVID-19 pandemic has caused educational institutions around the world to close their doors and move their teaching and learning into the online space. For many medical educators, who usually rely on face-to-face and blended instruction, this presents a challenge. By rethinking learning design, medical educators can ensure a smooth transition of their subjects into the online space. However, because of the immersive nature of medical education, not all teaching and learning activities can be delivered online. This paper outlines twelve tips using evidence-based educational practices and a student-centred approach. The twelve tips presented and discussed in this paper can help medical educators to transition to online learning and maintain the integrity of their subjects. They can also promote student self-regulation, help develop graduate attributes, and generally enhance learning experiences during pandemic social distancing. Finally, these tips can be used to rethink medical education in the post-pandemic era.","container-title":"MedEdPublish","DOI":"10.15694/mep.2020.000103.1","ISSN":"23127996","issue":"1","journalAbbreviation":"MedEdPublish","language":"en","source":"DOI.org (Crossref)","title":"Twelve Tips for COVID-19 friendly learning design in medical education","URL":"https://www.mededpublish.org/manuscripts/3077","volume":"9","author":[{"family":"Reyna","given":"Jorge"}],"accessed":{"date-parts":[["2020",9,14]]},"issued":{"date-parts":[["2020"]]}}}],"schema":"https://github.com/citation-style-language/schema/raw/master/csl-citation.json"} </w:instrText>
      </w:r>
      <w:r w:rsidR="00E179E4">
        <w:rPr>
          <w:rFonts w:ascii="Times New Roman" w:hAnsi="Times New Roman" w:cs="Times New Roman"/>
        </w:rPr>
        <w:fldChar w:fldCharType="separate"/>
      </w:r>
      <w:r w:rsidR="00E179E4">
        <w:rPr>
          <w:rFonts w:ascii="Times New Roman" w:hAnsi="Times New Roman" w:cs="Times New Roman"/>
          <w:noProof/>
        </w:rPr>
        <w:t>(Reyna, 2020)</w:t>
      </w:r>
      <w:r w:rsidR="00E179E4">
        <w:rPr>
          <w:rFonts w:ascii="Times New Roman" w:hAnsi="Times New Roman" w:cs="Times New Roman"/>
        </w:rPr>
        <w:fldChar w:fldCharType="end"/>
      </w:r>
      <w:r w:rsidR="00E179E4">
        <w:rPr>
          <w:rFonts w:ascii="Times New Roman" w:hAnsi="Times New Roman" w:cs="Times New Roman"/>
        </w:rPr>
        <w:t xml:space="preserve">. Due to the unpredictability of emergencies, ERT typically adapts in-class instruction to an online format rapidly within a few weeks or months </w:t>
      </w:r>
      <w:r w:rsidR="00E179E4">
        <w:rPr>
          <w:rFonts w:ascii="Times New Roman" w:hAnsi="Times New Roman" w:cs="Times New Roman"/>
        </w:rPr>
        <w:fldChar w:fldCharType="begin"/>
      </w:r>
      <w:r w:rsidR="00065E56">
        <w:rPr>
          <w:rFonts w:ascii="Times New Roman" w:hAnsi="Times New Roman" w:cs="Times New Roman"/>
        </w:rPr>
        <w:instrText xml:space="preserve"> ADDIN ZOTERO_ITEM CSL_CITATION {"citationID":"ZIbHQYYx","properties":{"formattedCitation":"(Hodges et al., n.d.; Rapanta et al., 2020)","plainCitation":"(Hodges et al., n.d.; Rapanta et al., 2020)","dontUpdate":true,"noteIndex":0},"citationItems":[{"id":222,"uris":["http://zotero.org/users/local/8fpcHUeo/items/QNTCGBNM"],"uri":["http://zotero.org/users/local/8fpcHUeo/items/QNTCGBNM"],"itemData":{"id":222,"type":"article-journal","language":"en","page":"12","source":"Zotero","title":"The Difference Between Emergency Remote Teaching and Online Learning","author":[{"family":"Hodges","given":"Charles"},{"family":"Moore","given":"Stephanie"},{"family":"Lockee","given":"Barb"},{"family":"Trust","given":"Torrey"},{"family":"Bond","given":"Aaron"}]}},{"id":263,"uris":["http://zotero.org/users/local/8fpcHUeo/items/9WJESES7"],"uri":["http://zotero.org/users/local/8fpcHUeo/items/9WJESES7"],"itemData":{"id":263,"type":"article-journal","abstract":"The Covid-19 pandemic has raised significant challenges for the higher education community worldwide. A particular challenge has been the urgent and unexpected request for previously face-to-face university courses to be taught online. Online teaching and learning imply a certain pedagogical content knowledge (PCK), mainly related to designing and organising for better learning experiences and creating distinctive learning environments, with the help of digital technologies. With this article, we provide some expert insights into this online-learning-related PCK, with the goal of helping non-expert university teachers (i.e. those who have little experience with online learning) to navigate in these challenging times. Our findings point at the design of learning activities with certain characteristics, the combination of three types of presence (social, cognitive and facilitatory) and the need for adapting assessment to the new learning requirements. We end with a reflection on how responding to a crisis (as best we can) may precipitate enhanced teaching and learning practices in the postdigital era.","container-title":"Postdigital Science and Education","DOI":"10.1007/s42438-020-00155-y","ISSN":"2524-485X, 2524-4868","journalAbbreviation":"Postdigit Sci Educ","language":"en","source":"DOI.org (Crossref)","title":"Online University Teaching During and After the Covid-19 Crisis: Refocusing Teacher Presence and Learning Activity","title-short":"Online University Teaching During and After the Covid-19 Crisis","URL":"http://link.springer.com/10.1007/s42438-020-00155-y","author":[{"family":"Rapanta","given":"Chrysi"},{"family":"Botturi","given":"Luca"},{"family":"Goodyear","given":"Peter"},{"family":"Guàrdia","given":"Lourdes"},{"family":"Koole","given":"Marguerite"}],"accessed":{"date-parts":[["2020",9,23]]},"issued":{"date-parts":[["2020",7,7]]}}}],"schema":"https://github.com/citation-style-language/schema/raw/master/csl-citation.json"} </w:instrText>
      </w:r>
      <w:r w:rsidR="00E179E4">
        <w:rPr>
          <w:rFonts w:ascii="Times New Roman" w:hAnsi="Times New Roman" w:cs="Times New Roman"/>
        </w:rPr>
        <w:fldChar w:fldCharType="separate"/>
      </w:r>
      <w:r w:rsidR="00E179E4">
        <w:rPr>
          <w:rFonts w:ascii="Times New Roman" w:hAnsi="Times New Roman" w:cs="Times New Roman"/>
          <w:noProof/>
        </w:rPr>
        <w:t>(Hodges et al., 2020; Rapanta et al., 2020)</w:t>
      </w:r>
      <w:r w:rsidR="00E179E4">
        <w:rPr>
          <w:rFonts w:ascii="Times New Roman" w:hAnsi="Times New Roman" w:cs="Times New Roman"/>
        </w:rPr>
        <w:fldChar w:fldCharType="end"/>
      </w:r>
      <w:r w:rsidR="00E179E4">
        <w:rPr>
          <w:rFonts w:ascii="Times New Roman" w:hAnsi="Times New Roman" w:cs="Times New Roman"/>
        </w:rPr>
        <w:t>. Educators have little time to adjust content delivery or course structure to best support online learning. More typically, the course is taught as it was face-to-face (F2F), and both students and faculty adjust as best as possible.</w:t>
      </w:r>
    </w:p>
    <w:p w14:paraId="674A7820" w14:textId="77777777" w:rsidR="00E179E4" w:rsidRDefault="00E179E4" w:rsidP="00E179E4">
      <w:pPr>
        <w:spacing w:line="480" w:lineRule="auto"/>
        <w:rPr>
          <w:rFonts w:ascii="Times New Roman" w:hAnsi="Times New Roman" w:cs="Times New Roman"/>
        </w:rPr>
      </w:pPr>
      <w:r>
        <w:rPr>
          <w:rFonts w:ascii="Times New Roman" w:hAnsi="Times New Roman" w:cs="Times New Roman"/>
        </w:rPr>
        <w:tab/>
        <w:t xml:space="preserve">At the University of Oklahoma Health Sciences Center, anatomy educators adapted their F2F Clinical Anatomy course to a digital format by creating videos and review sessions to replace cadaveric dissection. Digital images were used to create weekly laboratory practical exams in keeping with the tagged cadaver exams used in the F2F course. Reconstructing the laboratory in a digital format allowed faculty to maintain the same course and session objectives for the remote course. </w:t>
      </w:r>
    </w:p>
    <w:p w14:paraId="2EEF4A6E" w14:textId="77777777" w:rsidR="00E179E4" w:rsidRDefault="00E179E4" w:rsidP="00E179E4">
      <w:pPr>
        <w:spacing w:line="480" w:lineRule="auto"/>
        <w:rPr>
          <w:rFonts w:ascii="Times New Roman" w:hAnsi="Times New Roman" w:cs="Times New Roman"/>
        </w:rPr>
      </w:pPr>
      <w:r>
        <w:rPr>
          <w:rFonts w:ascii="Times New Roman" w:hAnsi="Times New Roman" w:cs="Times New Roman"/>
        </w:rPr>
        <w:lastRenderedPageBreak/>
        <w:tab/>
        <w:t>One purpose of this research study was to evaluate the academic outcomes of the remote course. Laboratory videos, online review sessions and digital image exams were a very different experience from in-person cadaveric dissection, and the effects of such a change in a Clinical Anatomy program were largely unknown. A survey of student perspectives was administered to remote learners as well. The purpose of the survey was to include students’ thoughts and opinions regarding their anatomical knowledge. Finally, researchers analyzed both the academic outcomes and the student perspectives to determine what, if any, relationships existed in the data. The research questions below reflect the purpose descriptions.</w:t>
      </w:r>
    </w:p>
    <w:p w14:paraId="2D071988" w14:textId="77777777" w:rsidR="00E179E4" w:rsidRDefault="00E179E4" w:rsidP="00E179E4">
      <w:pPr>
        <w:tabs>
          <w:tab w:val="num" w:pos="720"/>
        </w:tabs>
        <w:rPr>
          <w:rFonts w:ascii="Times New Roman" w:hAnsi="Times New Roman" w:cs="Times New Roman"/>
        </w:rPr>
      </w:pPr>
      <w:r w:rsidRPr="006C1B21">
        <w:rPr>
          <w:rFonts w:ascii="Times New Roman" w:hAnsi="Times New Roman" w:cs="Times New Roman"/>
        </w:rPr>
        <w:t>1</w:t>
      </w:r>
      <w:r>
        <w:rPr>
          <w:rFonts w:ascii="Times New Roman" w:hAnsi="Times New Roman" w:cs="Times New Roman"/>
        </w:rPr>
        <w:t>a</w:t>
      </w:r>
      <w:r w:rsidRPr="006C1B21">
        <w:rPr>
          <w:rFonts w:ascii="Times New Roman" w:hAnsi="Times New Roman" w:cs="Times New Roman"/>
        </w:rPr>
        <w:t>.</w:t>
      </w:r>
      <w:r>
        <w:rPr>
          <w:rFonts w:ascii="Times New Roman" w:hAnsi="Times New Roman" w:cs="Times New Roman"/>
        </w:rPr>
        <w:tab/>
        <w:t xml:space="preserve">Do clinical anatomy academic outcomes of PA and dental students differ between remote </w:t>
      </w:r>
      <w:r>
        <w:rPr>
          <w:rFonts w:ascii="Times New Roman" w:hAnsi="Times New Roman" w:cs="Times New Roman"/>
        </w:rPr>
        <w:tab/>
        <w:t>and face-to-face learners?</w:t>
      </w:r>
    </w:p>
    <w:p w14:paraId="046B3965" w14:textId="77777777" w:rsidR="00E179E4" w:rsidRDefault="00E179E4" w:rsidP="00E179E4">
      <w:pPr>
        <w:tabs>
          <w:tab w:val="num" w:pos="720"/>
        </w:tabs>
        <w:rPr>
          <w:rFonts w:ascii="Times New Roman" w:hAnsi="Times New Roman" w:cs="Times New Roman"/>
        </w:rPr>
      </w:pPr>
      <w:r>
        <w:rPr>
          <w:rFonts w:ascii="Times New Roman" w:hAnsi="Times New Roman" w:cs="Times New Roman"/>
        </w:rPr>
        <w:t>1b.</w:t>
      </w:r>
      <w:r>
        <w:rPr>
          <w:rFonts w:ascii="Times New Roman" w:hAnsi="Times New Roman" w:cs="Times New Roman"/>
        </w:rPr>
        <w:tab/>
        <w:t>If so, how do the academic outcomes differ?</w:t>
      </w:r>
    </w:p>
    <w:p w14:paraId="20859A01" w14:textId="77777777" w:rsidR="00E179E4" w:rsidRPr="006C1B21" w:rsidRDefault="00E179E4" w:rsidP="00E179E4">
      <w:pPr>
        <w:tabs>
          <w:tab w:val="num" w:pos="720"/>
        </w:tabs>
        <w:rPr>
          <w:rFonts w:ascii="Times New Roman" w:hAnsi="Times New Roman" w:cs="Times New Roman"/>
        </w:rPr>
      </w:pPr>
    </w:p>
    <w:p w14:paraId="4071E8B0" w14:textId="77777777" w:rsidR="00E179E4" w:rsidRDefault="00E179E4" w:rsidP="00E179E4">
      <w:pPr>
        <w:tabs>
          <w:tab w:val="num" w:pos="720"/>
        </w:tabs>
        <w:rPr>
          <w:rFonts w:ascii="Times New Roman" w:hAnsi="Times New Roman" w:cs="Times New Roman"/>
        </w:rPr>
      </w:pPr>
      <w:r w:rsidRPr="006C1B21">
        <w:rPr>
          <w:rFonts w:ascii="Times New Roman" w:hAnsi="Times New Roman" w:cs="Times New Roman"/>
        </w:rPr>
        <w:t>2.</w:t>
      </w:r>
      <w:r w:rsidRPr="006C1B21">
        <w:rPr>
          <w:rFonts w:ascii="Times New Roman" w:hAnsi="Times New Roman" w:cs="Times New Roman"/>
        </w:rPr>
        <w:tab/>
        <w:t>How do PA</w:t>
      </w:r>
      <w:r>
        <w:rPr>
          <w:rFonts w:ascii="Times New Roman" w:hAnsi="Times New Roman" w:cs="Times New Roman"/>
        </w:rPr>
        <w:t xml:space="preserve"> and dental</w:t>
      </w:r>
      <w:r w:rsidRPr="006C1B21">
        <w:rPr>
          <w:rFonts w:ascii="Times New Roman" w:hAnsi="Times New Roman" w:cs="Times New Roman"/>
        </w:rPr>
        <w:t xml:space="preserve"> students perceive their anatomical knowledge upon completion </w:t>
      </w:r>
      <w:r w:rsidRPr="006C1B21">
        <w:rPr>
          <w:rFonts w:ascii="Times New Roman" w:hAnsi="Times New Roman" w:cs="Times New Roman"/>
        </w:rPr>
        <w:tab/>
        <w:t xml:space="preserve"> </w:t>
      </w:r>
      <w:r w:rsidRPr="006C1B21">
        <w:rPr>
          <w:rFonts w:ascii="Times New Roman" w:hAnsi="Times New Roman" w:cs="Times New Roman"/>
        </w:rPr>
        <w:tab/>
        <w:t xml:space="preserve">of a remote, synchronous Clinical Anatomy course? </w:t>
      </w:r>
    </w:p>
    <w:p w14:paraId="6CF876FC" w14:textId="77777777" w:rsidR="00E179E4" w:rsidRPr="006C1B21" w:rsidRDefault="00E179E4" w:rsidP="00E179E4">
      <w:pPr>
        <w:tabs>
          <w:tab w:val="num" w:pos="720"/>
        </w:tabs>
        <w:rPr>
          <w:rFonts w:ascii="Times New Roman" w:hAnsi="Times New Roman" w:cs="Times New Roman"/>
        </w:rPr>
      </w:pPr>
    </w:p>
    <w:p w14:paraId="12F99397" w14:textId="77777777" w:rsidR="00E179E4" w:rsidRDefault="00E179E4" w:rsidP="00E179E4">
      <w:pPr>
        <w:tabs>
          <w:tab w:val="num" w:pos="720"/>
        </w:tabs>
        <w:rPr>
          <w:rFonts w:ascii="Times New Roman" w:hAnsi="Times New Roman" w:cs="Times New Roman"/>
        </w:rPr>
      </w:pPr>
      <w:r w:rsidRPr="006C1B21">
        <w:rPr>
          <w:rFonts w:ascii="Times New Roman" w:hAnsi="Times New Roman" w:cs="Times New Roman"/>
        </w:rPr>
        <w:t>3.</w:t>
      </w:r>
      <w:r w:rsidRPr="006C1B21">
        <w:rPr>
          <w:rFonts w:ascii="Times New Roman" w:hAnsi="Times New Roman" w:cs="Times New Roman"/>
        </w:rPr>
        <w:tab/>
      </w:r>
      <w:r>
        <w:rPr>
          <w:rFonts w:ascii="Times New Roman" w:hAnsi="Times New Roman" w:cs="Times New Roman"/>
        </w:rPr>
        <w:t xml:space="preserve">To what extent do PA and dental student perceptions of anatomical knowledge relate to </w:t>
      </w:r>
      <w:r>
        <w:rPr>
          <w:rFonts w:ascii="Times New Roman" w:hAnsi="Times New Roman" w:cs="Times New Roman"/>
        </w:rPr>
        <w:tab/>
        <w:t>their academic outcomes?</w:t>
      </w:r>
    </w:p>
    <w:p w14:paraId="0B9FCD05" w14:textId="77777777" w:rsidR="00E179E4" w:rsidRDefault="00E179E4" w:rsidP="00E179E4">
      <w:pPr>
        <w:tabs>
          <w:tab w:val="num" w:pos="720"/>
        </w:tabs>
        <w:rPr>
          <w:rFonts w:ascii="Times New Roman" w:hAnsi="Times New Roman" w:cs="Times New Roman"/>
        </w:rPr>
      </w:pPr>
    </w:p>
    <w:p w14:paraId="79E101CE" w14:textId="699D4ACE" w:rsidR="00E179E4" w:rsidRDefault="00E179E4" w:rsidP="00E179E4">
      <w:pPr>
        <w:tabs>
          <w:tab w:val="num" w:pos="720"/>
        </w:tabs>
        <w:spacing w:line="480" w:lineRule="auto"/>
        <w:rPr>
          <w:rFonts w:ascii="Times New Roman" w:hAnsi="Times New Roman" w:cs="Times New Roman"/>
        </w:rPr>
      </w:pPr>
      <w:r>
        <w:rPr>
          <w:rFonts w:ascii="Times New Roman" w:hAnsi="Times New Roman" w:cs="Times New Roman"/>
        </w:rPr>
        <w:tab/>
        <w:t xml:space="preserve">To investigate these questions, researchers analyzed summative and formative exam questions administered to a F2F cohort in 2019 and a remote cohort in 2020. The summative questions were identical, and the formative exams were created according to the same test blueprint. A semi-structured student focus group session provided information used to create a student perspectives survey. The voluntary survey was administered at the end of the 2020 remote course. </w:t>
      </w:r>
    </w:p>
    <w:p w14:paraId="480F3C1D" w14:textId="5D348B36" w:rsidR="00E179E4" w:rsidRDefault="00E179E4" w:rsidP="00E179E4">
      <w:pPr>
        <w:spacing w:line="480" w:lineRule="auto"/>
        <w:rPr>
          <w:rFonts w:ascii="Times New Roman" w:hAnsi="Times New Roman" w:cs="Times New Roman"/>
        </w:rPr>
      </w:pPr>
      <w:r>
        <w:rPr>
          <w:rFonts w:ascii="Times New Roman" w:hAnsi="Times New Roman" w:cs="Times New Roman"/>
        </w:rPr>
        <w:tab/>
      </w:r>
      <w:r w:rsidRPr="00E9615C">
        <w:rPr>
          <w:rFonts w:ascii="Times New Roman" w:hAnsi="Times New Roman" w:cs="Times New Roman"/>
          <w:b/>
          <w:bCs/>
        </w:rPr>
        <w:t xml:space="preserve">Emergency remote teaching provided an adequate Clinical Anatomy </w:t>
      </w:r>
      <w:r w:rsidR="004D1429">
        <w:rPr>
          <w:rFonts w:ascii="Times New Roman" w:hAnsi="Times New Roman" w:cs="Times New Roman"/>
          <w:b/>
          <w:bCs/>
        </w:rPr>
        <w:t xml:space="preserve">learning </w:t>
      </w:r>
      <w:r w:rsidRPr="00E9615C">
        <w:rPr>
          <w:rFonts w:ascii="Times New Roman" w:hAnsi="Times New Roman" w:cs="Times New Roman"/>
          <w:b/>
          <w:bCs/>
        </w:rPr>
        <w:t>experience.</w:t>
      </w:r>
      <w:r>
        <w:rPr>
          <w:rFonts w:ascii="Times New Roman" w:hAnsi="Times New Roman" w:cs="Times New Roman"/>
          <w:b/>
          <w:bCs/>
        </w:rPr>
        <w:t xml:space="preserve"> </w:t>
      </w:r>
      <w:r>
        <w:rPr>
          <w:rFonts w:ascii="Times New Roman" w:hAnsi="Times New Roman" w:cs="Times New Roman"/>
        </w:rPr>
        <w:t>To assess the cognitive domain, or the knowledge acquired by students, summative assessment items and formative exams were statistically analyzed. Summative assessment item scores</w:t>
      </w:r>
      <w:r w:rsidR="001C607A">
        <w:rPr>
          <w:rFonts w:ascii="Times New Roman" w:hAnsi="Times New Roman" w:cs="Times New Roman"/>
        </w:rPr>
        <w:t xml:space="preserve"> for the remote cohort</w:t>
      </w:r>
      <w:r>
        <w:rPr>
          <w:rFonts w:ascii="Times New Roman" w:hAnsi="Times New Roman" w:cs="Times New Roman"/>
        </w:rPr>
        <w:t xml:space="preserve"> were significantly higher </w:t>
      </w:r>
      <w:r w:rsidR="001C607A">
        <w:rPr>
          <w:rFonts w:ascii="Times New Roman" w:hAnsi="Times New Roman" w:cs="Times New Roman"/>
        </w:rPr>
        <w:t xml:space="preserve">than the face-to-face (F2F) cohort, </w:t>
      </w:r>
      <w:r>
        <w:rPr>
          <w:rFonts w:ascii="Times New Roman" w:hAnsi="Times New Roman" w:cs="Times New Roman"/>
        </w:rPr>
        <w:t xml:space="preserve">with a </w:t>
      </w:r>
      <w:r>
        <w:rPr>
          <w:rFonts w:ascii="Times New Roman" w:hAnsi="Times New Roman" w:cs="Times New Roman"/>
        </w:rPr>
        <w:lastRenderedPageBreak/>
        <w:t xml:space="preserve">small but significant effect size. Formative exams were significantly higher as well, but the effect size indicated the difference was negligible. </w:t>
      </w:r>
      <w:r w:rsidR="004D1429">
        <w:rPr>
          <w:rFonts w:ascii="Times New Roman" w:hAnsi="Times New Roman" w:cs="Times New Roman"/>
        </w:rPr>
        <w:t xml:space="preserve">The academic outcomes indicate that achievement on exams did not suffer because of ERT. </w:t>
      </w:r>
      <w:r>
        <w:rPr>
          <w:rFonts w:ascii="Times New Roman" w:hAnsi="Times New Roman" w:cs="Times New Roman"/>
        </w:rPr>
        <w:t>The cognitive domain was assessed by students in the Clinical Anatomy Online Survey, with a large majority of students perceiving their knowledge as adequate for a first-year student. This was supported qualitatively with some students commenting that they knew enough anatomy to move onto other coursework, though this was often qualified with an acknowledgement of the pandemic’s role in limiting educational options.</w:t>
      </w:r>
    </w:p>
    <w:p w14:paraId="0B81FD2E" w14:textId="08943053" w:rsidR="00E179E4" w:rsidRDefault="00E179E4" w:rsidP="00E179E4">
      <w:pPr>
        <w:spacing w:line="480" w:lineRule="auto"/>
        <w:rPr>
          <w:rFonts w:ascii="Times New Roman" w:hAnsi="Times New Roman" w:cs="Times New Roman"/>
        </w:rPr>
      </w:pPr>
      <w:r>
        <w:rPr>
          <w:rFonts w:ascii="Times New Roman" w:hAnsi="Times New Roman" w:cs="Times New Roman"/>
        </w:rPr>
        <w:tab/>
      </w:r>
      <w:proofErr w:type="spellStart"/>
      <w:r>
        <w:rPr>
          <w:rFonts w:ascii="Times New Roman" w:hAnsi="Times New Roman" w:cs="Times New Roman"/>
        </w:rPr>
        <w:t>Limpach</w:t>
      </w:r>
      <w:proofErr w:type="spellEnd"/>
      <w:r>
        <w:rPr>
          <w:rFonts w:ascii="Times New Roman" w:hAnsi="Times New Roman" w:cs="Times New Roman"/>
        </w:rPr>
        <w:t xml:space="preserve"> et al. </w:t>
      </w:r>
      <w:r w:rsidR="004D1429">
        <w:rPr>
          <w:rFonts w:ascii="Times New Roman" w:hAnsi="Times New Roman" w:cs="Times New Roman"/>
        </w:rPr>
        <w:t>suggested</w:t>
      </w:r>
      <w:r>
        <w:rPr>
          <w:rFonts w:ascii="Times New Roman" w:hAnsi="Times New Roman" w:cs="Times New Roman"/>
        </w:rPr>
        <w:t xml:space="preserve"> a similar outcome for a fully online anatomy course for pharmacy students; online students scored the same or slightly better than historical F2F students (2008). </w:t>
      </w:r>
      <w:proofErr w:type="spellStart"/>
      <w:r>
        <w:rPr>
          <w:rFonts w:ascii="Times New Roman" w:hAnsi="Times New Roman" w:cs="Times New Roman"/>
        </w:rPr>
        <w:t>Attardi</w:t>
      </w:r>
      <w:proofErr w:type="spellEnd"/>
      <w:r>
        <w:rPr>
          <w:rFonts w:ascii="Times New Roman" w:hAnsi="Times New Roman" w:cs="Times New Roman"/>
        </w:rPr>
        <w:t xml:space="preserve"> et al. reported no difference in scores in a fully online undergraduate course as well (2018). In a meta-analysis of over 50 cohorts (many of these health professions), the effect size for online learning was negligible, indicating online students did no better than F2F students (Means et al., 2013) Further comparisons can only be made with blended or flipped classroom research as no other known fully online anatomy research reported academic outcomes.</w:t>
      </w:r>
    </w:p>
    <w:p w14:paraId="14DA7C9E" w14:textId="15961FCD" w:rsidR="00E179E4" w:rsidRDefault="00E179E4" w:rsidP="00E179E4">
      <w:pPr>
        <w:spacing w:line="480" w:lineRule="auto"/>
        <w:rPr>
          <w:rFonts w:ascii="Times New Roman" w:hAnsi="Times New Roman" w:cs="Times New Roman"/>
        </w:rPr>
      </w:pPr>
      <w:r>
        <w:rPr>
          <w:rFonts w:ascii="Times New Roman" w:hAnsi="Times New Roman" w:cs="Times New Roman"/>
        </w:rPr>
        <w:tab/>
        <w:t xml:space="preserve">Several blended learning/flipped classroom research studies also indicated no difference in scores for anatomy courses </w:t>
      </w:r>
      <w:r>
        <w:rPr>
          <w:rFonts w:ascii="Times New Roman" w:hAnsi="Times New Roman" w:cs="Times New Roman"/>
        </w:rPr>
        <w:fldChar w:fldCharType="begin"/>
      </w:r>
      <w:r w:rsidR="00065E56">
        <w:rPr>
          <w:rFonts w:ascii="Times New Roman" w:hAnsi="Times New Roman" w:cs="Times New Roman"/>
        </w:rPr>
        <w:instrText xml:space="preserve"> ADDIN ZOTERO_ITEM CSL_CITATION {"citationID":"4UmdWl99","properties":{"formattedCitation":"(R. A. Green &amp; Whitburn, 2016; Nieder &amp; Borges, 2012; White et al., 2019)","plainCitation":"(R. A. Green &amp; Whitburn, 2016; Nieder &amp; Borges, 2012; White et al., 2019)","noteIndex":0},"citationItems":[{"id":292,"uris":["http://zotero.org/users/local/8fpcHUeo/items/78QQXIXE"],"uri":["http://zotero.org/users/local/8fpcHUeo/items/78QQXIXE"],"itemData":{"id":292,"type":"article-journal","container-title":"Anatomical Sciences Education","DOI":"10.1002/ase.1602","ISSN":"19359772","issue":"5","journalAbbreviation":"American Association of Anatomists","language":"en","page":"422-430","source":"DOI.org (Crossref)","title":"Impact of introduction of blended learning in gross anatomy on student outcomes: Outcomes of Blended Learning in Gross Anatomy","title-short":"Impact of introduction of blended learning in gross anatomy on student outcomes","volume":"9","author":[{"family":"Green","given":"Rodney A."},{"family":"Whitburn","given":"Laura Y."}],"issued":{"date-parts":[["2016",10]]}}},{"id":321,"uris":["http://zotero.org/users/local/8fpcHUeo/items/ACNUY94W"],"uri":["http://zotero.org/users/local/8fpcHUeo/items/ACNUY94W"],"itemData":{"id":321,"type":"article-journal","abstract":"Online lectures have been used in lieu of live lectures in our gross anatomy and embryology course for the past eight years. We examined patterns of online lecture use by our students and related that use to academic entry measures, gender and examination performance. Detailed access records identiﬁed by student were available from server logs. Total views per page of lecture material increased over the ﬁrst six years, then decreased markedly between years seven and eight, possibly due to the recent availability of alternate forms of lecture audio. Lecture use peaked in midafternoon and again in the evening, although some use was seen at all hours. Usage was highest at midweek and lowest on Fridays as might be expected. Individual student's use varied widely from rates equivalent to less than one viewing/page to more than three viewings per page. Overall use by male students was greater than that of females and gender‐speciﬁc diﬀerences in the daily pattern were seen. Lecture use was correlated to the Medical College Admission Test® (MCAT®) Verbal Reasoning and Physical Sciences scores but not to composite MCAT scores or undergraduate grade point average. Overall use appeared to be driven by scheduled team‐based learning (TBL) sessions and major examinations. Speciﬁc subsets of lecture material were most often viewed before related TBL sessions and again during review for examinations. A small but signiﬁcant correlation between lecture use and examination and course performance was seen, speciﬁcally in the male student population. These ﬁndings, along with earlier observations, suggest that varied use of online lectures is attributable to multiple factors. Anat Sci Educ © 2012 American Association of Anatomists.","container-title":"Anatomical Sciences Education","DOI":"10.1002/ase.1289","ISSN":"19359772","issue":"6","journalAbbreviation":"Anat Sci Ed","language":"en","page":"311-320","source":"DOI.org (Crossref)","title":"An eight-year study of online lecture use in a medical gross anatomy and embryology course","volume":"5","author":[{"family":"Nieder","given":"Gary L."},{"family":"Borges","given":"Nicole J."}],"issued":{"date-parts":[["2012",11]]}}},{"id":295,"uris":["http://zotero.org/users/local/8fpcHUeo/items/W9FCA4TW"],"uri":["http://zotero.org/users/local/8fpcHUeo/items/W9FCA4TW"],"itemData":{"id":295,"type":"article-journal","container-title":"Anatomical Sciences Education","DOI":"10.1002/ase.1787","ISSN":"19359772","issue":"1","journalAbbreviation":"American Association of Anatomists","language":"en","page":"43-51","source":"DOI.org (Crossref)","title":"The Effect of Content Delivery Style on Student Performance in Anatomy: Blended Learning and Assessment in Anatomy","title-short":"The Effect of Content Delivery Style on Student Performance in Anatomy","volume":"12","author":[{"family":"White","given":"Lloyd J."},{"family":"McGowan","given":"Heath W."},{"family":"McDonald","given":"Aaron C."}],"issued":{"date-parts":[["2019",1]]}}}],"schema":"https://github.com/citation-style-language/schema/raw/master/csl-citation.json"} </w:instrText>
      </w:r>
      <w:r>
        <w:rPr>
          <w:rFonts w:ascii="Times New Roman" w:hAnsi="Times New Roman" w:cs="Times New Roman"/>
        </w:rPr>
        <w:fldChar w:fldCharType="separate"/>
      </w:r>
      <w:r w:rsidR="00065E56">
        <w:rPr>
          <w:rFonts w:ascii="Times New Roman" w:hAnsi="Times New Roman" w:cs="Times New Roman"/>
          <w:noProof/>
        </w:rPr>
        <w:t>(R. A. Green &amp; Whitburn, 2016; Nieder &amp; Borges, 2012; White et al., 2019)</w:t>
      </w:r>
      <w:r>
        <w:rPr>
          <w:rFonts w:ascii="Times New Roman" w:hAnsi="Times New Roman" w:cs="Times New Roman"/>
        </w:rPr>
        <w:fldChar w:fldCharType="end"/>
      </w:r>
      <w:r>
        <w:rPr>
          <w:rFonts w:ascii="Times New Roman" w:hAnsi="Times New Roman" w:cs="Times New Roman"/>
        </w:rPr>
        <w:t xml:space="preserve">. In a broad systematic review of flipped classroom research in medical education, Chen </w:t>
      </w:r>
      <w:r w:rsidR="004D1429">
        <w:rPr>
          <w:rFonts w:ascii="Times New Roman" w:hAnsi="Times New Roman" w:cs="Times New Roman"/>
        </w:rPr>
        <w:t>and colleagues</w:t>
      </w:r>
      <w:r>
        <w:rPr>
          <w:rFonts w:ascii="Times New Roman" w:hAnsi="Times New Roman" w:cs="Times New Roman"/>
        </w:rPr>
        <w:t xml:space="preserve"> </w:t>
      </w:r>
      <w:r w:rsidR="00B47E71">
        <w:rPr>
          <w:rFonts w:ascii="Times New Roman" w:hAnsi="Times New Roman" w:cs="Times New Roman"/>
        </w:rPr>
        <w:t>showed that for</w:t>
      </w:r>
      <w:r>
        <w:rPr>
          <w:rFonts w:ascii="Times New Roman" w:hAnsi="Times New Roman" w:cs="Times New Roman"/>
        </w:rPr>
        <w:t xml:space="preserve"> anatomy courses </w:t>
      </w:r>
      <w:r w:rsidR="00B47E71">
        <w:rPr>
          <w:rFonts w:ascii="Times New Roman" w:hAnsi="Times New Roman" w:cs="Times New Roman"/>
        </w:rPr>
        <w:t>there were</w:t>
      </w:r>
      <w:r>
        <w:rPr>
          <w:rFonts w:ascii="Times New Roman" w:hAnsi="Times New Roman" w:cs="Times New Roman"/>
        </w:rPr>
        <w:t xml:space="preserve"> negligible differences in flipped versus F2F performance. Other studies exhibited modest gains in some categories of knowledge. In another systematic meta-analysis of flipped classrooms, Evans determined most courses had at least one significantly improved academic outcome, but the overall results were not significant (2019). Morton and Colbert-Getz found assessment items classified as Bloom’s cognitive level ‘analyze’ did result in modest gains in a flipped classroom scenario (2017). The </w:t>
      </w:r>
      <w:r>
        <w:rPr>
          <w:rFonts w:ascii="Times New Roman" w:hAnsi="Times New Roman" w:cs="Times New Roman"/>
        </w:rPr>
        <w:lastRenderedPageBreak/>
        <w:t>most significant outcome found for a health professions anatomy course was in a flipped classroom for Doctor of Physical Therapy students. High Bloom’s assessment items’ means were significantly higher with a large effect size (Day, 2018).</w:t>
      </w:r>
    </w:p>
    <w:p w14:paraId="1CEB8800" w14:textId="77777777" w:rsidR="00E179E4" w:rsidRDefault="00E179E4" w:rsidP="00E179E4">
      <w:pPr>
        <w:spacing w:line="480" w:lineRule="auto"/>
        <w:rPr>
          <w:rFonts w:ascii="Times New Roman" w:hAnsi="Times New Roman" w:cs="Times New Roman"/>
        </w:rPr>
      </w:pPr>
      <w:r>
        <w:rPr>
          <w:rFonts w:ascii="Times New Roman" w:hAnsi="Times New Roman" w:cs="Times New Roman"/>
        </w:rPr>
        <w:tab/>
        <w:t>Compared to fully online anatomy courses, the present research study yielded positive results in that the overall summative assessment items were statistically significant and had a small, significant effect size. Other comparisons are limited due to the differences between fully online and blended learning/flipped classrooms; however, the present study yielded more significant data than many of the blended learning studies. This is highlighted in comparing the present study to the Means et al. (2013) meta-analysis. In that large, multi-cohort study, blended learning had an effect size of d = 0.35, while fully online learning had an effect size of d = 0.05. The present study, with an effect size of d = 0.29, is far closer to the blended learning effect size, indicating a degree of success more in keeping with blending learning models than with fully online models.</w:t>
      </w:r>
    </w:p>
    <w:p w14:paraId="12CD303C" w14:textId="19B24B72" w:rsidR="00E179E4" w:rsidRDefault="00E179E4" w:rsidP="00E179E4">
      <w:pPr>
        <w:spacing w:line="480" w:lineRule="auto"/>
        <w:rPr>
          <w:rFonts w:ascii="Times New Roman" w:hAnsi="Times New Roman" w:cs="Times New Roman"/>
        </w:rPr>
      </w:pPr>
      <w:r>
        <w:rPr>
          <w:rFonts w:ascii="Times New Roman" w:hAnsi="Times New Roman" w:cs="Times New Roman"/>
        </w:rPr>
        <w:tab/>
        <w:t xml:space="preserve">Ultimately, the statistical analysis of this study indicated that the amount of anatomical knowledge that students </w:t>
      </w:r>
      <w:r w:rsidR="00B47E71">
        <w:rPr>
          <w:rFonts w:ascii="Times New Roman" w:hAnsi="Times New Roman" w:cs="Times New Roman"/>
        </w:rPr>
        <w:t>could demonstrate</w:t>
      </w:r>
      <w:r>
        <w:rPr>
          <w:rFonts w:ascii="Times New Roman" w:hAnsi="Times New Roman" w:cs="Times New Roman"/>
        </w:rPr>
        <w:t xml:space="preserve"> remotely was slightly greater than what the F2F students obtained. These results support the assertion that the relationship between students and content was </w:t>
      </w:r>
      <w:r w:rsidR="00B47E71">
        <w:rPr>
          <w:rFonts w:ascii="Times New Roman" w:hAnsi="Times New Roman" w:cs="Times New Roman"/>
        </w:rPr>
        <w:t xml:space="preserve">definitely </w:t>
      </w:r>
      <w:r>
        <w:rPr>
          <w:rFonts w:ascii="Times New Roman" w:hAnsi="Times New Roman" w:cs="Times New Roman"/>
        </w:rPr>
        <w:t xml:space="preserve">not negatively impacted due to transactional distance (Moore, 2019). The students’ positive responses to the cognitive domain statements </w:t>
      </w:r>
      <w:r w:rsidR="00B47E71">
        <w:rPr>
          <w:rFonts w:ascii="Times New Roman" w:hAnsi="Times New Roman" w:cs="Times New Roman"/>
        </w:rPr>
        <w:t xml:space="preserve">further </w:t>
      </w:r>
      <w:r>
        <w:rPr>
          <w:rFonts w:ascii="Times New Roman" w:hAnsi="Times New Roman" w:cs="Times New Roman"/>
        </w:rPr>
        <w:t xml:space="preserve">support this </w:t>
      </w:r>
      <w:r w:rsidR="00B47E71">
        <w:rPr>
          <w:rFonts w:ascii="Times New Roman" w:hAnsi="Times New Roman" w:cs="Times New Roman"/>
        </w:rPr>
        <w:t>interpretation</w:t>
      </w:r>
      <w:r>
        <w:rPr>
          <w:rFonts w:ascii="Times New Roman" w:hAnsi="Times New Roman" w:cs="Times New Roman"/>
        </w:rPr>
        <w:t xml:space="preserve">. </w:t>
      </w:r>
    </w:p>
    <w:p w14:paraId="64C0252B" w14:textId="5AF5F3D4" w:rsidR="00E179E4" w:rsidRDefault="00E179E4" w:rsidP="00E179E4">
      <w:pPr>
        <w:spacing w:line="480" w:lineRule="auto"/>
        <w:rPr>
          <w:rFonts w:ascii="Times New Roman" w:hAnsi="Times New Roman" w:cs="Times New Roman"/>
        </w:rPr>
      </w:pPr>
      <w:r>
        <w:rPr>
          <w:rFonts w:ascii="Times New Roman" w:hAnsi="Times New Roman" w:cs="Times New Roman"/>
        </w:rPr>
        <w:tab/>
        <w:t xml:space="preserve">The psychomotor and affective domains were also addressed in the survey, with some data supporting the adequacy of remote learning. The psychomotor domain was of particular interest as cadaveric dissection was a central feature of F2F learning. The psychomotor domain, originally conceived as skill acquisition (such as introductory scalpel skills), was expanded by </w:t>
      </w:r>
      <w:r>
        <w:rPr>
          <w:rFonts w:ascii="Times New Roman" w:hAnsi="Times New Roman" w:cs="Times New Roman"/>
        </w:rPr>
        <w:lastRenderedPageBreak/>
        <w:t xml:space="preserve">Harrow (1972) to include any knowledge obtained via neuromuscular coordination. According to Harrow, knowledge classified within the psychomotor/physical domain could merely augment or support cognitive knowledge; no skill-building required. This corresponds to one main purpose of cadaveric dissection, namely the provision of context, authenticity, and dimensionality to the cognitive domain content. From the </w:t>
      </w:r>
      <w:r w:rsidR="00B47E71">
        <w:rPr>
          <w:rFonts w:ascii="Times New Roman" w:hAnsi="Times New Roman" w:cs="Times New Roman"/>
        </w:rPr>
        <w:t xml:space="preserve">current </w:t>
      </w:r>
      <w:r>
        <w:rPr>
          <w:rFonts w:ascii="Times New Roman" w:hAnsi="Times New Roman" w:cs="Times New Roman"/>
        </w:rPr>
        <w:t>survey</w:t>
      </w:r>
      <w:r w:rsidR="00B47E71">
        <w:rPr>
          <w:rFonts w:ascii="Times New Roman" w:hAnsi="Times New Roman" w:cs="Times New Roman"/>
        </w:rPr>
        <w:t xml:space="preserve"> data</w:t>
      </w:r>
      <w:r>
        <w:rPr>
          <w:rFonts w:ascii="Times New Roman" w:hAnsi="Times New Roman" w:cs="Times New Roman"/>
        </w:rPr>
        <w:t xml:space="preserve">, a slim majority of students felt they could differentiate tissues and textures, and half of the students did not feel that their anatomical knowledge was fragmented. These results </w:t>
      </w:r>
      <w:r w:rsidR="00B47E71">
        <w:rPr>
          <w:rFonts w:ascii="Times New Roman" w:hAnsi="Times New Roman" w:cs="Times New Roman"/>
        </w:rPr>
        <w:t>indicate</w:t>
      </w:r>
      <w:r>
        <w:rPr>
          <w:rFonts w:ascii="Times New Roman" w:hAnsi="Times New Roman" w:cs="Times New Roman"/>
        </w:rPr>
        <w:t xml:space="preserve"> the adequacy of online Clinical Anatomy for some PA and dental students.</w:t>
      </w:r>
    </w:p>
    <w:p w14:paraId="3A5EC561" w14:textId="680C93BB" w:rsidR="00E179E4" w:rsidRDefault="00E179E4" w:rsidP="00E179E4">
      <w:pPr>
        <w:spacing w:line="480" w:lineRule="auto"/>
        <w:rPr>
          <w:rFonts w:ascii="Times New Roman" w:hAnsi="Times New Roman" w:cs="Times New Roman"/>
        </w:rPr>
      </w:pPr>
      <w:r>
        <w:rPr>
          <w:rFonts w:ascii="Times New Roman" w:hAnsi="Times New Roman" w:cs="Times New Roman"/>
        </w:rPr>
        <w:tab/>
        <w:t xml:space="preserve">The literature regarding the psychomotor and affective domain generally does not support the adequacy of fully online clinical anatomy. Multiple studies reported students’ indicating a preference for laboratory over online or text materials </w:t>
      </w:r>
      <w:r>
        <w:rPr>
          <w:rFonts w:ascii="Times New Roman" w:hAnsi="Times New Roman" w:cs="Times New Roman"/>
        </w:rPr>
        <w:fldChar w:fldCharType="begin"/>
      </w:r>
      <w:r>
        <w:rPr>
          <w:rFonts w:ascii="Times New Roman" w:hAnsi="Times New Roman" w:cs="Times New Roman"/>
        </w:rPr>
        <w:instrText xml:space="preserve"> ADDIN ZOTERO_ITEM CSL_CITATION {"citationID":"YRbAsASh","properties":{"formattedCitation":"(Attardi et al., 2016; Barbagallo et al., 2020; Davis et al., 2014)","plainCitation":"(Attardi et al., 2016; Barbagallo et al., 2020; Davis et al., 2014)","noteIndex":0},"citationItems":[{"id":343,"uris":["http://zotero.org/users/local/8fpcHUeo/items/B2XEUR4E"],"uri":["http://zotero.org/users/local/8fpcHUeo/items/B2XEUR4E"],"itemData":{"id":343,"type":"article-journal","container-title":"Anatomical Sciences Education","DOI":"10.1002/ase.1584","ISSN":"19359772","issue":"3","journalAbbreviation":"American Association of Anatomists","language":"en","page":"272-285","source":"DOI.org (Crossref)","title":"Mixed methods student evaluation of an online systemic human anatomy course with laboratory: Mixed Methods Student Evaluation of Online Human Anatomy Course","title-short":"Mixed methods student evaluation of an online systemic human anatomy course with laboratory","volume":"9","author":[{"family":"Attardi","given":"Stefanie M."},{"family":"Choi","given":"Suwhan"},{"family":"Barnett","given":"John"},{"family":"Rogers","given":"Kem A."}],"issued":{"date-parts":[["2016",5,6]]}}},{"id":325,"uris":["http://zotero.org/users/local/8fpcHUeo/items/5PJKNCJY"],"uri":["http://zotero.org/users/local/8fpcHUeo/items/5PJKNCJY"],"itemData":{"id":325,"type":"article-journal","abstract":"Blended online and digital learning includes a variety of activities that combine engaging classroom-based education with online learning. The aim of this study is to evaluate undergraduate students' perceptions of a blended online and digital curriculum for anatomy and physiology in the nursing degree program. A quantitative methodology was used with a sample of 100 undergraduate nursing students from a single Australian University. Descriptive statistics are and presented in this article. Of the 100 participants, 90% were enrolled in the standard mode compared to 10% in a flexible mode of delivery. Results indicated that 29% of participants preferred laboratory classes as having the most impact. Participants (46%) also agreed that recorded lectures were useful, with 36% indicating that the online platform was easy to navigate going as far as wanting more online quizzes (49%). More than half of the participants (54%) acknowledged that anatomy and physiology was important for their future careers. The blended online and digital learner preferences in delivering anatomy and physiology–related courses should be adjusted in order for learning to be effective for undergraduate students in the future.","container-title":"CIN: Computers, Informatics, Nursing","DOI":"10.1097/CIN.0000000000000639","ISSN":"1538-9774","language":"en","source":"DOI.org (Crossref)","title":"Evaluation of a Blended Online and Digital Learning Mode of Anatomy and Physiology for Undergraduate Nursing Students","URL":"https://journals.lww.com/10.1097/CIN.0000000000000639","volume":"Publish Ahead of Print","author":[{"family":"Barbagallo","given":"Michael S."},{"family":"Porter","given":"Joanne E."},{"family":"Lamunu","given":"Medina"}],"accessed":{"date-parts":[["2020",9,26]]},"issued":{"date-parts":[["2020",6,8]]}}},{"id":315,"uris":["http://zotero.org/users/local/8fpcHUeo/items/ZEIW5TJX"],"uri":["http://zotero.org/users/local/8fpcHUeo/items/ZEIW5TJX"],"itemData":{"id":315,"type":"article-journal","abstract":"Anatomy teaching methods have evolved as the medical undergraduate curriculum has modernized. Traditional teaching methods of dissection, prosection, tutorials and lectures are now supplemented by anatomical models and e‐learning. Despite these changes, the preferences of medical students and anatomy faculty towards both traditional and contemporary teaching methods and tools are largely unknown. This study quantiﬁed medical student and anatomy faculty opinion on various aspects of anatomical teaching at the Department of Anatomy, University of Bristol, UK. A questionnaire was used to explore the perceived eﬀectiveness of diﬀerent anatomical teaching methods and tools among anatomy faculty (AF) and medical students in year one (Y1) and year two (Y2). A total of 370 preclinical medical students entered the study (76% response rate). Responses were quantiﬁed and intergroup comparisons were made. All students and AF were strongly in favor of access to cadaveric specimens and supported traditional methods of small‐group teaching with medically qualiﬁed demonstrators. Other teaching methods, including elearning, anatomical models and surgical videos, were considered useful educational tools. In several areas there was disharmony between the opinions of AF and medical students. This study emphasizes the importance of collecting student preferences to optimize teaching methods used in the undergraduate anatomy curriculum. Anat Sci Educ 7: 262–272. © 2013 American Association of Anatomists.","container-title":"Anatomical Sciences Education","DOI":"10.1002/ase.1424","ISSN":"19359772","issue":"4","journalAbbreviation":"American Association of Anatomists","language":"en","page":"262-272","source":"DOI.org (Crossref)","title":"Human Anatomy: Let the students tell us how to teach: Human Anatomy-Let the Students Tell Us How to Teach","title-short":"Human Anatomy","volume":"7","author":[{"family":"Davis","given":"Christopher R."},{"family":"Bates","given":"Anthony S."},{"family":"Ellis","given":"Harold"},{"family":"Roberts","given":"Alice M."}],"issued":{"date-parts":[["2014",7,8]]}}}],"schema":"https://github.com/citation-style-language/schema/raw/master/csl-citation.json"} </w:instrText>
      </w:r>
      <w:r>
        <w:rPr>
          <w:rFonts w:ascii="Times New Roman" w:hAnsi="Times New Roman" w:cs="Times New Roman"/>
        </w:rPr>
        <w:fldChar w:fldCharType="separate"/>
      </w:r>
      <w:r>
        <w:rPr>
          <w:rFonts w:ascii="Times New Roman" w:hAnsi="Times New Roman" w:cs="Times New Roman"/>
          <w:noProof/>
        </w:rPr>
        <w:t>(Attardi et al., 2016; Barbagallo et al., 2020; Davis et al., 2014)</w:t>
      </w:r>
      <w:r>
        <w:rPr>
          <w:rFonts w:ascii="Times New Roman" w:hAnsi="Times New Roman" w:cs="Times New Roman"/>
        </w:rPr>
        <w:fldChar w:fldCharType="end"/>
      </w:r>
      <w:r>
        <w:rPr>
          <w:rFonts w:ascii="Times New Roman" w:hAnsi="Times New Roman" w:cs="Times New Roman"/>
        </w:rPr>
        <w:t xml:space="preserve">. Only a third of first year medical students used e-learning materials when given the opportunity, and an overwhelming majority agreed that ‘seeing specimens is essential to understanding anatomy’ in a survey of anatomy teaching preferences </w:t>
      </w:r>
      <w:r>
        <w:rPr>
          <w:rFonts w:ascii="Times New Roman" w:hAnsi="Times New Roman" w:cs="Times New Roman"/>
        </w:rPr>
        <w:fldChar w:fldCharType="begin"/>
      </w:r>
      <w:r>
        <w:rPr>
          <w:rFonts w:ascii="Times New Roman" w:hAnsi="Times New Roman" w:cs="Times New Roman"/>
        </w:rPr>
        <w:instrText xml:space="preserve"> ADDIN ZOTERO_ITEM CSL_CITATION {"citationID":"RQeTqKJ0","properties":{"formattedCitation":"(Davis et al., 2014)","plainCitation":"(Davis et al., 2014)","noteIndex":0},"citationItems":[{"id":315,"uris":["http://zotero.org/users/local/8fpcHUeo/items/ZEIW5TJX"],"uri":["http://zotero.org/users/local/8fpcHUeo/items/ZEIW5TJX"],"itemData":{"id":315,"type":"article-journal","abstract":"Anatomy teaching methods have evolved as the medical undergraduate curriculum has modernized. Traditional teaching methods of dissection, prosection, tutorials and lectures are now supplemented by anatomical models and e‐learning. Despite these changes, the preferences of medical students and anatomy faculty towards both traditional and contemporary teaching methods and tools are largely unknown. This study quantiﬁed medical student and anatomy faculty opinion on various aspects of anatomical teaching at the Department of Anatomy, University of Bristol, UK. A questionnaire was used to explore the perceived eﬀectiveness of diﬀerent anatomical teaching methods and tools among anatomy faculty (AF) and medical students in year one (Y1) and year two (Y2). A total of 370 preclinical medical students entered the study (76% response rate). Responses were quantiﬁed and intergroup comparisons were made. All students and AF were strongly in favor of access to cadaveric specimens and supported traditional methods of small‐group teaching with medically qualiﬁed demonstrators. Other teaching methods, including elearning, anatomical models and surgical videos, were considered useful educational tools. In several areas there was disharmony between the opinions of AF and medical students. This study emphasizes the importance of collecting student preferences to optimize teaching methods used in the undergraduate anatomy curriculum. Anat Sci Educ 7: 262–272. © 2013 American Association of Anatomists.","container-title":"Anatomical Sciences Education","DOI":"10.1002/ase.1424","ISSN":"19359772","issue":"4","journalAbbreviation":"American Association of Anatomists","language":"en","page":"262-272","source":"DOI.org (Crossref)","title":"Human Anatomy: Let the students tell us how to teach: Human Anatomy-Let the Students Tell Us How to Teach","title-short":"Human Anatomy","volume":"7","author":[{"family":"Davis","given":"Christopher R."},{"family":"Bates","given":"Anthony S."},{"family":"Ellis","given":"Harold"},{"family":"Roberts","given":"Alice M."}],"issued":{"date-parts":[["2014",7,8]]}}}],"schema":"https://github.com/citation-style-language/schema/raw/master/csl-citation.json"} </w:instrText>
      </w:r>
      <w:r>
        <w:rPr>
          <w:rFonts w:ascii="Times New Roman" w:hAnsi="Times New Roman" w:cs="Times New Roman"/>
        </w:rPr>
        <w:fldChar w:fldCharType="separate"/>
      </w:r>
      <w:r>
        <w:rPr>
          <w:rFonts w:ascii="Times New Roman" w:hAnsi="Times New Roman" w:cs="Times New Roman"/>
          <w:noProof/>
        </w:rPr>
        <w:t>(Davis et al., 2014)</w:t>
      </w:r>
      <w:r>
        <w:rPr>
          <w:rFonts w:ascii="Times New Roman" w:hAnsi="Times New Roman" w:cs="Times New Roman"/>
        </w:rPr>
        <w:fldChar w:fldCharType="end"/>
      </w:r>
      <w:r>
        <w:rPr>
          <w:rFonts w:ascii="Times New Roman" w:hAnsi="Times New Roman" w:cs="Times New Roman"/>
        </w:rPr>
        <w:t xml:space="preserve">. Kelsey (2020) found that a lack of specimens made learning seem more difficult for non-clinical graduate students. When </w:t>
      </w:r>
      <w:proofErr w:type="spellStart"/>
      <w:r>
        <w:rPr>
          <w:rFonts w:ascii="Times New Roman" w:hAnsi="Times New Roman" w:cs="Times New Roman"/>
        </w:rPr>
        <w:t>Attardi</w:t>
      </w:r>
      <w:proofErr w:type="spellEnd"/>
      <w:r>
        <w:rPr>
          <w:rFonts w:ascii="Times New Roman" w:hAnsi="Times New Roman" w:cs="Times New Roman"/>
        </w:rPr>
        <w:t xml:space="preserve"> (2018) provided more structure to a fully online undergraduate anatomy course, student responses toward online laboratory improved but did not exceed F2F responses. In the 2018 iteration, </w:t>
      </w:r>
      <w:proofErr w:type="spellStart"/>
      <w:r>
        <w:rPr>
          <w:rFonts w:ascii="Times New Roman" w:hAnsi="Times New Roman" w:cs="Times New Roman"/>
        </w:rPr>
        <w:t>Attardi</w:t>
      </w:r>
      <w:proofErr w:type="spellEnd"/>
      <w:r>
        <w:rPr>
          <w:rFonts w:ascii="Times New Roman" w:hAnsi="Times New Roman" w:cs="Times New Roman"/>
        </w:rPr>
        <w:t xml:space="preserve"> provided faculty-moderated small-group breakout </w:t>
      </w:r>
      <w:proofErr w:type="gramStart"/>
      <w:r>
        <w:rPr>
          <w:rFonts w:ascii="Times New Roman" w:hAnsi="Times New Roman" w:cs="Times New Roman"/>
        </w:rPr>
        <w:t>rooms;</w:t>
      </w:r>
      <w:proofErr w:type="gramEnd"/>
      <w:r>
        <w:rPr>
          <w:rFonts w:ascii="Times New Roman" w:hAnsi="Times New Roman" w:cs="Times New Roman"/>
        </w:rPr>
        <w:t xml:space="preserve"> more scaffolding ameliorated negative comments from students regarding their laboratory experience. Pandemic-era studies of student perspectives found similar results: lecture was just as good online, but laboratory was lacking </w:t>
      </w:r>
      <w:r>
        <w:rPr>
          <w:rFonts w:ascii="Times New Roman" w:hAnsi="Times New Roman" w:cs="Times New Roman"/>
        </w:rPr>
        <w:fldChar w:fldCharType="begin"/>
      </w:r>
      <w:r>
        <w:rPr>
          <w:rFonts w:ascii="Times New Roman" w:hAnsi="Times New Roman" w:cs="Times New Roman"/>
        </w:rPr>
        <w:instrText xml:space="preserve"> ADDIN ZOTERO_ITEM CSL_CITATION {"citationID":"mLV5jHdp","properties":{"formattedCitation":"(Cuschieri &amp; Calleja Agius, 2020)","plainCitation":"(Cuschieri &amp; Calleja Agius, 2020)","noteIndex":0},"citationItems":[{"id":546,"uris":["http://zotero.org/users/local/8fpcHUeo/items/WL54BBB8"],"uri":["http://zotero.org/users/local/8fpcHUeo/items/WL54BBB8"],"itemData":{"id":546,"type":"article-journal","container-title":"Anatomical Sciences Education","DOI":"10.1002/ase.2020","ISSN":"1935-9772, 1935-9780","issue":"6","journalAbbreviation":"Anat. Sci. Educ.","language":"en","page":"671-679","source":"DOI.org (Crossref)","title":"Spotlight on the Shift to Remote Anatomical Teaching During Covid‐19 Pandemic: Perspectives and Experiences from the University of Malta","title-short":"Spotlight on the Shift to Remote Anatomical Teaching During Covid‐19 Pandemic","volume":"13","author":[{"family":"Cuschieri","given":"Sarah"},{"family":"Calleja Agius","given":"Jean"}],"issued":{"date-parts":[["2020",11]]}}}],"schema":"https://github.com/citation-style-language/schema/raw/master/csl-citation.json"} </w:instrText>
      </w:r>
      <w:r>
        <w:rPr>
          <w:rFonts w:ascii="Times New Roman" w:hAnsi="Times New Roman" w:cs="Times New Roman"/>
        </w:rPr>
        <w:fldChar w:fldCharType="separate"/>
      </w:r>
      <w:r>
        <w:rPr>
          <w:rFonts w:ascii="Times New Roman" w:hAnsi="Times New Roman" w:cs="Times New Roman"/>
          <w:noProof/>
        </w:rPr>
        <w:t>(Cuschieri &amp; Calleja Agius, 2020)</w:t>
      </w:r>
      <w:r>
        <w:rPr>
          <w:rFonts w:ascii="Times New Roman" w:hAnsi="Times New Roman" w:cs="Times New Roman"/>
        </w:rPr>
        <w:fldChar w:fldCharType="end"/>
      </w:r>
      <w:r>
        <w:rPr>
          <w:rFonts w:ascii="Times New Roman" w:hAnsi="Times New Roman" w:cs="Times New Roman"/>
        </w:rPr>
        <w:t xml:space="preserve">. </w:t>
      </w:r>
    </w:p>
    <w:p w14:paraId="60C6DD26" w14:textId="053D36A7" w:rsidR="00E179E4" w:rsidRPr="006F2390" w:rsidRDefault="00E179E4" w:rsidP="00E179E4">
      <w:pPr>
        <w:spacing w:line="480" w:lineRule="auto"/>
        <w:rPr>
          <w:rFonts w:ascii="Times New Roman" w:hAnsi="Times New Roman" w:cs="Times New Roman"/>
        </w:rPr>
      </w:pPr>
      <w:r>
        <w:rPr>
          <w:rFonts w:ascii="Times New Roman" w:hAnsi="Times New Roman" w:cs="Times New Roman"/>
        </w:rPr>
        <w:tab/>
        <w:t xml:space="preserve">Faculty surveys do not provide an argument for online clinical anatomy, either. Early in the pandemic, surveyed faculty responded that a lack of cadaveric exposure/practical sessions </w:t>
      </w:r>
      <w:r>
        <w:rPr>
          <w:rFonts w:ascii="Times New Roman" w:hAnsi="Times New Roman" w:cs="Times New Roman"/>
        </w:rPr>
        <w:lastRenderedPageBreak/>
        <w:t xml:space="preserve">was a weakness of remote learning </w:t>
      </w:r>
      <w:r>
        <w:rPr>
          <w:rFonts w:ascii="Times New Roman" w:hAnsi="Times New Roman" w:cs="Times New Roman"/>
        </w:rPr>
        <w:fldChar w:fldCharType="begin"/>
      </w:r>
      <w:r>
        <w:rPr>
          <w:rFonts w:ascii="Times New Roman" w:hAnsi="Times New Roman" w:cs="Times New Roman"/>
        </w:rPr>
        <w:instrText xml:space="preserve"> ADDIN ZOTERO_ITEM CSL_CITATION {"citationID":"p5SPk6fs","properties":{"formattedCitation":"(Longhurst et al., 2020)","plainCitation":"(Longhurst et al., 2020)","noteIndex":0},"citationItems":[{"id":184,"uris":["http://zotero.org/users/local/8fpcHUeo/items/Z43JR25Y"],"uri":["http://zotero.org/users/local/8fpcHUeo/items/Z43JR25Y"],"itemData":{"id":184,"type":"article-journal","abstract":"The Covid‐19 pandemic has driven the fastest changes to higher education across the globe, necessitated by social distancing measures preventing face‐to‐face teaching. This has led to an almost immediate switch to distance learning by higher education institutions. Anatomy faces some unique challenges. Intrinsically, anatomy is a threedimensional subject that requires a sound understanding of the relationships between structures, often achieved by the study of human cadaveric material, models, and virtual resources. This study sought to identify the approaches taken in the United Kingdom and Republic of Ireland to deliver anatomical education through online means. Data were collected from 14 diﬀerent universities in the United Kingdom and Republic of Ireland and compared adopting a thematic analysis approach. Once themes were generated, they were collectively brought together using a strength, weakness, opportunity, threat (SWOT) analysis. Key themes included the opportunity to develop new online resources and the chance to engage in new academic collaborations. Academics frequently mentioned the challenge that time constrains could place on the quality and eﬀectiveness of these resources; especially as in many cases the aim of these resources was to compensate for a lack of exposure to cadaveric exposure. Comparisons of the actions taken by multiple higher education institutions reveal the ways that academics have tried to balance this demand. Discussions will facilitate decisions being made by higher education institutions regarding adapting the curriculum and assessment methods in anatomy.","container-title":"Anatomical Sciences Education","DOI":"10.1002/ase.1967","ISSN":"1935-9772, 1935-9780","issue":"3","journalAbbreviation":"Anat Sci Educ","language":"en","page":"301-311","source":"DOI.org (Crossref)","title":"Strength, Weakness, Opportunity, Threat (SWOT) Analysis of the Adaptations to Anatomical Education in the United Kingdom and Republic of Ireland in Response to the Covid‐19 Pandemic","volume":"13","author":[{"family":"Longhurst","given":"Georga J."},{"family":"Stone","given":"Danya M."},{"family":"Dulohery","given":"Kate"},{"family":"Scully","given":"Deirdre"},{"family":"Campbell","given":"Thomas"},{"family":"Smith","given":"Claire F."}],"issued":{"date-parts":[["2020",5]]}}}],"schema":"https://github.com/citation-style-language/schema/raw/master/csl-citation.json"} </w:instrText>
      </w:r>
      <w:r>
        <w:rPr>
          <w:rFonts w:ascii="Times New Roman" w:hAnsi="Times New Roman" w:cs="Times New Roman"/>
        </w:rPr>
        <w:fldChar w:fldCharType="separate"/>
      </w:r>
      <w:r>
        <w:rPr>
          <w:rFonts w:ascii="Times New Roman" w:hAnsi="Times New Roman" w:cs="Times New Roman"/>
          <w:noProof/>
        </w:rPr>
        <w:t>(Longhurst et al., 2020)</w:t>
      </w:r>
      <w:r>
        <w:rPr>
          <w:rFonts w:ascii="Times New Roman" w:hAnsi="Times New Roman" w:cs="Times New Roman"/>
        </w:rPr>
        <w:fldChar w:fldCharType="end"/>
      </w:r>
      <w:r>
        <w:rPr>
          <w:rFonts w:ascii="Times New Roman" w:hAnsi="Times New Roman" w:cs="Times New Roman"/>
        </w:rPr>
        <w:t xml:space="preserve">. Prior to the pandemic, 100% of responding anatomy educators used cadaveric dissection to teach their courses </w:t>
      </w:r>
      <w:r>
        <w:rPr>
          <w:rFonts w:ascii="Times New Roman" w:hAnsi="Times New Roman" w:cs="Times New Roman"/>
        </w:rPr>
        <w:fldChar w:fldCharType="begin"/>
      </w:r>
      <w:r>
        <w:rPr>
          <w:rFonts w:ascii="Times New Roman" w:hAnsi="Times New Roman" w:cs="Times New Roman"/>
        </w:rPr>
        <w:instrText xml:space="preserve"> ADDIN ZOTERO_ITEM CSL_CITATION {"citationID":"d8ztLcjG","properties":{"formattedCitation":"(McBride &amp; Drake, 2018)","plainCitation":"(McBride &amp; Drake, 2018)","noteIndex":0},"citationItems":[{"id":528,"uris":["http://zotero.org/users/local/8fpcHUeo/items/ZDM6VDSV"],"uri":["http://zotero.org/users/local/8fpcHUeo/items/ZDM6VDSV"],"itemData":{"id":528,"type":"article-journal","container-title":"Anatomical Sciences Education","DOI":"10.1002/ase.1760","ISSN":"19359772","issue":"1","journalAbbreviation":"American Association of Anatomists","language":"en","page":"7-14","source":"DOI.org (Crossref)","title":"National survey on anatomical sciences in medical education: Anatomical Sciences in Medical Education","title-short":"National survey on anatomical sciences in medical education","volume":"11","author":[{"family":"McBride","given":"Jennifer M."},{"family":"Drake","given":"Richard L."}],"issued":{"date-parts":[["2018",1]]}}}],"schema":"https://github.com/citation-style-language/schema/raw/master/csl-citation.json"} </w:instrText>
      </w:r>
      <w:r>
        <w:rPr>
          <w:rFonts w:ascii="Times New Roman" w:hAnsi="Times New Roman" w:cs="Times New Roman"/>
        </w:rPr>
        <w:fldChar w:fldCharType="separate"/>
      </w:r>
      <w:r>
        <w:rPr>
          <w:rFonts w:ascii="Times New Roman" w:hAnsi="Times New Roman" w:cs="Times New Roman"/>
          <w:noProof/>
        </w:rPr>
        <w:t>(McBride &amp; Drake, 2018)</w:t>
      </w:r>
      <w:r>
        <w:rPr>
          <w:rFonts w:ascii="Times New Roman" w:hAnsi="Times New Roman" w:cs="Times New Roman"/>
        </w:rPr>
        <w:fldChar w:fldCharType="end"/>
      </w:r>
      <w:r>
        <w:rPr>
          <w:rFonts w:ascii="Times New Roman" w:hAnsi="Times New Roman" w:cs="Times New Roman"/>
        </w:rPr>
        <w:t xml:space="preserve">, suggesting their </w:t>
      </w:r>
      <w:r w:rsidR="00BF63A6">
        <w:rPr>
          <w:rFonts w:ascii="Times New Roman" w:hAnsi="Times New Roman" w:cs="Times New Roman"/>
        </w:rPr>
        <w:t xml:space="preserve">perceived </w:t>
      </w:r>
      <w:r>
        <w:rPr>
          <w:rFonts w:ascii="Times New Roman" w:hAnsi="Times New Roman" w:cs="Times New Roman"/>
        </w:rPr>
        <w:t>necessity in achieving learning objectives. Authentic c</w:t>
      </w:r>
      <w:r w:rsidRPr="006F2390">
        <w:rPr>
          <w:rFonts w:ascii="Times New Roman" w:hAnsi="Times New Roman" w:cs="Times New Roman"/>
        </w:rPr>
        <w:t>linical applications are featured in cadaveric dissection as each donor brings an open-ended experience and exploration to the laboratory</w:t>
      </w:r>
      <w:r>
        <w:rPr>
          <w:rFonts w:ascii="Times New Roman" w:hAnsi="Times New Roman" w:cs="Times New Roman"/>
        </w:rPr>
        <w:t xml:space="preserve">. Additionally, the context and dimensionality provided by the cadaver frame the cognitive domain knowledge in a concrete physical donor. When the faculty at OUHSC created the laboratory dissection videos, they were careful </w:t>
      </w:r>
      <w:r w:rsidR="001C607A">
        <w:rPr>
          <w:rFonts w:ascii="Times New Roman" w:hAnsi="Times New Roman" w:cs="Times New Roman"/>
        </w:rPr>
        <w:t xml:space="preserve">to </w:t>
      </w:r>
      <w:r>
        <w:rPr>
          <w:rFonts w:ascii="Times New Roman" w:hAnsi="Times New Roman" w:cs="Times New Roman"/>
        </w:rPr>
        <w:t xml:space="preserve">include context such as dissection cues about layers, textures, and depth as well as an overview of the steps of the dissection. </w:t>
      </w:r>
      <w:r w:rsidR="00B47E71">
        <w:rPr>
          <w:rFonts w:ascii="Times New Roman" w:hAnsi="Times New Roman" w:cs="Times New Roman"/>
        </w:rPr>
        <w:t>These</w:t>
      </w:r>
      <w:r>
        <w:rPr>
          <w:rFonts w:ascii="Times New Roman" w:hAnsi="Times New Roman" w:cs="Times New Roman"/>
        </w:rPr>
        <w:t xml:space="preserve"> cues and summaries </w:t>
      </w:r>
      <w:r w:rsidR="00B47E71">
        <w:rPr>
          <w:rFonts w:ascii="Times New Roman" w:hAnsi="Times New Roman" w:cs="Times New Roman"/>
        </w:rPr>
        <w:t>may be</w:t>
      </w:r>
      <w:r>
        <w:rPr>
          <w:rFonts w:ascii="Times New Roman" w:hAnsi="Times New Roman" w:cs="Times New Roman"/>
        </w:rPr>
        <w:t xml:space="preserve"> sufficient for their clinical anatomy experience. For half of the </w:t>
      </w:r>
      <w:r w:rsidR="00B47E71">
        <w:rPr>
          <w:rFonts w:ascii="Times New Roman" w:hAnsi="Times New Roman" w:cs="Times New Roman"/>
        </w:rPr>
        <w:t xml:space="preserve">current </w:t>
      </w:r>
      <w:r>
        <w:rPr>
          <w:rFonts w:ascii="Times New Roman" w:hAnsi="Times New Roman" w:cs="Times New Roman"/>
        </w:rPr>
        <w:t>survey participants, the video/laboratory sessions/lecture combination was sufficient</w:t>
      </w:r>
      <w:r w:rsidR="00B47E71">
        <w:rPr>
          <w:rFonts w:ascii="Times New Roman" w:hAnsi="Times New Roman" w:cs="Times New Roman"/>
        </w:rPr>
        <w:t xml:space="preserve"> for adequate anatomical knowledge cognitive gains and</w:t>
      </w:r>
      <w:r>
        <w:rPr>
          <w:rFonts w:ascii="Times New Roman" w:hAnsi="Times New Roman" w:cs="Times New Roman"/>
        </w:rPr>
        <w:t xml:space="preserve"> for their anatomical knowledge not to feel fragmented. The possibility also exists that students are responding to ‘pandemic’ surveys with full knowledge of the limitations imposed by the pandemic </w:t>
      </w:r>
      <w:r>
        <w:rPr>
          <w:rFonts w:ascii="Times New Roman" w:hAnsi="Times New Roman" w:cs="Times New Roman"/>
        </w:rPr>
        <w:fldChar w:fldCharType="begin"/>
      </w:r>
      <w:r w:rsidR="00065E56">
        <w:rPr>
          <w:rFonts w:ascii="Times New Roman" w:hAnsi="Times New Roman" w:cs="Times New Roman"/>
        </w:rPr>
        <w:instrText xml:space="preserve"> ADDIN ZOTERO_ITEM CSL_CITATION {"citationID":"ilD8BPro","properties":{"formattedCitation":"(D. J. R. Evans &amp; Pawlina, 2021)","plainCitation":"(D. J. R. Evans &amp; Pawlina, 2021)","noteIndex":0},"citationItems":[{"id":548,"uris":["http://zotero.org/users/local/8fpcHUeo/items/PCF7TAM3"],"uri":["http://zotero.org/users/local/8fpcHUeo/items/PCF7TAM3"],"itemData":{"id":548,"type":"article-journal","container-title":"Anatomical Sciences Education","DOI":"10.1002/ase.2061","ISSN":"1935-9772, 1935-9780","issue":"2","journalAbbreviation":"Anat. Sci. Educ.","language":"en","page":"129-131","source":"DOI.org (Crossref)","title":"Effects of Covid‐19: The Need to Assess the Real Value of Anatomy Education","title-short":"Effects of Covid‐19","volume":"14","author":[{"family":"Evans","given":"Darrell J. R."},{"family":"Pawlina","given":"Wojciech"}],"issued":{"date-parts":[["2021",3]]}}}],"schema":"https://github.com/citation-style-language/schema/raw/master/csl-citation.json"} </w:instrText>
      </w:r>
      <w:r>
        <w:rPr>
          <w:rFonts w:ascii="Times New Roman" w:hAnsi="Times New Roman" w:cs="Times New Roman"/>
        </w:rPr>
        <w:fldChar w:fldCharType="separate"/>
      </w:r>
      <w:r w:rsidR="00065E56">
        <w:rPr>
          <w:rFonts w:ascii="Times New Roman" w:hAnsi="Times New Roman" w:cs="Times New Roman"/>
          <w:noProof/>
        </w:rPr>
        <w:t>(D. J. R. Evans &amp; Pawlina, 2021)</w:t>
      </w:r>
      <w:r>
        <w:rPr>
          <w:rFonts w:ascii="Times New Roman" w:hAnsi="Times New Roman" w:cs="Times New Roman"/>
        </w:rPr>
        <w:fldChar w:fldCharType="end"/>
      </w:r>
      <w:r>
        <w:rPr>
          <w:rFonts w:ascii="Times New Roman" w:hAnsi="Times New Roman" w:cs="Times New Roman"/>
        </w:rPr>
        <w:t xml:space="preserve"> and are adjusting their responses accordingly. </w:t>
      </w:r>
    </w:p>
    <w:p w14:paraId="481EDC83" w14:textId="70BA0C7E" w:rsidR="00E179E4" w:rsidRDefault="00E179E4" w:rsidP="00E179E4">
      <w:pPr>
        <w:spacing w:line="480" w:lineRule="auto"/>
        <w:rPr>
          <w:rFonts w:ascii="Times New Roman" w:eastAsia="Times New Roman" w:hAnsi="Times New Roman" w:cs="Times New Roman"/>
          <w:color w:val="000000"/>
        </w:rPr>
      </w:pPr>
      <w:r>
        <w:rPr>
          <w:rFonts w:ascii="Times New Roman" w:hAnsi="Times New Roman" w:cs="Times New Roman"/>
        </w:rPr>
        <w:tab/>
      </w:r>
      <w:r w:rsidRPr="00184EDE">
        <w:rPr>
          <w:rFonts w:ascii="Times New Roman" w:eastAsia="Times New Roman" w:hAnsi="Times New Roman" w:cs="Times New Roman"/>
          <w:b/>
          <w:bCs/>
          <w:color w:val="000000"/>
        </w:rPr>
        <w:t>Students perceived the absence of physical/tactile experiences as a lost learning opportunity</w:t>
      </w:r>
      <w:r>
        <w:rPr>
          <w:rFonts w:ascii="Times New Roman" w:eastAsia="Times New Roman" w:hAnsi="Times New Roman" w:cs="Times New Roman"/>
          <w:b/>
          <w:bCs/>
          <w:color w:val="000000"/>
        </w:rPr>
        <w:t xml:space="preserve">. </w:t>
      </w:r>
      <w:r w:rsidR="00B47E71">
        <w:rPr>
          <w:rFonts w:ascii="Times New Roman" w:eastAsia="Times New Roman" w:hAnsi="Times New Roman" w:cs="Times New Roman"/>
          <w:color w:val="000000"/>
        </w:rPr>
        <w:t>Some</w:t>
      </w:r>
      <w:r>
        <w:rPr>
          <w:rFonts w:ascii="Times New Roman" w:eastAsia="Times New Roman" w:hAnsi="Times New Roman" w:cs="Times New Roman"/>
          <w:color w:val="000000"/>
        </w:rPr>
        <w:t xml:space="preserve"> students perceived the psychomotor and affective domains quite differently. A theme emerged from written comments </w:t>
      </w:r>
      <w:r w:rsidR="00B47E71">
        <w:rPr>
          <w:rFonts w:ascii="Times New Roman" w:eastAsia="Times New Roman" w:hAnsi="Times New Roman" w:cs="Times New Roman"/>
          <w:color w:val="000000"/>
        </w:rPr>
        <w:t>that</w:t>
      </w:r>
      <w:r>
        <w:rPr>
          <w:rFonts w:ascii="Times New Roman" w:eastAsia="Times New Roman" w:hAnsi="Times New Roman" w:cs="Times New Roman"/>
          <w:color w:val="000000"/>
        </w:rPr>
        <w:t xml:space="preserve"> the lack of 3-dimensionality and context inhibited students’ deep learning. The codes that developed this theme referred to the benefits of cadaveric dissection, the loss of anatomical relationships, and the disadvantages of being online. A large majority (98%) felt a physical model would have helped them to study, and nearly 60% of students disagreed that an online atlas was just as good as a physical model. These statements suggest almost all students desired a tangible, tactile experience for clinical anatomy, and the online laboratory experience could not adequately replace it for many students. Students also </w:t>
      </w:r>
      <w:r>
        <w:rPr>
          <w:rFonts w:ascii="Times New Roman" w:eastAsia="Times New Roman" w:hAnsi="Times New Roman" w:cs="Times New Roman"/>
          <w:color w:val="000000"/>
        </w:rPr>
        <w:lastRenderedPageBreak/>
        <w:t xml:space="preserve">wanted just-in-time cadaveric review time prior to more advanced coursework and believed such a review would help them to be prepared </w:t>
      </w:r>
      <w:r w:rsidR="001C607A">
        <w:rPr>
          <w:rFonts w:ascii="Times New Roman" w:eastAsia="Times New Roman" w:hAnsi="Times New Roman" w:cs="Times New Roman"/>
          <w:color w:val="000000"/>
        </w:rPr>
        <w:t xml:space="preserve">for </w:t>
      </w:r>
      <w:r>
        <w:rPr>
          <w:rFonts w:ascii="Times New Roman" w:eastAsia="Times New Roman" w:hAnsi="Times New Roman" w:cs="Times New Roman"/>
          <w:color w:val="000000"/>
        </w:rPr>
        <w:t xml:space="preserve">future coursework. </w:t>
      </w:r>
    </w:p>
    <w:p w14:paraId="62FE6208" w14:textId="18221DF9" w:rsidR="00E179E4" w:rsidRDefault="00E179E4" w:rsidP="00E179E4">
      <w:pPr>
        <w:spacing w:line="480" w:lineRule="auto"/>
        <w:rPr>
          <w:rFonts w:ascii="Times New Roman" w:eastAsia="Times New Roman" w:hAnsi="Times New Roman" w:cs="Times New Roman"/>
          <w:color w:val="000000"/>
        </w:rPr>
      </w:pPr>
      <w:r>
        <w:rPr>
          <w:rFonts w:ascii="Times New Roman" w:eastAsia="Times New Roman" w:hAnsi="Times New Roman" w:cs="Times New Roman"/>
          <w:color w:val="000000"/>
        </w:rPr>
        <w:tab/>
        <w:t xml:space="preserve">The negative responses to the statement ‘activities integrating lab and lecture knowledge would have contributed to my learning’ potentially indicated a suboptimal relationship between the structure, dialogue, and autonomy of the course </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ADDIN ZOTERO_ITEM CSL_CITATION {"citationID":"2WKoD61J","properties":{"formattedCitation":"(Peters, 1998)","plainCitation":"(Peters, 1998)","noteIndex":0},"citationItems":[{"id":250,"uris":["http://zotero.org/users/local/8fpcHUeo/items/MJYMFNSE"],"uri":["http://zotero.org/users/local/8fpcHUeo/items/MJYMFNSE"],"itemData":{"id":250,"type":"book","event-place":"London","publisher":"Kogan Page Limited","publisher-place":"London","title":"Learning and Teaching in Distance Education: Analyses and. Interpretations from an International Perspective.","author":[{"family":"Peters","given":"O."}],"issued":{"date-parts":[["1998"]]}}}],"schema":"https://github.com/citation-style-language/schema/raw/master/csl-citation.json"} </w:instrText>
      </w:r>
      <w:r>
        <w:rPr>
          <w:rFonts w:ascii="Times New Roman" w:eastAsia="Times New Roman" w:hAnsi="Times New Roman" w:cs="Times New Roman"/>
          <w:color w:val="000000"/>
        </w:rPr>
        <w:fldChar w:fldCharType="separate"/>
      </w:r>
      <w:r>
        <w:rPr>
          <w:rFonts w:ascii="Times New Roman" w:eastAsia="Times New Roman" w:hAnsi="Times New Roman" w:cs="Times New Roman"/>
          <w:noProof/>
          <w:color w:val="000000"/>
        </w:rPr>
        <w:t>(Peters, 1998)</w:t>
      </w:r>
      <w:r>
        <w:rPr>
          <w:rFonts w:ascii="Times New Roman" w:eastAsia="Times New Roman" w:hAnsi="Times New Roman" w:cs="Times New Roman"/>
          <w:color w:val="000000"/>
        </w:rPr>
        <w:fldChar w:fldCharType="end"/>
      </w:r>
      <w:r>
        <w:rPr>
          <w:rFonts w:ascii="Times New Roman" w:eastAsia="Times New Roman" w:hAnsi="Times New Roman" w:cs="Times New Roman"/>
          <w:color w:val="000000"/>
        </w:rPr>
        <w:t xml:space="preserve">. Simonson also wrote that students require intentional interaction when engaged in online learning: the default of passive reception of knowledge will not suffice (2019). Moore noted that when first moving a course online, there is often a need to adjust the relationship between the learner and content (1989). </w:t>
      </w:r>
      <w:r>
        <w:rPr>
          <w:rFonts w:ascii="Times New Roman" w:eastAsia="Times New Roman" w:hAnsi="Times New Roman" w:cs="Times New Roman"/>
          <w:color w:val="000000"/>
        </w:rPr>
        <w:tab/>
        <w:t xml:space="preserve">Faculty traditionally relied on cadaveric dissection laboratory to increase dialogue and provide teachable moments to students. The open-ended, exploratory, tactile, active nature of cadaveric dissection met those needs. Though faculty had prepared an online laboratory digital library and review sessions tailored to meet students’ active learning needs, many students clearly indicated a desire for physical learning, even as the cognitive needs were being met. This is consistent with a meta-analysis indicating laboratory modality (including digital) is irrelevant to academic outcomes, but that students and faculty alike perceive cadaveric dissection as preferable </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ADDIN ZOTERO_ITEM CSL_CITATION {"citationID":"Mc8oDEQr","properties":{"formattedCitation":"(Wilson et al., 2018)","plainCitation":"(Wilson et al., 2018)","noteIndex":0},"citationItems":[{"id":554,"uris":["http://zotero.org/users/local/8fpcHUeo/items/KPVDYP9H"],"uri":["http://zotero.org/users/local/8fpcHUeo/items/KPVDYP9H"],"itemData":{"id":554,"type":"article-journal","container-title":"Clinical Anatomy","DOI":"10.1002/ca.22934","ISSN":"08973806","issue":"1","journalAbbreviation":"Clin. Anat.","language":"en","page":"122-133","source":"DOI.org (Crossref)","title":"A meta-analysis of anatomy laboratory pedagogies: Effectiveness of Anatomy Laboratory Pedagogies","title-short":"A meta-analysis of anatomy laboratory pedagogies","volume":"31","author":[{"family":"Wilson","given":"Adam B."},{"family":"Miller","given":"Corinne H."},{"family":"Klein","given":"Barbie A."},{"family":"Taylor","given":"Melissa A."},{"family":"Goodwin","given":"Michael"},{"family":"Boyle","given":"Eve K."},{"family":"Brown","given":"Kirsten"},{"family":"Hoppe","given":"Chantal"},{"family":"Lazarus","given":"Michelle"}],"issued":{"date-parts":[["2018",1]]}}}],"schema":"https://github.com/citation-style-language/schema/raw/master/csl-citation.json"} </w:instrText>
      </w:r>
      <w:r>
        <w:rPr>
          <w:rFonts w:ascii="Times New Roman" w:eastAsia="Times New Roman" w:hAnsi="Times New Roman" w:cs="Times New Roman"/>
          <w:color w:val="000000"/>
        </w:rPr>
        <w:fldChar w:fldCharType="separate"/>
      </w:r>
      <w:r>
        <w:rPr>
          <w:rFonts w:ascii="Times New Roman" w:eastAsia="Times New Roman" w:hAnsi="Times New Roman" w:cs="Times New Roman"/>
          <w:noProof/>
          <w:color w:val="000000"/>
        </w:rPr>
        <w:t>(Wilson et al., 2018)</w:t>
      </w:r>
      <w:r>
        <w:rPr>
          <w:rFonts w:ascii="Times New Roman" w:eastAsia="Times New Roman" w:hAnsi="Times New Roman" w:cs="Times New Roman"/>
          <w:color w:val="000000"/>
        </w:rPr>
        <w:fldChar w:fldCharType="end"/>
      </w:r>
      <w:r>
        <w:rPr>
          <w:rFonts w:ascii="Times New Roman" w:eastAsia="Times New Roman" w:hAnsi="Times New Roman" w:cs="Times New Roman"/>
          <w:color w:val="000000"/>
        </w:rPr>
        <w:t xml:space="preserve">. </w:t>
      </w:r>
      <w:r w:rsidR="001C607A">
        <w:rPr>
          <w:rFonts w:ascii="Times New Roman" w:eastAsia="Times New Roman" w:hAnsi="Times New Roman" w:cs="Times New Roman"/>
          <w:color w:val="000000"/>
        </w:rPr>
        <w:t>Covid-19 pandemic-era s</w:t>
      </w:r>
      <w:r>
        <w:rPr>
          <w:rFonts w:ascii="Times New Roman" w:eastAsia="Times New Roman" w:hAnsi="Times New Roman" w:cs="Times New Roman"/>
          <w:color w:val="000000"/>
        </w:rPr>
        <w:t xml:space="preserve">urvey research of students participating in </w:t>
      </w:r>
      <w:r w:rsidR="000C2B46">
        <w:rPr>
          <w:rFonts w:ascii="Times New Roman" w:eastAsia="Times New Roman" w:hAnsi="Times New Roman" w:cs="Times New Roman"/>
          <w:color w:val="000000"/>
        </w:rPr>
        <w:t xml:space="preserve">remote </w:t>
      </w:r>
      <w:r>
        <w:rPr>
          <w:rFonts w:ascii="Times New Roman" w:eastAsia="Times New Roman" w:hAnsi="Times New Roman" w:cs="Times New Roman"/>
          <w:color w:val="000000"/>
        </w:rPr>
        <w:t>Clinical Anatomy</w:t>
      </w:r>
      <w:r w:rsidR="000C2B46">
        <w:rPr>
          <w:rFonts w:ascii="Times New Roman" w:eastAsia="Times New Roman" w:hAnsi="Times New Roman" w:cs="Times New Roman"/>
          <w:color w:val="000000"/>
        </w:rPr>
        <w:t xml:space="preserve"> also </w:t>
      </w:r>
      <w:r>
        <w:rPr>
          <w:rFonts w:ascii="Times New Roman" w:eastAsia="Times New Roman" w:hAnsi="Times New Roman" w:cs="Times New Roman"/>
          <w:color w:val="000000"/>
        </w:rPr>
        <w:t>indicate</w:t>
      </w:r>
      <w:r w:rsidR="000C2B46">
        <w:rPr>
          <w:rFonts w:ascii="Times New Roman" w:eastAsia="Times New Roman" w:hAnsi="Times New Roman" w:cs="Times New Roman"/>
          <w:color w:val="000000"/>
        </w:rPr>
        <w:t>d</w:t>
      </w:r>
      <w:r>
        <w:rPr>
          <w:rFonts w:ascii="Times New Roman" w:eastAsia="Times New Roman" w:hAnsi="Times New Roman" w:cs="Times New Roman"/>
          <w:color w:val="000000"/>
        </w:rPr>
        <w:t xml:space="preserve"> students felt that F2F </w:t>
      </w:r>
      <w:r w:rsidR="000C2B46">
        <w:rPr>
          <w:rFonts w:ascii="Times New Roman" w:eastAsia="Times New Roman" w:hAnsi="Times New Roman" w:cs="Times New Roman"/>
          <w:color w:val="000000"/>
        </w:rPr>
        <w:t xml:space="preserve">clinical anatomy would have been preferable to their remote learning </w:t>
      </w:r>
      <w:r>
        <w:rPr>
          <w:rFonts w:ascii="Times New Roman" w:eastAsia="Times New Roman" w:hAnsi="Times New Roman" w:cs="Times New Roman"/>
          <w:color w:val="000000"/>
        </w:rPr>
        <w:t>experience</w:t>
      </w:r>
      <w:r w:rsidR="001C607A">
        <w:rPr>
          <w:rFonts w:ascii="Times New Roman" w:eastAsia="Times New Roman" w:hAnsi="Times New Roman" w:cs="Times New Roman"/>
          <w:color w:val="000000"/>
        </w:rPr>
        <w:t xml:space="preserve"> </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ADDIN ZOTERO_ITEM CSL_CITATION {"citationID":"HWp48p3E","properties":{"formattedCitation":"(Cuschieri &amp; Calleja Agius, 2020; Shahrvini et al., 2021)","plainCitation":"(Cuschieri &amp; Calleja Agius, 2020; Shahrvini et al., 2021)","noteIndex":0},"citationItems":[{"id":546,"uris":["http://zotero.org/users/local/8fpcHUeo/items/WL54BBB8"],"uri":["http://zotero.org/users/local/8fpcHUeo/items/WL54BBB8"],"itemData":{"id":546,"type":"article-journal","container-title":"Anatomical Sciences Education","DOI":"10.1002/ase.2020","ISSN":"1935-9772, 1935-9780","issue":"6","journalAbbreviation":"Anat. Sci. Educ.","language":"en","page":"671-679","source":"DOI.org (Crossref)","title":"Spotlight on the Shift to Remote Anatomical Teaching During Covid‐19 Pandemic: Perspectives and Experiences from the University of Malta","title-short":"Spotlight on the Shift to Remote Anatomical Teaching During Covid‐19 Pandemic","volume":"13","author":[{"family":"Cuschieri","given":"Sarah"},{"family":"Calleja Agius","given":"Jean"}],"issued":{"date-parts":[["2020",11]]}}},{"id":556,"uris":["http://zotero.org/users/local/8fpcHUeo/items/QQ5MGL29"],"uri":["http://zotero.org/users/local/8fpcHUeo/items/QQ5MGL29"],"itemData":{"id":556,"type":"article-journal","abstract":"Background: The Coronavirus Disease 2019 (COVID-19) pandemic has necessitated a sudden transition to remote learning in medical schools. We aimed to assess perceptions of remote learning among pre-clinical medical students and subsequently to identify pros and cons of remote learning, as well as uncover gaps to address in ongoing curricular development.\nMethods: A survey was distributed to first- and second-year medical students at the University of California San Diego School of Medicine in March 2020. Frequencies of responses to structured multiple-choice questions were compared regarding impacts of remote learning on quality of instruction and ability to participate, value of various remote learning resources, living environment, and preparedness for subsequent stages of training. Responses to open-ended questions about strengths and weaknesses of the remote curriculum and overall reflections were coded for thematic content.\nResults: Of 268 students enrolled, 104 responded (53.7% of first-year students and 23.9% of second-year students). Overall, students felt that remote learning had negatively affected the quality of instruction and their ability to participate. Most (64.1%) preferred the flexibility of learning material at their own pace. Only 25.5% of respondents still felt connected to the medical school or classmates, and feelings of anxiety and isolation were noted negatives of remote learning. Most second-year students (56.7%) felt their preparation for the United States Medical Licensing Examination Step 1 exam was negatively affected, and 43.3% felt unprepared to begin clerkships. In narrative responses, most students appreciated the increased flexibility of remote learning, but they also identified several deficits that still need to be addressed, including digital fatigue, decreased ability to participate, and lack of clinical skills, laboratory, and hands-on learning.\nConclusions: Videocasted lectures uploaded in advance, electronic health record and telehealth training for students, and training for teaching faculty to increase technological fluency may be considered to optimize remote learning curricula.","container-title":"BMC Medical Education","DOI":"10.1186/s12909-020-02445-2","ISSN":"1472-6920","issue":"1","journalAbbreviation":"BMC Med Educ","language":"en","page":"13","source":"DOI.org (Crossref)","title":"Pre-clinical remote undergraduate medical education during the COVID-19 pandemic: a survey study","title-short":"Pre-clinical remote undergraduate medical education during the COVID-19 pandemic","volume":"21","author":[{"family":"Shahrvini","given":"Bita"},{"family":"Baxter","given":"Sally L."},{"family":"Coffey","given":"Charles S."},{"family":"MacDonald","given":"Bridget V."},{"family":"Lander","given":"Lina"}],"issued":{"date-parts":[["2021",12]]}}}],"schema":"https://github.com/citation-style-language/schema/raw/master/csl-citation.json"} </w:instrText>
      </w:r>
      <w:r>
        <w:rPr>
          <w:rFonts w:ascii="Times New Roman" w:eastAsia="Times New Roman" w:hAnsi="Times New Roman" w:cs="Times New Roman"/>
          <w:color w:val="000000"/>
        </w:rPr>
        <w:fldChar w:fldCharType="separate"/>
      </w:r>
      <w:r>
        <w:rPr>
          <w:rFonts w:ascii="Times New Roman" w:eastAsia="Times New Roman" w:hAnsi="Times New Roman" w:cs="Times New Roman"/>
          <w:noProof/>
          <w:color w:val="000000"/>
        </w:rPr>
        <w:t>(Cuschieri &amp; Calleja Agius, 2020; Shahrvini et al., 2021)</w:t>
      </w:r>
      <w:r>
        <w:rPr>
          <w:rFonts w:ascii="Times New Roman" w:eastAsia="Times New Roman" w:hAnsi="Times New Roman" w:cs="Times New Roman"/>
          <w:color w:val="000000"/>
        </w:rPr>
        <w:fldChar w:fldCharType="end"/>
      </w:r>
      <w:r>
        <w:rPr>
          <w:rFonts w:ascii="Times New Roman" w:eastAsia="Times New Roman" w:hAnsi="Times New Roman" w:cs="Times New Roman"/>
          <w:color w:val="000000"/>
        </w:rPr>
        <w:t xml:space="preserve">. For the present study, the lack of psychomotor learning might be the reason that half of students felt their anatomical knowledge was fragmented. Many students were influenced </w:t>
      </w:r>
      <w:r w:rsidR="000C2B46">
        <w:rPr>
          <w:rFonts w:ascii="Times New Roman" w:eastAsia="Times New Roman" w:hAnsi="Times New Roman" w:cs="Times New Roman"/>
          <w:color w:val="000000"/>
        </w:rPr>
        <w:t xml:space="preserve">to apply to OUHSC </w:t>
      </w:r>
      <w:r>
        <w:rPr>
          <w:rFonts w:ascii="Times New Roman" w:eastAsia="Times New Roman" w:hAnsi="Times New Roman" w:cs="Times New Roman"/>
          <w:color w:val="000000"/>
        </w:rPr>
        <w:t xml:space="preserve">by </w:t>
      </w:r>
      <w:r w:rsidR="000C2B46">
        <w:rPr>
          <w:rFonts w:ascii="Times New Roman" w:eastAsia="Times New Roman" w:hAnsi="Times New Roman" w:cs="Times New Roman"/>
          <w:color w:val="000000"/>
        </w:rPr>
        <w:t xml:space="preserve">the opportunity to participate in </w:t>
      </w:r>
      <w:r>
        <w:rPr>
          <w:rFonts w:ascii="Times New Roman" w:eastAsia="Times New Roman" w:hAnsi="Times New Roman" w:cs="Times New Roman"/>
          <w:color w:val="000000"/>
        </w:rPr>
        <w:t>cadaveric dissection</w:t>
      </w:r>
      <w:r w:rsidR="000C2B46">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and the majority wanted to dissect a cadaver in Clinical Anatomy. These survey results indicate the significance of cadaveric dissection to PA and dental students.</w:t>
      </w:r>
    </w:p>
    <w:p w14:paraId="5403C1F1" w14:textId="52C3C6B9" w:rsidR="00E179E4" w:rsidRDefault="00E179E4" w:rsidP="00E179E4">
      <w:pPr>
        <w:pStyle w:val="ListParagraph"/>
        <w:spacing w:line="480" w:lineRule="auto"/>
        <w:ind w:left="0"/>
        <w:rPr>
          <w:rFonts w:ascii="Times New Roman" w:hAnsi="Times New Roman" w:cs="Times New Roman"/>
        </w:rPr>
      </w:pPr>
      <w:r>
        <w:rPr>
          <w:rFonts w:ascii="Times New Roman" w:eastAsia="Times New Roman" w:hAnsi="Times New Roman" w:cs="Times New Roman"/>
          <w:color w:val="000000"/>
        </w:rPr>
        <w:lastRenderedPageBreak/>
        <w:tab/>
        <w:t xml:space="preserve">The literature largely supports psychomotor and affective domain learning objectives derived from cadaveric dissection, even if framed in a different language. Multiple surveys establish the students’ desire and/or appreciation for cadaveric dissection, indicating a persistent student preference </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ADDIN ZOTERO_ITEM CSL_CITATION {"citationID":"JuRbVlr7","properties":{"formattedCitation":"(Attardi et al., 2016; Barbagallo et al., 2020; Cuschieri &amp; Calleja Agius, 2020; Davis et al., 2014; Flack &amp; Nicholson, 2018; Shahrvini et al., 2021)","plainCitation":"(Attardi et al., 2016; Barbagallo et al., 2020; Cuschieri &amp; Calleja Agius, 2020; Davis et al., 2014; Flack &amp; Nicholson, 2018; Shahrvini et al., 2021)","noteIndex":0},"citationItems":[{"id":343,"uris":["http://zotero.org/users/local/8fpcHUeo/items/B2XEUR4E"],"uri":["http://zotero.org/users/local/8fpcHUeo/items/B2XEUR4E"],"itemData":{"id":343,"type":"article-journal","container-title":"Anatomical Sciences Education","DOI":"10.1002/ase.1584","ISSN":"19359772","issue":"3","journalAbbreviation":"American Association of Anatomists","language":"en","page":"272-285","source":"DOI.org (Crossref)","title":"Mixed methods student evaluation of an online systemic human anatomy course with laboratory: Mixed Methods Student Evaluation of Online Human Anatomy Course","title-short":"Mixed methods student evaluation of an online systemic human anatomy course with laboratory","volume":"9","author":[{"family":"Attardi","given":"Stefanie M."},{"family":"Choi","given":"Suwhan"},{"family":"Barnett","given":"John"},{"family":"Rogers","given":"Kem A."}],"issued":{"date-parts":[["2016",5,6]]}}},{"id":325,"uris":["http://zotero.org/users/local/8fpcHUeo/items/5PJKNCJY"],"uri":["http://zotero.org/users/local/8fpcHUeo/items/5PJKNCJY"],"itemData":{"id":325,"type":"article-journal","abstract":"Blended online and digital learning includes a variety of activities that combine engaging classroom-based education with online learning. The aim of this study is to evaluate undergraduate students' perceptions of a blended online and digital curriculum for anatomy and physiology in the nursing degree program. A quantitative methodology was used with a sample of 100 undergraduate nursing students from a single Australian University. Descriptive statistics are and presented in this article. Of the 100 participants, 90% were enrolled in the standard mode compared to 10% in a flexible mode of delivery. Results indicated that 29% of participants preferred laboratory classes as having the most impact. Participants (46%) also agreed that recorded lectures were useful, with 36% indicating that the online platform was easy to navigate going as far as wanting more online quizzes (49%). More than half of the participants (54%) acknowledged that anatomy and physiology was important for their future careers. The blended online and digital learner preferences in delivering anatomy and physiology–related courses should be adjusted in order for learning to be effective for undergraduate students in the future.","container-title":"CIN: Computers, Informatics, Nursing","DOI":"10.1097/CIN.0000000000000639","ISSN":"1538-9774","language":"en","source":"DOI.org (Crossref)","title":"Evaluation of a Blended Online and Digital Learning Mode of Anatomy and Physiology for Undergraduate Nursing Students","URL":"https://journals.lww.com/10.1097/CIN.0000000000000639","volume":"Publish Ahead of Print","author":[{"family":"Barbagallo","given":"Michael S."},{"family":"Porter","given":"Joanne E."},{"family":"Lamunu","given":"Medina"}],"accessed":{"date-parts":[["2020",9,26]]},"issued":{"date-parts":[["2020",6,8]]}}},{"id":546,"uris":["http://zotero.org/users/local/8fpcHUeo/items/WL54BBB8"],"uri":["http://zotero.org/users/local/8fpcHUeo/items/WL54BBB8"],"itemData":{"id":546,"type":"article-journal","container-title":"Anatomical Sciences Education","DOI":"10.1002/ase.2020","ISSN":"1935-9772, 1935-9780","issue":"6","journalAbbreviation":"Anat. Sci. Educ.","language":"en","page":"671-679","source":"DOI.org (Crossref)","title":"Spotlight on the Shift to Remote Anatomical Teaching During Covid‐19 Pandemic: Perspectives and Experiences from the University of Malta","title-short":"Spotlight on the Shift to Remote Anatomical Teaching During Covid‐19 Pandemic","volume":"13","author":[{"family":"Cuschieri","given":"Sarah"},{"family":"Calleja Agius","given":"Jean"}],"issued":{"date-parts":[["2020",11]]}}},{"id":315,"uris":["http://zotero.org/users/local/8fpcHUeo/items/ZEIW5TJX"],"uri":["http://zotero.org/users/local/8fpcHUeo/items/ZEIW5TJX"],"itemData":{"id":315,"type":"article-journal","abstract":"Anatomy teaching methods have evolved as the medical undergraduate curriculum has modernized. Traditional teaching methods of dissection, prosection, tutorials and lectures are now supplemented by anatomical models and e‐learning. Despite these changes, the preferences of medical students and anatomy faculty towards both traditional and contemporary teaching methods and tools are largely unknown. This study quantiﬁed medical student and anatomy faculty opinion on various aspects of anatomical teaching at the Department of Anatomy, University of Bristol, UK. A questionnaire was used to explore the perceived eﬀectiveness of diﬀerent anatomical teaching methods and tools among anatomy faculty (AF) and medical students in year one (Y1) and year two (Y2). A total of 370 preclinical medical students entered the study (76% response rate). Responses were quantiﬁed and intergroup comparisons were made. All students and AF were strongly in favor of access to cadaveric specimens and supported traditional methods of small‐group teaching with medically qualiﬁed demonstrators. Other teaching methods, including elearning, anatomical models and surgical videos, were considered useful educational tools. In several areas there was disharmony between the opinions of AF and medical students. This study emphasizes the importance of collecting student preferences to optimize teaching methods used in the undergraduate anatomy curriculum. Anat Sci Educ 7: 262–272. © 2013 American Association of Anatomists.","container-title":"Anatomical Sciences Education","DOI":"10.1002/ase.1424","ISSN":"19359772","issue":"4","journalAbbreviation":"American Association of Anatomists","language":"en","page":"262-272","source":"DOI.org (Crossref)","title":"Human Anatomy: Let the students tell us how to teach: Human Anatomy-Let the Students Tell Us How to Teach","title-short":"Human Anatomy","volume":"7","author":[{"family":"Davis","given":"Christopher R."},{"family":"Bates","given":"Anthony S."},{"family":"Ellis","given":"Harold"},{"family":"Roberts","given":"Alice M."}],"issued":{"date-parts":[["2014",7,8]]}}},{"id":200,"uris":["http://zotero.org/users/local/8fpcHUeo/items/7FHFVD9A"],"uri":["http://zotero.org/users/local/8fpcHUeo/items/7FHFVD9A"],"itemData":{"id":200,"type":"article-journal","abstract":"Dissection has long been the accepted method for teaching anatomy to medical students. More recently, some educators have suggested that easier, cheaper, alternative methods are just as eﬀective. But what do the students think? This paper aimed to identify what undergraduate medical students learn, how they cope, and what eﬀects participating in dissection has on them as individuals. A cohort of 267 second year medical students at Otago Medical School were invited to complete three online surveys; before their ﬁrst dissection laboratory class, after their ﬁrst musculoskeletal system dissection and following the last semester of studying anatomy. Open‐ended questions showcasing the attitudes, beliefs, and opinions on what dissection had taught the medical students over years two and three were analyzed. A general inductive approach was used and common emergent themes were identiﬁed. In total, 194 students completed the second, and 108 students completed the third questionnaire. Students commonly conveyed dissection as an appropriate and valuable educational tool, useful for teaching and learning anatomical knowledge and relationships, appreciating the body in three‐dimension, teamwork, and how to cope with death/dead bodies. The noted eﬀects of personal growth while participating in dissection were highly varied, but in general, impacted positively on the majority of students. This study shows that at Otago Medical School the students also believe that dissection is not only a useful tool to learn anatomy but also that it fosters teamwork, assists professional development and helps them come to terms with death and dying. Anat Sci Educ 11: 325–335. © 2017 American Association of Anatomists.","container-title":"Anatomical Sciences Education","DOI":"10.1002/ase.1758","ISSN":"19359772","issue":"4","journalAbbreviation":"American Association of Anatomists","language":"en","page":"325-335","source":"DOI.org (Crossref)","title":"What do medical students learn from dissection?: What Do Medical Students Learn?","title-short":"What do medical students learn from dissection?","volume":"11","author":[{"family":"Flack","given":"Natasha A.M.S."},{"family":"Nicholson","given":"Helen D."}],"issued":{"date-parts":[["2018",7]]}}},{"id":556,"uris":["http://zotero.org/users/local/8fpcHUeo/items/QQ5MGL29"],"uri":["http://zotero.org/users/local/8fpcHUeo/items/QQ5MGL29"],"itemData":{"id":556,"type":"article-journal","abstract":"Background: The Coronavirus Disease 2019 (COVID-19) pandemic has necessitated a sudden transition to remote learning in medical schools. We aimed to assess perceptions of remote learning among pre-clinical medical students and subsequently to identify pros and cons of remote learning, as well as uncover gaps to address in ongoing curricular development.\nMethods: A survey was distributed to first- and second-year medical students at the University of California San Diego School of Medicine in March 2020. Frequencies of responses to structured multiple-choice questions were compared regarding impacts of remote learning on quality of instruction and ability to participate, value of various remote learning resources, living environment, and preparedness for subsequent stages of training. Responses to open-ended questions about strengths and weaknesses of the remote curriculum and overall reflections were coded for thematic content.\nResults: Of 268 students enrolled, 104 responded (53.7% of first-year students and 23.9% of second-year students). Overall, students felt that remote learning had negatively affected the quality of instruction and their ability to participate. Most (64.1%) preferred the flexibility of learning material at their own pace. Only 25.5% of respondents still felt connected to the medical school or classmates, and feelings of anxiety and isolation were noted negatives of remote learning. Most second-year students (56.7%) felt their preparation for the United States Medical Licensing Examination Step 1 exam was negatively affected, and 43.3% felt unprepared to begin clerkships. In narrative responses, most students appreciated the increased flexibility of remote learning, but they also identified several deficits that still need to be addressed, including digital fatigue, decreased ability to participate, and lack of clinical skills, laboratory, and hands-on learning.\nConclusions: Videocasted lectures uploaded in advance, electronic health record and telehealth training for students, and training for teaching faculty to increase technological fluency may be considered to optimize remote learning curricula.","container-title":"BMC Medical Education","DOI":"10.1186/s12909-020-02445-2","ISSN":"1472-6920","issue":"1","journalAbbreviation":"BMC Med Educ","language":"en","page":"13","source":"DOI.org (Crossref)","title":"Pre-clinical remote undergraduate medical education during the COVID-19 pandemic: a survey study","title-short":"Pre-clinical remote undergraduate medical education during the COVID-19 pandemic","volume":"21","author":[{"family":"Shahrvini","given":"Bita"},{"family":"Baxter","given":"Sally L."},{"family":"Coffey","given":"Charles S."},{"family":"MacDonald","given":"Bridget V."},{"family":"Lander","given":"Lina"}],"issued":{"date-parts":[["2021",12]]}}}],"schema":"https://github.com/citation-style-language/schema/raw/master/csl-citation.json"} </w:instrText>
      </w:r>
      <w:r>
        <w:rPr>
          <w:rFonts w:ascii="Times New Roman" w:eastAsia="Times New Roman" w:hAnsi="Times New Roman" w:cs="Times New Roman"/>
          <w:color w:val="000000"/>
        </w:rPr>
        <w:fldChar w:fldCharType="separate"/>
      </w:r>
      <w:r>
        <w:rPr>
          <w:rFonts w:ascii="Times New Roman" w:eastAsia="Times New Roman" w:hAnsi="Times New Roman" w:cs="Times New Roman"/>
          <w:noProof/>
          <w:color w:val="000000"/>
        </w:rPr>
        <w:t>(Attardi et al., 2016; Barbagallo et al., 2020; Cuschieri &amp; Calleja Agius, 2020; Davis et al., 2014; Flack &amp; Nicholson, 2018; Shahrvini et al., 2021)</w:t>
      </w:r>
      <w:r>
        <w:rPr>
          <w:rFonts w:ascii="Times New Roman" w:eastAsia="Times New Roman" w:hAnsi="Times New Roman" w:cs="Times New Roman"/>
          <w:color w:val="000000"/>
        </w:rPr>
        <w:fldChar w:fldCharType="end"/>
      </w:r>
      <w:r>
        <w:rPr>
          <w:rFonts w:ascii="Times New Roman" w:eastAsia="Times New Roman" w:hAnsi="Times New Roman" w:cs="Times New Roman"/>
          <w:color w:val="000000"/>
        </w:rPr>
        <w:t xml:space="preserve">. In these studies, cadaveric dissection was most referred to as supporting the cognitive domain. </w:t>
      </w:r>
      <w:r w:rsidRPr="00C94D70">
        <w:rPr>
          <w:rFonts w:ascii="Times New Roman" w:hAnsi="Times New Roman" w:cs="Times New Roman"/>
        </w:rPr>
        <w:t xml:space="preserve">Beyond </w:t>
      </w:r>
      <w:r>
        <w:rPr>
          <w:rFonts w:ascii="Times New Roman" w:hAnsi="Times New Roman" w:cs="Times New Roman"/>
        </w:rPr>
        <w:t xml:space="preserve">supporting </w:t>
      </w:r>
      <w:r w:rsidRPr="00C94D70">
        <w:rPr>
          <w:rFonts w:ascii="Times New Roman" w:hAnsi="Times New Roman" w:cs="Times New Roman"/>
        </w:rPr>
        <w:t>the cognitive domain, the psychomotor and affective domains facilitate the development of professionalism and NTDIS</w:t>
      </w:r>
      <w:r>
        <w:rPr>
          <w:rFonts w:ascii="Times New Roman" w:hAnsi="Times New Roman" w:cs="Times New Roman"/>
        </w:rPr>
        <w:t xml:space="preserve"> </w:t>
      </w:r>
      <w:r>
        <w:rPr>
          <w:rFonts w:ascii="Times New Roman" w:hAnsi="Times New Roman" w:cs="Times New Roman"/>
        </w:rPr>
        <w:fldChar w:fldCharType="begin"/>
      </w:r>
      <w:r w:rsidR="00065E56">
        <w:rPr>
          <w:rFonts w:ascii="Times New Roman" w:hAnsi="Times New Roman" w:cs="Times New Roman"/>
        </w:rPr>
        <w:instrText xml:space="preserve"> ADDIN ZOTERO_ITEM CSL_CITATION {"citationID":"3SNOOh8d","properties":{"formattedCitation":"(D. J. R. Evans et al., 2018; Flack &amp; Nicholson, 2018)","plainCitation":"(D. J. R. Evans et al., 2018; Flack &amp; Nicholson, 2018)","noteIndex":0},"citationItems":[{"id":282,"uris":["http://zotero.org/users/local/8fpcHUeo/items/RDECQXCL"],"uri":["http://zotero.org/users/local/8fpcHUeo/items/RDECQXCL"],"itemData":{"id":282,"type":"article-journal","container-title":"Anatomical Sciences Education","DOI":"10.1002/ase.1799","ISSN":"19359772","issue":"3","journalAbbreviation":"American Association of Anatomists","language":"en","page":"221-224","source":"DOI.org (Crossref)","title":"Human skills for human[istic] anatomy: An emphasis on nontraditional discipline-independent skills: NTDIS, Health Care Environment, and Anatomy","title-short":"Human skills for human[istic] anatomy","volume":"11","author":[{"family":"Evans","given":"Darrell J.R."},{"family":"Pawlina","given":"Wojciech"},{"family":"Lachman","given":"Nirusha"}],"issued":{"date-parts":[["2018",5,6]]}}},{"id":200,"uris":["http://zotero.org/users/local/8fpcHUeo/items/7FHFVD9A"],"uri":["http://zotero.org/users/local/8fpcHUeo/items/7FHFVD9A"],"itemData":{"id":200,"type":"article-journal","abstract":"Dissection has long been the accepted method for teaching anatomy to medical students. More recently, some educators have suggested that easier, cheaper, alternative methods are just as eﬀective. But what do the students think? This paper aimed to identify what undergraduate medical students learn, how they cope, and what eﬀects participating in dissection has on them as individuals. A cohort of 267 second year medical students at Otago Medical School were invited to complete three online surveys; before their ﬁrst dissection laboratory class, after their ﬁrst musculoskeletal system dissection and following the last semester of studying anatomy. Open‐ended questions showcasing the attitudes, beliefs, and opinions on what dissection had taught the medical students over years two and three were analyzed. A general inductive approach was used and common emergent themes were identiﬁed. In total, 194 students completed the second, and 108 students completed the third questionnaire. Students commonly conveyed dissection as an appropriate and valuable educational tool, useful for teaching and learning anatomical knowledge and relationships, appreciating the body in three‐dimension, teamwork, and how to cope with death/dead bodies. The noted eﬀects of personal growth while participating in dissection were highly varied, but in general, impacted positively on the majority of students. This study shows that at Otago Medical School the students also believe that dissection is not only a useful tool to learn anatomy but also that it fosters teamwork, assists professional development and helps them come to terms with death and dying. Anat Sci Educ 11: 325–335. © 2017 American Association of Anatomists.","container-title":"Anatomical Sciences Education","DOI":"10.1002/ase.1758","ISSN":"19359772","issue":"4","journalAbbreviation":"American Association of Anatomists","language":"en","page":"325-335","source":"DOI.org (Crossref)","title":"What do medical students learn from dissection?: What Do Medical Students Learn?","title-short":"What do medical students learn from dissection?","volume":"11","author":[{"family":"Flack","given":"Natasha A.M.S."},{"family":"Nicholson","given":"Helen D."}],"issued":{"date-parts":[["2018",7]]}}}],"schema":"https://github.com/citation-style-language/schema/raw/master/csl-citation.json"} </w:instrText>
      </w:r>
      <w:r>
        <w:rPr>
          <w:rFonts w:ascii="Times New Roman" w:hAnsi="Times New Roman" w:cs="Times New Roman"/>
        </w:rPr>
        <w:fldChar w:fldCharType="separate"/>
      </w:r>
      <w:r w:rsidR="00065E56">
        <w:rPr>
          <w:rFonts w:ascii="Times New Roman" w:hAnsi="Times New Roman" w:cs="Times New Roman"/>
          <w:noProof/>
        </w:rPr>
        <w:t>(D. J. R. Evans et al., 2018; Flack &amp; Nicholson, 2018)</w:t>
      </w:r>
      <w:r>
        <w:rPr>
          <w:rFonts w:ascii="Times New Roman" w:hAnsi="Times New Roman" w:cs="Times New Roman"/>
        </w:rPr>
        <w:fldChar w:fldCharType="end"/>
      </w:r>
      <w:r w:rsidRPr="00C94D70">
        <w:rPr>
          <w:rFonts w:ascii="Times New Roman" w:hAnsi="Times New Roman" w:cs="Times New Roman"/>
        </w:rPr>
        <w:t xml:space="preserve">. </w:t>
      </w:r>
      <w:r>
        <w:rPr>
          <w:rFonts w:ascii="Times New Roman" w:eastAsia="Times New Roman" w:hAnsi="Times New Roman" w:cs="Times New Roman"/>
          <w:color w:val="000000" w:themeColor="text1"/>
        </w:rPr>
        <w:t xml:space="preserve">Cadaveric dissection provides a space for cognitive apprenticeships that expose students to the ethics and mannerisms of a clinician. Cadavers are often referred to as students’ ‘first patients,’ and faculty members mentor the proper ethics and relationship between clinician and patient </w:t>
      </w:r>
      <w:r>
        <w:rPr>
          <w:rFonts w:ascii="Times New Roman" w:eastAsia="Times New Roman" w:hAnsi="Times New Roman" w:cs="Times New Roman"/>
          <w:color w:val="000000" w:themeColor="text1"/>
        </w:rPr>
        <w:fldChar w:fldCharType="begin"/>
      </w:r>
      <w:r>
        <w:rPr>
          <w:rFonts w:ascii="Times New Roman" w:eastAsia="Times New Roman" w:hAnsi="Times New Roman" w:cs="Times New Roman"/>
          <w:color w:val="000000" w:themeColor="text1"/>
        </w:rPr>
        <w:instrText xml:space="preserve"> ADDIN ZOTERO_ITEM CSL_CITATION {"citationID":"8ElTUQAK","properties":{"formattedCitation":"(Rizzolo &amp; Stewart, 2006)","plainCitation":"(Rizzolo &amp; Stewart, 2006)","noteIndex":0},"citationItems":[{"id":197,"uris":["http://zotero.org/users/local/8fpcHUeo/items/JGUMHP3K"],"uri":["http://zotero.org/users/local/8fpcHUeo/items/JGUMHP3K"],"itemData":{"id":197,"type":"article-journal","abstract":"The central role that human dissection has long held in clinical education is being reevaluated in many institutions. Despite the impression that many institutions are abandoning dissection, very few have and most of those have reinstated dissection within a few years. What are the inherent qualities that lead institutions back to dissection? In our eﬀorts to redesign a shortened dissection course, our consultations with a broad range of clinicians lead us to understand how the rhythms of clinical practice are modeled and developed in the small‐group setting of the dissection laboratory. Following further consultation with colleagues who have experimented with diﬀerent models of anatomy instruction, we discuss three themes in support of dissection. First, problem‐solving in the dissection laboratory develops the habits‐of‐mind of clinical practice. Second, relating dissection to imaging modalities develops the spatial reasoning skills needed to understand computer simulations, interpret imaging data, and interact with surgeons, radiologists, and patients. Third, the human face of dissection fosters self‐reﬂection and integration of the cognitive and aﬀective skills required for medical practice. Through group process, the collaborative eﬀort of dissection teams develops essential of attributes of clinical professionalism. Anat Rec (Part B: New Anat) 289B:215–218, 2006. © 2006 Wiley‐Liss, Inc.","container-title":"The Anatomical Record Part B: The New Anatomist","DOI":"10.1002/ar.b.20117","ISSN":"15524906, 15524914","issue":"6","journalAbbreviation":"Anat. Rec.","language":"en","page":"215-218","source":"DOI.org (Crossref)","title":"Should we continue teaching anatomy by dissection when …?","volume":"289B","author":[{"family":"Rizzolo","given":"Lawrence J."},{"family":"Stewart","given":"William B."}],"issued":{"date-parts":[["2006",11]]}}}],"schema":"https://github.com/citation-style-language/schema/raw/master/csl-citation.json"} </w:instrText>
      </w:r>
      <w:r>
        <w:rPr>
          <w:rFonts w:ascii="Times New Roman" w:eastAsia="Times New Roman" w:hAnsi="Times New Roman" w:cs="Times New Roman"/>
          <w:color w:val="000000" w:themeColor="text1"/>
        </w:rPr>
        <w:fldChar w:fldCharType="separate"/>
      </w:r>
      <w:r>
        <w:rPr>
          <w:rFonts w:ascii="Times New Roman" w:eastAsia="Times New Roman" w:hAnsi="Times New Roman" w:cs="Times New Roman"/>
          <w:noProof/>
          <w:color w:val="000000" w:themeColor="text1"/>
        </w:rPr>
        <w:t>(Rizzolo &amp; Stewart, 2006)</w:t>
      </w:r>
      <w:r>
        <w:rPr>
          <w:rFonts w:ascii="Times New Roman" w:eastAsia="Times New Roman" w:hAnsi="Times New Roman" w:cs="Times New Roman"/>
          <w:color w:val="000000" w:themeColor="text1"/>
        </w:rPr>
        <w:fldChar w:fldCharType="end"/>
      </w:r>
      <w:r>
        <w:rPr>
          <w:rFonts w:ascii="Times New Roman" w:eastAsia="Times New Roman" w:hAnsi="Times New Roman" w:cs="Times New Roman"/>
          <w:color w:val="000000" w:themeColor="text1"/>
        </w:rPr>
        <w:t xml:space="preserve">. Team communication, peer-teaching, and self-assessment are considered essential skills for new health professions students to develop into clinicians </w:t>
      </w:r>
      <w:r>
        <w:rPr>
          <w:rFonts w:ascii="Times New Roman" w:eastAsia="Times New Roman" w:hAnsi="Times New Roman" w:cs="Times New Roman"/>
          <w:color w:val="000000" w:themeColor="text1"/>
        </w:rPr>
        <w:fldChar w:fldCharType="begin"/>
      </w:r>
      <w:r>
        <w:rPr>
          <w:rFonts w:ascii="Times New Roman" w:eastAsia="Times New Roman" w:hAnsi="Times New Roman" w:cs="Times New Roman"/>
          <w:color w:val="000000" w:themeColor="text1"/>
        </w:rPr>
        <w:instrText xml:space="preserve"> ADDIN ZOTERO_ITEM CSL_CITATION {"citationID":"zQj8gH3s","properties":{"formattedCitation":"(Flack &amp; Nicholson, 2018; Maloney et al., 2021)","plainCitation":"(Flack &amp; Nicholson, 2018; Maloney et al., 2021)","noteIndex":0},"citationItems":[{"id":200,"uris":["http://zotero.org/users/local/8fpcHUeo/items/7FHFVD9A"],"uri":["http://zotero.org/users/local/8fpcHUeo/items/7FHFVD9A"],"itemData":{"id":200,"type":"article-journal","abstract":"Dissection has long been the accepted method for teaching anatomy to medical students. More recently, some educators have suggested that easier, cheaper, alternative methods are just as eﬀective. But what do the students think? This paper aimed to identify what undergraduate medical students learn, how they cope, and what eﬀects participating in dissection has on them as individuals. A cohort of 267 second year medical students at Otago Medical School were invited to complete three online surveys; before their ﬁrst dissection laboratory class, after their ﬁrst musculoskeletal system dissection and following the last semester of studying anatomy. Open‐ended questions showcasing the attitudes, beliefs, and opinions on what dissection had taught the medical students over years two and three were analyzed. A general inductive approach was used and common emergent themes were identiﬁed. In total, 194 students completed the second, and 108 students completed the third questionnaire. Students commonly conveyed dissection as an appropriate and valuable educational tool, useful for teaching and learning anatomical knowledge and relationships, appreciating the body in three‐dimension, teamwork, and how to cope with death/dead bodies. The noted eﬀects of personal growth while participating in dissection were highly varied, but in general, impacted positively on the majority of students. This study shows that at Otago Medical School the students also believe that dissection is not only a useful tool to learn anatomy but also that it fosters teamwork, assists professional development and helps them come to terms with death and dying. Anat Sci Educ 11: 325–335. © 2017 American Association of Anatomists.","container-title":"Anatomical Sciences Education","DOI":"10.1002/ase.1758","ISSN":"19359772","issue":"4","journalAbbreviation":"American Association of Anatomists","language":"en","page":"325-335","source":"DOI.org (Crossref)","title":"What do medical students learn from dissection?: What Do Medical Students Learn?","title-short":"What do medical students learn from dissection?","volume":"11","author":[{"family":"Flack","given":"Natasha A.M.S."},{"family":"Nicholson","given":"Helen D."}],"issued":{"date-parts":[["2018",7]]}}},{"id":538,"uris":["http://zotero.org/users/local/8fpcHUeo/items/TKDC6SHG"],"uri":["http://zotero.org/users/local/8fpcHUeo/items/TKDC6SHG"],"itemData":{"id":538,"type":"article-journal","container-title":"Anatomical Sciences Education","DOI":"10.1002/ase.2027","ISSN":"1935-9772, 1935-9780","issue":"2","journalAbbreviation":"Anat. Sci. Educ.","language":"en","page":"263-269","source":"DOI.org (Crossref)","title":"Spending Wisely: The Role of Cost and Value Research in the Pursuit of Advancing Anatomical Sciences Education","title-short":"Spending Wisely","volume":"14","author":[{"family":"Maloney","given":"Stephen"},{"family":"Pather","given":"Nalini"},{"family":"Foo","given":"Jonathan"},{"family":"Lazarus","given":"Michelle D."}],"issued":{"date-parts":[["2021",3]]}}}],"schema":"https://github.com/citation-style-language/schema/raw/master/csl-citation.json"} </w:instrText>
      </w:r>
      <w:r>
        <w:rPr>
          <w:rFonts w:ascii="Times New Roman" w:eastAsia="Times New Roman" w:hAnsi="Times New Roman" w:cs="Times New Roman"/>
          <w:color w:val="000000" w:themeColor="text1"/>
        </w:rPr>
        <w:fldChar w:fldCharType="separate"/>
      </w:r>
      <w:r>
        <w:rPr>
          <w:rFonts w:ascii="Times New Roman" w:eastAsia="Times New Roman" w:hAnsi="Times New Roman" w:cs="Times New Roman"/>
          <w:noProof/>
          <w:color w:val="000000" w:themeColor="text1"/>
        </w:rPr>
        <w:t>(Flack &amp; Nicholson, 2018; Maloney et al., 2021)</w:t>
      </w:r>
      <w:r>
        <w:rPr>
          <w:rFonts w:ascii="Times New Roman" w:eastAsia="Times New Roman" w:hAnsi="Times New Roman" w:cs="Times New Roman"/>
          <w:color w:val="000000" w:themeColor="text1"/>
        </w:rPr>
        <w:fldChar w:fldCharType="end"/>
      </w:r>
      <w:r>
        <w:rPr>
          <w:rFonts w:ascii="Times New Roman" w:eastAsia="Times New Roman" w:hAnsi="Times New Roman" w:cs="Times New Roman"/>
          <w:color w:val="000000" w:themeColor="text1"/>
        </w:rPr>
        <w:t xml:space="preserve">. A group goal of a well-attempted, complete dissection requires physical skill development (psychomotor domain) and collaboration (affective domain); however, support of the cognitive domain is only the immediate benefit. The NTDIS and professionalism development that cadaveric dissection laboratory provides introduces to students to attitudes and perspectives that change the way they view patients as well as themselves </w:t>
      </w:r>
      <w:r>
        <w:rPr>
          <w:rFonts w:ascii="Times New Roman" w:eastAsia="Times New Roman" w:hAnsi="Times New Roman" w:cs="Times New Roman"/>
          <w:color w:val="000000" w:themeColor="text1"/>
        </w:rPr>
        <w:fldChar w:fldCharType="begin"/>
      </w:r>
      <w:r>
        <w:rPr>
          <w:rFonts w:ascii="Times New Roman" w:eastAsia="Times New Roman" w:hAnsi="Times New Roman" w:cs="Times New Roman"/>
          <w:color w:val="000000" w:themeColor="text1"/>
        </w:rPr>
        <w:instrText xml:space="preserve"> ADDIN ZOTERO_ITEM CSL_CITATION {"citationID":"mBzMblWZ","properties":{"formattedCitation":"(Stephens et al., 2019)","plainCitation":"(Stephens et al., 2019)","noteIndex":0},"citationItems":[{"id":552,"uris":["http://zotero.org/users/local/8fpcHUeo/items/25ZSTFUD"],"uri":["http://zotero.org/users/local/8fpcHUeo/items/25ZSTFUD"],"itemData":{"id":552,"type":"article-journal","container-title":"Anatomical Sciences Education","DOI":"10.1002/ase.1877","ISSN":"1935-9772, 1935-9780","issue":"4","journalAbbreviation":"Anat Sci Educ","language":"en","page":"332-348","source":"DOI.org (Crossref)","title":"How does Donor Dissection Influence Medical Students' Perceptions of Ethics? A Cross‐Sectional and Longitudinal Qualitative Study","title-short":"How does Donor Dissection Influence Medical Students' Perceptions of Ethics?","volume":"12","author":[{"family":"Stephens","given":"Georgina C."},{"family":"Rees","given":"Charlotte E."},{"family":"Lazarus","given":"Michelle D."}],"issued":{"date-parts":[["2019",7]]}}}],"schema":"https://github.com/citation-style-language/schema/raw/master/csl-citation.json"} </w:instrText>
      </w:r>
      <w:r>
        <w:rPr>
          <w:rFonts w:ascii="Times New Roman" w:eastAsia="Times New Roman" w:hAnsi="Times New Roman" w:cs="Times New Roman"/>
          <w:color w:val="000000" w:themeColor="text1"/>
        </w:rPr>
        <w:fldChar w:fldCharType="separate"/>
      </w:r>
      <w:r>
        <w:rPr>
          <w:rFonts w:ascii="Times New Roman" w:eastAsia="Times New Roman" w:hAnsi="Times New Roman" w:cs="Times New Roman"/>
          <w:noProof/>
          <w:color w:val="000000" w:themeColor="text1"/>
        </w:rPr>
        <w:t>(Stephens et al., 2019)</w:t>
      </w:r>
      <w:r>
        <w:rPr>
          <w:rFonts w:ascii="Times New Roman" w:eastAsia="Times New Roman" w:hAnsi="Times New Roman" w:cs="Times New Roman"/>
          <w:color w:val="000000" w:themeColor="text1"/>
        </w:rPr>
        <w:fldChar w:fldCharType="end"/>
      </w:r>
      <w:r>
        <w:rPr>
          <w:rFonts w:ascii="Times New Roman" w:eastAsia="Times New Roman" w:hAnsi="Times New Roman" w:cs="Times New Roman"/>
          <w:color w:val="000000" w:themeColor="text1"/>
        </w:rPr>
        <w:t>. Cadaveric dissection initiates the process of developing a clinician’s habits of mind.</w:t>
      </w:r>
    </w:p>
    <w:p w14:paraId="2F34301D" w14:textId="77777777" w:rsidR="00E179E4" w:rsidRPr="003C78DA" w:rsidRDefault="00E179E4" w:rsidP="00E179E4">
      <w:pPr>
        <w:rPr>
          <w:rFonts w:ascii="Times New Roman" w:hAnsi="Times New Roman" w:cs="Times New Roman"/>
          <w:b/>
          <w:bCs/>
        </w:rPr>
      </w:pPr>
      <w:r w:rsidRPr="003C78DA">
        <w:rPr>
          <w:rFonts w:ascii="Times New Roman" w:hAnsi="Times New Roman" w:cs="Times New Roman"/>
          <w:b/>
          <w:bCs/>
        </w:rPr>
        <w:t>Limitations</w:t>
      </w:r>
    </w:p>
    <w:p w14:paraId="0026A227" w14:textId="77777777" w:rsidR="00E179E4" w:rsidRDefault="00E179E4" w:rsidP="00E179E4">
      <w:pPr>
        <w:rPr>
          <w:rFonts w:ascii="Times New Roman" w:hAnsi="Times New Roman" w:cs="Times New Roman"/>
        </w:rPr>
      </w:pPr>
      <w:r>
        <w:rPr>
          <w:rFonts w:ascii="Times New Roman" w:hAnsi="Times New Roman" w:cs="Times New Roman"/>
        </w:rPr>
        <w:tab/>
      </w:r>
    </w:p>
    <w:p w14:paraId="65276EEF" w14:textId="5A8A00B0" w:rsidR="00E179E4" w:rsidRDefault="00B47E71" w:rsidP="00E179E4">
      <w:pPr>
        <w:spacing w:line="480" w:lineRule="auto"/>
        <w:rPr>
          <w:rFonts w:ascii="Times New Roman" w:hAnsi="Times New Roman" w:cs="Times New Roman"/>
        </w:rPr>
      </w:pPr>
      <w:r>
        <w:rPr>
          <w:rFonts w:ascii="Times New Roman" w:hAnsi="Times New Roman" w:cs="Times New Roman"/>
        </w:rPr>
        <w:tab/>
      </w:r>
      <w:r w:rsidR="00E179E4">
        <w:rPr>
          <w:rFonts w:ascii="Times New Roman" w:hAnsi="Times New Roman" w:cs="Times New Roman"/>
        </w:rPr>
        <w:t xml:space="preserve">As with all research, there are caveats to these findings. The quasi-experimental nature of the academic </w:t>
      </w:r>
      <w:proofErr w:type="gramStart"/>
      <w:r w:rsidR="00E179E4">
        <w:rPr>
          <w:rFonts w:ascii="Times New Roman" w:hAnsi="Times New Roman" w:cs="Times New Roman"/>
        </w:rPr>
        <w:t>outcomes</w:t>
      </w:r>
      <w:proofErr w:type="gramEnd"/>
      <w:r w:rsidR="00E179E4">
        <w:rPr>
          <w:rFonts w:ascii="Times New Roman" w:hAnsi="Times New Roman" w:cs="Times New Roman"/>
        </w:rPr>
        <w:t xml:space="preserve"> investigation relied upon a historical control. It’s possible that even </w:t>
      </w:r>
      <w:r w:rsidR="00E179E4">
        <w:rPr>
          <w:rFonts w:ascii="Times New Roman" w:hAnsi="Times New Roman" w:cs="Times New Roman"/>
        </w:rPr>
        <w:lastRenderedPageBreak/>
        <w:t xml:space="preserve">though the cohorts were similar there was an undetected difference that accounted for the positive results. Ideally, repeating this analysis with more fully online dental and PA students would strengthen the outcome. The survey was constructed in real time and only administered to one cohort. This limits the generalizability of these findings, even though other literature supports the results. </w:t>
      </w:r>
      <w:r>
        <w:rPr>
          <w:rFonts w:ascii="Times New Roman" w:hAnsi="Times New Roman" w:cs="Times New Roman"/>
        </w:rPr>
        <w:t>There were no survey responses for the 2019 F2F cohort, and so it remains unknown if the remote and F2F students’ perceptions would have been different.</w:t>
      </w:r>
    </w:p>
    <w:p w14:paraId="34D7AC94" w14:textId="77777777" w:rsidR="00E179E4" w:rsidRDefault="00E179E4" w:rsidP="00E179E4">
      <w:pPr>
        <w:spacing w:line="480" w:lineRule="auto"/>
        <w:rPr>
          <w:rFonts w:ascii="Times New Roman" w:hAnsi="Times New Roman" w:cs="Times New Roman"/>
        </w:rPr>
      </w:pPr>
      <w:r>
        <w:rPr>
          <w:rFonts w:ascii="Times New Roman" w:hAnsi="Times New Roman" w:cs="Times New Roman"/>
        </w:rPr>
        <w:tab/>
        <w:t xml:space="preserve">Time spent studying was not measured. Multiple studies reference students indicating that online learning, fully or blended, required more study time </w:t>
      </w:r>
      <w:r w:rsidRPr="00FB3268">
        <w:rPr>
          <w:rFonts w:ascii="Times New Roman" w:hAnsi="Times New Roman" w:cs="Times New Roman"/>
        </w:rPr>
        <w:fldChar w:fldCharType="begin"/>
      </w:r>
      <w:r>
        <w:rPr>
          <w:rFonts w:ascii="Times New Roman" w:hAnsi="Times New Roman" w:cs="Times New Roman"/>
        </w:rPr>
        <w:instrText xml:space="preserve"> ADDIN ZOTERO_ITEM CSL_CITATION {"citationID":"0i9CLtjB","properties":{"formattedCitation":"(Green &amp; Whitburn, 2016; White et al., 2019)","plainCitation":"(Green &amp; Whitburn, 2016; White et al., 2019)","dontUpdate":true,"noteIndex":0},"citationItems":[{"id":292,"uris":["http://zotero.org/users/local/8fpcHUeo/items/78QQXIXE"],"uri":["http://zotero.org/users/local/8fpcHUeo/items/78QQXIXE"],"itemData":{"id":292,"type":"article-journal","container-title":"Anatomical Sciences Education","DOI":"10.1002/ase.1602","ISSN":"19359772","issue":"5","journalAbbreviation":"American Association of Anatomists","language":"en","page":"422-430","source":"DOI.org (Crossref)","title":"Impact of introduction of blended learning in gross anatomy on student outcomes: Outcomes of Blended Learning in Gross Anatomy","title-short":"Impact of introduction of blended learning in gross anatomy on student outcomes","volume":"9","author":[{"family":"Green","given":"Rodney A."},{"family":"Whitburn","given":"Laura Y."}],"issued":{"date-parts":[["2016",10]]}}},{"id":295,"uris":["http://zotero.org/users/local/8fpcHUeo/items/W9FCA4TW"],"uri":["http://zotero.org/users/local/8fpcHUeo/items/W9FCA4TW"],"itemData":{"id":295,"type":"article-journal","container-title":"Anatomical Sciences Education","DOI":"10.1002/ase.1787","ISSN":"19359772","issue":"1","journalAbbreviation":"American Association of Anatomists","language":"en","page":"43-51","source":"DOI.org (Crossref)","title":"The Effect of Content Delivery Style on Student Performance in Anatomy: Blended Learning and Assessment in Anatomy","title-short":"The Effect of Content Delivery Style on Student Performance in Anatomy","volume":"12","author":[{"family":"White","given":"Lloyd J."},{"family":"McGowan","given":"Heath W."},{"family":"McDonald","given":"Aaron C."}],"issued":{"date-parts":[["2019",1]]}}}],"schema":"https://github.com/citation-style-language/schema/raw/master/csl-citation.json"} </w:instrText>
      </w:r>
      <w:r w:rsidRPr="00FB3268">
        <w:rPr>
          <w:rFonts w:ascii="Times New Roman" w:hAnsi="Times New Roman" w:cs="Times New Roman"/>
        </w:rPr>
        <w:fldChar w:fldCharType="separate"/>
      </w:r>
      <w:r w:rsidRPr="00FB3268">
        <w:rPr>
          <w:rFonts w:ascii="Times New Roman" w:hAnsi="Times New Roman" w:cs="Times New Roman"/>
          <w:noProof/>
        </w:rPr>
        <w:t>(Green &amp; Whitburn, 2016; Means et al., 2013, White et al., 2019)</w:t>
      </w:r>
      <w:r w:rsidRPr="00FB3268">
        <w:rPr>
          <w:rFonts w:ascii="Times New Roman" w:hAnsi="Times New Roman" w:cs="Times New Roman"/>
        </w:rPr>
        <w:fldChar w:fldCharType="end"/>
      </w:r>
      <w:r w:rsidRPr="00FB3268">
        <w:rPr>
          <w:rFonts w:ascii="Times New Roman" w:hAnsi="Times New Roman" w:cs="Times New Roman"/>
        </w:rPr>
        <w:t>.</w:t>
      </w:r>
      <w:r>
        <w:rPr>
          <w:rFonts w:ascii="Times New Roman" w:hAnsi="Times New Roman" w:cs="Times New Roman"/>
        </w:rPr>
        <w:t xml:space="preserve"> In this study, a student commented that not having to dissect allowed more time for studying. Time is an uncontrolled variable and could be part of the reason the present study yielded significant results.</w:t>
      </w:r>
      <w:r>
        <w:rPr>
          <w:rFonts w:ascii="Times New Roman" w:hAnsi="Times New Roman" w:cs="Times New Roman"/>
        </w:rPr>
        <w:tab/>
      </w:r>
    </w:p>
    <w:p w14:paraId="51048541" w14:textId="77777777" w:rsidR="00E179E4" w:rsidRDefault="00E179E4" w:rsidP="00E179E4">
      <w:pPr>
        <w:spacing w:line="480" w:lineRule="auto"/>
        <w:rPr>
          <w:rFonts w:ascii="Times New Roman" w:hAnsi="Times New Roman" w:cs="Times New Roman"/>
        </w:rPr>
      </w:pPr>
      <w:r>
        <w:rPr>
          <w:rFonts w:ascii="Times New Roman" w:hAnsi="Times New Roman" w:cs="Times New Roman"/>
        </w:rPr>
        <w:tab/>
        <w:t xml:space="preserve">The course format changed slightly between 2019 and 2020. Though only identical questions were used to assess both cohorts, the remote cohort took a ‘mini-summative’ quiz prior to the 3 summative exams, and the quiz may have had a positive effect on remote students by lowering first exam anxiety prior to their unit 1 exam. </w:t>
      </w:r>
    </w:p>
    <w:p w14:paraId="3578E023" w14:textId="51323F90" w:rsidR="00E179E4" w:rsidRDefault="00E179E4" w:rsidP="00E179E4">
      <w:pPr>
        <w:spacing w:line="480" w:lineRule="auto"/>
        <w:rPr>
          <w:rFonts w:ascii="Times New Roman" w:hAnsi="Times New Roman" w:cs="Times New Roman"/>
        </w:rPr>
      </w:pPr>
      <w:r>
        <w:rPr>
          <w:rFonts w:ascii="Times New Roman" w:hAnsi="Times New Roman" w:cs="Times New Roman"/>
        </w:rPr>
        <w:tab/>
        <w:t xml:space="preserve">As mentioned in chapter 3, the COVID-19 pandemic remains an unquantified covariate. </w:t>
      </w:r>
      <w:r w:rsidR="00B47E71">
        <w:rPr>
          <w:rFonts w:ascii="Times New Roman" w:hAnsi="Times New Roman" w:cs="Times New Roman"/>
        </w:rPr>
        <w:t>The</w:t>
      </w:r>
      <w:r>
        <w:rPr>
          <w:rFonts w:ascii="Times New Roman" w:hAnsi="Times New Roman" w:cs="Times New Roman"/>
        </w:rPr>
        <w:t xml:space="preserve"> extent</w:t>
      </w:r>
      <w:r w:rsidR="00B47E71">
        <w:rPr>
          <w:rFonts w:ascii="Times New Roman" w:hAnsi="Times New Roman" w:cs="Times New Roman"/>
        </w:rPr>
        <w:t xml:space="preserve"> to which</w:t>
      </w:r>
      <w:r>
        <w:rPr>
          <w:rFonts w:ascii="Times New Roman" w:hAnsi="Times New Roman" w:cs="Times New Roman"/>
        </w:rPr>
        <w:t xml:space="preserve"> the pandemic influenced the remote cohorts’ ability to perform </w:t>
      </w:r>
      <w:proofErr w:type="gramStart"/>
      <w:r>
        <w:rPr>
          <w:rFonts w:ascii="Times New Roman" w:hAnsi="Times New Roman" w:cs="Times New Roman"/>
        </w:rPr>
        <w:t>academically</w:t>
      </w:r>
      <w:proofErr w:type="gramEnd"/>
      <w:r>
        <w:rPr>
          <w:rFonts w:ascii="Times New Roman" w:hAnsi="Times New Roman" w:cs="Times New Roman"/>
        </w:rPr>
        <w:t xml:space="preserve"> or their survey responses</w:t>
      </w:r>
      <w:r w:rsidR="00B47E71">
        <w:rPr>
          <w:rFonts w:ascii="Times New Roman" w:hAnsi="Times New Roman" w:cs="Times New Roman"/>
        </w:rPr>
        <w:t xml:space="preserve"> remains unknown</w:t>
      </w:r>
      <w:r>
        <w:rPr>
          <w:rFonts w:ascii="Times New Roman" w:hAnsi="Times New Roman" w:cs="Times New Roman"/>
        </w:rPr>
        <w:t xml:space="preserve">. All ‘pandemic’ research, particularly student perspectives studies, should be read with this covariate in mind </w:t>
      </w:r>
      <w:r>
        <w:rPr>
          <w:rFonts w:ascii="Times New Roman" w:hAnsi="Times New Roman" w:cs="Times New Roman"/>
        </w:rPr>
        <w:fldChar w:fldCharType="begin"/>
      </w:r>
      <w:r w:rsidR="00065E56">
        <w:rPr>
          <w:rFonts w:ascii="Times New Roman" w:hAnsi="Times New Roman" w:cs="Times New Roman"/>
        </w:rPr>
        <w:instrText xml:space="preserve"> ADDIN ZOTERO_ITEM CSL_CITATION {"citationID":"hmEmFS7u","properties":{"formattedCitation":"(D. J. R. Evans &amp; Pawlina, 2021)","plainCitation":"(D. J. R. Evans &amp; Pawlina, 2021)","noteIndex":0},"citationItems":[{"id":548,"uris":["http://zotero.org/users/local/8fpcHUeo/items/PCF7TAM3"],"uri":["http://zotero.org/users/local/8fpcHUeo/items/PCF7TAM3"],"itemData":{"id":548,"type":"article-journal","container-title":"Anatomical Sciences Education","DOI":"10.1002/ase.2061","ISSN":"1935-9772, 1935-9780","issue":"2","journalAbbreviation":"Anat. Sci. Educ.","language":"en","page":"129-131","source":"DOI.org (Crossref)","title":"Effects of Covid‐19: The Need to Assess the Real Value of Anatomy Education","title-short":"Effects of Covid‐19","volume":"14","author":[{"family":"Evans","given":"Darrell J. R."},{"family":"Pawlina","given":"Wojciech"}],"issued":{"date-parts":[["2021",3]]}}}],"schema":"https://github.com/citation-style-language/schema/raw/master/csl-citation.json"} </w:instrText>
      </w:r>
      <w:r>
        <w:rPr>
          <w:rFonts w:ascii="Times New Roman" w:hAnsi="Times New Roman" w:cs="Times New Roman"/>
        </w:rPr>
        <w:fldChar w:fldCharType="separate"/>
      </w:r>
      <w:r w:rsidR="00065E56">
        <w:rPr>
          <w:rFonts w:ascii="Times New Roman" w:hAnsi="Times New Roman" w:cs="Times New Roman"/>
          <w:noProof/>
        </w:rPr>
        <w:t>(D. J. R. Evans &amp; Pawlina, 2021)</w:t>
      </w:r>
      <w:r>
        <w:rPr>
          <w:rFonts w:ascii="Times New Roman" w:hAnsi="Times New Roman" w:cs="Times New Roman"/>
        </w:rPr>
        <w:fldChar w:fldCharType="end"/>
      </w:r>
      <w:r>
        <w:rPr>
          <w:rFonts w:ascii="Times New Roman" w:hAnsi="Times New Roman" w:cs="Times New Roman"/>
        </w:rPr>
        <w:t>. Even with the limitations inherent to this study, there are positives to consider moving forward.</w:t>
      </w:r>
    </w:p>
    <w:p w14:paraId="32B5D056" w14:textId="77777777" w:rsidR="00A851A5" w:rsidRDefault="00A851A5" w:rsidP="00E179E4">
      <w:pPr>
        <w:spacing w:line="480" w:lineRule="auto"/>
        <w:rPr>
          <w:rFonts w:ascii="Times New Roman" w:hAnsi="Times New Roman" w:cs="Times New Roman"/>
          <w:b/>
          <w:bCs/>
        </w:rPr>
      </w:pPr>
    </w:p>
    <w:p w14:paraId="7DCE3292" w14:textId="77777777" w:rsidR="00A851A5" w:rsidRDefault="00A851A5" w:rsidP="00E179E4">
      <w:pPr>
        <w:spacing w:line="480" w:lineRule="auto"/>
        <w:rPr>
          <w:rFonts w:ascii="Times New Roman" w:hAnsi="Times New Roman" w:cs="Times New Roman"/>
          <w:b/>
          <w:bCs/>
        </w:rPr>
      </w:pPr>
    </w:p>
    <w:p w14:paraId="793B6A2A" w14:textId="0406393B" w:rsidR="00E179E4" w:rsidRPr="00D511F4" w:rsidRDefault="00E179E4" w:rsidP="00E179E4">
      <w:pPr>
        <w:spacing w:line="480" w:lineRule="auto"/>
        <w:rPr>
          <w:rFonts w:ascii="Times New Roman" w:hAnsi="Times New Roman" w:cs="Times New Roman"/>
          <w:b/>
          <w:bCs/>
        </w:rPr>
      </w:pPr>
      <w:r w:rsidRPr="00D511F4">
        <w:rPr>
          <w:rFonts w:ascii="Times New Roman" w:hAnsi="Times New Roman" w:cs="Times New Roman"/>
          <w:b/>
          <w:bCs/>
        </w:rPr>
        <w:lastRenderedPageBreak/>
        <w:t xml:space="preserve">Implications for </w:t>
      </w:r>
      <w:r>
        <w:rPr>
          <w:rFonts w:ascii="Times New Roman" w:hAnsi="Times New Roman" w:cs="Times New Roman"/>
          <w:b/>
          <w:bCs/>
        </w:rPr>
        <w:t>Anatomy Education</w:t>
      </w:r>
      <w:r w:rsidRPr="00D511F4">
        <w:rPr>
          <w:rFonts w:ascii="Times New Roman" w:hAnsi="Times New Roman" w:cs="Times New Roman"/>
          <w:b/>
          <w:bCs/>
        </w:rPr>
        <w:t xml:space="preserve"> </w:t>
      </w:r>
    </w:p>
    <w:p w14:paraId="7764CA16" w14:textId="650FEB3F" w:rsidR="00E179E4" w:rsidRDefault="00E179E4" w:rsidP="00E179E4">
      <w:pPr>
        <w:spacing w:line="480" w:lineRule="auto"/>
        <w:rPr>
          <w:rFonts w:ascii="Times New Roman" w:hAnsi="Times New Roman" w:cs="Times New Roman"/>
        </w:rPr>
      </w:pPr>
      <w:r>
        <w:rPr>
          <w:rFonts w:ascii="Times New Roman" w:hAnsi="Times New Roman" w:cs="Times New Roman"/>
        </w:rPr>
        <w:tab/>
        <w:t xml:space="preserve">Currently, there is a real fear among anatomy educators that positive academic outcomes resulting from remote learning, such as this study, will be used as justification to cut cadaveric dissection from clinical anatomy programs </w:t>
      </w:r>
      <w:r>
        <w:rPr>
          <w:rFonts w:ascii="Times New Roman" w:hAnsi="Times New Roman" w:cs="Times New Roman"/>
        </w:rPr>
        <w:fldChar w:fldCharType="begin"/>
      </w:r>
      <w:r>
        <w:rPr>
          <w:rFonts w:ascii="Times New Roman" w:hAnsi="Times New Roman" w:cs="Times New Roman"/>
        </w:rPr>
        <w:instrText xml:space="preserve"> ADDIN ZOTERO_ITEM CSL_CITATION {"citationID":"yV9uSE7m","properties":{"formattedCitation":"(Chumbley et al., 2021; Evans &amp; Pawlina, 2021; Jones, 2021; Maloney et al., 2021)","plainCitation":"(Chumbley et al., 2021; Evans &amp; Pawlina, 2021; Jones, 2021; Maloney et al., 2021)","dontUpdate":true,"noteIndex":0},"citationItems":[{"id":544,"uris":["http://zotero.org/users/local/8fpcHUeo/items/C34MNQ8T"],"uri":["http://zotero.org/users/local/8fpcHUeo/items/C34MNQ8T"],"itemData":{"id":544,"type":"article-journal","container-title":"Anatomical Sciences Education","DOI":"10.1002/ase.2008","ISSN":"1935-9772, 1935-9780","issue":"2","journalAbbreviation":"Anat. Sci. Educ.","language":"en","page":"171-183","source":"DOI.org (Crossref)","title":"An Approach to Economic Evaluation in Undergraduate Anatomy Education","volume":"14","author":[{"family":"Chumbley","given":"Samuel D."},{"family":"Devaraj","given":"Vikram S."},{"family":"Mattick","given":"Karen"}],"issued":{"date-parts":[["2021",3]]}}},{"id":548,"uris":["http://zotero.org/users/local/8fpcHUeo/items/PCF7TAM3"],"uri":["http://zotero.org/users/local/8fpcHUeo/items/PCF7TAM3"],"itemData":{"id":548,"type":"article-journal","container-title":"Anatomical Sciences Education","DOI":"10.1002/ase.2061","ISSN":"1935-9772, 1935-9780","issue":"2","journalAbbreviation":"Anat. Sci. Educ.","language":"en","page":"129-131","source":"DOI.org (Crossref)","title":"Effects of Covid‐19: The Need to Assess the Real Value of Anatomy Education","title-short":"Effects of Covid‐19","volume":"14","author":[{"family":"Evans","given":"Darrell J. R."},{"family":"Pawlina","given":"Wojciech"}],"issued":{"date-parts":[["2021",3]]}}},{"id":542,"uris":["http://zotero.org/users/local/8fpcHUeo/items/KBT7KY2C"],"uri":["http://zotero.org/users/local/8fpcHUeo/items/KBT7KY2C"],"itemData":{"id":542,"type":"article-journal","container-title":"Anatomical Sciences Education","DOI":"10.1002/ase.2054","ISSN":"1935-9772, 1935-9780","issue":"2","journalAbbreviation":"Anat. Sci. Educ.","language":"en","page":"148-153","source":"DOI.org (Crossref)","title":"Anatomy in a Post‐Covid‐19 World: Tracing a New Trajectory","title-short":"Anatomy in a Post‐Covid‐19 World","volume":"14","author":[{"family":"Jones","given":"David Gareth"}],"issued":{"date-parts":[["2021",3]]}}},{"id":538,"uris":["http://zotero.org/users/local/8fpcHUeo/items/TKDC6SHG"],"uri":["http://zotero.org/users/local/8fpcHUeo/items/TKDC6SHG"],"itemData":{"id":538,"type":"article-journal","container-title":"Anatomical Sciences Education","DOI":"10.1002/ase.2027","ISSN":"1935-9772, 1935-9780","issue":"2","journalAbbreviation":"Anat. Sci. Educ.","language":"en","page":"263-269","source":"DOI.org (Crossref)","title":"Spending Wisely: The Role of Cost and Value Research in the Pursuit of Advancing Anatomical Sciences Education","title-short":"Spending Wisely","volume":"14","author":[{"family":"Maloney","given":"Stephen"},{"family":"Pather","given":"Nalini"},{"family":"Foo","given":"Jonathan"},{"family":"Lazarus","given":"Michelle D."}],"issued":{"date-parts":[["2021",3]]}}}],"schema":"https://github.com/citation-style-language/schema/raw/master/csl-citation.json"} </w:instrText>
      </w:r>
      <w:r>
        <w:rPr>
          <w:rFonts w:ascii="Times New Roman" w:hAnsi="Times New Roman" w:cs="Times New Roman"/>
        </w:rPr>
        <w:fldChar w:fldCharType="separate"/>
      </w:r>
      <w:r>
        <w:rPr>
          <w:rFonts w:ascii="Times New Roman" w:hAnsi="Times New Roman" w:cs="Times New Roman"/>
          <w:noProof/>
        </w:rPr>
        <w:t>(Evans &amp; Pawlina, 2021; Jones, 2021; Maloney et al., 2021)</w:t>
      </w:r>
      <w:r>
        <w:rPr>
          <w:rFonts w:ascii="Times New Roman" w:hAnsi="Times New Roman" w:cs="Times New Roman"/>
        </w:rPr>
        <w:fldChar w:fldCharType="end"/>
      </w:r>
      <w:r>
        <w:rPr>
          <w:rFonts w:ascii="Times New Roman" w:hAnsi="Times New Roman" w:cs="Times New Roman"/>
        </w:rPr>
        <w:t xml:space="preserve">. Cadaveric dissection, though preferred by students and considered essential by many anatomy educators, was recently found to be the most expensive laboratory modality </w:t>
      </w:r>
      <w:r>
        <w:rPr>
          <w:rFonts w:ascii="Times New Roman" w:hAnsi="Times New Roman" w:cs="Times New Roman"/>
        </w:rPr>
        <w:fldChar w:fldCharType="begin"/>
      </w:r>
      <w:r>
        <w:rPr>
          <w:rFonts w:ascii="Times New Roman" w:hAnsi="Times New Roman" w:cs="Times New Roman"/>
        </w:rPr>
        <w:instrText xml:space="preserve"> ADDIN ZOTERO_ITEM CSL_CITATION {"citationID":"ABVES3ms","properties":{"formattedCitation":"(Chumbley et al., 2021)","plainCitation":"(Chumbley et al., 2021)","noteIndex":0},"citationItems":[{"id":544,"uris":["http://zotero.org/users/local/8fpcHUeo/items/C34MNQ8T"],"uri":["http://zotero.org/users/local/8fpcHUeo/items/C34MNQ8T"],"itemData":{"id":544,"type":"article-journal","container-title":"Anatomical Sciences Education","DOI":"10.1002/ase.2008","ISSN":"1935-9772, 1935-9780","issue":"2","journalAbbreviation":"Anat. Sci. Educ.","language":"en","page":"171-183","source":"DOI.org (Crossref)","title":"An Approach to Economic Evaluation in Undergraduate Anatomy Education","volume":"14","author":[{"family":"Chumbley","given":"Samuel D."},{"family":"Devaraj","given":"Vikram S."},{"family":"Mattick","given":"Karen"}],"issued":{"date-parts":[["2021",3]]}}}],"schema":"https://github.com/citation-style-language/schema/raw/master/csl-citation.json"} </w:instrText>
      </w:r>
      <w:r>
        <w:rPr>
          <w:rFonts w:ascii="Times New Roman" w:hAnsi="Times New Roman" w:cs="Times New Roman"/>
        </w:rPr>
        <w:fldChar w:fldCharType="separate"/>
      </w:r>
      <w:r>
        <w:rPr>
          <w:rFonts w:ascii="Times New Roman" w:hAnsi="Times New Roman" w:cs="Times New Roman"/>
          <w:noProof/>
        </w:rPr>
        <w:t>(Chumbley et al., 2021)</w:t>
      </w:r>
      <w:r>
        <w:rPr>
          <w:rFonts w:ascii="Times New Roman" w:hAnsi="Times New Roman" w:cs="Times New Roman"/>
        </w:rPr>
        <w:fldChar w:fldCharType="end"/>
      </w:r>
      <w:r>
        <w:rPr>
          <w:rFonts w:ascii="Times New Roman" w:hAnsi="Times New Roman" w:cs="Times New Roman"/>
        </w:rPr>
        <w:t xml:space="preserve">. As health professions administrators evaluate the finances associated with dissection, they could perceive the cost-to-benefit ratio as being too high in light </w:t>
      </w:r>
      <w:r w:rsidR="0095010C">
        <w:rPr>
          <w:rFonts w:ascii="Times New Roman" w:hAnsi="Times New Roman" w:cs="Times New Roman"/>
        </w:rPr>
        <w:t xml:space="preserve">of </w:t>
      </w:r>
      <w:r>
        <w:rPr>
          <w:rFonts w:ascii="Times New Roman" w:hAnsi="Times New Roman" w:cs="Times New Roman"/>
        </w:rPr>
        <w:t xml:space="preserve">sufficient academic outcomes. Anatomy educators are currently being cautioned to be prepared for a detailed cost-to-benefit justification for the inclusion of cadaveric dissection </w:t>
      </w:r>
      <w:r>
        <w:rPr>
          <w:rFonts w:ascii="Times New Roman" w:hAnsi="Times New Roman" w:cs="Times New Roman"/>
        </w:rPr>
        <w:fldChar w:fldCharType="begin"/>
      </w:r>
      <w:r w:rsidR="00065E56">
        <w:rPr>
          <w:rFonts w:ascii="Times New Roman" w:hAnsi="Times New Roman" w:cs="Times New Roman"/>
        </w:rPr>
        <w:instrText xml:space="preserve"> ADDIN ZOTERO_ITEM CSL_CITATION {"citationID":"X7fO40Si","properties":{"formattedCitation":"(D. J. R. Evans &amp; Pawlina, 2021; Maloney et al., 2021)","plainCitation":"(D. J. R. Evans &amp; Pawlina, 2021; Maloney et al., 2021)","noteIndex":0},"citationItems":[{"id":548,"uris":["http://zotero.org/users/local/8fpcHUeo/items/PCF7TAM3"],"uri":["http://zotero.org/users/local/8fpcHUeo/items/PCF7TAM3"],"itemData":{"id":548,"type":"article-journal","container-title":"Anatomical Sciences Education","DOI":"10.1002/ase.2061","ISSN":"1935-9772, 1935-9780","issue":"2","journalAbbreviation":"Anat. Sci. Educ.","language":"en","page":"129-131","source":"DOI.org (Crossref)","title":"Effects of Covid‐19: The Need to Assess the Real Value of Anatomy Education","title-short":"Effects of Covid‐19","volume":"14","author":[{"family":"Evans","given":"Darrell J. R."},{"family":"Pawlina","given":"Wojciech"}],"issued":{"date-parts":[["2021",3]]}}},{"id":538,"uris":["http://zotero.org/users/local/8fpcHUeo/items/TKDC6SHG"],"uri":["http://zotero.org/users/local/8fpcHUeo/items/TKDC6SHG"],"itemData":{"id":538,"type":"article-journal","container-title":"Anatomical Sciences Education","DOI":"10.1002/ase.2027","ISSN":"1935-9772, 1935-9780","issue":"2","journalAbbreviation":"Anat. Sci. Educ.","language":"en","page":"263-269","source":"DOI.org (Crossref)","title":"Spending Wisely: The Role of Cost and Value Research in the Pursuit of Advancing Anatomical Sciences Education","title-short":"Spending Wisely","volume":"14","author":[{"family":"Maloney","given":"Stephen"},{"family":"Pather","given":"Nalini"},{"family":"Foo","given":"Jonathan"},{"family":"Lazarus","given":"Michelle D."}],"issued":{"date-parts":[["2021",3]]}}}],"schema":"https://github.com/citation-style-language/schema/raw/master/csl-citation.json"} </w:instrText>
      </w:r>
      <w:r>
        <w:rPr>
          <w:rFonts w:ascii="Times New Roman" w:hAnsi="Times New Roman" w:cs="Times New Roman"/>
        </w:rPr>
        <w:fldChar w:fldCharType="separate"/>
      </w:r>
      <w:r w:rsidR="00065E56">
        <w:rPr>
          <w:rFonts w:ascii="Times New Roman" w:hAnsi="Times New Roman" w:cs="Times New Roman"/>
          <w:noProof/>
        </w:rPr>
        <w:t>(D. J. R. Evans &amp; Pawlina, 2021; Maloney et al., 2021)</w:t>
      </w:r>
      <w:r>
        <w:rPr>
          <w:rFonts w:ascii="Times New Roman" w:hAnsi="Times New Roman" w:cs="Times New Roman"/>
        </w:rPr>
        <w:fldChar w:fldCharType="end"/>
      </w:r>
      <w:r>
        <w:rPr>
          <w:rFonts w:ascii="Times New Roman" w:hAnsi="Times New Roman" w:cs="Times New Roman"/>
        </w:rPr>
        <w:t>.</w:t>
      </w:r>
    </w:p>
    <w:p w14:paraId="70A99F82" w14:textId="2FBDD94A" w:rsidR="00E179E4" w:rsidRDefault="00E179E4" w:rsidP="00E179E4">
      <w:pPr>
        <w:spacing w:line="480" w:lineRule="auto"/>
        <w:rPr>
          <w:rFonts w:ascii="Times New Roman" w:hAnsi="Times New Roman" w:cs="Times New Roman"/>
        </w:rPr>
      </w:pPr>
      <w:r>
        <w:rPr>
          <w:rFonts w:ascii="Times New Roman" w:hAnsi="Times New Roman" w:cs="Times New Roman"/>
        </w:rPr>
        <w:tab/>
        <w:t xml:space="preserve">This situation points to a larger problem. Currently, pre-clinical cognitive domain knowledge is frequently assessed in a similar format as </w:t>
      </w:r>
      <w:proofErr w:type="gramStart"/>
      <w:r>
        <w:rPr>
          <w:rFonts w:ascii="Times New Roman" w:hAnsi="Times New Roman" w:cs="Times New Roman"/>
        </w:rPr>
        <w:t>high-stakes</w:t>
      </w:r>
      <w:proofErr w:type="gramEnd"/>
      <w:r>
        <w:rPr>
          <w:rFonts w:ascii="Times New Roman" w:hAnsi="Times New Roman" w:cs="Times New Roman"/>
        </w:rPr>
        <w:t xml:space="preserve"> testing such as licensing exams in order to promote student success on those exams. Additionally, in the attempt to quantify knowledge gains in health professions courses, researchers necessarily avoid knowledge gained in currently unquantified ways. As a result, ‘academic outcomes’ is only an approximation or a representation of what students actually learn, and the present study is no exception. If administrators only use measurable academic outcomes to determine what materials are available to students, the possibility exists of losing the means to teach the unquantified curriculum. In the context of the present study, this would mean the psychomotor and affective domain knowledge could be marginalized or eliminated. In the larger context of anatomy education research, it could mean </w:t>
      </w:r>
      <w:proofErr w:type="gramStart"/>
      <w:r>
        <w:rPr>
          <w:rFonts w:ascii="Times New Roman" w:hAnsi="Times New Roman" w:cs="Times New Roman"/>
        </w:rPr>
        <w:t>NTDIS</w:t>
      </w:r>
      <w:proofErr w:type="gramEnd"/>
      <w:r>
        <w:rPr>
          <w:rFonts w:ascii="Times New Roman" w:hAnsi="Times New Roman" w:cs="Times New Roman"/>
        </w:rPr>
        <w:t xml:space="preserve"> and initial professionalism skills and attitudes might not be taught in clinical anatomy. This is not to say that costs should not be </w:t>
      </w:r>
      <w:proofErr w:type="gramStart"/>
      <w:r>
        <w:rPr>
          <w:rFonts w:ascii="Times New Roman" w:hAnsi="Times New Roman" w:cs="Times New Roman"/>
        </w:rPr>
        <w:t>considered</w:t>
      </w:r>
      <w:proofErr w:type="gramEnd"/>
      <w:r>
        <w:rPr>
          <w:rFonts w:ascii="Times New Roman" w:hAnsi="Times New Roman" w:cs="Times New Roman"/>
        </w:rPr>
        <w:t xml:space="preserve"> and </w:t>
      </w:r>
      <w:r>
        <w:rPr>
          <w:rFonts w:ascii="Times New Roman" w:hAnsi="Times New Roman" w:cs="Times New Roman"/>
        </w:rPr>
        <w:lastRenderedPageBreak/>
        <w:t xml:space="preserve">knowledge should not be quantified. But what is essential is to resist the reductionist mindset that quantifiable academic outcomes tell the entire story of what students learn. Using academic outcomes as the primary determinant of course or program resources </w:t>
      </w:r>
      <w:r w:rsidR="00C33548">
        <w:rPr>
          <w:rFonts w:ascii="Times New Roman" w:hAnsi="Times New Roman" w:cs="Times New Roman"/>
        </w:rPr>
        <w:t>may be</w:t>
      </w:r>
      <w:r>
        <w:rPr>
          <w:rFonts w:ascii="Times New Roman" w:hAnsi="Times New Roman" w:cs="Times New Roman"/>
        </w:rPr>
        <w:t xml:space="preserve"> an invalid use of those outcomes. </w:t>
      </w:r>
    </w:p>
    <w:p w14:paraId="36591F42" w14:textId="1E9DBB96" w:rsidR="00E179E4" w:rsidRDefault="00E179E4" w:rsidP="00E179E4">
      <w:pPr>
        <w:spacing w:line="480" w:lineRule="auto"/>
        <w:rPr>
          <w:rFonts w:ascii="Times New Roman" w:hAnsi="Times New Roman" w:cs="Times New Roman"/>
        </w:rPr>
      </w:pPr>
      <w:r>
        <w:rPr>
          <w:rFonts w:ascii="Times New Roman" w:hAnsi="Times New Roman" w:cs="Times New Roman"/>
        </w:rPr>
        <w:tab/>
        <w:t xml:space="preserve">For the anatomy educator, converting the open-ended, exploratory nature of cadaveric laboratory to a digital format can be difficult. The cognitive knowledge can be accounted for by finding a good image or video, but the teachable moments that emerge from anatomical anomalies or evidence of surgery or illness are more difficult to reproduce. It could be that emergency remote teaching accounted for the appropriate transfer of cognitive knowledge, but for transitioning from remote to fully online clinical anatomy educators will have to capture some of the exploratory nature inherent to dissection. This could be done in the format of interactive, introductory case studies that include the basics of imaging or some other format that scaffolds introductory imaging modalities with anatomical knowledge. </w:t>
      </w:r>
      <w:r w:rsidR="00C33548">
        <w:rPr>
          <w:rFonts w:ascii="Times New Roman" w:hAnsi="Times New Roman" w:cs="Times New Roman"/>
        </w:rPr>
        <w:t>Research</w:t>
      </w:r>
      <w:r>
        <w:rPr>
          <w:rFonts w:ascii="Times New Roman" w:hAnsi="Times New Roman" w:cs="Times New Roman"/>
        </w:rPr>
        <w:t xml:space="preserve"> has been devoted to the development of supplemental online materials at the clinical student level. Perhaps the concepts utilized by clinical professors could be adapted for pre-clinical use. </w:t>
      </w:r>
      <w:r w:rsidR="00C33548">
        <w:rPr>
          <w:rFonts w:ascii="Times New Roman" w:hAnsi="Times New Roman" w:cs="Times New Roman"/>
        </w:rPr>
        <w:t xml:space="preserve">It is possible </w:t>
      </w:r>
      <w:r>
        <w:rPr>
          <w:rFonts w:ascii="Times New Roman" w:hAnsi="Times New Roman" w:cs="Times New Roman"/>
        </w:rPr>
        <w:t xml:space="preserve">that fully online clinical anatomy will </w:t>
      </w:r>
      <w:r w:rsidR="0095010C">
        <w:rPr>
          <w:rFonts w:ascii="Times New Roman" w:hAnsi="Times New Roman" w:cs="Times New Roman"/>
        </w:rPr>
        <w:t xml:space="preserve">continue to </w:t>
      </w:r>
      <w:r>
        <w:rPr>
          <w:rFonts w:ascii="Times New Roman" w:hAnsi="Times New Roman" w:cs="Times New Roman"/>
        </w:rPr>
        <w:t>exist in some schools, and the body of research emerging from ‘pandemic research’ can help establish best practices for those endeavors.</w:t>
      </w:r>
    </w:p>
    <w:p w14:paraId="14110983" w14:textId="02C86682" w:rsidR="00E179E4" w:rsidRDefault="00E179E4" w:rsidP="00E179E4">
      <w:pPr>
        <w:spacing w:line="480" w:lineRule="auto"/>
        <w:rPr>
          <w:rFonts w:ascii="Times New Roman" w:hAnsi="Times New Roman" w:cs="Times New Roman"/>
        </w:rPr>
      </w:pPr>
      <w:r>
        <w:rPr>
          <w:rFonts w:ascii="Times New Roman" w:hAnsi="Times New Roman" w:cs="Times New Roman"/>
        </w:rPr>
        <w:tab/>
        <w:t>The bulk of anatomy educators will likely sort through the ‘pandemic research’ for best practices that both students and faculty preferred. Newly created dissection videos could become the pre-lab for dissection instead of a close reading of the dissection manual, and successful online materials could be incorporated into F2F courses to expand modalities of learning.  For those educators who wish to keep the lecture + laboratory format</w:t>
      </w:r>
      <w:r w:rsidR="0095010C">
        <w:rPr>
          <w:rFonts w:ascii="Times New Roman" w:hAnsi="Times New Roman" w:cs="Times New Roman"/>
        </w:rPr>
        <w:t>,</w:t>
      </w:r>
      <w:r>
        <w:rPr>
          <w:rFonts w:ascii="Times New Roman" w:hAnsi="Times New Roman" w:cs="Times New Roman"/>
        </w:rPr>
        <w:t xml:space="preserve"> yet modernize aspects of the </w:t>
      </w:r>
      <w:r>
        <w:rPr>
          <w:rFonts w:ascii="Times New Roman" w:hAnsi="Times New Roman" w:cs="Times New Roman"/>
        </w:rPr>
        <w:lastRenderedPageBreak/>
        <w:t>delivery, the forthcoming body of literature will undoubtedly provide multiple examples of successful implementation.</w:t>
      </w:r>
    </w:p>
    <w:p w14:paraId="6CA69498" w14:textId="77777777" w:rsidR="00E179E4" w:rsidRPr="005F6BE1" w:rsidRDefault="00E179E4" w:rsidP="00E179E4">
      <w:pPr>
        <w:rPr>
          <w:rFonts w:ascii="Times New Roman" w:hAnsi="Times New Roman" w:cs="Times New Roman"/>
          <w:b/>
          <w:bCs/>
        </w:rPr>
      </w:pPr>
      <w:r w:rsidRPr="005F6BE1">
        <w:rPr>
          <w:rFonts w:ascii="Times New Roman" w:hAnsi="Times New Roman" w:cs="Times New Roman"/>
          <w:b/>
          <w:bCs/>
        </w:rPr>
        <w:t>Future Research</w:t>
      </w:r>
    </w:p>
    <w:p w14:paraId="4D9F794A" w14:textId="77777777" w:rsidR="00E179E4" w:rsidRDefault="00E179E4" w:rsidP="00E179E4">
      <w:pPr>
        <w:rPr>
          <w:rFonts w:ascii="Times New Roman" w:hAnsi="Times New Roman" w:cs="Times New Roman"/>
        </w:rPr>
      </w:pPr>
    </w:p>
    <w:p w14:paraId="79FCDF46" w14:textId="77777777" w:rsidR="00E179E4" w:rsidRDefault="00E179E4" w:rsidP="00E179E4">
      <w:pPr>
        <w:spacing w:line="480" w:lineRule="auto"/>
        <w:rPr>
          <w:rFonts w:ascii="Times New Roman" w:hAnsi="Times New Roman" w:cs="Times New Roman"/>
        </w:rPr>
      </w:pPr>
      <w:r>
        <w:rPr>
          <w:rFonts w:ascii="Times New Roman" w:hAnsi="Times New Roman" w:cs="Times New Roman"/>
        </w:rPr>
        <w:tab/>
        <w:t xml:space="preserve">This study highlighted the roles of the laboratory in the cognitive, psychomotor, and affective domains. Though research exists for the laboratory supporting cognitive gains, developing NTDIS, and mentoring the adoption of proper ethical attitudes and judgments of clinicians, the analysis of laboratory within an educational theoretical framework further elucidated the fullness of the contributions that cadaveric dissection laboratory makes to a clinical anatomy course. This study and others support that many students and faculty alike feel that cadaveric dissection adds to students’ experiences. </w:t>
      </w:r>
    </w:p>
    <w:p w14:paraId="750E86FF" w14:textId="77777777" w:rsidR="00E179E4" w:rsidRDefault="00E179E4" w:rsidP="00E179E4">
      <w:pPr>
        <w:spacing w:line="480" w:lineRule="auto"/>
        <w:rPr>
          <w:rFonts w:ascii="Times New Roman" w:hAnsi="Times New Roman" w:cs="Times New Roman"/>
        </w:rPr>
      </w:pPr>
      <w:r>
        <w:rPr>
          <w:rFonts w:ascii="Times New Roman" w:hAnsi="Times New Roman" w:cs="Times New Roman"/>
        </w:rPr>
        <w:tab/>
        <w:t xml:space="preserve">A deep qualitative exploration of </w:t>
      </w:r>
      <w:r w:rsidRPr="00D52191">
        <w:rPr>
          <w:rFonts w:ascii="Times New Roman" w:hAnsi="Times New Roman" w:cs="Times New Roman"/>
          <w:i/>
          <w:iCs/>
        </w:rPr>
        <w:t>how</w:t>
      </w:r>
      <w:r>
        <w:rPr>
          <w:rFonts w:ascii="Times New Roman" w:hAnsi="Times New Roman" w:cs="Times New Roman"/>
        </w:rPr>
        <w:t xml:space="preserve"> cadaveric dissection laboratory promotes cognitive gains, NTDIS, and professionalism would be an asset to anatomy education. Educators recognize these as beneficial outcomes of cadaveric dissection laboratory, but not much is known regarding the processes by which these experiences are formed. A qualitative study of student experiences during laboratory potentially improves anatomy education in 5 ways. First, developing a model or models of the processes required to facilitate cognitive gains, NTDIS, and professionalism validates present observational data supporting cadaveric dissection outcomes. Second, process model(s) supports anatomy educators in demonstrating the value of dissection to administrators. Third, understanding the processes in which students are engaged allows anatomy educators to optimize dissection/laboratory practices for the most benefit. Fourth, anatomy educators creating an online version of clinical anatomy could adapt process models to an online format for a potentially more fulfilling online experience. Fifth, by illuminating process model(s), researchers may determine a way to quantify previously unquantifiable learning via survey development, </w:t>
      </w:r>
      <w:r>
        <w:rPr>
          <w:rFonts w:ascii="Times New Roman" w:hAnsi="Times New Roman" w:cs="Times New Roman"/>
        </w:rPr>
        <w:lastRenderedPageBreak/>
        <w:t>rubrics, or other assessments. Essentially, understanding how these processes develop potentially allows anatomy educators the ability to maximize, explain, or adapt the cognitive gains, non-traditional discipline-independent skills, and professional ethics and attitudes developed in the laboratory.</w:t>
      </w:r>
      <w:r>
        <w:rPr>
          <w:rFonts w:ascii="Times New Roman" w:hAnsi="Times New Roman" w:cs="Times New Roman"/>
        </w:rPr>
        <w:tab/>
        <w:t xml:space="preserve"> </w:t>
      </w:r>
    </w:p>
    <w:p w14:paraId="495DED88" w14:textId="77777777" w:rsidR="00E179E4" w:rsidRPr="00132411" w:rsidRDefault="00E179E4" w:rsidP="00E179E4">
      <w:pPr>
        <w:rPr>
          <w:rFonts w:ascii="Times New Roman" w:hAnsi="Times New Roman" w:cs="Times New Roman"/>
          <w:b/>
          <w:bCs/>
        </w:rPr>
      </w:pPr>
      <w:r w:rsidRPr="00132411">
        <w:rPr>
          <w:rFonts w:ascii="Times New Roman" w:hAnsi="Times New Roman" w:cs="Times New Roman"/>
          <w:b/>
          <w:bCs/>
        </w:rPr>
        <w:t>Conclusions</w:t>
      </w:r>
    </w:p>
    <w:p w14:paraId="336E4EDA" w14:textId="77777777" w:rsidR="00E179E4" w:rsidRDefault="00E179E4" w:rsidP="00E179E4">
      <w:pPr>
        <w:rPr>
          <w:rFonts w:ascii="Times New Roman" w:hAnsi="Times New Roman" w:cs="Times New Roman"/>
        </w:rPr>
      </w:pPr>
    </w:p>
    <w:p w14:paraId="29D3CFDF" w14:textId="77777777" w:rsidR="00E179E4" w:rsidRDefault="00E179E4" w:rsidP="00E179E4">
      <w:pPr>
        <w:spacing w:line="480" w:lineRule="auto"/>
        <w:rPr>
          <w:rFonts w:ascii="Times New Roman" w:hAnsi="Times New Roman" w:cs="Times New Roman"/>
        </w:rPr>
      </w:pPr>
      <w:r>
        <w:rPr>
          <w:rFonts w:ascii="Times New Roman" w:hAnsi="Times New Roman" w:cs="Times New Roman"/>
        </w:rPr>
        <w:tab/>
        <w:t xml:space="preserve">First do no harm. This research study demonstrated that remote Clinical Anatomy was an adequate learning experience for many students. This finding indicated that emergency remote teaching of Clinical Anatomy sufficiently met the ethical obligation of providing equivalent learning opportunities to remote learners (Evans, 2018). The results also indicated that many students perceived a learning deficit due to the lack of hands-on, physical learning opportunities. These seemingly oppositional results are potentially explained by classifying learning by Bloom’s Domains. Many students were able to discern a lack of psychomotor and affective domain learning even as their cognitive needs were being met. </w:t>
      </w:r>
    </w:p>
    <w:p w14:paraId="5D3D1D9B" w14:textId="5F3E310D" w:rsidR="00414640" w:rsidRDefault="00E179E4" w:rsidP="00D90199">
      <w:pPr>
        <w:spacing w:line="480" w:lineRule="auto"/>
        <w:rPr>
          <w:rFonts w:ascii="Times New Roman" w:hAnsi="Times New Roman" w:cs="Times New Roman"/>
        </w:rPr>
      </w:pPr>
      <w:r>
        <w:rPr>
          <w:rFonts w:ascii="Times New Roman" w:hAnsi="Times New Roman" w:cs="Times New Roman"/>
        </w:rPr>
        <w:tab/>
        <w:t>The results of this study highlight an issue germane to medical education. When assessing academic outcomes, the tendency in pre-clinical medical education is to focus on quantifiable data, which is frequently cognitive domain knowledge. Doing so potentially reduces the value of knowledge gained from the psychomotor and affective domains when administrators have to make budgetary decisions. To effectively demonstrate the value of psychomotor and affective domain knowledge in clinical anatomy, research should be conducted to elucidate the processes in which students engage during cadaveric dissection to develop cognitive gains, non-traditional discipline independent skills, and professional attitudes and mannerisms. With process models to support student and faculty perceptions, researchers may be able to amplify the utility of knowledge gained in underrepresented domains.</w:t>
      </w:r>
      <w:r w:rsidR="00B009F3">
        <w:rPr>
          <w:rFonts w:ascii="Times New Roman" w:hAnsi="Times New Roman" w:cs="Times New Roman"/>
        </w:rPr>
        <w:t xml:space="preserve"> </w:t>
      </w:r>
      <w:r w:rsidR="00D90199">
        <w:rPr>
          <w:rFonts w:ascii="Times New Roman" w:hAnsi="Times New Roman" w:cs="Times New Roman"/>
        </w:rPr>
        <w:t xml:space="preserve">A concrete understanding of how </w:t>
      </w:r>
      <w:r w:rsidR="00D90199">
        <w:rPr>
          <w:rFonts w:ascii="Times New Roman" w:hAnsi="Times New Roman" w:cs="Times New Roman"/>
        </w:rPr>
        <w:lastRenderedPageBreak/>
        <w:t>psychomotor and affective domain knowledge is acquired potentially helps educators and other stakeholders to make more fully informed decisions regarding the pre-clinical curriculum.</w:t>
      </w:r>
    </w:p>
    <w:p w14:paraId="7E13B381" w14:textId="1117EF7A" w:rsidR="00063D9A" w:rsidRDefault="00414640" w:rsidP="00E179E4">
      <w:pPr>
        <w:spacing w:line="480" w:lineRule="auto"/>
        <w:rPr>
          <w:rFonts w:ascii="Times New Roman" w:hAnsi="Times New Roman" w:cs="Times New Roman"/>
        </w:rPr>
      </w:pPr>
      <w:r>
        <w:rPr>
          <w:rFonts w:ascii="Times New Roman" w:hAnsi="Times New Roman" w:cs="Times New Roman"/>
        </w:rPr>
        <w:tab/>
      </w:r>
      <w:r w:rsidR="00063D9A">
        <w:rPr>
          <w:rFonts w:ascii="Times New Roman" w:hAnsi="Times New Roman" w:cs="Times New Roman"/>
        </w:rPr>
        <w:t xml:space="preserve"> </w:t>
      </w:r>
    </w:p>
    <w:p w14:paraId="577550A5" w14:textId="77777777" w:rsidR="00063D9A" w:rsidRDefault="00063D9A" w:rsidP="00E179E4">
      <w:pPr>
        <w:spacing w:line="480" w:lineRule="auto"/>
        <w:rPr>
          <w:rFonts w:ascii="Times New Roman" w:hAnsi="Times New Roman" w:cs="Times New Roman"/>
        </w:rPr>
      </w:pPr>
    </w:p>
    <w:p w14:paraId="07276F48" w14:textId="77777777" w:rsidR="00063D9A" w:rsidRDefault="00063D9A" w:rsidP="00E179E4">
      <w:pPr>
        <w:spacing w:line="480" w:lineRule="auto"/>
        <w:rPr>
          <w:rFonts w:ascii="Times New Roman" w:hAnsi="Times New Roman" w:cs="Times New Roman"/>
        </w:rPr>
      </w:pPr>
    </w:p>
    <w:p w14:paraId="7D88ECF9" w14:textId="77777777" w:rsidR="00063D9A" w:rsidRDefault="00063D9A" w:rsidP="00E179E4">
      <w:pPr>
        <w:spacing w:line="480" w:lineRule="auto"/>
        <w:rPr>
          <w:rFonts w:ascii="Times New Roman" w:hAnsi="Times New Roman" w:cs="Times New Roman"/>
        </w:rPr>
      </w:pPr>
    </w:p>
    <w:p w14:paraId="2FA89A1B" w14:textId="77777777" w:rsidR="00063D9A" w:rsidRDefault="00063D9A" w:rsidP="00E179E4">
      <w:pPr>
        <w:spacing w:line="480" w:lineRule="auto"/>
        <w:rPr>
          <w:rFonts w:ascii="Times New Roman" w:hAnsi="Times New Roman" w:cs="Times New Roman"/>
        </w:rPr>
      </w:pPr>
    </w:p>
    <w:p w14:paraId="27DF405C" w14:textId="72C76ABC" w:rsidR="00CC1AAB" w:rsidRDefault="00CC1AAB" w:rsidP="00E179E4">
      <w:pPr>
        <w:spacing w:line="480" w:lineRule="auto"/>
        <w:rPr>
          <w:rFonts w:ascii="Times New Roman" w:hAnsi="Times New Roman" w:cs="Times New Roman"/>
        </w:rPr>
      </w:pPr>
    </w:p>
    <w:p w14:paraId="4371CD35" w14:textId="7FDA50AD" w:rsidR="00CC1AAB" w:rsidRDefault="00CC1AAB" w:rsidP="00E179E4">
      <w:pPr>
        <w:spacing w:line="480" w:lineRule="auto"/>
        <w:rPr>
          <w:rFonts w:ascii="Times New Roman" w:hAnsi="Times New Roman" w:cs="Times New Roman"/>
        </w:rPr>
      </w:pPr>
    </w:p>
    <w:p w14:paraId="755608A9" w14:textId="00973981" w:rsidR="00CC1AAB" w:rsidRDefault="00CC1AAB" w:rsidP="00E179E4">
      <w:pPr>
        <w:spacing w:line="480" w:lineRule="auto"/>
        <w:rPr>
          <w:rFonts w:ascii="Times New Roman" w:hAnsi="Times New Roman" w:cs="Times New Roman"/>
        </w:rPr>
      </w:pPr>
    </w:p>
    <w:p w14:paraId="4485B1F3" w14:textId="580897EF" w:rsidR="00CC1AAB" w:rsidRDefault="00CC1AAB" w:rsidP="00E179E4">
      <w:pPr>
        <w:spacing w:line="480" w:lineRule="auto"/>
        <w:rPr>
          <w:rFonts w:ascii="Times New Roman" w:hAnsi="Times New Roman" w:cs="Times New Roman"/>
        </w:rPr>
      </w:pPr>
    </w:p>
    <w:p w14:paraId="5CB99D44" w14:textId="57D313B1" w:rsidR="00CC1AAB" w:rsidRDefault="00CC1AAB" w:rsidP="00E179E4">
      <w:pPr>
        <w:spacing w:line="480" w:lineRule="auto"/>
        <w:rPr>
          <w:rFonts w:ascii="Times New Roman" w:hAnsi="Times New Roman" w:cs="Times New Roman"/>
        </w:rPr>
      </w:pPr>
    </w:p>
    <w:p w14:paraId="57A74CE8" w14:textId="483E57CB" w:rsidR="00CC1AAB" w:rsidRDefault="00CC1AAB" w:rsidP="00E179E4">
      <w:pPr>
        <w:spacing w:line="480" w:lineRule="auto"/>
        <w:rPr>
          <w:rFonts w:ascii="Times New Roman" w:hAnsi="Times New Roman" w:cs="Times New Roman"/>
        </w:rPr>
      </w:pPr>
    </w:p>
    <w:p w14:paraId="1ABAD5B9" w14:textId="0CA5DEEB" w:rsidR="00CC1AAB" w:rsidRDefault="00CC1AAB" w:rsidP="00E179E4">
      <w:pPr>
        <w:spacing w:line="480" w:lineRule="auto"/>
        <w:rPr>
          <w:rFonts w:ascii="Times New Roman" w:hAnsi="Times New Roman" w:cs="Times New Roman"/>
        </w:rPr>
      </w:pPr>
    </w:p>
    <w:p w14:paraId="5265A680" w14:textId="20B16122" w:rsidR="00CC1AAB" w:rsidRDefault="00CC1AAB" w:rsidP="00E179E4">
      <w:pPr>
        <w:spacing w:line="480" w:lineRule="auto"/>
        <w:rPr>
          <w:rFonts w:ascii="Times New Roman" w:hAnsi="Times New Roman" w:cs="Times New Roman"/>
        </w:rPr>
      </w:pPr>
    </w:p>
    <w:p w14:paraId="4FE806A7" w14:textId="13542271" w:rsidR="00CC1AAB" w:rsidRDefault="00CC1AAB" w:rsidP="00E179E4">
      <w:pPr>
        <w:spacing w:line="480" w:lineRule="auto"/>
        <w:rPr>
          <w:rFonts w:ascii="Times New Roman" w:hAnsi="Times New Roman" w:cs="Times New Roman"/>
        </w:rPr>
      </w:pPr>
    </w:p>
    <w:p w14:paraId="1DBA0080" w14:textId="03B1F1DD" w:rsidR="00CC1AAB" w:rsidRDefault="00CC1AAB" w:rsidP="00E179E4">
      <w:pPr>
        <w:spacing w:line="480" w:lineRule="auto"/>
        <w:rPr>
          <w:rFonts w:ascii="Times New Roman" w:hAnsi="Times New Roman" w:cs="Times New Roman"/>
        </w:rPr>
      </w:pPr>
    </w:p>
    <w:p w14:paraId="5C986A13" w14:textId="5E2A3CFB" w:rsidR="00CC1AAB" w:rsidRDefault="00CC1AAB" w:rsidP="00E179E4">
      <w:pPr>
        <w:spacing w:line="480" w:lineRule="auto"/>
        <w:rPr>
          <w:rFonts w:ascii="Times New Roman" w:hAnsi="Times New Roman" w:cs="Times New Roman"/>
        </w:rPr>
      </w:pPr>
    </w:p>
    <w:p w14:paraId="15726079" w14:textId="5FEBBC06" w:rsidR="00CC1AAB" w:rsidRDefault="00CC1AAB" w:rsidP="00E179E4">
      <w:pPr>
        <w:spacing w:line="480" w:lineRule="auto"/>
        <w:rPr>
          <w:rFonts w:ascii="Times New Roman" w:hAnsi="Times New Roman" w:cs="Times New Roman"/>
        </w:rPr>
      </w:pPr>
    </w:p>
    <w:p w14:paraId="7199299D" w14:textId="1BDE5A68" w:rsidR="00CC1AAB" w:rsidRDefault="00CC1AAB" w:rsidP="00E179E4">
      <w:pPr>
        <w:spacing w:line="480" w:lineRule="auto"/>
        <w:rPr>
          <w:rFonts w:ascii="Times New Roman" w:hAnsi="Times New Roman" w:cs="Times New Roman"/>
        </w:rPr>
      </w:pPr>
    </w:p>
    <w:p w14:paraId="3C3F10B0" w14:textId="5A6FFFA9" w:rsidR="00CC1AAB" w:rsidRDefault="00CC1AAB" w:rsidP="00E179E4">
      <w:pPr>
        <w:spacing w:line="480" w:lineRule="auto"/>
        <w:rPr>
          <w:rFonts w:ascii="Times New Roman" w:hAnsi="Times New Roman" w:cs="Times New Roman"/>
        </w:rPr>
      </w:pPr>
    </w:p>
    <w:p w14:paraId="15AFDA6D" w14:textId="165B4DE2" w:rsidR="00CC1AAB" w:rsidRDefault="00CC1AAB" w:rsidP="00E179E4">
      <w:pPr>
        <w:spacing w:line="480" w:lineRule="auto"/>
        <w:rPr>
          <w:rFonts w:ascii="Times New Roman" w:hAnsi="Times New Roman" w:cs="Times New Roman"/>
        </w:rPr>
      </w:pPr>
    </w:p>
    <w:p w14:paraId="70D51F46" w14:textId="77777777" w:rsidR="00A851A5" w:rsidRDefault="00A851A5" w:rsidP="00E179E4">
      <w:pPr>
        <w:spacing w:line="480" w:lineRule="auto"/>
        <w:rPr>
          <w:rFonts w:ascii="Times New Roman" w:hAnsi="Times New Roman" w:cs="Times New Roman"/>
        </w:rPr>
      </w:pPr>
    </w:p>
    <w:p w14:paraId="03856EAB" w14:textId="6A76F656" w:rsidR="00CC1AAB" w:rsidRPr="00A851A5" w:rsidRDefault="00CC1AAB" w:rsidP="00E179E4">
      <w:pPr>
        <w:spacing w:line="480" w:lineRule="auto"/>
        <w:rPr>
          <w:rFonts w:ascii="Times New Roman" w:hAnsi="Times New Roman" w:cs="Times New Roman"/>
          <w:b/>
          <w:bCs/>
        </w:rPr>
      </w:pPr>
      <w:r w:rsidRPr="00A851A5">
        <w:rPr>
          <w:rFonts w:ascii="Times New Roman" w:hAnsi="Times New Roman" w:cs="Times New Roman"/>
          <w:b/>
          <w:bCs/>
        </w:rPr>
        <w:lastRenderedPageBreak/>
        <w:t>References</w:t>
      </w:r>
    </w:p>
    <w:p w14:paraId="312BCD87" w14:textId="77777777" w:rsidR="00065E56" w:rsidRPr="00065E56" w:rsidRDefault="00CC1AAB" w:rsidP="00065E56">
      <w:pPr>
        <w:pStyle w:val="Bibliography"/>
        <w:rPr>
          <w:rFonts w:ascii="Times New Roman" w:hAnsi="Times New Roman" w:cs="Times New Roman"/>
        </w:rPr>
      </w:pPr>
      <w:r>
        <w:fldChar w:fldCharType="begin"/>
      </w:r>
      <w:r w:rsidR="00065E56">
        <w:instrText xml:space="preserve"> ADDIN ZOTERO_BIBL {"uncited":[],"omitted":[],"custom":[]} CSL_BIBLIOGRAPHY </w:instrText>
      </w:r>
      <w:r>
        <w:fldChar w:fldCharType="separate"/>
      </w:r>
      <w:r w:rsidR="00065E56" w:rsidRPr="00065E56">
        <w:rPr>
          <w:rFonts w:ascii="Times New Roman" w:hAnsi="Times New Roman" w:cs="Times New Roman"/>
        </w:rPr>
        <w:t xml:space="preserve">Abeysekera, L., &amp; Dawson, P. (2015). Motivation and cognitive load in the flipped classroom: Definition, rationale and a call for research. </w:t>
      </w:r>
      <w:r w:rsidR="00065E56" w:rsidRPr="00065E56">
        <w:rPr>
          <w:rFonts w:ascii="Times New Roman" w:hAnsi="Times New Roman" w:cs="Times New Roman"/>
          <w:i/>
          <w:iCs/>
        </w:rPr>
        <w:t>Higher Education Research &amp; Development</w:t>
      </w:r>
      <w:r w:rsidR="00065E56" w:rsidRPr="00065E56">
        <w:rPr>
          <w:rFonts w:ascii="Times New Roman" w:hAnsi="Times New Roman" w:cs="Times New Roman"/>
        </w:rPr>
        <w:t xml:space="preserve">, </w:t>
      </w:r>
      <w:r w:rsidR="00065E56" w:rsidRPr="00065E56">
        <w:rPr>
          <w:rFonts w:ascii="Times New Roman" w:hAnsi="Times New Roman" w:cs="Times New Roman"/>
          <w:i/>
          <w:iCs/>
        </w:rPr>
        <w:t>34</w:t>
      </w:r>
      <w:r w:rsidR="00065E56" w:rsidRPr="00065E56">
        <w:rPr>
          <w:rFonts w:ascii="Times New Roman" w:hAnsi="Times New Roman" w:cs="Times New Roman"/>
        </w:rPr>
        <w:t>(1), 1–14. https://doi.org/10.1080/07294360.2014.934336</w:t>
      </w:r>
    </w:p>
    <w:p w14:paraId="78789107" w14:textId="77777777" w:rsidR="00065E56" w:rsidRPr="00065E56" w:rsidRDefault="00065E56" w:rsidP="00065E56">
      <w:pPr>
        <w:pStyle w:val="Bibliography"/>
        <w:rPr>
          <w:rFonts w:ascii="Times New Roman" w:hAnsi="Times New Roman" w:cs="Times New Roman"/>
        </w:rPr>
      </w:pPr>
      <w:r w:rsidRPr="00065E56">
        <w:rPr>
          <w:rFonts w:ascii="Times New Roman" w:hAnsi="Times New Roman" w:cs="Times New Roman"/>
          <w:i/>
          <w:iCs/>
        </w:rPr>
        <w:t>Accreditation Standards for Dental Education Programs</w:t>
      </w:r>
      <w:r w:rsidRPr="00065E56">
        <w:rPr>
          <w:rFonts w:ascii="Times New Roman" w:hAnsi="Times New Roman" w:cs="Times New Roman"/>
        </w:rPr>
        <w:t>. (n.d.). 38.</w:t>
      </w:r>
    </w:p>
    <w:p w14:paraId="4460A357" w14:textId="77777777" w:rsidR="00065E56" w:rsidRPr="00065E56" w:rsidRDefault="00065E56" w:rsidP="00065E56">
      <w:pPr>
        <w:pStyle w:val="Bibliography"/>
        <w:rPr>
          <w:rFonts w:ascii="Times New Roman" w:hAnsi="Times New Roman" w:cs="Times New Roman"/>
        </w:rPr>
      </w:pPr>
      <w:r w:rsidRPr="00065E56">
        <w:rPr>
          <w:rFonts w:ascii="Times New Roman" w:hAnsi="Times New Roman" w:cs="Times New Roman"/>
        </w:rPr>
        <w:t xml:space="preserve">American Dental Association. (2016). </w:t>
      </w:r>
      <w:r w:rsidRPr="00065E56">
        <w:rPr>
          <w:rFonts w:ascii="Times New Roman" w:hAnsi="Times New Roman" w:cs="Times New Roman"/>
          <w:i/>
          <w:iCs/>
        </w:rPr>
        <w:t>2015-16 Survey of Dental Education.</w:t>
      </w:r>
      <w:r w:rsidRPr="00065E56">
        <w:rPr>
          <w:rFonts w:ascii="Times New Roman" w:hAnsi="Times New Roman" w:cs="Times New Roman"/>
        </w:rPr>
        <w:t xml:space="preserve"> www.ada.org/ SDEA_2015-16_SDE4_final.xlsx</w:t>
      </w:r>
    </w:p>
    <w:p w14:paraId="4A672CBA" w14:textId="77777777" w:rsidR="00065E56" w:rsidRPr="00065E56" w:rsidRDefault="00065E56" w:rsidP="00065E56">
      <w:pPr>
        <w:pStyle w:val="Bibliography"/>
        <w:rPr>
          <w:rFonts w:ascii="Times New Roman" w:hAnsi="Times New Roman" w:cs="Times New Roman"/>
        </w:rPr>
      </w:pPr>
      <w:r w:rsidRPr="00065E56">
        <w:rPr>
          <w:rFonts w:ascii="Times New Roman" w:hAnsi="Times New Roman" w:cs="Times New Roman"/>
        </w:rPr>
        <w:t xml:space="preserve">Anderson, L. W., &amp; Krathwohl, D. R. (2001). </w:t>
      </w:r>
      <w:r w:rsidRPr="00065E56">
        <w:rPr>
          <w:rFonts w:ascii="Times New Roman" w:hAnsi="Times New Roman" w:cs="Times New Roman"/>
          <w:i/>
          <w:iCs/>
        </w:rPr>
        <w:t>A Taxonomy for Learning, Teaching, and Assessing: A Revision of Bloom’s Taxonomy of Educational Objectives</w:t>
      </w:r>
      <w:r w:rsidRPr="00065E56">
        <w:rPr>
          <w:rFonts w:ascii="Times New Roman" w:hAnsi="Times New Roman" w:cs="Times New Roman"/>
        </w:rPr>
        <w:t>. Longman.</w:t>
      </w:r>
    </w:p>
    <w:p w14:paraId="732BB987" w14:textId="77777777" w:rsidR="00065E56" w:rsidRPr="00065E56" w:rsidRDefault="00065E56" w:rsidP="00065E56">
      <w:pPr>
        <w:pStyle w:val="Bibliography"/>
        <w:rPr>
          <w:rFonts w:ascii="Times New Roman" w:hAnsi="Times New Roman" w:cs="Times New Roman"/>
        </w:rPr>
      </w:pPr>
      <w:r w:rsidRPr="00065E56">
        <w:rPr>
          <w:rFonts w:ascii="Times New Roman" w:hAnsi="Times New Roman" w:cs="Times New Roman"/>
        </w:rPr>
        <w:t xml:space="preserve">Anstey, L. M. (2017). “Applying anatomy to something I care about”: Authentic inquiry learning and student experiences of an inquiry project. </w:t>
      </w:r>
      <w:r w:rsidRPr="00065E56">
        <w:rPr>
          <w:rFonts w:ascii="Times New Roman" w:hAnsi="Times New Roman" w:cs="Times New Roman"/>
          <w:i/>
          <w:iCs/>
        </w:rPr>
        <w:t>Anatomical Sciences Education</w:t>
      </w:r>
      <w:r w:rsidRPr="00065E56">
        <w:rPr>
          <w:rFonts w:ascii="Times New Roman" w:hAnsi="Times New Roman" w:cs="Times New Roman"/>
        </w:rPr>
        <w:t xml:space="preserve">, </w:t>
      </w:r>
      <w:r w:rsidRPr="00065E56">
        <w:rPr>
          <w:rFonts w:ascii="Times New Roman" w:hAnsi="Times New Roman" w:cs="Times New Roman"/>
          <w:i/>
          <w:iCs/>
        </w:rPr>
        <w:t>10</w:t>
      </w:r>
      <w:r w:rsidRPr="00065E56">
        <w:rPr>
          <w:rFonts w:ascii="Times New Roman" w:hAnsi="Times New Roman" w:cs="Times New Roman"/>
        </w:rPr>
        <w:t>(6), 538–548. https://doi.org/10.1002/ase.1690</w:t>
      </w:r>
    </w:p>
    <w:p w14:paraId="6F7967B3" w14:textId="77777777" w:rsidR="00065E56" w:rsidRPr="00065E56" w:rsidRDefault="00065E56" w:rsidP="00065E56">
      <w:pPr>
        <w:pStyle w:val="Bibliography"/>
        <w:rPr>
          <w:rFonts w:ascii="Times New Roman" w:hAnsi="Times New Roman" w:cs="Times New Roman"/>
        </w:rPr>
      </w:pPr>
      <w:r w:rsidRPr="00065E56">
        <w:rPr>
          <w:rFonts w:ascii="Times New Roman" w:hAnsi="Times New Roman" w:cs="Times New Roman"/>
        </w:rPr>
        <w:t xml:space="preserve">Asprey, D. P., &amp; Agar Barwick, T. (2017). Physician Assistant Education Association: Past, Present, and Future. </w:t>
      </w:r>
      <w:r w:rsidRPr="00065E56">
        <w:rPr>
          <w:rFonts w:ascii="Times New Roman" w:hAnsi="Times New Roman" w:cs="Times New Roman"/>
          <w:i/>
          <w:iCs/>
        </w:rPr>
        <w:t>The Journal of Physician Assistant Education</w:t>
      </w:r>
      <w:r w:rsidRPr="00065E56">
        <w:rPr>
          <w:rFonts w:ascii="Times New Roman" w:hAnsi="Times New Roman" w:cs="Times New Roman"/>
        </w:rPr>
        <w:t xml:space="preserve">, </w:t>
      </w:r>
      <w:r w:rsidRPr="00065E56">
        <w:rPr>
          <w:rFonts w:ascii="Times New Roman" w:hAnsi="Times New Roman" w:cs="Times New Roman"/>
          <w:i/>
          <w:iCs/>
        </w:rPr>
        <w:t>28</w:t>
      </w:r>
      <w:r w:rsidRPr="00065E56">
        <w:rPr>
          <w:rFonts w:ascii="Times New Roman" w:hAnsi="Times New Roman" w:cs="Times New Roman"/>
        </w:rPr>
        <w:t>, S49–S55. https://doi.org/10.1097/JPA.0000000000000151</w:t>
      </w:r>
    </w:p>
    <w:p w14:paraId="1F8C4161" w14:textId="77777777" w:rsidR="00065E56" w:rsidRPr="00065E56" w:rsidRDefault="00065E56" w:rsidP="00065E56">
      <w:pPr>
        <w:pStyle w:val="Bibliography"/>
        <w:rPr>
          <w:rFonts w:ascii="Times New Roman" w:hAnsi="Times New Roman" w:cs="Times New Roman"/>
        </w:rPr>
      </w:pPr>
      <w:r w:rsidRPr="00065E56">
        <w:rPr>
          <w:rFonts w:ascii="Times New Roman" w:hAnsi="Times New Roman" w:cs="Times New Roman"/>
        </w:rPr>
        <w:t xml:space="preserve">Attardi, S. M., Barbeau, M. L., &amp; Rogers, K. A. (2018). Improving Online Interactions: Lessons from an Online Anatomy Course with a Laboratory for Undergraduate Students. </w:t>
      </w:r>
      <w:r w:rsidRPr="00065E56">
        <w:rPr>
          <w:rFonts w:ascii="Times New Roman" w:hAnsi="Times New Roman" w:cs="Times New Roman"/>
          <w:i/>
          <w:iCs/>
        </w:rPr>
        <w:t>Anatomical Sciences Education</w:t>
      </w:r>
      <w:r w:rsidRPr="00065E56">
        <w:rPr>
          <w:rFonts w:ascii="Times New Roman" w:hAnsi="Times New Roman" w:cs="Times New Roman"/>
        </w:rPr>
        <w:t xml:space="preserve">, </w:t>
      </w:r>
      <w:r w:rsidRPr="00065E56">
        <w:rPr>
          <w:rFonts w:ascii="Times New Roman" w:hAnsi="Times New Roman" w:cs="Times New Roman"/>
          <w:i/>
          <w:iCs/>
        </w:rPr>
        <w:t>11</w:t>
      </w:r>
      <w:r w:rsidRPr="00065E56">
        <w:rPr>
          <w:rFonts w:ascii="Times New Roman" w:hAnsi="Times New Roman" w:cs="Times New Roman"/>
        </w:rPr>
        <w:t>(6), 592–604. https://doi.org/10.1002/ase.1776</w:t>
      </w:r>
    </w:p>
    <w:p w14:paraId="62B4E9BF" w14:textId="77777777" w:rsidR="00065E56" w:rsidRPr="00065E56" w:rsidRDefault="00065E56" w:rsidP="00065E56">
      <w:pPr>
        <w:pStyle w:val="Bibliography"/>
        <w:rPr>
          <w:rFonts w:ascii="Times New Roman" w:hAnsi="Times New Roman" w:cs="Times New Roman"/>
        </w:rPr>
      </w:pPr>
      <w:r w:rsidRPr="00065E56">
        <w:rPr>
          <w:rFonts w:ascii="Times New Roman" w:hAnsi="Times New Roman" w:cs="Times New Roman"/>
        </w:rPr>
        <w:t xml:space="preserve">Attardi, S. M., Choi, S., Barnett, J., &amp; Rogers, K. A. (2016). Mixed methods student evaluation of an online systemic human anatomy course with laboratory: Mixed Methods Student Evaluation of Online Human Anatomy Course. </w:t>
      </w:r>
      <w:r w:rsidRPr="00065E56">
        <w:rPr>
          <w:rFonts w:ascii="Times New Roman" w:hAnsi="Times New Roman" w:cs="Times New Roman"/>
          <w:i/>
          <w:iCs/>
        </w:rPr>
        <w:t>Anatomical Sciences Education</w:t>
      </w:r>
      <w:r w:rsidRPr="00065E56">
        <w:rPr>
          <w:rFonts w:ascii="Times New Roman" w:hAnsi="Times New Roman" w:cs="Times New Roman"/>
        </w:rPr>
        <w:t xml:space="preserve">, </w:t>
      </w:r>
      <w:r w:rsidRPr="00065E56">
        <w:rPr>
          <w:rFonts w:ascii="Times New Roman" w:hAnsi="Times New Roman" w:cs="Times New Roman"/>
          <w:i/>
          <w:iCs/>
        </w:rPr>
        <w:t>9</w:t>
      </w:r>
      <w:r w:rsidRPr="00065E56">
        <w:rPr>
          <w:rFonts w:ascii="Times New Roman" w:hAnsi="Times New Roman" w:cs="Times New Roman"/>
        </w:rPr>
        <w:t>(3), 272–285. https://doi.org/10.1002/ase.1584</w:t>
      </w:r>
    </w:p>
    <w:p w14:paraId="5178377A" w14:textId="77777777" w:rsidR="00065E56" w:rsidRPr="00065E56" w:rsidRDefault="00065E56" w:rsidP="00065E56">
      <w:pPr>
        <w:pStyle w:val="Bibliography"/>
        <w:rPr>
          <w:rFonts w:ascii="Times New Roman" w:hAnsi="Times New Roman" w:cs="Times New Roman"/>
        </w:rPr>
      </w:pPr>
      <w:r w:rsidRPr="00065E56">
        <w:rPr>
          <w:rFonts w:ascii="Times New Roman" w:hAnsi="Times New Roman" w:cs="Times New Roman"/>
        </w:rPr>
        <w:lastRenderedPageBreak/>
        <w:t xml:space="preserve">Aziz, M. A., Mckenzie, J. C., Wilson, J. S., Cowie, R. J., Ayeni, S. A., &amp; Dunn, B. K. (2002). The human cadaver in the age of biomedical informatics. </w:t>
      </w:r>
      <w:r w:rsidRPr="00065E56">
        <w:rPr>
          <w:rFonts w:ascii="Times New Roman" w:hAnsi="Times New Roman" w:cs="Times New Roman"/>
          <w:i/>
          <w:iCs/>
        </w:rPr>
        <w:t>The Anatomical Record</w:t>
      </w:r>
      <w:r w:rsidRPr="00065E56">
        <w:rPr>
          <w:rFonts w:ascii="Times New Roman" w:hAnsi="Times New Roman" w:cs="Times New Roman"/>
        </w:rPr>
        <w:t xml:space="preserve">, </w:t>
      </w:r>
      <w:r w:rsidRPr="00065E56">
        <w:rPr>
          <w:rFonts w:ascii="Times New Roman" w:hAnsi="Times New Roman" w:cs="Times New Roman"/>
          <w:i/>
          <w:iCs/>
        </w:rPr>
        <w:t>269</w:t>
      </w:r>
      <w:r w:rsidRPr="00065E56">
        <w:rPr>
          <w:rFonts w:ascii="Times New Roman" w:hAnsi="Times New Roman" w:cs="Times New Roman"/>
        </w:rPr>
        <w:t>(1), 20–32. https://doi.org/10.1002/ar.10046</w:t>
      </w:r>
    </w:p>
    <w:p w14:paraId="0BF51D2A" w14:textId="77777777" w:rsidR="00065E56" w:rsidRPr="00065E56" w:rsidRDefault="00065E56" w:rsidP="00065E56">
      <w:pPr>
        <w:pStyle w:val="Bibliography"/>
        <w:rPr>
          <w:rFonts w:ascii="Times New Roman" w:hAnsi="Times New Roman" w:cs="Times New Roman"/>
        </w:rPr>
      </w:pPr>
      <w:r w:rsidRPr="00065E56">
        <w:rPr>
          <w:rFonts w:ascii="Times New Roman" w:hAnsi="Times New Roman" w:cs="Times New Roman"/>
        </w:rPr>
        <w:t xml:space="preserve">Babakus, E., &amp; Mangold, W. G. (n.d.). </w:t>
      </w:r>
      <w:r w:rsidRPr="00065E56">
        <w:rPr>
          <w:rFonts w:ascii="Times New Roman" w:hAnsi="Times New Roman" w:cs="Times New Roman"/>
          <w:i/>
          <w:iCs/>
        </w:rPr>
        <w:t>Adapting the SERVQUAL Scale to Hospital Services: An Empirical Investlgatlon</w:t>
      </w:r>
      <w:r w:rsidRPr="00065E56">
        <w:rPr>
          <w:rFonts w:ascii="Times New Roman" w:hAnsi="Times New Roman" w:cs="Times New Roman"/>
        </w:rPr>
        <w:t>. 20.</w:t>
      </w:r>
    </w:p>
    <w:p w14:paraId="556C7F91" w14:textId="77777777" w:rsidR="00065E56" w:rsidRPr="00065E56" w:rsidRDefault="00065E56" w:rsidP="00065E56">
      <w:pPr>
        <w:pStyle w:val="Bibliography"/>
        <w:rPr>
          <w:rFonts w:ascii="Times New Roman" w:hAnsi="Times New Roman" w:cs="Times New Roman"/>
        </w:rPr>
      </w:pPr>
      <w:r w:rsidRPr="00065E56">
        <w:rPr>
          <w:rFonts w:ascii="Times New Roman" w:hAnsi="Times New Roman" w:cs="Times New Roman"/>
        </w:rPr>
        <w:t xml:space="preserve">Barbagallo, M. S., Porter, J. E., &amp; Lamunu, M. (2020). Evaluation of a Blended Online and Digital Learning Mode of Anatomy and Physiology for Undergraduate Nursing Students. </w:t>
      </w:r>
      <w:r w:rsidRPr="00065E56">
        <w:rPr>
          <w:rFonts w:ascii="Times New Roman" w:hAnsi="Times New Roman" w:cs="Times New Roman"/>
          <w:i/>
          <w:iCs/>
        </w:rPr>
        <w:t>CIN: Computers, Informatics, Nursing</w:t>
      </w:r>
      <w:r w:rsidRPr="00065E56">
        <w:rPr>
          <w:rFonts w:ascii="Times New Roman" w:hAnsi="Times New Roman" w:cs="Times New Roman"/>
        </w:rPr>
        <w:t xml:space="preserve">, </w:t>
      </w:r>
      <w:r w:rsidRPr="00065E56">
        <w:rPr>
          <w:rFonts w:ascii="Times New Roman" w:hAnsi="Times New Roman" w:cs="Times New Roman"/>
          <w:i/>
          <w:iCs/>
        </w:rPr>
        <w:t>Publish Ahead of Print</w:t>
      </w:r>
      <w:r w:rsidRPr="00065E56">
        <w:rPr>
          <w:rFonts w:ascii="Times New Roman" w:hAnsi="Times New Roman" w:cs="Times New Roman"/>
        </w:rPr>
        <w:t>. https://doi.org/10.1097/CIN.0000000000000639</w:t>
      </w:r>
    </w:p>
    <w:p w14:paraId="3E66B711" w14:textId="77777777" w:rsidR="00065E56" w:rsidRPr="00065E56" w:rsidRDefault="00065E56" w:rsidP="00065E56">
      <w:pPr>
        <w:pStyle w:val="Bibliography"/>
        <w:rPr>
          <w:rFonts w:ascii="Times New Roman" w:hAnsi="Times New Roman" w:cs="Times New Roman"/>
        </w:rPr>
      </w:pPr>
      <w:r w:rsidRPr="00065E56">
        <w:rPr>
          <w:rFonts w:ascii="Times New Roman" w:hAnsi="Times New Roman" w:cs="Times New Roman"/>
        </w:rPr>
        <w:t xml:space="preserve">Bloom, Benjamin. (n.d.). </w:t>
      </w:r>
      <w:r w:rsidRPr="00065E56">
        <w:rPr>
          <w:rFonts w:ascii="Times New Roman" w:hAnsi="Times New Roman" w:cs="Times New Roman"/>
          <w:i/>
          <w:iCs/>
        </w:rPr>
        <w:t>Taxonomy of Educational Objectives, Handbook 1: Cognitive Domain</w:t>
      </w:r>
      <w:r w:rsidRPr="00065E56">
        <w:rPr>
          <w:rFonts w:ascii="Times New Roman" w:hAnsi="Times New Roman" w:cs="Times New Roman"/>
        </w:rPr>
        <w:t>.</w:t>
      </w:r>
    </w:p>
    <w:p w14:paraId="0589D568" w14:textId="77777777" w:rsidR="00065E56" w:rsidRPr="00065E56" w:rsidRDefault="00065E56" w:rsidP="00065E56">
      <w:pPr>
        <w:pStyle w:val="Bibliography"/>
        <w:rPr>
          <w:rFonts w:ascii="Times New Roman" w:hAnsi="Times New Roman" w:cs="Times New Roman"/>
        </w:rPr>
      </w:pPr>
      <w:r w:rsidRPr="00065E56">
        <w:rPr>
          <w:rFonts w:ascii="Times New Roman" w:hAnsi="Times New Roman" w:cs="Times New Roman"/>
        </w:rPr>
        <w:t xml:space="preserve">Brauer, D. G., &amp; Ferguson, K. J. (2015). The integrated curriculum in medical education: AMEE Guide No. 96. </w:t>
      </w:r>
      <w:r w:rsidRPr="00065E56">
        <w:rPr>
          <w:rFonts w:ascii="Times New Roman" w:hAnsi="Times New Roman" w:cs="Times New Roman"/>
          <w:i/>
          <w:iCs/>
        </w:rPr>
        <w:t>Medical Teacher</w:t>
      </w:r>
      <w:r w:rsidRPr="00065E56">
        <w:rPr>
          <w:rFonts w:ascii="Times New Roman" w:hAnsi="Times New Roman" w:cs="Times New Roman"/>
        </w:rPr>
        <w:t xml:space="preserve">, </w:t>
      </w:r>
      <w:r w:rsidRPr="00065E56">
        <w:rPr>
          <w:rFonts w:ascii="Times New Roman" w:hAnsi="Times New Roman" w:cs="Times New Roman"/>
          <w:i/>
          <w:iCs/>
        </w:rPr>
        <w:t>37</w:t>
      </w:r>
      <w:r w:rsidRPr="00065E56">
        <w:rPr>
          <w:rFonts w:ascii="Times New Roman" w:hAnsi="Times New Roman" w:cs="Times New Roman"/>
        </w:rPr>
        <w:t>(4), 312–322. https://doi.org/10.3109/0142159X.2014.970998</w:t>
      </w:r>
    </w:p>
    <w:p w14:paraId="13CC9C2C" w14:textId="77777777" w:rsidR="00065E56" w:rsidRPr="00065E56" w:rsidRDefault="00065E56" w:rsidP="00065E56">
      <w:pPr>
        <w:pStyle w:val="Bibliography"/>
        <w:rPr>
          <w:rFonts w:ascii="Times New Roman" w:hAnsi="Times New Roman" w:cs="Times New Roman"/>
        </w:rPr>
      </w:pPr>
      <w:r w:rsidRPr="00065E56">
        <w:rPr>
          <w:rFonts w:ascii="Times New Roman" w:hAnsi="Times New Roman" w:cs="Times New Roman"/>
        </w:rPr>
        <w:t xml:space="preserve">Campbell, D. T., &amp; Stanley, J. C. (1967). </w:t>
      </w:r>
      <w:r w:rsidRPr="00065E56">
        <w:rPr>
          <w:rFonts w:ascii="Times New Roman" w:hAnsi="Times New Roman" w:cs="Times New Roman"/>
          <w:i/>
          <w:iCs/>
        </w:rPr>
        <w:t>Experimental and quasi-experimental designs for research</w:t>
      </w:r>
      <w:r w:rsidRPr="00065E56">
        <w:rPr>
          <w:rFonts w:ascii="Times New Roman" w:hAnsi="Times New Roman" w:cs="Times New Roman"/>
        </w:rPr>
        <w:t xml:space="preserve"> (2. print; Reprinted from "Handbook of research on teaching"). Houghton Mifflin Comp.</w:t>
      </w:r>
    </w:p>
    <w:p w14:paraId="2B900FF7" w14:textId="77777777" w:rsidR="00065E56" w:rsidRPr="00065E56" w:rsidRDefault="00065E56" w:rsidP="00065E56">
      <w:pPr>
        <w:pStyle w:val="Bibliography"/>
        <w:rPr>
          <w:rFonts w:ascii="Times New Roman" w:hAnsi="Times New Roman" w:cs="Times New Roman"/>
        </w:rPr>
      </w:pPr>
      <w:r w:rsidRPr="00065E56">
        <w:rPr>
          <w:rFonts w:ascii="Times New Roman" w:hAnsi="Times New Roman" w:cs="Times New Roman"/>
        </w:rPr>
        <w:t xml:space="preserve">Chen, F., Lui, A. M., &amp; Martinelli, S. M. (2017). A systematic review of the effectiveness of flipped classrooms in medical education. </w:t>
      </w:r>
      <w:r w:rsidRPr="00065E56">
        <w:rPr>
          <w:rFonts w:ascii="Times New Roman" w:hAnsi="Times New Roman" w:cs="Times New Roman"/>
          <w:i/>
          <w:iCs/>
        </w:rPr>
        <w:t>Medical Education</w:t>
      </w:r>
      <w:r w:rsidRPr="00065E56">
        <w:rPr>
          <w:rFonts w:ascii="Times New Roman" w:hAnsi="Times New Roman" w:cs="Times New Roman"/>
        </w:rPr>
        <w:t xml:space="preserve">, </w:t>
      </w:r>
      <w:r w:rsidRPr="00065E56">
        <w:rPr>
          <w:rFonts w:ascii="Times New Roman" w:hAnsi="Times New Roman" w:cs="Times New Roman"/>
          <w:i/>
          <w:iCs/>
        </w:rPr>
        <w:t>51</w:t>
      </w:r>
      <w:r w:rsidRPr="00065E56">
        <w:rPr>
          <w:rFonts w:ascii="Times New Roman" w:hAnsi="Times New Roman" w:cs="Times New Roman"/>
        </w:rPr>
        <w:t>(6), 585–597. https://doi.org/10.1111/medu.13272</w:t>
      </w:r>
    </w:p>
    <w:p w14:paraId="50C13140" w14:textId="77777777" w:rsidR="00065E56" w:rsidRPr="00065E56" w:rsidRDefault="00065E56" w:rsidP="00065E56">
      <w:pPr>
        <w:pStyle w:val="Bibliography"/>
        <w:rPr>
          <w:rFonts w:ascii="Times New Roman" w:hAnsi="Times New Roman" w:cs="Times New Roman"/>
        </w:rPr>
      </w:pPr>
      <w:r w:rsidRPr="00065E56">
        <w:rPr>
          <w:rFonts w:ascii="Times New Roman" w:hAnsi="Times New Roman" w:cs="Times New Roman"/>
        </w:rPr>
        <w:t xml:space="preserve">Chumbley, S. D., Devaraj, V. S., &amp; Mattick, K. (2021). An Approach to Economic Evaluation in Undergraduate Anatomy Education. </w:t>
      </w:r>
      <w:r w:rsidRPr="00065E56">
        <w:rPr>
          <w:rFonts w:ascii="Times New Roman" w:hAnsi="Times New Roman" w:cs="Times New Roman"/>
          <w:i/>
          <w:iCs/>
        </w:rPr>
        <w:t>Anatomical Sciences Education</w:t>
      </w:r>
      <w:r w:rsidRPr="00065E56">
        <w:rPr>
          <w:rFonts w:ascii="Times New Roman" w:hAnsi="Times New Roman" w:cs="Times New Roman"/>
        </w:rPr>
        <w:t xml:space="preserve">, </w:t>
      </w:r>
      <w:r w:rsidRPr="00065E56">
        <w:rPr>
          <w:rFonts w:ascii="Times New Roman" w:hAnsi="Times New Roman" w:cs="Times New Roman"/>
          <w:i/>
          <w:iCs/>
        </w:rPr>
        <w:t>14</w:t>
      </w:r>
      <w:r w:rsidRPr="00065E56">
        <w:rPr>
          <w:rFonts w:ascii="Times New Roman" w:hAnsi="Times New Roman" w:cs="Times New Roman"/>
        </w:rPr>
        <w:t>(2), 171–183. https://doi.org/10.1002/ase.2008</w:t>
      </w:r>
    </w:p>
    <w:p w14:paraId="1E8B38C5" w14:textId="77777777" w:rsidR="00065E56" w:rsidRPr="00065E56" w:rsidRDefault="00065E56" w:rsidP="00065E56">
      <w:pPr>
        <w:pStyle w:val="Bibliography"/>
        <w:rPr>
          <w:rFonts w:ascii="Times New Roman" w:hAnsi="Times New Roman" w:cs="Times New Roman"/>
        </w:rPr>
      </w:pPr>
      <w:r w:rsidRPr="00065E56">
        <w:rPr>
          <w:rFonts w:ascii="Times New Roman" w:hAnsi="Times New Roman" w:cs="Times New Roman"/>
        </w:rPr>
        <w:lastRenderedPageBreak/>
        <w:t xml:space="preserve">Cleland, J., McKimm, J., Fuller, R., Taylor, D., Janczukowicz, J., &amp; Gibbs, T. (2020). Adapting to the impact of COVID-19: Sharing stories, sharing practice. </w:t>
      </w:r>
      <w:r w:rsidRPr="00065E56">
        <w:rPr>
          <w:rFonts w:ascii="Times New Roman" w:hAnsi="Times New Roman" w:cs="Times New Roman"/>
          <w:i/>
          <w:iCs/>
        </w:rPr>
        <w:t>Medical Teacher</w:t>
      </w:r>
      <w:r w:rsidRPr="00065E56">
        <w:rPr>
          <w:rFonts w:ascii="Times New Roman" w:hAnsi="Times New Roman" w:cs="Times New Roman"/>
        </w:rPr>
        <w:t xml:space="preserve">, </w:t>
      </w:r>
      <w:r w:rsidRPr="00065E56">
        <w:rPr>
          <w:rFonts w:ascii="Times New Roman" w:hAnsi="Times New Roman" w:cs="Times New Roman"/>
          <w:i/>
          <w:iCs/>
        </w:rPr>
        <w:t>42</w:t>
      </w:r>
      <w:r w:rsidRPr="00065E56">
        <w:rPr>
          <w:rFonts w:ascii="Times New Roman" w:hAnsi="Times New Roman" w:cs="Times New Roman"/>
        </w:rPr>
        <w:t>(7), 772–775. https://doi.org/10.1080/0142159X.2020.1757635</w:t>
      </w:r>
    </w:p>
    <w:p w14:paraId="5E0DB335" w14:textId="77777777" w:rsidR="00065E56" w:rsidRPr="00065E56" w:rsidRDefault="00065E56" w:rsidP="00065E56">
      <w:pPr>
        <w:pStyle w:val="Bibliography"/>
        <w:rPr>
          <w:rFonts w:ascii="Times New Roman" w:hAnsi="Times New Roman" w:cs="Times New Roman"/>
        </w:rPr>
      </w:pPr>
      <w:r w:rsidRPr="00065E56">
        <w:rPr>
          <w:rFonts w:ascii="Times New Roman" w:hAnsi="Times New Roman" w:cs="Times New Roman"/>
        </w:rPr>
        <w:t xml:space="preserve">Cook, D. A., Brydges, R., Ginsburg, S., &amp; Hatala, R. (2015). A contemporary approach to validity arguments: A practical guide to Kane’s framework. </w:t>
      </w:r>
      <w:r w:rsidRPr="00065E56">
        <w:rPr>
          <w:rFonts w:ascii="Times New Roman" w:hAnsi="Times New Roman" w:cs="Times New Roman"/>
          <w:i/>
          <w:iCs/>
        </w:rPr>
        <w:t>Medical Education</w:t>
      </w:r>
      <w:r w:rsidRPr="00065E56">
        <w:rPr>
          <w:rFonts w:ascii="Times New Roman" w:hAnsi="Times New Roman" w:cs="Times New Roman"/>
        </w:rPr>
        <w:t xml:space="preserve">, </w:t>
      </w:r>
      <w:r w:rsidRPr="00065E56">
        <w:rPr>
          <w:rFonts w:ascii="Times New Roman" w:hAnsi="Times New Roman" w:cs="Times New Roman"/>
          <w:i/>
          <w:iCs/>
        </w:rPr>
        <w:t>49</w:t>
      </w:r>
      <w:r w:rsidRPr="00065E56">
        <w:rPr>
          <w:rFonts w:ascii="Times New Roman" w:hAnsi="Times New Roman" w:cs="Times New Roman"/>
        </w:rPr>
        <w:t>(6), 560–575. https://doi.org/10.1111/medu.12678</w:t>
      </w:r>
    </w:p>
    <w:p w14:paraId="4EA0E9B2" w14:textId="77777777" w:rsidR="00065E56" w:rsidRPr="00065E56" w:rsidRDefault="00065E56" w:rsidP="00065E56">
      <w:pPr>
        <w:pStyle w:val="Bibliography"/>
        <w:rPr>
          <w:rFonts w:ascii="Times New Roman" w:hAnsi="Times New Roman" w:cs="Times New Roman"/>
        </w:rPr>
      </w:pPr>
      <w:r w:rsidRPr="00065E56">
        <w:rPr>
          <w:rFonts w:ascii="Times New Roman" w:hAnsi="Times New Roman" w:cs="Times New Roman"/>
        </w:rPr>
        <w:t xml:space="preserve">Cooke, M., Irby, D. M., &amp; O’Brien, B. C. (2010). </w:t>
      </w:r>
      <w:r w:rsidRPr="00065E56">
        <w:rPr>
          <w:rFonts w:ascii="Times New Roman" w:hAnsi="Times New Roman" w:cs="Times New Roman"/>
          <w:i/>
          <w:iCs/>
        </w:rPr>
        <w:t>Educating physicians: A call for reform of medical school and residency</w:t>
      </w:r>
      <w:r w:rsidRPr="00065E56">
        <w:rPr>
          <w:rFonts w:ascii="Times New Roman" w:hAnsi="Times New Roman" w:cs="Times New Roman"/>
        </w:rPr>
        <w:t xml:space="preserve"> (1st ed). Jossey-Bass.</w:t>
      </w:r>
    </w:p>
    <w:p w14:paraId="0E322BA8" w14:textId="77777777" w:rsidR="00065E56" w:rsidRPr="00065E56" w:rsidRDefault="00065E56" w:rsidP="00065E56">
      <w:pPr>
        <w:pStyle w:val="Bibliography"/>
        <w:rPr>
          <w:rFonts w:ascii="Times New Roman" w:hAnsi="Times New Roman" w:cs="Times New Roman"/>
        </w:rPr>
      </w:pPr>
      <w:r w:rsidRPr="00065E56">
        <w:rPr>
          <w:rFonts w:ascii="Times New Roman" w:hAnsi="Times New Roman" w:cs="Times New Roman"/>
        </w:rPr>
        <w:t xml:space="preserve">Cooke, M., Irby, D. M., Sullivan, W., &amp; Ludmerer, K. M. (2006). American Medical Education 100 Years after the Flexner Report. </w:t>
      </w:r>
      <w:r w:rsidRPr="00065E56">
        <w:rPr>
          <w:rFonts w:ascii="Times New Roman" w:hAnsi="Times New Roman" w:cs="Times New Roman"/>
          <w:i/>
          <w:iCs/>
        </w:rPr>
        <w:t>New England Journal of Medicine</w:t>
      </w:r>
      <w:r w:rsidRPr="00065E56">
        <w:rPr>
          <w:rFonts w:ascii="Times New Roman" w:hAnsi="Times New Roman" w:cs="Times New Roman"/>
        </w:rPr>
        <w:t xml:space="preserve">, </w:t>
      </w:r>
      <w:r w:rsidRPr="00065E56">
        <w:rPr>
          <w:rFonts w:ascii="Times New Roman" w:hAnsi="Times New Roman" w:cs="Times New Roman"/>
          <w:i/>
          <w:iCs/>
        </w:rPr>
        <w:t>355</w:t>
      </w:r>
      <w:r w:rsidRPr="00065E56">
        <w:rPr>
          <w:rFonts w:ascii="Times New Roman" w:hAnsi="Times New Roman" w:cs="Times New Roman"/>
        </w:rPr>
        <w:t>(13), 1339–1344. https://doi.org/10.1056/NEJMra055445</w:t>
      </w:r>
    </w:p>
    <w:p w14:paraId="35C18547" w14:textId="77777777" w:rsidR="00065E56" w:rsidRPr="00065E56" w:rsidRDefault="00065E56" w:rsidP="00065E56">
      <w:pPr>
        <w:pStyle w:val="Bibliography"/>
        <w:rPr>
          <w:rFonts w:ascii="Times New Roman" w:hAnsi="Times New Roman" w:cs="Times New Roman"/>
        </w:rPr>
      </w:pPr>
      <w:r w:rsidRPr="00065E56">
        <w:rPr>
          <w:rFonts w:ascii="Times New Roman" w:hAnsi="Times New Roman" w:cs="Times New Roman"/>
        </w:rPr>
        <w:t xml:space="preserve">Crotty, M. C. (n.d.). </w:t>
      </w:r>
      <w:r w:rsidRPr="00065E56">
        <w:rPr>
          <w:rFonts w:ascii="Times New Roman" w:hAnsi="Times New Roman" w:cs="Times New Roman"/>
          <w:i/>
          <w:iCs/>
        </w:rPr>
        <w:t>Foundations of Social Research</w:t>
      </w:r>
      <w:r w:rsidRPr="00065E56">
        <w:rPr>
          <w:rFonts w:ascii="Times New Roman" w:hAnsi="Times New Roman" w:cs="Times New Roman"/>
        </w:rPr>
        <w:t>.</w:t>
      </w:r>
    </w:p>
    <w:p w14:paraId="5C22C5F0" w14:textId="77777777" w:rsidR="00065E56" w:rsidRPr="00065E56" w:rsidRDefault="00065E56" w:rsidP="00065E56">
      <w:pPr>
        <w:pStyle w:val="Bibliography"/>
        <w:rPr>
          <w:rFonts w:ascii="Times New Roman" w:hAnsi="Times New Roman" w:cs="Times New Roman"/>
        </w:rPr>
      </w:pPr>
      <w:r w:rsidRPr="00065E56">
        <w:rPr>
          <w:rFonts w:ascii="Times New Roman" w:hAnsi="Times New Roman" w:cs="Times New Roman"/>
        </w:rPr>
        <w:t xml:space="preserve">Crotty, M. J. (1998). </w:t>
      </w:r>
      <w:r w:rsidRPr="00065E56">
        <w:rPr>
          <w:rFonts w:ascii="Times New Roman" w:hAnsi="Times New Roman" w:cs="Times New Roman"/>
          <w:i/>
          <w:iCs/>
        </w:rPr>
        <w:t>The Foundations of Social Research</w:t>
      </w:r>
      <w:r w:rsidRPr="00065E56">
        <w:rPr>
          <w:rFonts w:ascii="Times New Roman" w:hAnsi="Times New Roman" w:cs="Times New Roman"/>
        </w:rPr>
        <w:t xml:space="preserve"> (First edition). SAGE Publications Ltd.</w:t>
      </w:r>
    </w:p>
    <w:p w14:paraId="3D107D87" w14:textId="77777777" w:rsidR="00065E56" w:rsidRPr="00065E56" w:rsidRDefault="00065E56" w:rsidP="00065E56">
      <w:pPr>
        <w:pStyle w:val="Bibliography"/>
        <w:rPr>
          <w:rFonts w:ascii="Times New Roman" w:hAnsi="Times New Roman" w:cs="Times New Roman"/>
        </w:rPr>
      </w:pPr>
      <w:r w:rsidRPr="00065E56">
        <w:rPr>
          <w:rFonts w:ascii="Times New Roman" w:hAnsi="Times New Roman" w:cs="Times New Roman"/>
        </w:rPr>
        <w:t xml:space="preserve">Cuschieri, S., &amp; Calleja Agius, J. (2020). Spotlight on the Shift to Remote Anatomical Teaching During Covid‐19 Pandemic: Perspectives and Experiences from the University of Malta. </w:t>
      </w:r>
      <w:r w:rsidRPr="00065E56">
        <w:rPr>
          <w:rFonts w:ascii="Times New Roman" w:hAnsi="Times New Roman" w:cs="Times New Roman"/>
          <w:i/>
          <w:iCs/>
        </w:rPr>
        <w:t>Anatomical Sciences Education</w:t>
      </w:r>
      <w:r w:rsidRPr="00065E56">
        <w:rPr>
          <w:rFonts w:ascii="Times New Roman" w:hAnsi="Times New Roman" w:cs="Times New Roman"/>
        </w:rPr>
        <w:t xml:space="preserve">, </w:t>
      </w:r>
      <w:r w:rsidRPr="00065E56">
        <w:rPr>
          <w:rFonts w:ascii="Times New Roman" w:hAnsi="Times New Roman" w:cs="Times New Roman"/>
          <w:i/>
          <w:iCs/>
        </w:rPr>
        <w:t>13</w:t>
      </w:r>
      <w:r w:rsidRPr="00065E56">
        <w:rPr>
          <w:rFonts w:ascii="Times New Roman" w:hAnsi="Times New Roman" w:cs="Times New Roman"/>
        </w:rPr>
        <w:t>(6), 671–679. https://doi.org/10.1002/ase.2020</w:t>
      </w:r>
    </w:p>
    <w:p w14:paraId="3CAC68C1" w14:textId="77777777" w:rsidR="00065E56" w:rsidRPr="00065E56" w:rsidRDefault="00065E56" w:rsidP="00065E56">
      <w:pPr>
        <w:pStyle w:val="Bibliography"/>
        <w:rPr>
          <w:rFonts w:ascii="Times New Roman" w:hAnsi="Times New Roman" w:cs="Times New Roman"/>
        </w:rPr>
      </w:pPr>
      <w:r w:rsidRPr="00065E56">
        <w:rPr>
          <w:rFonts w:ascii="Times New Roman" w:hAnsi="Times New Roman" w:cs="Times New Roman"/>
        </w:rPr>
        <w:t xml:space="preserve">Custers, E. J. F. M., &amp; Cate, O. ten. (2018). The History of Medical Education in Europe and the United States, With Respect to Time and Proficiency: </w:t>
      </w:r>
      <w:r w:rsidRPr="00065E56">
        <w:rPr>
          <w:rFonts w:ascii="Times New Roman" w:hAnsi="Times New Roman" w:cs="Times New Roman"/>
          <w:i/>
          <w:iCs/>
        </w:rPr>
        <w:t>Academic Medicine</w:t>
      </w:r>
      <w:r w:rsidRPr="00065E56">
        <w:rPr>
          <w:rFonts w:ascii="Times New Roman" w:hAnsi="Times New Roman" w:cs="Times New Roman"/>
        </w:rPr>
        <w:t xml:space="preserve">, </w:t>
      </w:r>
      <w:r w:rsidRPr="00065E56">
        <w:rPr>
          <w:rFonts w:ascii="Times New Roman" w:hAnsi="Times New Roman" w:cs="Times New Roman"/>
          <w:i/>
          <w:iCs/>
        </w:rPr>
        <w:t>93</w:t>
      </w:r>
      <w:r w:rsidRPr="00065E56">
        <w:rPr>
          <w:rFonts w:ascii="Times New Roman" w:hAnsi="Times New Roman" w:cs="Times New Roman"/>
        </w:rPr>
        <w:t>(3S), S49–S54. https://doi.org/10.1097/ACM.0000000000002079</w:t>
      </w:r>
    </w:p>
    <w:p w14:paraId="3D3B7D3E" w14:textId="77777777" w:rsidR="00065E56" w:rsidRPr="00065E56" w:rsidRDefault="00065E56" w:rsidP="00065E56">
      <w:pPr>
        <w:pStyle w:val="Bibliography"/>
        <w:rPr>
          <w:rFonts w:ascii="Times New Roman" w:hAnsi="Times New Roman" w:cs="Times New Roman"/>
        </w:rPr>
      </w:pPr>
      <w:r w:rsidRPr="00065E56">
        <w:rPr>
          <w:rFonts w:ascii="Times New Roman" w:hAnsi="Times New Roman" w:cs="Times New Roman"/>
        </w:rPr>
        <w:t xml:space="preserve">Davis, C. R., Bates, A. S., Ellis, H., &amp; Roberts, A. M. (2014). Human Anatomy: Let the students tell us how to teach: Human Anatomy-Let the Students Tell Us How to Teach. </w:t>
      </w:r>
      <w:r w:rsidRPr="00065E56">
        <w:rPr>
          <w:rFonts w:ascii="Times New Roman" w:hAnsi="Times New Roman" w:cs="Times New Roman"/>
          <w:i/>
          <w:iCs/>
        </w:rPr>
        <w:t>Anatomical Sciences Education</w:t>
      </w:r>
      <w:r w:rsidRPr="00065E56">
        <w:rPr>
          <w:rFonts w:ascii="Times New Roman" w:hAnsi="Times New Roman" w:cs="Times New Roman"/>
        </w:rPr>
        <w:t xml:space="preserve">, </w:t>
      </w:r>
      <w:r w:rsidRPr="00065E56">
        <w:rPr>
          <w:rFonts w:ascii="Times New Roman" w:hAnsi="Times New Roman" w:cs="Times New Roman"/>
          <w:i/>
          <w:iCs/>
        </w:rPr>
        <w:t>7</w:t>
      </w:r>
      <w:r w:rsidRPr="00065E56">
        <w:rPr>
          <w:rFonts w:ascii="Times New Roman" w:hAnsi="Times New Roman" w:cs="Times New Roman"/>
        </w:rPr>
        <w:t>(4), 262–272. https://doi.org/10.1002/ase.1424</w:t>
      </w:r>
    </w:p>
    <w:p w14:paraId="2E409827" w14:textId="77777777" w:rsidR="00065E56" w:rsidRPr="00065E56" w:rsidRDefault="00065E56" w:rsidP="00065E56">
      <w:pPr>
        <w:pStyle w:val="Bibliography"/>
        <w:rPr>
          <w:rFonts w:ascii="Times New Roman" w:hAnsi="Times New Roman" w:cs="Times New Roman"/>
        </w:rPr>
      </w:pPr>
      <w:r w:rsidRPr="00065E56">
        <w:rPr>
          <w:rFonts w:ascii="Times New Roman" w:hAnsi="Times New Roman" w:cs="Times New Roman"/>
        </w:rPr>
        <w:lastRenderedPageBreak/>
        <w:t xml:space="preserve">Day, L. J. (2018). A gross anatomy flipped classroom effects performance, retention, and higher-level thinking in lower performing students. </w:t>
      </w:r>
      <w:r w:rsidRPr="00065E56">
        <w:rPr>
          <w:rFonts w:ascii="Times New Roman" w:hAnsi="Times New Roman" w:cs="Times New Roman"/>
          <w:i/>
          <w:iCs/>
        </w:rPr>
        <w:t>Anatomical Sciences Education</w:t>
      </w:r>
      <w:r w:rsidRPr="00065E56">
        <w:rPr>
          <w:rFonts w:ascii="Times New Roman" w:hAnsi="Times New Roman" w:cs="Times New Roman"/>
        </w:rPr>
        <w:t xml:space="preserve">, </w:t>
      </w:r>
      <w:r w:rsidRPr="00065E56">
        <w:rPr>
          <w:rFonts w:ascii="Times New Roman" w:hAnsi="Times New Roman" w:cs="Times New Roman"/>
          <w:i/>
          <w:iCs/>
        </w:rPr>
        <w:t>11</w:t>
      </w:r>
      <w:r w:rsidRPr="00065E56">
        <w:rPr>
          <w:rFonts w:ascii="Times New Roman" w:hAnsi="Times New Roman" w:cs="Times New Roman"/>
        </w:rPr>
        <w:t>(6), 565–574. https://doi.org/10.1002/ase.1772</w:t>
      </w:r>
    </w:p>
    <w:p w14:paraId="7F19E7D5" w14:textId="77777777" w:rsidR="00065E56" w:rsidRPr="00065E56" w:rsidRDefault="00065E56" w:rsidP="00065E56">
      <w:pPr>
        <w:pStyle w:val="Bibliography"/>
        <w:rPr>
          <w:rFonts w:ascii="Times New Roman" w:hAnsi="Times New Roman" w:cs="Times New Roman"/>
        </w:rPr>
      </w:pPr>
      <w:r w:rsidRPr="00065E56">
        <w:rPr>
          <w:rFonts w:ascii="Times New Roman" w:hAnsi="Times New Roman" w:cs="Times New Roman"/>
        </w:rPr>
        <w:t xml:space="preserve">Densen, P. (2011). Challenges and Opportunities Facing Medical Education. </w:t>
      </w:r>
      <w:r w:rsidRPr="00065E56">
        <w:rPr>
          <w:rFonts w:ascii="Times New Roman" w:hAnsi="Times New Roman" w:cs="Times New Roman"/>
          <w:i/>
          <w:iCs/>
        </w:rPr>
        <w:t>Transactions of the American Clinical and Climatological Association</w:t>
      </w:r>
      <w:r w:rsidRPr="00065E56">
        <w:rPr>
          <w:rFonts w:ascii="Times New Roman" w:hAnsi="Times New Roman" w:cs="Times New Roman"/>
        </w:rPr>
        <w:t xml:space="preserve">, </w:t>
      </w:r>
      <w:r w:rsidRPr="00065E56">
        <w:rPr>
          <w:rFonts w:ascii="Times New Roman" w:hAnsi="Times New Roman" w:cs="Times New Roman"/>
          <w:i/>
          <w:iCs/>
        </w:rPr>
        <w:t>122</w:t>
      </w:r>
      <w:r w:rsidRPr="00065E56">
        <w:rPr>
          <w:rFonts w:ascii="Times New Roman" w:hAnsi="Times New Roman" w:cs="Times New Roman"/>
        </w:rPr>
        <w:t>, 48–58.</w:t>
      </w:r>
    </w:p>
    <w:p w14:paraId="1FDFC427" w14:textId="77777777" w:rsidR="00065E56" w:rsidRPr="00065E56" w:rsidRDefault="00065E56" w:rsidP="00065E56">
      <w:pPr>
        <w:pStyle w:val="Bibliography"/>
        <w:rPr>
          <w:rFonts w:ascii="Times New Roman" w:hAnsi="Times New Roman" w:cs="Times New Roman"/>
        </w:rPr>
      </w:pPr>
      <w:r w:rsidRPr="00065E56">
        <w:rPr>
          <w:rFonts w:ascii="Times New Roman" w:hAnsi="Times New Roman" w:cs="Times New Roman"/>
        </w:rPr>
        <w:t xml:space="preserve">Deshpande, S., Ritzenthaler, D., Sun, A., Rudert, N., &amp; Lewis, J. (2020). A unique flipped classroom approach shows promising results in physician assistant education. </w:t>
      </w:r>
      <w:r w:rsidRPr="00065E56">
        <w:rPr>
          <w:rFonts w:ascii="Times New Roman" w:hAnsi="Times New Roman" w:cs="Times New Roman"/>
          <w:i/>
          <w:iCs/>
        </w:rPr>
        <w:t>Medical Teacher</w:t>
      </w:r>
      <w:r w:rsidRPr="00065E56">
        <w:rPr>
          <w:rFonts w:ascii="Times New Roman" w:hAnsi="Times New Roman" w:cs="Times New Roman"/>
        </w:rPr>
        <w:t xml:space="preserve">, </w:t>
      </w:r>
      <w:r w:rsidRPr="00065E56">
        <w:rPr>
          <w:rFonts w:ascii="Times New Roman" w:hAnsi="Times New Roman" w:cs="Times New Roman"/>
          <w:i/>
          <w:iCs/>
        </w:rPr>
        <w:t>42</w:t>
      </w:r>
      <w:r w:rsidRPr="00065E56">
        <w:rPr>
          <w:rFonts w:ascii="Times New Roman" w:hAnsi="Times New Roman" w:cs="Times New Roman"/>
        </w:rPr>
        <w:t>(3), 285–290. https://doi.org/10.1080/0142159X.2019.1679360</w:t>
      </w:r>
    </w:p>
    <w:p w14:paraId="6674C3B0" w14:textId="77777777" w:rsidR="00065E56" w:rsidRPr="00065E56" w:rsidRDefault="00065E56" w:rsidP="00065E56">
      <w:pPr>
        <w:pStyle w:val="Bibliography"/>
        <w:rPr>
          <w:rFonts w:ascii="Times New Roman" w:hAnsi="Times New Roman" w:cs="Times New Roman"/>
        </w:rPr>
      </w:pPr>
      <w:r w:rsidRPr="00065E56">
        <w:rPr>
          <w:rFonts w:ascii="Times New Roman" w:hAnsi="Times New Roman" w:cs="Times New Roman"/>
        </w:rPr>
        <w:t xml:space="preserve">Downing, S. M. (2003). Validity: On the meaningful interpretation of assessment data. </w:t>
      </w:r>
      <w:r w:rsidRPr="00065E56">
        <w:rPr>
          <w:rFonts w:ascii="Times New Roman" w:hAnsi="Times New Roman" w:cs="Times New Roman"/>
          <w:i/>
          <w:iCs/>
        </w:rPr>
        <w:t>Medical Education</w:t>
      </w:r>
      <w:r w:rsidRPr="00065E56">
        <w:rPr>
          <w:rFonts w:ascii="Times New Roman" w:hAnsi="Times New Roman" w:cs="Times New Roman"/>
        </w:rPr>
        <w:t xml:space="preserve">, </w:t>
      </w:r>
      <w:r w:rsidRPr="00065E56">
        <w:rPr>
          <w:rFonts w:ascii="Times New Roman" w:hAnsi="Times New Roman" w:cs="Times New Roman"/>
          <w:i/>
          <w:iCs/>
        </w:rPr>
        <w:t>37</w:t>
      </w:r>
      <w:r w:rsidRPr="00065E56">
        <w:rPr>
          <w:rFonts w:ascii="Times New Roman" w:hAnsi="Times New Roman" w:cs="Times New Roman"/>
        </w:rPr>
        <w:t>(9), 830–837. https://doi.org/10.1046/j.1365-2923.2003.01594.x</w:t>
      </w:r>
    </w:p>
    <w:p w14:paraId="288427A2" w14:textId="77777777" w:rsidR="00065E56" w:rsidRPr="00065E56" w:rsidRDefault="00065E56" w:rsidP="00065E56">
      <w:pPr>
        <w:pStyle w:val="Bibliography"/>
        <w:rPr>
          <w:rFonts w:ascii="Times New Roman" w:hAnsi="Times New Roman" w:cs="Times New Roman"/>
        </w:rPr>
      </w:pPr>
      <w:r w:rsidRPr="00065E56">
        <w:rPr>
          <w:rFonts w:ascii="Times New Roman" w:hAnsi="Times New Roman" w:cs="Times New Roman"/>
        </w:rPr>
        <w:t xml:space="preserve">Drake, R. L. (2014). A retrospective and prospective look at medical education in the United States: Trends shaping anatomical sciences education. </w:t>
      </w:r>
      <w:r w:rsidRPr="00065E56">
        <w:rPr>
          <w:rFonts w:ascii="Times New Roman" w:hAnsi="Times New Roman" w:cs="Times New Roman"/>
          <w:i/>
          <w:iCs/>
        </w:rPr>
        <w:t>Journal of Anatomy</w:t>
      </w:r>
      <w:r w:rsidRPr="00065E56">
        <w:rPr>
          <w:rFonts w:ascii="Times New Roman" w:hAnsi="Times New Roman" w:cs="Times New Roman"/>
        </w:rPr>
        <w:t xml:space="preserve">, </w:t>
      </w:r>
      <w:r w:rsidRPr="00065E56">
        <w:rPr>
          <w:rFonts w:ascii="Times New Roman" w:hAnsi="Times New Roman" w:cs="Times New Roman"/>
          <w:i/>
          <w:iCs/>
        </w:rPr>
        <w:t>224</w:t>
      </w:r>
      <w:r w:rsidRPr="00065E56">
        <w:rPr>
          <w:rFonts w:ascii="Times New Roman" w:hAnsi="Times New Roman" w:cs="Times New Roman"/>
        </w:rPr>
        <w:t>(3), 256–260. https://doi.org/10.1111/joa.12054</w:t>
      </w:r>
    </w:p>
    <w:p w14:paraId="70F12C85" w14:textId="77777777" w:rsidR="00065E56" w:rsidRPr="00065E56" w:rsidRDefault="00065E56" w:rsidP="00065E56">
      <w:pPr>
        <w:pStyle w:val="Bibliography"/>
        <w:rPr>
          <w:rFonts w:ascii="Times New Roman" w:hAnsi="Times New Roman" w:cs="Times New Roman"/>
        </w:rPr>
      </w:pPr>
      <w:r w:rsidRPr="00065E56">
        <w:rPr>
          <w:rFonts w:ascii="Times New Roman" w:hAnsi="Times New Roman" w:cs="Times New Roman"/>
        </w:rPr>
        <w:t xml:space="preserve">Drake, R. L., McBride, J. M., Lachman, N., &amp; Pawlina, W. (2009). Medical education in the anatomical sciences: The winds of change continue to blow. </w:t>
      </w:r>
      <w:r w:rsidRPr="00065E56">
        <w:rPr>
          <w:rFonts w:ascii="Times New Roman" w:hAnsi="Times New Roman" w:cs="Times New Roman"/>
          <w:i/>
          <w:iCs/>
        </w:rPr>
        <w:t>Anatomical Sciences Education</w:t>
      </w:r>
      <w:r w:rsidRPr="00065E56">
        <w:rPr>
          <w:rFonts w:ascii="Times New Roman" w:hAnsi="Times New Roman" w:cs="Times New Roman"/>
        </w:rPr>
        <w:t xml:space="preserve">, </w:t>
      </w:r>
      <w:r w:rsidRPr="00065E56">
        <w:rPr>
          <w:rFonts w:ascii="Times New Roman" w:hAnsi="Times New Roman" w:cs="Times New Roman"/>
          <w:i/>
          <w:iCs/>
        </w:rPr>
        <w:t>2</w:t>
      </w:r>
      <w:r w:rsidRPr="00065E56">
        <w:rPr>
          <w:rFonts w:ascii="Times New Roman" w:hAnsi="Times New Roman" w:cs="Times New Roman"/>
        </w:rPr>
        <w:t>(6), 253–259. https://doi.org/10.1002/ase.117</w:t>
      </w:r>
    </w:p>
    <w:p w14:paraId="6F45CCC5" w14:textId="77777777" w:rsidR="00065E56" w:rsidRPr="00065E56" w:rsidRDefault="00065E56" w:rsidP="00065E56">
      <w:pPr>
        <w:pStyle w:val="Bibliography"/>
        <w:rPr>
          <w:rFonts w:ascii="Times New Roman" w:hAnsi="Times New Roman" w:cs="Times New Roman"/>
        </w:rPr>
      </w:pPr>
      <w:r w:rsidRPr="00065E56">
        <w:rPr>
          <w:rFonts w:ascii="Times New Roman" w:hAnsi="Times New Roman" w:cs="Times New Roman"/>
        </w:rPr>
        <w:t xml:space="preserve">Durham, J. A., Brettell, S., Summerside, C., &amp; McHanwell, S. (2009). Evaluation of a virtual anatomy course for clinical undergraduates. </w:t>
      </w:r>
      <w:r w:rsidRPr="00065E56">
        <w:rPr>
          <w:rFonts w:ascii="Times New Roman" w:hAnsi="Times New Roman" w:cs="Times New Roman"/>
          <w:i/>
          <w:iCs/>
        </w:rPr>
        <w:t>European Journal of Dental Education</w:t>
      </w:r>
      <w:r w:rsidRPr="00065E56">
        <w:rPr>
          <w:rFonts w:ascii="Times New Roman" w:hAnsi="Times New Roman" w:cs="Times New Roman"/>
        </w:rPr>
        <w:t xml:space="preserve">, </w:t>
      </w:r>
      <w:r w:rsidRPr="00065E56">
        <w:rPr>
          <w:rFonts w:ascii="Times New Roman" w:hAnsi="Times New Roman" w:cs="Times New Roman"/>
          <w:i/>
          <w:iCs/>
        </w:rPr>
        <w:t>13</w:t>
      </w:r>
      <w:r w:rsidRPr="00065E56">
        <w:rPr>
          <w:rFonts w:ascii="Times New Roman" w:hAnsi="Times New Roman" w:cs="Times New Roman"/>
        </w:rPr>
        <w:t>(2), 100–109. https://doi.org/10.1111/j.1600-0579.2008.00549.x</w:t>
      </w:r>
    </w:p>
    <w:p w14:paraId="63CD957B" w14:textId="77777777" w:rsidR="00065E56" w:rsidRPr="00065E56" w:rsidRDefault="00065E56" w:rsidP="00065E56">
      <w:pPr>
        <w:pStyle w:val="Bibliography"/>
        <w:rPr>
          <w:rFonts w:ascii="Times New Roman" w:hAnsi="Times New Roman" w:cs="Times New Roman"/>
        </w:rPr>
      </w:pPr>
      <w:r w:rsidRPr="00065E56">
        <w:rPr>
          <w:rFonts w:ascii="Times New Roman" w:hAnsi="Times New Roman" w:cs="Times New Roman"/>
        </w:rPr>
        <w:t xml:space="preserve">El Sadik, A., &amp; Al Abdulmonem, W. (2020). Improvement in Student Performance and Perceptions through a Flipped Anatomy Classroom: Shifting from Passive Traditional to Active Blended Learning. </w:t>
      </w:r>
      <w:r w:rsidRPr="00065E56">
        <w:rPr>
          <w:rFonts w:ascii="Times New Roman" w:hAnsi="Times New Roman" w:cs="Times New Roman"/>
          <w:i/>
          <w:iCs/>
        </w:rPr>
        <w:t>Anatomical Sciences Education</w:t>
      </w:r>
      <w:r w:rsidRPr="00065E56">
        <w:rPr>
          <w:rFonts w:ascii="Times New Roman" w:hAnsi="Times New Roman" w:cs="Times New Roman"/>
        </w:rPr>
        <w:t xml:space="preserve">, </w:t>
      </w:r>
      <w:r w:rsidRPr="00065E56">
        <w:rPr>
          <w:rFonts w:ascii="Times New Roman" w:hAnsi="Times New Roman" w:cs="Times New Roman"/>
          <w:i/>
          <w:iCs/>
        </w:rPr>
        <w:t>0</w:t>
      </w:r>
      <w:r w:rsidRPr="00065E56">
        <w:rPr>
          <w:rFonts w:ascii="Times New Roman" w:hAnsi="Times New Roman" w:cs="Times New Roman"/>
        </w:rPr>
        <w:t>, 1–9.</w:t>
      </w:r>
    </w:p>
    <w:p w14:paraId="60EC6985" w14:textId="77777777" w:rsidR="00065E56" w:rsidRPr="00065E56" w:rsidRDefault="00065E56" w:rsidP="00065E56">
      <w:pPr>
        <w:pStyle w:val="Bibliography"/>
        <w:rPr>
          <w:rFonts w:ascii="Times New Roman" w:hAnsi="Times New Roman" w:cs="Times New Roman"/>
        </w:rPr>
      </w:pPr>
      <w:r w:rsidRPr="00065E56">
        <w:rPr>
          <w:rFonts w:ascii="Times New Roman" w:hAnsi="Times New Roman" w:cs="Times New Roman"/>
        </w:rPr>
        <w:lastRenderedPageBreak/>
        <w:t xml:space="preserve">Entezari, M., &amp; Javdan, M. (2016). Active Learning and Flipped Classroom, Hand in Hand Approach to Improve Students Learning in Human Anatomy and Physiology. </w:t>
      </w:r>
      <w:r w:rsidRPr="00065E56">
        <w:rPr>
          <w:rFonts w:ascii="Times New Roman" w:hAnsi="Times New Roman" w:cs="Times New Roman"/>
          <w:i/>
          <w:iCs/>
        </w:rPr>
        <w:t>International Journal of Higher Education</w:t>
      </w:r>
      <w:r w:rsidRPr="00065E56">
        <w:rPr>
          <w:rFonts w:ascii="Times New Roman" w:hAnsi="Times New Roman" w:cs="Times New Roman"/>
        </w:rPr>
        <w:t xml:space="preserve">, </w:t>
      </w:r>
      <w:r w:rsidRPr="00065E56">
        <w:rPr>
          <w:rFonts w:ascii="Times New Roman" w:hAnsi="Times New Roman" w:cs="Times New Roman"/>
          <w:i/>
          <w:iCs/>
        </w:rPr>
        <w:t>5</w:t>
      </w:r>
      <w:r w:rsidRPr="00065E56">
        <w:rPr>
          <w:rFonts w:ascii="Times New Roman" w:hAnsi="Times New Roman" w:cs="Times New Roman"/>
        </w:rPr>
        <w:t>(4). https://doi.org/10.5430/ijhe.v5n4p222</w:t>
      </w:r>
    </w:p>
    <w:p w14:paraId="68990B59" w14:textId="77777777" w:rsidR="00065E56" w:rsidRPr="00065E56" w:rsidRDefault="00065E56" w:rsidP="00065E56">
      <w:pPr>
        <w:pStyle w:val="Bibliography"/>
        <w:rPr>
          <w:rFonts w:ascii="Times New Roman" w:hAnsi="Times New Roman" w:cs="Times New Roman"/>
        </w:rPr>
      </w:pPr>
      <w:r w:rsidRPr="00065E56">
        <w:rPr>
          <w:rFonts w:ascii="Times New Roman" w:hAnsi="Times New Roman" w:cs="Times New Roman"/>
        </w:rPr>
        <w:t xml:space="preserve">Evans, D. J. R., Bay, B. H., Wilson, T. D., Smith, C. F., Lachman, N., &amp; Pawlina, W. (2020). Going Virtual to Support Anatomy Education: A STOPGAP in the Midst of the Covid‐19 Pandemic. </w:t>
      </w:r>
      <w:r w:rsidRPr="00065E56">
        <w:rPr>
          <w:rFonts w:ascii="Times New Roman" w:hAnsi="Times New Roman" w:cs="Times New Roman"/>
          <w:i/>
          <w:iCs/>
        </w:rPr>
        <w:t>Anatomical Sciences Education</w:t>
      </w:r>
      <w:r w:rsidRPr="00065E56">
        <w:rPr>
          <w:rFonts w:ascii="Times New Roman" w:hAnsi="Times New Roman" w:cs="Times New Roman"/>
        </w:rPr>
        <w:t xml:space="preserve">, </w:t>
      </w:r>
      <w:r w:rsidRPr="00065E56">
        <w:rPr>
          <w:rFonts w:ascii="Times New Roman" w:hAnsi="Times New Roman" w:cs="Times New Roman"/>
          <w:i/>
          <w:iCs/>
        </w:rPr>
        <w:t>13</w:t>
      </w:r>
      <w:r w:rsidRPr="00065E56">
        <w:rPr>
          <w:rFonts w:ascii="Times New Roman" w:hAnsi="Times New Roman" w:cs="Times New Roman"/>
        </w:rPr>
        <w:t>(3), 279–283. https://doi.org/10.1002/ase.1963</w:t>
      </w:r>
    </w:p>
    <w:p w14:paraId="52555515" w14:textId="77777777" w:rsidR="00065E56" w:rsidRPr="00065E56" w:rsidRDefault="00065E56" w:rsidP="00065E56">
      <w:pPr>
        <w:pStyle w:val="Bibliography"/>
        <w:rPr>
          <w:rFonts w:ascii="Times New Roman" w:hAnsi="Times New Roman" w:cs="Times New Roman"/>
        </w:rPr>
      </w:pPr>
      <w:r w:rsidRPr="00065E56">
        <w:rPr>
          <w:rFonts w:ascii="Times New Roman" w:hAnsi="Times New Roman" w:cs="Times New Roman"/>
        </w:rPr>
        <w:t xml:space="preserve">Evans, D. J. R., &amp; Pawlina, W. (2021). Effects of Covid‐19: The Need to Assess the Real Value of Anatomy Education. </w:t>
      </w:r>
      <w:r w:rsidRPr="00065E56">
        <w:rPr>
          <w:rFonts w:ascii="Times New Roman" w:hAnsi="Times New Roman" w:cs="Times New Roman"/>
          <w:i/>
          <w:iCs/>
        </w:rPr>
        <w:t>Anatomical Sciences Education</w:t>
      </w:r>
      <w:r w:rsidRPr="00065E56">
        <w:rPr>
          <w:rFonts w:ascii="Times New Roman" w:hAnsi="Times New Roman" w:cs="Times New Roman"/>
        </w:rPr>
        <w:t xml:space="preserve">, </w:t>
      </w:r>
      <w:r w:rsidRPr="00065E56">
        <w:rPr>
          <w:rFonts w:ascii="Times New Roman" w:hAnsi="Times New Roman" w:cs="Times New Roman"/>
          <w:i/>
          <w:iCs/>
        </w:rPr>
        <w:t>14</w:t>
      </w:r>
      <w:r w:rsidRPr="00065E56">
        <w:rPr>
          <w:rFonts w:ascii="Times New Roman" w:hAnsi="Times New Roman" w:cs="Times New Roman"/>
        </w:rPr>
        <w:t>(2), 129–131. https://doi.org/10.1002/ase.2061</w:t>
      </w:r>
    </w:p>
    <w:p w14:paraId="2EADFB38" w14:textId="77777777" w:rsidR="00065E56" w:rsidRPr="00065E56" w:rsidRDefault="00065E56" w:rsidP="00065E56">
      <w:pPr>
        <w:pStyle w:val="Bibliography"/>
        <w:rPr>
          <w:rFonts w:ascii="Times New Roman" w:hAnsi="Times New Roman" w:cs="Times New Roman"/>
        </w:rPr>
      </w:pPr>
      <w:r w:rsidRPr="00065E56">
        <w:rPr>
          <w:rFonts w:ascii="Times New Roman" w:hAnsi="Times New Roman" w:cs="Times New Roman"/>
        </w:rPr>
        <w:t xml:space="preserve">Evans, D. J. R., Pawlina, W., &amp; Lachman, N. (2018). Human skills for human[istic] anatomy: An emphasis on nontraditional discipline-independent skills: NTDIS, Health Care Environment, and Anatomy. </w:t>
      </w:r>
      <w:r w:rsidRPr="00065E56">
        <w:rPr>
          <w:rFonts w:ascii="Times New Roman" w:hAnsi="Times New Roman" w:cs="Times New Roman"/>
          <w:i/>
          <w:iCs/>
        </w:rPr>
        <w:t>Anatomical Sciences Education</w:t>
      </w:r>
      <w:r w:rsidRPr="00065E56">
        <w:rPr>
          <w:rFonts w:ascii="Times New Roman" w:hAnsi="Times New Roman" w:cs="Times New Roman"/>
        </w:rPr>
        <w:t xml:space="preserve">, </w:t>
      </w:r>
      <w:r w:rsidRPr="00065E56">
        <w:rPr>
          <w:rFonts w:ascii="Times New Roman" w:hAnsi="Times New Roman" w:cs="Times New Roman"/>
          <w:i/>
          <w:iCs/>
        </w:rPr>
        <w:t>11</w:t>
      </w:r>
      <w:r w:rsidRPr="00065E56">
        <w:rPr>
          <w:rFonts w:ascii="Times New Roman" w:hAnsi="Times New Roman" w:cs="Times New Roman"/>
        </w:rPr>
        <w:t>(3), 221–224. https://doi.org/10.1002/ase.1799</w:t>
      </w:r>
    </w:p>
    <w:p w14:paraId="638B5F18" w14:textId="77777777" w:rsidR="00065E56" w:rsidRPr="00065E56" w:rsidRDefault="00065E56" w:rsidP="00065E56">
      <w:pPr>
        <w:pStyle w:val="Bibliography"/>
        <w:rPr>
          <w:rFonts w:ascii="Times New Roman" w:hAnsi="Times New Roman" w:cs="Times New Roman"/>
        </w:rPr>
      </w:pPr>
      <w:r w:rsidRPr="00065E56">
        <w:rPr>
          <w:rFonts w:ascii="Times New Roman" w:hAnsi="Times New Roman" w:cs="Times New Roman"/>
        </w:rPr>
        <w:t xml:space="preserve">Evans, L., Vanden Bosch, M. L., Harrington, S., Schoofs, N., &amp; Coviak, C. (2019). Flipping the Classroom in Health Care Higher Education: A Systematic Review. </w:t>
      </w:r>
      <w:r w:rsidRPr="00065E56">
        <w:rPr>
          <w:rFonts w:ascii="Times New Roman" w:hAnsi="Times New Roman" w:cs="Times New Roman"/>
          <w:i/>
          <w:iCs/>
        </w:rPr>
        <w:t>Nurse Educator</w:t>
      </w:r>
      <w:r w:rsidRPr="00065E56">
        <w:rPr>
          <w:rFonts w:ascii="Times New Roman" w:hAnsi="Times New Roman" w:cs="Times New Roman"/>
        </w:rPr>
        <w:t xml:space="preserve">, </w:t>
      </w:r>
      <w:r w:rsidRPr="00065E56">
        <w:rPr>
          <w:rFonts w:ascii="Times New Roman" w:hAnsi="Times New Roman" w:cs="Times New Roman"/>
          <w:i/>
          <w:iCs/>
        </w:rPr>
        <w:t>44</w:t>
      </w:r>
      <w:r w:rsidRPr="00065E56">
        <w:rPr>
          <w:rFonts w:ascii="Times New Roman" w:hAnsi="Times New Roman" w:cs="Times New Roman"/>
        </w:rPr>
        <w:t>(2), 74–78. https://doi.org/10.1097/NNE.0000000000000554</w:t>
      </w:r>
    </w:p>
    <w:p w14:paraId="74CC0E0E" w14:textId="77777777" w:rsidR="00065E56" w:rsidRPr="00065E56" w:rsidRDefault="00065E56" w:rsidP="00065E56">
      <w:pPr>
        <w:pStyle w:val="Bibliography"/>
        <w:rPr>
          <w:rFonts w:ascii="Times New Roman" w:hAnsi="Times New Roman" w:cs="Times New Roman"/>
        </w:rPr>
      </w:pPr>
      <w:r w:rsidRPr="00065E56">
        <w:rPr>
          <w:rFonts w:ascii="Times New Roman" w:hAnsi="Times New Roman" w:cs="Times New Roman"/>
        </w:rPr>
        <w:t xml:space="preserve">Fike, D. S., McCall, K. L., Raehl, C. L., Smith, Q. R., &amp; Lockman, P. R. (2009). Achieving Equivalent Academic Performance Between Campuses Using a Distributed Education Model. </w:t>
      </w:r>
      <w:r w:rsidRPr="00065E56">
        <w:rPr>
          <w:rFonts w:ascii="Times New Roman" w:hAnsi="Times New Roman" w:cs="Times New Roman"/>
          <w:i/>
          <w:iCs/>
        </w:rPr>
        <w:t>American Journal of Pharmaceutical Education</w:t>
      </w:r>
      <w:r w:rsidRPr="00065E56">
        <w:rPr>
          <w:rFonts w:ascii="Times New Roman" w:hAnsi="Times New Roman" w:cs="Times New Roman"/>
        </w:rPr>
        <w:t xml:space="preserve">, </w:t>
      </w:r>
      <w:r w:rsidRPr="00065E56">
        <w:rPr>
          <w:rFonts w:ascii="Times New Roman" w:hAnsi="Times New Roman" w:cs="Times New Roman"/>
          <w:i/>
          <w:iCs/>
        </w:rPr>
        <w:t>73</w:t>
      </w:r>
      <w:r w:rsidRPr="00065E56">
        <w:rPr>
          <w:rFonts w:ascii="Times New Roman" w:hAnsi="Times New Roman" w:cs="Times New Roman"/>
        </w:rPr>
        <w:t>(5), 1–6. CINAHL Complete.</w:t>
      </w:r>
    </w:p>
    <w:p w14:paraId="53443655" w14:textId="77777777" w:rsidR="00065E56" w:rsidRPr="00065E56" w:rsidRDefault="00065E56" w:rsidP="00065E56">
      <w:pPr>
        <w:pStyle w:val="Bibliography"/>
        <w:rPr>
          <w:rFonts w:ascii="Times New Roman" w:hAnsi="Times New Roman" w:cs="Times New Roman"/>
        </w:rPr>
      </w:pPr>
      <w:r w:rsidRPr="00065E56">
        <w:rPr>
          <w:rFonts w:ascii="Times New Roman" w:hAnsi="Times New Roman" w:cs="Times New Roman"/>
        </w:rPr>
        <w:t xml:space="preserve">Fiock, H. (2020). Designing a Community of Inquiry in Online Courses. </w:t>
      </w:r>
      <w:r w:rsidRPr="00065E56">
        <w:rPr>
          <w:rFonts w:ascii="Times New Roman" w:hAnsi="Times New Roman" w:cs="Times New Roman"/>
          <w:i/>
          <w:iCs/>
        </w:rPr>
        <w:t>The International Review of Research in Open and Distributed Learning</w:t>
      </w:r>
      <w:r w:rsidRPr="00065E56">
        <w:rPr>
          <w:rFonts w:ascii="Times New Roman" w:hAnsi="Times New Roman" w:cs="Times New Roman"/>
        </w:rPr>
        <w:t xml:space="preserve">, </w:t>
      </w:r>
      <w:r w:rsidRPr="00065E56">
        <w:rPr>
          <w:rFonts w:ascii="Times New Roman" w:hAnsi="Times New Roman" w:cs="Times New Roman"/>
          <w:i/>
          <w:iCs/>
        </w:rPr>
        <w:t>21</w:t>
      </w:r>
      <w:r w:rsidRPr="00065E56">
        <w:rPr>
          <w:rFonts w:ascii="Times New Roman" w:hAnsi="Times New Roman" w:cs="Times New Roman"/>
        </w:rPr>
        <w:t>(1), 134–152. https://doi.org/10.19173/irrodl.v20i5.3985</w:t>
      </w:r>
    </w:p>
    <w:p w14:paraId="7AE52F78" w14:textId="77777777" w:rsidR="00065E56" w:rsidRPr="00065E56" w:rsidRDefault="00065E56" w:rsidP="00065E56">
      <w:pPr>
        <w:pStyle w:val="Bibliography"/>
        <w:rPr>
          <w:rFonts w:ascii="Times New Roman" w:hAnsi="Times New Roman" w:cs="Times New Roman"/>
        </w:rPr>
      </w:pPr>
      <w:r w:rsidRPr="00065E56">
        <w:rPr>
          <w:rFonts w:ascii="Times New Roman" w:hAnsi="Times New Roman" w:cs="Times New Roman"/>
        </w:rPr>
        <w:lastRenderedPageBreak/>
        <w:t xml:space="preserve">Flack, N. A. M. S., &amp; Nicholson, H. D. (2018). What do medical students learn from dissection?: What Do Medical Students Learn? </w:t>
      </w:r>
      <w:r w:rsidRPr="00065E56">
        <w:rPr>
          <w:rFonts w:ascii="Times New Roman" w:hAnsi="Times New Roman" w:cs="Times New Roman"/>
          <w:i/>
          <w:iCs/>
        </w:rPr>
        <w:t>Anatomical Sciences Education</w:t>
      </w:r>
      <w:r w:rsidRPr="00065E56">
        <w:rPr>
          <w:rFonts w:ascii="Times New Roman" w:hAnsi="Times New Roman" w:cs="Times New Roman"/>
        </w:rPr>
        <w:t xml:space="preserve">, </w:t>
      </w:r>
      <w:r w:rsidRPr="00065E56">
        <w:rPr>
          <w:rFonts w:ascii="Times New Roman" w:hAnsi="Times New Roman" w:cs="Times New Roman"/>
          <w:i/>
          <w:iCs/>
        </w:rPr>
        <w:t>11</w:t>
      </w:r>
      <w:r w:rsidRPr="00065E56">
        <w:rPr>
          <w:rFonts w:ascii="Times New Roman" w:hAnsi="Times New Roman" w:cs="Times New Roman"/>
        </w:rPr>
        <w:t>(4), 325–335. https://doi.org/10.1002/ase.1758</w:t>
      </w:r>
    </w:p>
    <w:p w14:paraId="455B1192" w14:textId="77777777" w:rsidR="00065E56" w:rsidRPr="00065E56" w:rsidRDefault="00065E56" w:rsidP="00065E56">
      <w:pPr>
        <w:pStyle w:val="Bibliography"/>
        <w:rPr>
          <w:rFonts w:ascii="Times New Roman" w:hAnsi="Times New Roman" w:cs="Times New Roman"/>
        </w:rPr>
      </w:pPr>
      <w:r w:rsidRPr="00065E56">
        <w:rPr>
          <w:rFonts w:ascii="Times New Roman" w:hAnsi="Times New Roman" w:cs="Times New Roman"/>
        </w:rPr>
        <w:t xml:space="preserve">Flexner, A. (1910). </w:t>
      </w:r>
      <w:r w:rsidRPr="00065E56">
        <w:rPr>
          <w:rFonts w:ascii="Times New Roman" w:hAnsi="Times New Roman" w:cs="Times New Roman"/>
          <w:i/>
          <w:iCs/>
        </w:rPr>
        <w:t>Medical Education in the United States and Canada</w:t>
      </w:r>
      <w:r w:rsidRPr="00065E56">
        <w:rPr>
          <w:rFonts w:ascii="Times New Roman" w:hAnsi="Times New Roman" w:cs="Times New Roman"/>
        </w:rPr>
        <w:t>. The Carnegie Foundation for the Advancement of Teaching.</w:t>
      </w:r>
    </w:p>
    <w:p w14:paraId="51BDD4FF" w14:textId="77777777" w:rsidR="00065E56" w:rsidRPr="00065E56" w:rsidRDefault="00065E56" w:rsidP="00065E56">
      <w:pPr>
        <w:pStyle w:val="Bibliography"/>
        <w:rPr>
          <w:rFonts w:ascii="Times New Roman" w:hAnsi="Times New Roman" w:cs="Times New Roman"/>
        </w:rPr>
      </w:pPr>
      <w:r w:rsidRPr="00065E56">
        <w:rPr>
          <w:rFonts w:ascii="Times New Roman" w:hAnsi="Times New Roman" w:cs="Times New Roman"/>
        </w:rPr>
        <w:t xml:space="preserve">Ganguly, P., Yaqinuddin, A., Al-Kattan, W., Kemahli, S., &amp; AlKattan, K. (2019). Medical education dilemma: How can we best accommodate basic sciences in a curriculum for 21st century medical students? </w:t>
      </w:r>
      <w:r w:rsidRPr="00065E56">
        <w:rPr>
          <w:rFonts w:ascii="Times New Roman" w:hAnsi="Times New Roman" w:cs="Times New Roman"/>
          <w:i/>
          <w:iCs/>
        </w:rPr>
        <w:t>Canadian Journal of Physiology and Pharmacology</w:t>
      </w:r>
      <w:r w:rsidRPr="00065E56">
        <w:rPr>
          <w:rFonts w:ascii="Times New Roman" w:hAnsi="Times New Roman" w:cs="Times New Roman"/>
        </w:rPr>
        <w:t xml:space="preserve">, </w:t>
      </w:r>
      <w:r w:rsidRPr="00065E56">
        <w:rPr>
          <w:rFonts w:ascii="Times New Roman" w:hAnsi="Times New Roman" w:cs="Times New Roman"/>
          <w:i/>
          <w:iCs/>
        </w:rPr>
        <w:t>97</w:t>
      </w:r>
      <w:r w:rsidRPr="00065E56">
        <w:rPr>
          <w:rFonts w:ascii="Times New Roman" w:hAnsi="Times New Roman" w:cs="Times New Roman"/>
        </w:rPr>
        <w:t>(4), 293–296. https://doi.org/10.1139/cjpp-2018-0428</w:t>
      </w:r>
    </w:p>
    <w:p w14:paraId="7AA114FF" w14:textId="77777777" w:rsidR="00065E56" w:rsidRPr="00065E56" w:rsidRDefault="00065E56" w:rsidP="00065E56">
      <w:pPr>
        <w:pStyle w:val="Bibliography"/>
        <w:rPr>
          <w:rFonts w:ascii="Times New Roman" w:hAnsi="Times New Roman" w:cs="Times New Roman"/>
        </w:rPr>
      </w:pPr>
      <w:r w:rsidRPr="00065E56">
        <w:rPr>
          <w:rFonts w:ascii="Times New Roman" w:hAnsi="Times New Roman" w:cs="Times New Roman"/>
        </w:rPr>
        <w:t xml:space="preserve">Ghosh, S. K. (2017). Cadaveric dissection as an educational tool for anatomical sciences in the 21st century: Dissection as an Educational Tool. </w:t>
      </w:r>
      <w:r w:rsidRPr="00065E56">
        <w:rPr>
          <w:rFonts w:ascii="Times New Roman" w:hAnsi="Times New Roman" w:cs="Times New Roman"/>
          <w:i/>
          <w:iCs/>
        </w:rPr>
        <w:t>Anatomical Sciences Education</w:t>
      </w:r>
      <w:r w:rsidRPr="00065E56">
        <w:rPr>
          <w:rFonts w:ascii="Times New Roman" w:hAnsi="Times New Roman" w:cs="Times New Roman"/>
        </w:rPr>
        <w:t xml:space="preserve">, </w:t>
      </w:r>
      <w:r w:rsidRPr="00065E56">
        <w:rPr>
          <w:rFonts w:ascii="Times New Roman" w:hAnsi="Times New Roman" w:cs="Times New Roman"/>
          <w:i/>
          <w:iCs/>
        </w:rPr>
        <w:t>10</w:t>
      </w:r>
      <w:r w:rsidRPr="00065E56">
        <w:rPr>
          <w:rFonts w:ascii="Times New Roman" w:hAnsi="Times New Roman" w:cs="Times New Roman"/>
        </w:rPr>
        <w:t>(3), 286–299. https://doi.org/10.1002/ase.1649</w:t>
      </w:r>
    </w:p>
    <w:p w14:paraId="10AF7D17" w14:textId="77777777" w:rsidR="00065E56" w:rsidRPr="00065E56" w:rsidRDefault="00065E56" w:rsidP="00065E56">
      <w:pPr>
        <w:pStyle w:val="Bibliography"/>
        <w:rPr>
          <w:rFonts w:ascii="Times New Roman" w:hAnsi="Times New Roman" w:cs="Times New Roman"/>
        </w:rPr>
      </w:pPr>
      <w:r w:rsidRPr="00065E56">
        <w:rPr>
          <w:rFonts w:ascii="Times New Roman" w:hAnsi="Times New Roman" w:cs="Times New Roman"/>
        </w:rPr>
        <w:t xml:space="preserve">Gibbs, T. (2020). The Covid-19 pandemic: Provoking thought and encouraging change. </w:t>
      </w:r>
      <w:r w:rsidRPr="00065E56">
        <w:rPr>
          <w:rFonts w:ascii="Times New Roman" w:hAnsi="Times New Roman" w:cs="Times New Roman"/>
          <w:i/>
          <w:iCs/>
        </w:rPr>
        <w:t>Medical Teacher</w:t>
      </w:r>
      <w:r w:rsidRPr="00065E56">
        <w:rPr>
          <w:rFonts w:ascii="Times New Roman" w:hAnsi="Times New Roman" w:cs="Times New Roman"/>
        </w:rPr>
        <w:t xml:space="preserve">, </w:t>
      </w:r>
      <w:r w:rsidRPr="00065E56">
        <w:rPr>
          <w:rFonts w:ascii="Times New Roman" w:hAnsi="Times New Roman" w:cs="Times New Roman"/>
          <w:i/>
          <w:iCs/>
        </w:rPr>
        <w:t>42</w:t>
      </w:r>
      <w:r w:rsidRPr="00065E56">
        <w:rPr>
          <w:rFonts w:ascii="Times New Roman" w:hAnsi="Times New Roman" w:cs="Times New Roman"/>
        </w:rPr>
        <w:t>(7), 738–740. https://doi.org/10.1080/0142159X.2020.1775967</w:t>
      </w:r>
    </w:p>
    <w:p w14:paraId="375E97F9" w14:textId="77777777" w:rsidR="00065E56" w:rsidRPr="00065E56" w:rsidRDefault="00065E56" w:rsidP="00065E56">
      <w:pPr>
        <w:pStyle w:val="Bibliography"/>
        <w:rPr>
          <w:rFonts w:ascii="Times New Roman" w:hAnsi="Times New Roman" w:cs="Times New Roman"/>
        </w:rPr>
      </w:pPr>
      <w:r w:rsidRPr="00065E56">
        <w:rPr>
          <w:rFonts w:ascii="Times New Roman" w:hAnsi="Times New Roman" w:cs="Times New Roman"/>
        </w:rPr>
        <w:t xml:space="preserve">Gies, W. (1926). </w:t>
      </w:r>
      <w:r w:rsidRPr="00065E56">
        <w:rPr>
          <w:rFonts w:ascii="Times New Roman" w:hAnsi="Times New Roman" w:cs="Times New Roman"/>
          <w:i/>
          <w:iCs/>
        </w:rPr>
        <w:t>Dental Education in the United States and Canada</w:t>
      </w:r>
      <w:r w:rsidRPr="00065E56">
        <w:rPr>
          <w:rFonts w:ascii="Times New Roman" w:hAnsi="Times New Roman" w:cs="Times New Roman"/>
        </w:rPr>
        <w:t xml:space="preserve"> (p. 699). The Carnegie Foundation for the Advancement of Teaching.</w:t>
      </w:r>
    </w:p>
    <w:p w14:paraId="42F90346" w14:textId="77777777" w:rsidR="00065E56" w:rsidRPr="00065E56" w:rsidRDefault="00065E56" w:rsidP="00065E56">
      <w:pPr>
        <w:pStyle w:val="Bibliography"/>
        <w:rPr>
          <w:rFonts w:ascii="Times New Roman" w:hAnsi="Times New Roman" w:cs="Times New Roman"/>
        </w:rPr>
      </w:pPr>
      <w:r w:rsidRPr="00065E56">
        <w:rPr>
          <w:rFonts w:ascii="Times New Roman" w:hAnsi="Times New Roman" w:cs="Times New Roman"/>
        </w:rPr>
        <w:t xml:space="preserve">Gordon, M., Patricio, M., Horne, L., Muston, A., Alston, S. R., Pammi, M., Thammasitboon, S., Park, S., Pawlikowska, T., Rees, E. L., Doyle, A. J., &amp; Daniel, M. (2020). Developments in medical education in response to the COVID-19 pandemic: A rapid BEME systematic review: BEME Guide No. 63. </w:t>
      </w:r>
      <w:r w:rsidRPr="00065E56">
        <w:rPr>
          <w:rFonts w:ascii="Times New Roman" w:hAnsi="Times New Roman" w:cs="Times New Roman"/>
          <w:i/>
          <w:iCs/>
        </w:rPr>
        <w:t>Medical Teacher</w:t>
      </w:r>
      <w:r w:rsidRPr="00065E56">
        <w:rPr>
          <w:rFonts w:ascii="Times New Roman" w:hAnsi="Times New Roman" w:cs="Times New Roman"/>
        </w:rPr>
        <w:t>, 1–14. https://doi.org/10.1080/0142159X.2020.1807484</w:t>
      </w:r>
    </w:p>
    <w:p w14:paraId="65FF69C5" w14:textId="77777777" w:rsidR="00065E56" w:rsidRPr="00065E56" w:rsidRDefault="00065E56" w:rsidP="00065E56">
      <w:pPr>
        <w:pStyle w:val="Bibliography"/>
        <w:rPr>
          <w:rFonts w:ascii="Times New Roman" w:hAnsi="Times New Roman" w:cs="Times New Roman"/>
        </w:rPr>
      </w:pPr>
      <w:r w:rsidRPr="00065E56">
        <w:rPr>
          <w:rFonts w:ascii="Times New Roman" w:hAnsi="Times New Roman" w:cs="Times New Roman"/>
        </w:rPr>
        <w:t xml:space="preserve">Granger, N. A., Calleson, D. C., Henson, O. W., Juliano, E., Wineski, L., Mcdaniel, M. D., &amp; Burgoon, J. M. (2006). Use of Web-based materials to enhance anatomy instruction in </w:t>
      </w:r>
      <w:r w:rsidRPr="00065E56">
        <w:rPr>
          <w:rFonts w:ascii="Times New Roman" w:hAnsi="Times New Roman" w:cs="Times New Roman"/>
        </w:rPr>
        <w:lastRenderedPageBreak/>
        <w:t xml:space="preserve">the health sciences. </w:t>
      </w:r>
      <w:r w:rsidRPr="00065E56">
        <w:rPr>
          <w:rFonts w:ascii="Times New Roman" w:hAnsi="Times New Roman" w:cs="Times New Roman"/>
          <w:i/>
          <w:iCs/>
        </w:rPr>
        <w:t>The Anatomical Record Part B: The New Anatomist</w:t>
      </w:r>
      <w:r w:rsidRPr="00065E56">
        <w:rPr>
          <w:rFonts w:ascii="Times New Roman" w:hAnsi="Times New Roman" w:cs="Times New Roman"/>
        </w:rPr>
        <w:t xml:space="preserve">, </w:t>
      </w:r>
      <w:r w:rsidRPr="00065E56">
        <w:rPr>
          <w:rFonts w:ascii="Times New Roman" w:hAnsi="Times New Roman" w:cs="Times New Roman"/>
          <w:i/>
          <w:iCs/>
        </w:rPr>
        <w:t>289B</w:t>
      </w:r>
      <w:r w:rsidRPr="00065E56">
        <w:rPr>
          <w:rFonts w:ascii="Times New Roman" w:hAnsi="Times New Roman" w:cs="Times New Roman"/>
        </w:rPr>
        <w:t>(4), 121–127. https://doi.org/10.1002/ar.b.20104</w:t>
      </w:r>
    </w:p>
    <w:p w14:paraId="1289A680" w14:textId="77777777" w:rsidR="00065E56" w:rsidRPr="00065E56" w:rsidRDefault="00065E56" w:rsidP="00065E56">
      <w:pPr>
        <w:pStyle w:val="Bibliography"/>
        <w:rPr>
          <w:rFonts w:ascii="Times New Roman" w:hAnsi="Times New Roman" w:cs="Times New Roman"/>
        </w:rPr>
      </w:pPr>
      <w:r w:rsidRPr="00065E56">
        <w:rPr>
          <w:rFonts w:ascii="Times New Roman" w:hAnsi="Times New Roman" w:cs="Times New Roman"/>
        </w:rPr>
        <w:t xml:space="preserve">Green, R. A., &amp; Whitburn, L. Y. (2016). Impact of introduction of blended learning in gross anatomy on student outcomes: Outcomes of Blended Learning in Gross Anatomy. </w:t>
      </w:r>
      <w:r w:rsidRPr="00065E56">
        <w:rPr>
          <w:rFonts w:ascii="Times New Roman" w:hAnsi="Times New Roman" w:cs="Times New Roman"/>
          <w:i/>
          <w:iCs/>
        </w:rPr>
        <w:t>Anatomical Sciences Education</w:t>
      </w:r>
      <w:r w:rsidRPr="00065E56">
        <w:rPr>
          <w:rFonts w:ascii="Times New Roman" w:hAnsi="Times New Roman" w:cs="Times New Roman"/>
        </w:rPr>
        <w:t xml:space="preserve">, </w:t>
      </w:r>
      <w:r w:rsidRPr="00065E56">
        <w:rPr>
          <w:rFonts w:ascii="Times New Roman" w:hAnsi="Times New Roman" w:cs="Times New Roman"/>
          <w:i/>
          <w:iCs/>
        </w:rPr>
        <w:t>9</w:t>
      </w:r>
      <w:r w:rsidRPr="00065E56">
        <w:rPr>
          <w:rFonts w:ascii="Times New Roman" w:hAnsi="Times New Roman" w:cs="Times New Roman"/>
        </w:rPr>
        <w:t>(5), 422–430. https://doi.org/10.1002/ase.1602</w:t>
      </w:r>
    </w:p>
    <w:p w14:paraId="45C5409C" w14:textId="77777777" w:rsidR="00065E56" w:rsidRPr="00065E56" w:rsidRDefault="00065E56" w:rsidP="00065E56">
      <w:pPr>
        <w:pStyle w:val="Bibliography"/>
        <w:rPr>
          <w:rFonts w:ascii="Times New Roman" w:hAnsi="Times New Roman" w:cs="Times New Roman"/>
        </w:rPr>
      </w:pPr>
      <w:r w:rsidRPr="00065E56">
        <w:rPr>
          <w:rFonts w:ascii="Times New Roman" w:hAnsi="Times New Roman" w:cs="Times New Roman"/>
        </w:rPr>
        <w:t xml:space="preserve">Green, S. M., Weaver, M., Voegeli, D., Fitzsimmons, D., Knowles, J., Harrison, M., &amp; Shephard, K. (2006). The development and evaluation of the use of a virtual learning environment (Blackboard 5) to support the learning of pre-qualifying nursing students undertaking a human anatomy and physiology module. </w:t>
      </w:r>
      <w:r w:rsidRPr="00065E56">
        <w:rPr>
          <w:rFonts w:ascii="Times New Roman" w:hAnsi="Times New Roman" w:cs="Times New Roman"/>
          <w:i/>
          <w:iCs/>
        </w:rPr>
        <w:t>Nurse Education Today</w:t>
      </w:r>
      <w:r w:rsidRPr="00065E56">
        <w:rPr>
          <w:rFonts w:ascii="Times New Roman" w:hAnsi="Times New Roman" w:cs="Times New Roman"/>
        </w:rPr>
        <w:t xml:space="preserve">, </w:t>
      </w:r>
      <w:r w:rsidRPr="00065E56">
        <w:rPr>
          <w:rFonts w:ascii="Times New Roman" w:hAnsi="Times New Roman" w:cs="Times New Roman"/>
          <w:i/>
          <w:iCs/>
        </w:rPr>
        <w:t>26</w:t>
      </w:r>
      <w:r w:rsidRPr="00065E56">
        <w:rPr>
          <w:rFonts w:ascii="Times New Roman" w:hAnsi="Times New Roman" w:cs="Times New Roman"/>
        </w:rPr>
        <w:t>(5), 388–395. https://doi.org/10.1016/j.nedt.2005.11.008</w:t>
      </w:r>
    </w:p>
    <w:p w14:paraId="3B4C7EC8" w14:textId="77777777" w:rsidR="00065E56" w:rsidRPr="00065E56" w:rsidRDefault="00065E56" w:rsidP="00065E56">
      <w:pPr>
        <w:pStyle w:val="Bibliography"/>
        <w:rPr>
          <w:rFonts w:ascii="Times New Roman" w:hAnsi="Times New Roman" w:cs="Times New Roman"/>
        </w:rPr>
      </w:pPr>
      <w:r w:rsidRPr="00065E56">
        <w:rPr>
          <w:rFonts w:ascii="Times New Roman" w:hAnsi="Times New Roman" w:cs="Times New Roman"/>
        </w:rPr>
        <w:t xml:space="preserve">Harrow, A. (1972). </w:t>
      </w:r>
      <w:r w:rsidRPr="00065E56">
        <w:rPr>
          <w:rFonts w:ascii="Times New Roman" w:hAnsi="Times New Roman" w:cs="Times New Roman"/>
          <w:i/>
          <w:iCs/>
        </w:rPr>
        <w:t>A taxonomy of the psychomotor domain.</w:t>
      </w:r>
      <w:r w:rsidRPr="00065E56">
        <w:rPr>
          <w:rFonts w:ascii="Times New Roman" w:hAnsi="Times New Roman" w:cs="Times New Roman"/>
        </w:rPr>
        <w:t xml:space="preserve"> David McKay Company, Inc.</w:t>
      </w:r>
    </w:p>
    <w:p w14:paraId="00A89DE5" w14:textId="77777777" w:rsidR="00065E56" w:rsidRPr="00065E56" w:rsidRDefault="00065E56" w:rsidP="00065E56">
      <w:pPr>
        <w:pStyle w:val="Bibliography"/>
        <w:rPr>
          <w:rFonts w:ascii="Times New Roman" w:hAnsi="Times New Roman" w:cs="Times New Roman"/>
        </w:rPr>
      </w:pPr>
      <w:r w:rsidRPr="00065E56">
        <w:rPr>
          <w:rFonts w:ascii="Times New Roman" w:hAnsi="Times New Roman" w:cs="Times New Roman"/>
        </w:rPr>
        <w:t xml:space="preserve">Hecker, K., &amp; Violato, C. (2008). How Much Do Differences in Medical Schools Influence Student Performance? A Longitudinal Study Employing Hierarchical Linear Modeling. </w:t>
      </w:r>
      <w:r w:rsidRPr="00065E56">
        <w:rPr>
          <w:rFonts w:ascii="Times New Roman" w:hAnsi="Times New Roman" w:cs="Times New Roman"/>
          <w:i/>
          <w:iCs/>
        </w:rPr>
        <w:t>Teaching and Learning in Medicine</w:t>
      </w:r>
      <w:r w:rsidRPr="00065E56">
        <w:rPr>
          <w:rFonts w:ascii="Times New Roman" w:hAnsi="Times New Roman" w:cs="Times New Roman"/>
        </w:rPr>
        <w:t xml:space="preserve">, </w:t>
      </w:r>
      <w:r w:rsidRPr="00065E56">
        <w:rPr>
          <w:rFonts w:ascii="Times New Roman" w:hAnsi="Times New Roman" w:cs="Times New Roman"/>
          <w:i/>
          <w:iCs/>
        </w:rPr>
        <w:t>20</w:t>
      </w:r>
      <w:r w:rsidRPr="00065E56">
        <w:rPr>
          <w:rFonts w:ascii="Times New Roman" w:hAnsi="Times New Roman" w:cs="Times New Roman"/>
        </w:rPr>
        <w:t>(2), 104–113. https://doi.org/10.1080/10401330801991915</w:t>
      </w:r>
    </w:p>
    <w:p w14:paraId="5FBE087F" w14:textId="77777777" w:rsidR="00065E56" w:rsidRPr="00065E56" w:rsidRDefault="00065E56" w:rsidP="00065E56">
      <w:pPr>
        <w:pStyle w:val="Bibliography"/>
        <w:rPr>
          <w:rFonts w:ascii="Times New Roman" w:hAnsi="Times New Roman" w:cs="Times New Roman"/>
        </w:rPr>
      </w:pPr>
      <w:r w:rsidRPr="00065E56">
        <w:rPr>
          <w:rFonts w:ascii="Times New Roman" w:hAnsi="Times New Roman" w:cs="Times New Roman"/>
        </w:rPr>
        <w:t xml:space="preserve">Henzi, D., Davis, E., Jasinevicius, R., &amp; Hendricson, W. (2007). In the Students’ Own Words: What Are the Strengths and Weaknesses of the Dental School Curriculum? </w:t>
      </w:r>
      <w:r w:rsidRPr="00065E56">
        <w:rPr>
          <w:rFonts w:ascii="Times New Roman" w:hAnsi="Times New Roman" w:cs="Times New Roman"/>
          <w:i/>
          <w:iCs/>
        </w:rPr>
        <w:t>Journal of Dental Education</w:t>
      </w:r>
      <w:r w:rsidRPr="00065E56">
        <w:rPr>
          <w:rFonts w:ascii="Times New Roman" w:hAnsi="Times New Roman" w:cs="Times New Roman"/>
        </w:rPr>
        <w:t xml:space="preserve">, </w:t>
      </w:r>
      <w:r w:rsidRPr="00065E56">
        <w:rPr>
          <w:rFonts w:ascii="Times New Roman" w:hAnsi="Times New Roman" w:cs="Times New Roman"/>
          <w:i/>
          <w:iCs/>
        </w:rPr>
        <w:t>71</w:t>
      </w:r>
      <w:r w:rsidRPr="00065E56">
        <w:rPr>
          <w:rFonts w:ascii="Times New Roman" w:hAnsi="Times New Roman" w:cs="Times New Roman"/>
        </w:rPr>
        <w:t>(5), 632–645. https://doi.org/10.1002/j.0022-0337.2007.71.5.tb04320.x</w:t>
      </w:r>
    </w:p>
    <w:p w14:paraId="1858D3B8" w14:textId="77777777" w:rsidR="00065E56" w:rsidRPr="00065E56" w:rsidRDefault="00065E56" w:rsidP="00065E56">
      <w:pPr>
        <w:pStyle w:val="Bibliography"/>
        <w:rPr>
          <w:rFonts w:ascii="Times New Roman" w:hAnsi="Times New Roman" w:cs="Times New Roman"/>
        </w:rPr>
      </w:pPr>
      <w:r w:rsidRPr="00065E56">
        <w:rPr>
          <w:rFonts w:ascii="Times New Roman" w:hAnsi="Times New Roman" w:cs="Times New Roman"/>
        </w:rPr>
        <w:t xml:space="preserve">Hew, K. F., &amp; Lo, C. K. (2018). Flipped classroom improves student learning in health professions education: A meta-analysis. </w:t>
      </w:r>
      <w:r w:rsidRPr="00065E56">
        <w:rPr>
          <w:rFonts w:ascii="Times New Roman" w:hAnsi="Times New Roman" w:cs="Times New Roman"/>
          <w:i/>
          <w:iCs/>
        </w:rPr>
        <w:t>BMC Medical Education</w:t>
      </w:r>
      <w:r w:rsidRPr="00065E56">
        <w:rPr>
          <w:rFonts w:ascii="Times New Roman" w:hAnsi="Times New Roman" w:cs="Times New Roman"/>
        </w:rPr>
        <w:t xml:space="preserve">, </w:t>
      </w:r>
      <w:r w:rsidRPr="00065E56">
        <w:rPr>
          <w:rFonts w:ascii="Times New Roman" w:hAnsi="Times New Roman" w:cs="Times New Roman"/>
          <w:i/>
          <w:iCs/>
        </w:rPr>
        <w:t>18</w:t>
      </w:r>
      <w:r w:rsidRPr="00065E56">
        <w:rPr>
          <w:rFonts w:ascii="Times New Roman" w:hAnsi="Times New Roman" w:cs="Times New Roman"/>
        </w:rPr>
        <w:t>(1), 38. https://doi.org/10.1186/s12909-018-1144-z</w:t>
      </w:r>
    </w:p>
    <w:p w14:paraId="22BF0825" w14:textId="77777777" w:rsidR="00065E56" w:rsidRPr="00065E56" w:rsidRDefault="00065E56" w:rsidP="00065E56">
      <w:pPr>
        <w:pStyle w:val="Bibliography"/>
        <w:rPr>
          <w:rFonts w:ascii="Times New Roman" w:hAnsi="Times New Roman" w:cs="Times New Roman"/>
        </w:rPr>
      </w:pPr>
      <w:r w:rsidRPr="00065E56">
        <w:rPr>
          <w:rFonts w:ascii="Times New Roman" w:hAnsi="Times New Roman" w:cs="Times New Roman"/>
        </w:rPr>
        <w:t xml:space="preserve">Hiller, J. (n.d.). </w:t>
      </w:r>
      <w:r w:rsidRPr="00065E56">
        <w:rPr>
          <w:rFonts w:ascii="Times New Roman" w:hAnsi="Times New Roman" w:cs="Times New Roman"/>
          <w:i/>
          <w:iCs/>
        </w:rPr>
        <w:t>Epistemological Foundations of Objectivist and Interpretivist Research</w:t>
      </w:r>
      <w:r w:rsidRPr="00065E56">
        <w:rPr>
          <w:rFonts w:ascii="Times New Roman" w:hAnsi="Times New Roman" w:cs="Times New Roman"/>
        </w:rPr>
        <w:t>. 29.</w:t>
      </w:r>
    </w:p>
    <w:p w14:paraId="15A8462A" w14:textId="77777777" w:rsidR="00065E56" w:rsidRPr="00065E56" w:rsidRDefault="00065E56" w:rsidP="00065E56">
      <w:pPr>
        <w:pStyle w:val="Bibliography"/>
        <w:rPr>
          <w:rFonts w:ascii="Times New Roman" w:hAnsi="Times New Roman" w:cs="Times New Roman"/>
        </w:rPr>
      </w:pPr>
      <w:r w:rsidRPr="00065E56">
        <w:rPr>
          <w:rFonts w:ascii="Times New Roman" w:hAnsi="Times New Roman" w:cs="Times New Roman"/>
        </w:rPr>
        <w:lastRenderedPageBreak/>
        <w:t xml:space="preserve">Hodges, C., Moore, S., Lockee, B., Trust, T., &amp; Bond, A. (n.d.). </w:t>
      </w:r>
      <w:r w:rsidRPr="00065E56">
        <w:rPr>
          <w:rFonts w:ascii="Times New Roman" w:hAnsi="Times New Roman" w:cs="Times New Roman"/>
          <w:i/>
          <w:iCs/>
        </w:rPr>
        <w:t>The Difference Between Emergency Remote Teaching and Online Learning</w:t>
      </w:r>
      <w:r w:rsidRPr="00065E56">
        <w:rPr>
          <w:rFonts w:ascii="Times New Roman" w:hAnsi="Times New Roman" w:cs="Times New Roman"/>
        </w:rPr>
        <w:t>. 12.</w:t>
      </w:r>
    </w:p>
    <w:p w14:paraId="7398811C" w14:textId="77777777" w:rsidR="00065E56" w:rsidRPr="00065E56" w:rsidRDefault="00065E56" w:rsidP="00065E56">
      <w:pPr>
        <w:pStyle w:val="Bibliography"/>
        <w:rPr>
          <w:rFonts w:ascii="Times New Roman" w:hAnsi="Times New Roman" w:cs="Times New Roman"/>
        </w:rPr>
      </w:pPr>
      <w:r w:rsidRPr="00065E56">
        <w:rPr>
          <w:rFonts w:ascii="Times New Roman" w:hAnsi="Times New Roman" w:cs="Times New Roman"/>
        </w:rPr>
        <w:t xml:space="preserve">Hopkins, R., Pratt, D., Bowen, J. L., &amp; Regehr, G. (2015). Integrating Basic Science Without Integrating Basic Scientists: Reconsidering the Place of Individual Teachers in Curriculum Reform. </w:t>
      </w:r>
      <w:r w:rsidRPr="00065E56">
        <w:rPr>
          <w:rFonts w:ascii="Times New Roman" w:hAnsi="Times New Roman" w:cs="Times New Roman"/>
          <w:i/>
          <w:iCs/>
        </w:rPr>
        <w:t>Academic Medicine</w:t>
      </w:r>
      <w:r w:rsidRPr="00065E56">
        <w:rPr>
          <w:rFonts w:ascii="Times New Roman" w:hAnsi="Times New Roman" w:cs="Times New Roman"/>
        </w:rPr>
        <w:t xml:space="preserve">, </w:t>
      </w:r>
      <w:r w:rsidRPr="00065E56">
        <w:rPr>
          <w:rFonts w:ascii="Times New Roman" w:hAnsi="Times New Roman" w:cs="Times New Roman"/>
          <w:i/>
          <w:iCs/>
        </w:rPr>
        <w:t>90</w:t>
      </w:r>
      <w:r w:rsidRPr="00065E56">
        <w:rPr>
          <w:rFonts w:ascii="Times New Roman" w:hAnsi="Times New Roman" w:cs="Times New Roman"/>
        </w:rPr>
        <w:t>(2), 149–153. https://doi.org/10.1097/ACM.0000000000000437</w:t>
      </w:r>
    </w:p>
    <w:p w14:paraId="3C9E16CB" w14:textId="77777777" w:rsidR="00065E56" w:rsidRPr="00065E56" w:rsidRDefault="00065E56" w:rsidP="00065E56">
      <w:pPr>
        <w:pStyle w:val="Bibliography"/>
        <w:rPr>
          <w:rFonts w:ascii="Times New Roman" w:hAnsi="Times New Roman" w:cs="Times New Roman"/>
        </w:rPr>
      </w:pPr>
      <w:r w:rsidRPr="00065E56">
        <w:rPr>
          <w:rFonts w:ascii="Times New Roman" w:hAnsi="Times New Roman" w:cs="Times New Roman"/>
          <w:i/>
          <w:iCs/>
        </w:rPr>
        <w:t>How People Learn: Brain, Mind, Experience, and School: Expanded Edition | The National Academies Press</w:t>
      </w:r>
      <w:r w:rsidRPr="00065E56">
        <w:rPr>
          <w:rFonts w:ascii="Times New Roman" w:hAnsi="Times New Roman" w:cs="Times New Roman"/>
        </w:rPr>
        <w:t>. (n.d.). Retrieved February 23, 2019, from https://www.nap.edu/catalog/9853/how-people-learn-brain-mind-experience-and-school-expanded-edition</w:t>
      </w:r>
    </w:p>
    <w:p w14:paraId="17DD3AE5" w14:textId="77777777" w:rsidR="00065E56" w:rsidRPr="00065E56" w:rsidRDefault="00065E56" w:rsidP="00065E56">
      <w:pPr>
        <w:pStyle w:val="Bibliography"/>
        <w:rPr>
          <w:rFonts w:ascii="Times New Roman" w:hAnsi="Times New Roman" w:cs="Times New Roman"/>
        </w:rPr>
      </w:pPr>
      <w:r w:rsidRPr="00065E56">
        <w:rPr>
          <w:rFonts w:ascii="Times New Roman" w:hAnsi="Times New Roman" w:cs="Times New Roman"/>
        </w:rPr>
        <w:t xml:space="preserve">Institute of Medicine. (1995). </w:t>
      </w:r>
      <w:r w:rsidRPr="00065E56">
        <w:rPr>
          <w:rFonts w:ascii="Times New Roman" w:hAnsi="Times New Roman" w:cs="Times New Roman"/>
          <w:i/>
          <w:iCs/>
        </w:rPr>
        <w:t>Dental Education at the Crossroads: Challenges and Change</w:t>
      </w:r>
      <w:r w:rsidRPr="00065E56">
        <w:rPr>
          <w:rFonts w:ascii="Times New Roman" w:hAnsi="Times New Roman" w:cs="Times New Roman"/>
        </w:rPr>
        <w:t>. The National Academies Press. https://doi.org/10.17226/4925.</w:t>
      </w:r>
    </w:p>
    <w:p w14:paraId="1D29322B" w14:textId="77777777" w:rsidR="00065E56" w:rsidRPr="00065E56" w:rsidRDefault="00065E56" w:rsidP="00065E56">
      <w:pPr>
        <w:pStyle w:val="Bibliography"/>
        <w:rPr>
          <w:rFonts w:ascii="Times New Roman" w:hAnsi="Times New Roman" w:cs="Times New Roman"/>
        </w:rPr>
      </w:pPr>
      <w:r w:rsidRPr="00065E56">
        <w:rPr>
          <w:rFonts w:ascii="Times New Roman" w:hAnsi="Times New Roman" w:cs="Times New Roman"/>
        </w:rPr>
        <w:t xml:space="preserve">Johnson, R. B., &amp; Christensen, L. (2016). </w:t>
      </w:r>
      <w:r w:rsidRPr="00065E56">
        <w:rPr>
          <w:rFonts w:ascii="Times New Roman" w:hAnsi="Times New Roman" w:cs="Times New Roman"/>
          <w:i/>
          <w:iCs/>
        </w:rPr>
        <w:t>Educational Research: Quantitative, Qualitative, and Mixed Approaches</w:t>
      </w:r>
      <w:r w:rsidRPr="00065E56">
        <w:rPr>
          <w:rFonts w:ascii="Times New Roman" w:hAnsi="Times New Roman" w:cs="Times New Roman"/>
        </w:rPr>
        <w:t xml:space="preserve"> (6th ed.). SAGE Publications, Inc.</w:t>
      </w:r>
    </w:p>
    <w:p w14:paraId="50766054" w14:textId="77777777" w:rsidR="00065E56" w:rsidRPr="00065E56" w:rsidRDefault="00065E56" w:rsidP="00065E56">
      <w:pPr>
        <w:pStyle w:val="Bibliography"/>
        <w:rPr>
          <w:rFonts w:ascii="Times New Roman" w:hAnsi="Times New Roman" w:cs="Times New Roman"/>
        </w:rPr>
      </w:pPr>
      <w:r w:rsidRPr="00065E56">
        <w:rPr>
          <w:rFonts w:ascii="Times New Roman" w:hAnsi="Times New Roman" w:cs="Times New Roman"/>
        </w:rPr>
        <w:t xml:space="preserve">Jones, D. G. (2020). Ethical Responses to the Covid‐19 Pandemic: Implications for the Ethos and Practice of Anatomy as a Health Science Discipline. </w:t>
      </w:r>
      <w:r w:rsidRPr="00065E56">
        <w:rPr>
          <w:rFonts w:ascii="Times New Roman" w:hAnsi="Times New Roman" w:cs="Times New Roman"/>
          <w:i/>
          <w:iCs/>
        </w:rPr>
        <w:t>Anatomical Sciences Education</w:t>
      </w:r>
      <w:r w:rsidRPr="00065E56">
        <w:rPr>
          <w:rFonts w:ascii="Times New Roman" w:hAnsi="Times New Roman" w:cs="Times New Roman"/>
        </w:rPr>
        <w:t xml:space="preserve">, </w:t>
      </w:r>
      <w:r w:rsidRPr="00065E56">
        <w:rPr>
          <w:rFonts w:ascii="Times New Roman" w:hAnsi="Times New Roman" w:cs="Times New Roman"/>
          <w:i/>
          <w:iCs/>
        </w:rPr>
        <w:t>13</w:t>
      </w:r>
      <w:r w:rsidRPr="00065E56">
        <w:rPr>
          <w:rFonts w:ascii="Times New Roman" w:hAnsi="Times New Roman" w:cs="Times New Roman"/>
        </w:rPr>
        <w:t>(5), 549–555. https://doi.org/10.1002/ase.2003</w:t>
      </w:r>
    </w:p>
    <w:p w14:paraId="685A6602" w14:textId="77777777" w:rsidR="00065E56" w:rsidRPr="00065E56" w:rsidRDefault="00065E56" w:rsidP="00065E56">
      <w:pPr>
        <w:pStyle w:val="Bibliography"/>
        <w:rPr>
          <w:rFonts w:ascii="Times New Roman" w:hAnsi="Times New Roman" w:cs="Times New Roman"/>
        </w:rPr>
      </w:pPr>
      <w:r w:rsidRPr="00065E56">
        <w:rPr>
          <w:rFonts w:ascii="Times New Roman" w:hAnsi="Times New Roman" w:cs="Times New Roman"/>
        </w:rPr>
        <w:t xml:space="preserve">Jones, D. G. (2021). Anatomy in a Post‐Covid‐19 World: Tracing a New Trajectory. </w:t>
      </w:r>
      <w:r w:rsidRPr="00065E56">
        <w:rPr>
          <w:rFonts w:ascii="Times New Roman" w:hAnsi="Times New Roman" w:cs="Times New Roman"/>
          <w:i/>
          <w:iCs/>
        </w:rPr>
        <w:t>Anatomical Sciences Education</w:t>
      </w:r>
      <w:r w:rsidRPr="00065E56">
        <w:rPr>
          <w:rFonts w:ascii="Times New Roman" w:hAnsi="Times New Roman" w:cs="Times New Roman"/>
        </w:rPr>
        <w:t xml:space="preserve">, </w:t>
      </w:r>
      <w:r w:rsidRPr="00065E56">
        <w:rPr>
          <w:rFonts w:ascii="Times New Roman" w:hAnsi="Times New Roman" w:cs="Times New Roman"/>
          <w:i/>
          <w:iCs/>
        </w:rPr>
        <w:t>14</w:t>
      </w:r>
      <w:r w:rsidRPr="00065E56">
        <w:rPr>
          <w:rFonts w:ascii="Times New Roman" w:hAnsi="Times New Roman" w:cs="Times New Roman"/>
        </w:rPr>
        <w:t>(2), 148–153. https://doi.org/10.1002/ase.2054</w:t>
      </w:r>
    </w:p>
    <w:p w14:paraId="6F083F5A" w14:textId="77777777" w:rsidR="00065E56" w:rsidRPr="00065E56" w:rsidRDefault="00065E56" w:rsidP="00065E56">
      <w:pPr>
        <w:pStyle w:val="Bibliography"/>
        <w:rPr>
          <w:rFonts w:ascii="Times New Roman" w:hAnsi="Times New Roman" w:cs="Times New Roman"/>
        </w:rPr>
      </w:pPr>
      <w:r w:rsidRPr="00065E56">
        <w:rPr>
          <w:rFonts w:ascii="Times New Roman" w:hAnsi="Times New Roman" w:cs="Times New Roman"/>
        </w:rPr>
        <w:t xml:space="preserve">Kane, M. T. (2013). Validating the Interpretations and Uses of Test Scores: Validating the Interpretations and Uses of Test Scores. </w:t>
      </w:r>
      <w:r w:rsidRPr="00065E56">
        <w:rPr>
          <w:rFonts w:ascii="Times New Roman" w:hAnsi="Times New Roman" w:cs="Times New Roman"/>
          <w:i/>
          <w:iCs/>
        </w:rPr>
        <w:t>Journal of Educational Measurement</w:t>
      </w:r>
      <w:r w:rsidRPr="00065E56">
        <w:rPr>
          <w:rFonts w:ascii="Times New Roman" w:hAnsi="Times New Roman" w:cs="Times New Roman"/>
        </w:rPr>
        <w:t xml:space="preserve">, </w:t>
      </w:r>
      <w:r w:rsidRPr="00065E56">
        <w:rPr>
          <w:rFonts w:ascii="Times New Roman" w:hAnsi="Times New Roman" w:cs="Times New Roman"/>
          <w:i/>
          <w:iCs/>
        </w:rPr>
        <w:t>50</w:t>
      </w:r>
      <w:r w:rsidRPr="00065E56">
        <w:rPr>
          <w:rFonts w:ascii="Times New Roman" w:hAnsi="Times New Roman" w:cs="Times New Roman"/>
        </w:rPr>
        <w:t>(1), 1–73. https://doi.org/10.1111/jedm.12000</w:t>
      </w:r>
    </w:p>
    <w:p w14:paraId="2A735DBA" w14:textId="77777777" w:rsidR="00065E56" w:rsidRPr="00065E56" w:rsidRDefault="00065E56" w:rsidP="00065E56">
      <w:pPr>
        <w:pStyle w:val="Bibliography"/>
        <w:rPr>
          <w:rFonts w:ascii="Times New Roman" w:hAnsi="Times New Roman" w:cs="Times New Roman"/>
        </w:rPr>
      </w:pPr>
      <w:r w:rsidRPr="00065E56">
        <w:rPr>
          <w:rFonts w:ascii="Times New Roman" w:hAnsi="Times New Roman" w:cs="Times New Roman"/>
        </w:rPr>
        <w:lastRenderedPageBreak/>
        <w:t xml:space="preserve">Kassebaum, D. K., &amp; Tedesco, L. A. (2017). The 21 </w:t>
      </w:r>
      <w:r w:rsidRPr="00065E56">
        <w:rPr>
          <w:rFonts w:ascii="Times New Roman" w:hAnsi="Times New Roman" w:cs="Times New Roman"/>
          <w:vertAlign w:val="superscript"/>
        </w:rPr>
        <w:t>st</w:t>
      </w:r>
      <w:r w:rsidRPr="00065E56">
        <w:rPr>
          <w:rFonts w:ascii="Times New Roman" w:hAnsi="Times New Roman" w:cs="Times New Roman"/>
        </w:rPr>
        <w:t xml:space="preserve"> -Century Dental Curriculum: A Framework for Understanding Current Models. </w:t>
      </w:r>
      <w:r w:rsidRPr="00065E56">
        <w:rPr>
          <w:rFonts w:ascii="Times New Roman" w:hAnsi="Times New Roman" w:cs="Times New Roman"/>
          <w:i/>
          <w:iCs/>
        </w:rPr>
        <w:t>Journal of Dental Education</w:t>
      </w:r>
      <w:r w:rsidRPr="00065E56">
        <w:rPr>
          <w:rFonts w:ascii="Times New Roman" w:hAnsi="Times New Roman" w:cs="Times New Roman"/>
        </w:rPr>
        <w:t xml:space="preserve">, </w:t>
      </w:r>
      <w:r w:rsidRPr="00065E56">
        <w:rPr>
          <w:rFonts w:ascii="Times New Roman" w:hAnsi="Times New Roman" w:cs="Times New Roman"/>
          <w:i/>
          <w:iCs/>
        </w:rPr>
        <w:t>81</w:t>
      </w:r>
      <w:r w:rsidRPr="00065E56">
        <w:rPr>
          <w:rFonts w:ascii="Times New Roman" w:hAnsi="Times New Roman" w:cs="Times New Roman"/>
        </w:rPr>
        <w:t>(8), eS13–eS21. https://doi.org/10.21815/JDE.017.002</w:t>
      </w:r>
    </w:p>
    <w:p w14:paraId="26DF7021" w14:textId="77777777" w:rsidR="00065E56" w:rsidRPr="00065E56" w:rsidRDefault="00065E56" w:rsidP="00065E56">
      <w:pPr>
        <w:pStyle w:val="Bibliography"/>
        <w:rPr>
          <w:rFonts w:ascii="Times New Roman" w:hAnsi="Times New Roman" w:cs="Times New Roman"/>
        </w:rPr>
      </w:pPr>
      <w:r w:rsidRPr="00065E56">
        <w:rPr>
          <w:rFonts w:ascii="Times New Roman" w:hAnsi="Times New Roman" w:cs="Times New Roman"/>
        </w:rPr>
        <w:t xml:space="preserve">Kellesarian, S. (2018). Flipping the Dental Anatomy Classroom. </w:t>
      </w:r>
      <w:r w:rsidRPr="00065E56">
        <w:rPr>
          <w:rFonts w:ascii="Times New Roman" w:hAnsi="Times New Roman" w:cs="Times New Roman"/>
          <w:i/>
          <w:iCs/>
        </w:rPr>
        <w:t>Dentistry Journal</w:t>
      </w:r>
      <w:r w:rsidRPr="00065E56">
        <w:rPr>
          <w:rFonts w:ascii="Times New Roman" w:hAnsi="Times New Roman" w:cs="Times New Roman"/>
        </w:rPr>
        <w:t xml:space="preserve">, </w:t>
      </w:r>
      <w:r w:rsidRPr="00065E56">
        <w:rPr>
          <w:rFonts w:ascii="Times New Roman" w:hAnsi="Times New Roman" w:cs="Times New Roman"/>
          <w:i/>
          <w:iCs/>
        </w:rPr>
        <w:t>6</w:t>
      </w:r>
      <w:r w:rsidRPr="00065E56">
        <w:rPr>
          <w:rFonts w:ascii="Times New Roman" w:hAnsi="Times New Roman" w:cs="Times New Roman"/>
        </w:rPr>
        <w:t>(3), 23. https://doi.org/10.3390/dj6030023</w:t>
      </w:r>
    </w:p>
    <w:p w14:paraId="64DD675F" w14:textId="77777777" w:rsidR="00065E56" w:rsidRPr="00065E56" w:rsidRDefault="00065E56" w:rsidP="00065E56">
      <w:pPr>
        <w:pStyle w:val="Bibliography"/>
        <w:rPr>
          <w:rFonts w:ascii="Times New Roman" w:hAnsi="Times New Roman" w:cs="Times New Roman"/>
        </w:rPr>
      </w:pPr>
      <w:r w:rsidRPr="00065E56">
        <w:rPr>
          <w:rFonts w:ascii="Times New Roman" w:hAnsi="Times New Roman" w:cs="Times New Roman"/>
        </w:rPr>
        <w:t xml:space="preserve">Kelsey, A. H. C. M., McCulloch, V., Gillingwater, T. H., Findlater, G. S., &amp; Paxton, J. Z. (2020). Anatomical sciences at the University of Edinburgh: Initial experiences of teaching anatomy online. </w:t>
      </w:r>
      <w:r w:rsidRPr="00065E56">
        <w:rPr>
          <w:rFonts w:ascii="Times New Roman" w:hAnsi="Times New Roman" w:cs="Times New Roman"/>
          <w:i/>
          <w:iCs/>
        </w:rPr>
        <w:t>Translational Research in Anatomy</w:t>
      </w:r>
      <w:r w:rsidRPr="00065E56">
        <w:rPr>
          <w:rFonts w:ascii="Times New Roman" w:hAnsi="Times New Roman" w:cs="Times New Roman"/>
        </w:rPr>
        <w:t xml:space="preserve">, </w:t>
      </w:r>
      <w:r w:rsidRPr="00065E56">
        <w:rPr>
          <w:rFonts w:ascii="Times New Roman" w:hAnsi="Times New Roman" w:cs="Times New Roman"/>
          <w:i/>
          <w:iCs/>
        </w:rPr>
        <w:t>19</w:t>
      </w:r>
      <w:r w:rsidRPr="00065E56">
        <w:rPr>
          <w:rFonts w:ascii="Times New Roman" w:hAnsi="Times New Roman" w:cs="Times New Roman"/>
        </w:rPr>
        <w:t>, 100065. https://doi.org/10.1016/j.tria.2020.100065</w:t>
      </w:r>
    </w:p>
    <w:p w14:paraId="1CD388FF" w14:textId="77777777" w:rsidR="00065E56" w:rsidRPr="00065E56" w:rsidRDefault="00065E56" w:rsidP="00065E56">
      <w:pPr>
        <w:pStyle w:val="Bibliography"/>
        <w:rPr>
          <w:rFonts w:ascii="Times New Roman" w:hAnsi="Times New Roman" w:cs="Times New Roman"/>
        </w:rPr>
      </w:pPr>
      <w:r w:rsidRPr="00065E56">
        <w:rPr>
          <w:rFonts w:ascii="Times New Roman" w:hAnsi="Times New Roman" w:cs="Times New Roman"/>
        </w:rPr>
        <w:t xml:space="preserve">Kirkpatrick, J. D., &amp; Kirkpatrick, W. K. (n.d.). </w:t>
      </w:r>
      <w:r w:rsidRPr="00065E56">
        <w:rPr>
          <w:rFonts w:ascii="Times New Roman" w:hAnsi="Times New Roman" w:cs="Times New Roman"/>
          <w:i/>
          <w:iCs/>
        </w:rPr>
        <w:t>Kirkpatrick’s Four Levels of Training Evaluation—James D. Kirkpatrick, Wendy Kayser Kirkpatrick—Google Books</w:t>
      </w:r>
      <w:r w:rsidRPr="00065E56">
        <w:rPr>
          <w:rFonts w:ascii="Times New Roman" w:hAnsi="Times New Roman" w:cs="Times New Roman"/>
        </w:rPr>
        <w:t>. Retrieved September 16, 2020, from https://books.google.com/books?id=mo--DAAAQBAJ&amp;printsec=frontcover</w:t>
      </w:r>
    </w:p>
    <w:p w14:paraId="7A3B5E2C" w14:textId="77777777" w:rsidR="00065E56" w:rsidRPr="00065E56" w:rsidRDefault="00065E56" w:rsidP="00065E56">
      <w:pPr>
        <w:pStyle w:val="Bibliography"/>
        <w:rPr>
          <w:rFonts w:ascii="Times New Roman" w:hAnsi="Times New Roman" w:cs="Times New Roman"/>
        </w:rPr>
      </w:pPr>
      <w:r w:rsidRPr="00065E56">
        <w:rPr>
          <w:rFonts w:ascii="Times New Roman" w:hAnsi="Times New Roman" w:cs="Times New Roman"/>
        </w:rPr>
        <w:t xml:space="preserve">Knowles, M. (1975). </w:t>
      </w:r>
      <w:r w:rsidRPr="00065E56">
        <w:rPr>
          <w:rFonts w:ascii="Times New Roman" w:hAnsi="Times New Roman" w:cs="Times New Roman"/>
          <w:i/>
          <w:iCs/>
        </w:rPr>
        <w:t>Self-directed learning: A guide for learners and teachers.</w:t>
      </w:r>
      <w:r w:rsidRPr="00065E56">
        <w:rPr>
          <w:rFonts w:ascii="Times New Roman" w:hAnsi="Times New Roman" w:cs="Times New Roman"/>
        </w:rPr>
        <w:t xml:space="preserve"> Prentice Hall/Cambridge.</w:t>
      </w:r>
    </w:p>
    <w:p w14:paraId="5298BF62" w14:textId="77777777" w:rsidR="00065E56" w:rsidRPr="00065E56" w:rsidRDefault="00065E56" w:rsidP="00065E56">
      <w:pPr>
        <w:pStyle w:val="Bibliography"/>
        <w:rPr>
          <w:rFonts w:ascii="Times New Roman" w:hAnsi="Times New Roman" w:cs="Times New Roman"/>
        </w:rPr>
      </w:pPr>
      <w:r w:rsidRPr="00065E56">
        <w:rPr>
          <w:rFonts w:ascii="Times New Roman" w:hAnsi="Times New Roman" w:cs="Times New Roman"/>
        </w:rPr>
        <w:t xml:space="preserve">Krathwohl, D. R., Bloom, B., &amp; Masia, B. (1964). </w:t>
      </w:r>
      <w:r w:rsidRPr="00065E56">
        <w:rPr>
          <w:rFonts w:ascii="Times New Roman" w:hAnsi="Times New Roman" w:cs="Times New Roman"/>
          <w:i/>
          <w:iCs/>
        </w:rPr>
        <w:t>Taxonomy of educational objectives, Book II. Affective domain.</w:t>
      </w:r>
      <w:r w:rsidRPr="00065E56">
        <w:rPr>
          <w:rFonts w:ascii="Times New Roman" w:hAnsi="Times New Roman" w:cs="Times New Roman"/>
        </w:rPr>
        <w:t xml:space="preserve"> David McKay Company, Inc.</w:t>
      </w:r>
    </w:p>
    <w:p w14:paraId="48F3071D" w14:textId="77777777" w:rsidR="00065E56" w:rsidRPr="00065E56" w:rsidRDefault="00065E56" w:rsidP="00065E56">
      <w:pPr>
        <w:pStyle w:val="Bibliography"/>
        <w:rPr>
          <w:rFonts w:ascii="Times New Roman" w:hAnsi="Times New Roman" w:cs="Times New Roman"/>
        </w:rPr>
      </w:pPr>
      <w:r w:rsidRPr="00065E56">
        <w:rPr>
          <w:rFonts w:ascii="Times New Roman" w:hAnsi="Times New Roman" w:cs="Times New Roman"/>
        </w:rPr>
        <w:t xml:space="preserve">Lantz, M. S., &amp; Shuler, C. F. (2017). Trends in Basic Sciences Education in Dental Schools, 1999-2016. </w:t>
      </w:r>
      <w:r w:rsidRPr="00065E56">
        <w:rPr>
          <w:rFonts w:ascii="Times New Roman" w:hAnsi="Times New Roman" w:cs="Times New Roman"/>
          <w:i/>
          <w:iCs/>
        </w:rPr>
        <w:t>Journal of Dental Education</w:t>
      </w:r>
      <w:r w:rsidRPr="00065E56">
        <w:rPr>
          <w:rFonts w:ascii="Times New Roman" w:hAnsi="Times New Roman" w:cs="Times New Roman"/>
        </w:rPr>
        <w:t xml:space="preserve">, </w:t>
      </w:r>
      <w:r w:rsidRPr="00065E56">
        <w:rPr>
          <w:rFonts w:ascii="Times New Roman" w:hAnsi="Times New Roman" w:cs="Times New Roman"/>
          <w:i/>
          <w:iCs/>
        </w:rPr>
        <w:t>81</w:t>
      </w:r>
      <w:r w:rsidRPr="00065E56">
        <w:rPr>
          <w:rFonts w:ascii="Times New Roman" w:hAnsi="Times New Roman" w:cs="Times New Roman"/>
        </w:rPr>
        <w:t>(8), eS55–eS65. https://doi.org/10.21815/JDE.017.008</w:t>
      </w:r>
    </w:p>
    <w:p w14:paraId="2E64CEAF" w14:textId="77777777" w:rsidR="00065E56" w:rsidRPr="00065E56" w:rsidRDefault="00065E56" w:rsidP="00065E56">
      <w:pPr>
        <w:pStyle w:val="Bibliography"/>
        <w:rPr>
          <w:rFonts w:ascii="Times New Roman" w:hAnsi="Times New Roman" w:cs="Times New Roman"/>
        </w:rPr>
      </w:pPr>
      <w:r w:rsidRPr="00065E56">
        <w:rPr>
          <w:rFonts w:ascii="Times New Roman" w:hAnsi="Times New Roman" w:cs="Times New Roman"/>
        </w:rPr>
        <w:t xml:space="preserve">Limpach, A. L., Bazrafshan, P., Turner, P. D., &amp; Monaghan, M. S. (2008). Effectiveness of Human Anatomy Education for Pharmacy Students via the Internet. </w:t>
      </w:r>
      <w:r w:rsidRPr="00065E56">
        <w:rPr>
          <w:rFonts w:ascii="Times New Roman" w:hAnsi="Times New Roman" w:cs="Times New Roman"/>
          <w:i/>
          <w:iCs/>
        </w:rPr>
        <w:t>American Journal of Pharmaceutical Education</w:t>
      </w:r>
      <w:r w:rsidRPr="00065E56">
        <w:rPr>
          <w:rFonts w:ascii="Times New Roman" w:hAnsi="Times New Roman" w:cs="Times New Roman"/>
        </w:rPr>
        <w:t xml:space="preserve">, </w:t>
      </w:r>
      <w:r w:rsidRPr="00065E56">
        <w:rPr>
          <w:rFonts w:ascii="Times New Roman" w:hAnsi="Times New Roman" w:cs="Times New Roman"/>
          <w:i/>
          <w:iCs/>
        </w:rPr>
        <w:t>72</w:t>
      </w:r>
      <w:r w:rsidRPr="00065E56">
        <w:rPr>
          <w:rFonts w:ascii="Times New Roman" w:hAnsi="Times New Roman" w:cs="Times New Roman"/>
        </w:rPr>
        <w:t>(6), 145. https://doi.org/10.5688/aj7206145</w:t>
      </w:r>
    </w:p>
    <w:p w14:paraId="6C59DFAC" w14:textId="77777777" w:rsidR="00065E56" w:rsidRPr="00065E56" w:rsidRDefault="00065E56" w:rsidP="00065E56">
      <w:pPr>
        <w:pStyle w:val="Bibliography"/>
        <w:rPr>
          <w:rFonts w:ascii="Times New Roman" w:hAnsi="Times New Roman" w:cs="Times New Roman"/>
        </w:rPr>
      </w:pPr>
      <w:r w:rsidRPr="00065E56">
        <w:rPr>
          <w:rFonts w:ascii="Times New Roman" w:hAnsi="Times New Roman" w:cs="Times New Roman"/>
        </w:rPr>
        <w:lastRenderedPageBreak/>
        <w:t xml:space="preserve">Longhurst, G. J., Stone, D. M., Dulohery, K., Scully, D., Campbell, T., &amp; Smith, C. F. (2020). Strength, Weakness, Opportunity, Threat (SWOT) Analysis of the Adaptations to Anatomical Education in the United Kingdom and Republic of Ireland in Response to the Covid‐19 Pandemic. </w:t>
      </w:r>
      <w:r w:rsidRPr="00065E56">
        <w:rPr>
          <w:rFonts w:ascii="Times New Roman" w:hAnsi="Times New Roman" w:cs="Times New Roman"/>
          <w:i/>
          <w:iCs/>
        </w:rPr>
        <w:t>Anatomical Sciences Education</w:t>
      </w:r>
      <w:r w:rsidRPr="00065E56">
        <w:rPr>
          <w:rFonts w:ascii="Times New Roman" w:hAnsi="Times New Roman" w:cs="Times New Roman"/>
        </w:rPr>
        <w:t xml:space="preserve">, </w:t>
      </w:r>
      <w:r w:rsidRPr="00065E56">
        <w:rPr>
          <w:rFonts w:ascii="Times New Roman" w:hAnsi="Times New Roman" w:cs="Times New Roman"/>
          <w:i/>
          <w:iCs/>
        </w:rPr>
        <w:t>13</w:t>
      </w:r>
      <w:r w:rsidRPr="00065E56">
        <w:rPr>
          <w:rFonts w:ascii="Times New Roman" w:hAnsi="Times New Roman" w:cs="Times New Roman"/>
        </w:rPr>
        <w:t>(3), 301–311. https://doi.org/10.1002/ase.1967</w:t>
      </w:r>
    </w:p>
    <w:p w14:paraId="4EE6A9FE" w14:textId="77777777" w:rsidR="00065E56" w:rsidRPr="00065E56" w:rsidRDefault="00065E56" w:rsidP="00065E56">
      <w:pPr>
        <w:pStyle w:val="Bibliography"/>
        <w:rPr>
          <w:rFonts w:ascii="Times New Roman" w:hAnsi="Times New Roman" w:cs="Times New Roman"/>
        </w:rPr>
      </w:pPr>
      <w:r w:rsidRPr="00065E56">
        <w:rPr>
          <w:rFonts w:ascii="Times New Roman" w:hAnsi="Times New Roman" w:cs="Times New Roman"/>
        </w:rPr>
        <w:t xml:space="preserve">Maloney, S., Pather, N., Foo, J., &amp; Lazarus, M. D. (2021). Spending Wisely: The Role of Cost and Value Research in the Pursuit of Advancing Anatomical Sciences Education. </w:t>
      </w:r>
      <w:r w:rsidRPr="00065E56">
        <w:rPr>
          <w:rFonts w:ascii="Times New Roman" w:hAnsi="Times New Roman" w:cs="Times New Roman"/>
          <w:i/>
          <w:iCs/>
        </w:rPr>
        <w:t>Anatomical Sciences Education</w:t>
      </w:r>
      <w:r w:rsidRPr="00065E56">
        <w:rPr>
          <w:rFonts w:ascii="Times New Roman" w:hAnsi="Times New Roman" w:cs="Times New Roman"/>
        </w:rPr>
        <w:t xml:space="preserve">, </w:t>
      </w:r>
      <w:r w:rsidRPr="00065E56">
        <w:rPr>
          <w:rFonts w:ascii="Times New Roman" w:hAnsi="Times New Roman" w:cs="Times New Roman"/>
          <w:i/>
          <w:iCs/>
        </w:rPr>
        <w:t>14</w:t>
      </w:r>
      <w:r w:rsidRPr="00065E56">
        <w:rPr>
          <w:rFonts w:ascii="Times New Roman" w:hAnsi="Times New Roman" w:cs="Times New Roman"/>
        </w:rPr>
        <w:t>(2), 263–269. https://doi.org/10.1002/ase.2027</w:t>
      </w:r>
    </w:p>
    <w:p w14:paraId="02144D51" w14:textId="77777777" w:rsidR="00065E56" w:rsidRPr="00065E56" w:rsidRDefault="00065E56" w:rsidP="00065E56">
      <w:pPr>
        <w:pStyle w:val="Bibliography"/>
        <w:rPr>
          <w:rFonts w:ascii="Times New Roman" w:hAnsi="Times New Roman" w:cs="Times New Roman"/>
        </w:rPr>
      </w:pPr>
      <w:r w:rsidRPr="00065E56">
        <w:rPr>
          <w:rFonts w:ascii="Times New Roman" w:hAnsi="Times New Roman" w:cs="Times New Roman"/>
        </w:rPr>
        <w:t xml:space="preserve">Marker, D. R., Bansal, A. K., Juluru, K., &amp; Magid, D. (2010). Developing a Radiology-Based Teaching Approach for Gross Anatomy in the Digital Era. </w:t>
      </w:r>
      <w:r w:rsidRPr="00065E56">
        <w:rPr>
          <w:rFonts w:ascii="Times New Roman" w:hAnsi="Times New Roman" w:cs="Times New Roman"/>
          <w:i/>
          <w:iCs/>
        </w:rPr>
        <w:t>Academic Radiology</w:t>
      </w:r>
      <w:r w:rsidRPr="00065E56">
        <w:rPr>
          <w:rFonts w:ascii="Times New Roman" w:hAnsi="Times New Roman" w:cs="Times New Roman"/>
        </w:rPr>
        <w:t xml:space="preserve">, </w:t>
      </w:r>
      <w:r w:rsidRPr="00065E56">
        <w:rPr>
          <w:rFonts w:ascii="Times New Roman" w:hAnsi="Times New Roman" w:cs="Times New Roman"/>
          <w:i/>
          <w:iCs/>
        </w:rPr>
        <w:t>17</w:t>
      </w:r>
      <w:r w:rsidRPr="00065E56">
        <w:rPr>
          <w:rFonts w:ascii="Times New Roman" w:hAnsi="Times New Roman" w:cs="Times New Roman"/>
        </w:rPr>
        <w:t>(8), 1057–1065. https://doi.org/10.1016/j.acra.2010.02.016</w:t>
      </w:r>
    </w:p>
    <w:p w14:paraId="5FE6E04F" w14:textId="77777777" w:rsidR="00065E56" w:rsidRPr="00065E56" w:rsidRDefault="00065E56" w:rsidP="00065E56">
      <w:pPr>
        <w:pStyle w:val="Bibliography"/>
        <w:rPr>
          <w:rFonts w:ascii="Times New Roman" w:hAnsi="Times New Roman" w:cs="Times New Roman"/>
        </w:rPr>
      </w:pPr>
      <w:r w:rsidRPr="00065E56">
        <w:rPr>
          <w:rFonts w:ascii="Times New Roman" w:hAnsi="Times New Roman" w:cs="Times New Roman"/>
        </w:rPr>
        <w:t xml:space="preserve">McBride, J. M., &amp; Drake, R. L. (2018). National survey on anatomical sciences in medical education: Anatomical Sciences in Medical Education. </w:t>
      </w:r>
      <w:r w:rsidRPr="00065E56">
        <w:rPr>
          <w:rFonts w:ascii="Times New Roman" w:hAnsi="Times New Roman" w:cs="Times New Roman"/>
          <w:i/>
          <w:iCs/>
        </w:rPr>
        <w:t>Anatomical Sciences Education</w:t>
      </w:r>
      <w:r w:rsidRPr="00065E56">
        <w:rPr>
          <w:rFonts w:ascii="Times New Roman" w:hAnsi="Times New Roman" w:cs="Times New Roman"/>
        </w:rPr>
        <w:t xml:space="preserve">, </w:t>
      </w:r>
      <w:r w:rsidRPr="00065E56">
        <w:rPr>
          <w:rFonts w:ascii="Times New Roman" w:hAnsi="Times New Roman" w:cs="Times New Roman"/>
          <w:i/>
          <w:iCs/>
        </w:rPr>
        <w:t>11</w:t>
      </w:r>
      <w:r w:rsidRPr="00065E56">
        <w:rPr>
          <w:rFonts w:ascii="Times New Roman" w:hAnsi="Times New Roman" w:cs="Times New Roman"/>
        </w:rPr>
        <w:t>(1), 7–14. https://doi.org/10.1002/ase.1760</w:t>
      </w:r>
    </w:p>
    <w:p w14:paraId="37382645" w14:textId="77777777" w:rsidR="00065E56" w:rsidRPr="00065E56" w:rsidRDefault="00065E56" w:rsidP="00065E56">
      <w:pPr>
        <w:pStyle w:val="Bibliography"/>
        <w:rPr>
          <w:rFonts w:ascii="Times New Roman" w:hAnsi="Times New Roman" w:cs="Times New Roman"/>
        </w:rPr>
      </w:pPr>
      <w:r w:rsidRPr="00065E56">
        <w:rPr>
          <w:rFonts w:ascii="Times New Roman" w:hAnsi="Times New Roman" w:cs="Times New Roman"/>
        </w:rPr>
        <w:t xml:space="preserve">McGahee, T. W., &amp; Ball, J. (2009). How to Read and Really Use an Item Analysis: </w:t>
      </w:r>
      <w:r w:rsidRPr="00065E56">
        <w:rPr>
          <w:rFonts w:ascii="Times New Roman" w:hAnsi="Times New Roman" w:cs="Times New Roman"/>
          <w:i/>
          <w:iCs/>
        </w:rPr>
        <w:t>Nurse Educator</w:t>
      </w:r>
      <w:r w:rsidRPr="00065E56">
        <w:rPr>
          <w:rFonts w:ascii="Times New Roman" w:hAnsi="Times New Roman" w:cs="Times New Roman"/>
        </w:rPr>
        <w:t xml:space="preserve">, </w:t>
      </w:r>
      <w:r w:rsidRPr="00065E56">
        <w:rPr>
          <w:rFonts w:ascii="Times New Roman" w:hAnsi="Times New Roman" w:cs="Times New Roman"/>
          <w:i/>
          <w:iCs/>
        </w:rPr>
        <w:t>34</w:t>
      </w:r>
      <w:r w:rsidRPr="00065E56">
        <w:rPr>
          <w:rFonts w:ascii="Times New Roman" w:hAnsi="Times New Roman" w:cs="Times New Roman"/>
        </w:rPr>
        <w:t>(4), 166–171. https://doi.org/10.1097/NNE.0b013e3181aaba94</w:t>
      </w:r>
    </w:p>
    <w:p w14:paraId="0021014F" w14:textId="77777777" w:rsidR="00065E56" w:rsidRPr="00065E56" w:rsidRDefault="00065E56" w:rsidP="00065E56">
      <w:pPr>
        <w:pStyle w:val="Bibliography"/>
        <w:rPr>
          <w:rFonts w:ascii="Times New Roman" w:hAnsi="Times New Roman" w:cs="Times New Roman"/>
        </w:rPr>
      </w:pPr>
      <w:r w:rsidRPr="00065E56">
        <w:rPr>
          <w:rFonts w:ascii="Times New Roman" w:hAnsi="Times New Roman" w:cs="Times New Roman"/>
        </w:rPr>
        <w:t xml:space="preserve">Moore, J. L., Dickson-Deane, C., &amp; Galyen, K. (2011). e-Learning, online learning, and distance learning environments: Are they the same? </w:t>
      </w:r>
      <w:r w:rsidRPr="00065E56">
        <w:rPr>
          <w:rFonts w:ascii="Times New Roman" w:hAnsi="Times New Roman" w:cs="Times New Roman"/>
          <w:i/>
          <w:iCs/>
        </w:rPr>
        <w:t>The Internet and Higher Education</w:t>
      </w:r>
      <w:r w:rsidRPr="00065E56">
        <w:rPr>
          <w:rFonts w:ascii="Times New Roman" w:hAnsi="Times New Roman" w:cs="Times New Roman"/>
        </w:rPr>
        <w:t xml:space="preserve">, </w:t>
      </w:r>
      <w:r w:rsidRPr="00065E56">
        <w:rPr>
          <w:rFonts w:ascii="Times New Roman" w:hAnsi="Times New Roman" w:cs="Times New Roman"/>
          <w:i/>
          <w:iCs/>
        </w:rPr>
        <w:t>14</w:t>
      </w:r>
      <w:r w:rsidRPr="00065E56">
        <w:rPr>
          <w:rFonts w:ascii="Times New Roman" w:hAnsi="Times New Roman" w:cs="Times New Roman"/>
        </w:rPr>
        <w:t>(2), 129–135. https://doi.org/10.1016/j.iheduc.2010.10.001</w:t>
      </w:r>
    </w:p>
    <w:p w14:paraId="0D3BD7D1" w14:textId="77777777" w:rsidR="00065E56" w:rsidRPr="00065E56" w:rsidRDefault="00065E56" w:rsidP="00065E56">
      <w:pPr>
        <w:pStyle w:val="Bibliography"/>
        <w:rPr>
          <w:rFonts w:ascii="Times New Roman" w:hAnsi="Times New Roman" w:cs="Times New Roman"/>
        </w:rPr>
      </w:pPr>
      <w:r w:rsidRPr="00065E56">
        <w:rPr>
          <w:rFonts w:ascii="Times New Roman" w:hAnsi="Times New Roman" w:cs="Times New Roman"/>
        </w:rPr>
        <w:t xml:space="preserve">Moore, M. G. (1989). Editorial: Three types of interaction. </w:t>
      </w:r>
      <w:r w:rsidRPr="00065E56">
        <w:rPr>
          <w:rFonts w:ascii="Times New Roman" w:hAnsi="Times New Roman" w:cs="Times New Roman"/>
          <w:i/>
          <w:iCs/>
        </w:rPr>
        <w:t>American Journal of Distance Education</w:t>
      </w:r>
      <w:r w:rsidRPr="00065E56">
        <w:rPr>
          <w:rFonts w:ascii="Times New Roman" w:hAnsi="Times New Roman" w:cs="Times New Roman"/>
        </w:rPr>
        <w:t xml:space="preserve">, </w:t>
      </w:r>
      <w:r w:rsidRPr="00065E56">
        <w:rPr>
          <w:rFonts w:ascii="Times New Roman" w:hAnsi="Times New Roman" w:cs="Times New Roman"/>
          <w:i/>
          <w:iCs/>
        </w:rPr>
        <w:t>3</w:t>
      </w:r>
      <w:r w:rsidRPr="00065E56">
        <w:rPr>
          <w:rFonts w:ascii="Times New Roman" w:hAnsi="Times New Roman" w:cs="Times New Roman"/>
        </w:rPr>
        <w:t>(2), 1–7. https://doi.org/10.1080/08923648909526659</w:t>
      </w:r>
    </w:p>
    <w:p w14:paraId="4BD33588" w14:textId="77777777" w:rsidR="00065E56" w:rsidRPr="00065E56" w:rsidRDefault="00065E56" w:rsidP="00065E56">
      <w:pPr>
        <w:pStyle w:val="Bibliography"/>
        <w:rPr>
          <w:rFonts w:ascii="Times New Roman" w:hAnsi="Times New Roman" w:cs="Times New Roman"/>
        </w:rPr>
      </w:pPr>
      <w:r w:rsidRPr="00065E56">
        <w:rPr>
          <w:rFonts w:ascii="Times New Roman" w:hAnsi="Times New Roman" w:cs="Times New Roman"/>
        </w:rPr>
        <w:t xml:space="preserve">Moore, M. G., &amp; Diehl, William C. (n.d.). </w:t>
      </w:r>
      <w:r w:rsidRPr="00065E56">
        <w:rPr>
          <w:rFonts w:ascii="Times New Roman" w:hAnsi="Times New Roman" w:cs="Times New Roman"/>
          <w:i/>
          <w:iCs/>
        </w:rPr>
        <w:t>Handbook of Distance Education</w:t>
      </w:r>
      <w:r w:rsidRPr="00065E56">
        <w:rPr>
          <w:rFonts w:ascii="Times New Roman" w:hAnsi="Times New Roman" w:cs="Times New Roman"/>
        </w:rPr>
        <w:t xml:space="preserve"> (Fourth). Routledge.</w:t>
      </w:r>
    </w:p>
    <w:p w14:paraId="00B98B00" w14:textId="77777777" w:rsidR="00065E56" w:rsidRPr="00065E56" w:rsidRDefault="00065E56" w:rsidP="00065E56">
      <w:pPr>
        <w:pStyle w:val="Bibliography"/>
        <w:rPr>
          <w:rFonts w:ascii="Times New Roman" w:hAnsi="Times New Roman" w:cs="Times New Roman"/>
        </w:rPr>
      </w:pPr>
      <w:r w:rsidRPr="00065E56">
        <w:rPr>
          <w:rFonts w:ascii="Times New Roman" w:hAnsi="Times New Roman" w:cs="Times New Roman"/>
        </w:rPr>
        <w:lastRenderedPageBreak/>
        <w:t xml:space="preserve">Morton, D. A., &amp; Colbert-Getz, J. M. (2017). Measuring the impact of the flipped anatomy classroom: The importance of categorizing an assessment by Bloom’s taxonomy: Impact of the Flipped Anatomy Classroom. </w:t>
      </w:r>
      <w:r w:rsidRPr="00065E56">
        <w:rPr>
          <w:rFonts w:ascii="Times New Roman" w:hAnsi="Times New Roman" w:cs="Times New Roman"/>
          <w:i/>
          <w:iCs/>
        </w:rPr>
        <w:t>Anatomical Sciences Education</w:t>
      </w:r>
      <w:r w:rsidRPr="00065E56">
        <w:rPr>
          <w:rFonts w:ascii="Times New Roman" w:hAnsi="Times New Roman" w:cs="Times New Roman"/>
        </w:rPr>
        <w:t xml:space="preserve">, </w:t>
      </w:r>
      <w:r w:rsidRPr="00065E56">
        <w:rPr>
          <w:rFonts w:ascii="Times New Roman" w:hAnsi="Times New Roman" w:cs="Times New Roman"/>
          <w:i/>
          <w:iCs/>
        </w:rPr>
        <w:t>10</w:t>
      </w:r>
      <w:r w:rsidRPr="00065E56">
        <w:rPr>
          <w:rFonts w:ascii="Times New Roman" w:hAnsi="Times New Roman" w:cs="Times New Roman"/>
        </w:rPr>
        <w:t>(2), 170–175. https://doi.org/10.1002/ase.1635</w:t>
      </w:r>
    </w:p>
    <w:p w14:paraId="69163911" w14:textId="77777777" w:rsidR="00065E56" w:rsidRPr="00065E56" w:rsidRDefault="00065E56" w:rsidP="00065E56">
      <w:pPr>
        <w:pStyle w:val="Bibliography"/>
        <w:rPr>
          <w:rFonts w:ascii="Times New Roman" w:hAnsi="Times New Roman" w:cs="Times New Roman"/>
        </w:rPr>
      </w:pPr>
      <w:r w:rsidRPr="00065E56">
        <w:rPr>
          <w:rFonts w:ascii="Times New Roman" w:hAnsi="Times New Roman" w:cs="Times New Roman"/>
        </w:rPr>
        <w:t xml:space="preserve">Ngan, O. M. Y., Tang, T. L. H., Chan, A. K. Y., Chen, D. M., &amp; Tang, M. K. (2018). Blended Learning in Anatomy Teaching for Non-Medical Students: An Innovative Approach to the Health Professions Education. </w:t>
      </w:r>
      <w:r w:rsidRPr="00065E56">
        <w:rPr>
          <w:rFonts w:ascii="Times New Roman" w:hAnsi="Times New Roman" w:cs="Times New Roman"/>
          <w:i/>
          <w:iCs/>
        </w:rPr>
        <w:t>Health Professions Education</w:t>
      </w:r>
      <w:r w:rsidRPr="00065E56">
        <w:rPr>
          <w:rFonts w:ascii="Times New Roman" w:hAnsi="Times New Roman" w:cs="Times New Roman"/>
        </w:rPr>
        <w:t xml:space="preserve">, </w:t>
      </w:r>
      <w:r w:rsidRPr="00065E56">
        <w:rPr>
          <w:rFonts w:ascii="Times New Roman" w:hAnsi="Times New Roman" w:cs="Times New Roman"/>
          <w:i/>
          <w:iCs/>
        </w:rPr>
        <w:t>4</w:t>
      </w:r>
      <w:r w:rsidRPr="00065E56">
        <w:rPr>
          <w:rFonts w:ascii="Times New Roman" w:hAnsi="Times New Roman" w:cs="Times New Roman"/>
        </w:rPr>
        <w:t>(2), 149–158. https://doi.org/10.1016/j.hpe.2017.11.001</w:t>
      </w:r>
    </w:p>
    <w:p w14:paraId="1498389E" w14:textId="77777777" w:rsidR="00065E56" w:rsidRPr="00065E56" w:rsidRDefault="00065E56" w:rsidP="00065E56">
      <w:pPr>
        <w:pStyle w:val="Bibliography"/>
        <w:rPr>
          <w:rFonts w:ascii="Times New Roman" w:hAnsi="Times New Roman" w:cs="Times New Roman"/>
        </w:rPr>
      </w:pPr>
      <w:r w:rsidRPr="00065E56">
        <w:rPr>
          <w:rFonts w:ascii="Times New Roman" w:hAnsi="Times New Roman" w:cs="Times New Roman"/>
        </w:rPr>
        <w:t xml:space="preserve">Nieder, G. L., &amp; Borges, N. J. (2012). An eight-year study of online lecture use in a medical gross anatomy and embryology course. </w:t>
      </w:r>
      <w:r w:rsidRPr="00065E56">
        <w:rPr>
          <w:rFonts w:ascii="Times New Roman" w:hAnsi="Times New Roman" w:cs="Times New Roman"/>
          <w:i/>
          <w:iCs/>
        </w:rPr>
        <w:t>Anatomical Sciences Education</w:t>
      </w:r>
      <w:r w:rsidRPr="00065E56">
        <w:rPr>
          <w:rFonts w:ascii="Times New Roman" w:hAnsi="Times New Roman" w:cs="Times New Roman"/>
        </w:rPr>
        <w:t xml:space="preserve">, </w:t>
      </w:r>
      <w:r w:rsidRPr="00065E56">
        <w:rPr>
          <w:rFonts w:ascii="Times New Roman" w:hAnsi="Times New Roman" w:cs="Times New Roman"/>
          <w:i/>
          <w:iCs/>
        </w:rPr>
        <w:t>5</w:t>
      </w:r>
      <w:r w:rsidRPr="00065E56">
        <w:rPr>
          <w:rFonts w:ascii="Times New Roman" w:hAnsi="Times New Roman" w:cs="Times New Roman"/>
        </w:rPr>
        <w:t>(6), 311–320. https://doi.org/10.1002/ase.1289</w:t>
      </w:r>
    </w:p>
    <w:p w14:paraId="2EC0B282" w14:textId="77777777" w:rsidR="00065E56" w:rsidRPr="00065E56" w:rsidRDefault="00065E56" w:rsidP="00065E56">
      <w:pPr>
        <w:pStyle w:val="Bibliography"/>
        <w:rPr>
          <w:rFonts w:ascii="Times New Roman" w:hAnsi="Times New Roman" w:cs="Times New Roman"/>
        </w:rPr>
      </w:pPr>
      <w:r w:rsidRPr="00065E56">
        <w:rPr>
          <w:rFonts w:ascii="Times New Roman" w:hAnsi="Times New Roman" w:cs="Times New Roman"/>
        </w:rPr>
        <w:t xml:space="preserve">Nieder, G. L., Parmelee, D. X., Stolfi, A., &amp; Hudes, P. D. (2005). Team-based learning in a medical gross anatomy and embryology course. </w:t>
      </w:r>
      <w:r w:rsidRPr="00065E56">
        <w:rPr>
          <w:rFonts w:ascii="Times New Roman" w:hAnsi="Times New Roman" w:cs="Times New Roman"/>
          <w:i/>
          <w:iCs/>
        </w:rPr>
        <w:t>Clinical Anatomy</w:t>
      </w:r>
      <w:r w:rsidRPr="00065E56">
        <w:rPr>
          <w:rFonts w:ascii="Times New Roman" w:hAnsi="Times New Roman" w:cs="Times New Roman"/>
        </w:rPr>
        <w:t xml:space="preserve">, </w:t>
      </w:r>
      <w:r w:rsidRPr="00065E56">
        <w:rPr>
          <w:rFonts w:ascii="Times New Roman" w:hAnsi="Times New Roman" w:cs="Times New Roman"/>
          <w:i/>
          <w:iCs/>
        </w:rPr>
        <w:t>18</w:t>
      </w:r>
      <w:r w:rsidRPr="00065E56">
        <w:rPr>
          <w:rFonts w:ascii="Times New Roman" w:hAnsi="Times New Roman" w:cs="Times New Roman"/>
        </w:rPr>
        <w:t>(1), 56–63. https://doi.org/10.1002/ca.20040</w:t>
      </w:r>
    </w:p>
    <w:p w14:paraId="318CE60A" w14:textId="77777777" w:rsidR="00065E56" w:rsidRPr="00065E56" w:rsidRDefault="00065E56" w:rsidP="00065E56">
      <w:pPr>
        <w:pStyle w:val="Bibliography"/>
        <w:rPr>
          <w:rFonts w:ascii="Times New Roman" w:hAnsi="Times New Roman" w:cs="Times New Roman"/>
        </w:rPr>
      </w:pPr>
      <w:r w:rsidRPr="00065E56">
        <w:rPr>
          <w:rFonts w:ascii="Times New Roman" w:hAnsi="Times New Roman" w:cs="Times New Roman"/>
        </w:rPr>
        <w:t xml:space="preserve">Papa, F. J., &amp; Harasym, P. H. (1999). Medical Curriculum Reform in North America, 1765 to the Present: A Cognitive Science Perspective. </w:t>
      </w:r>
      <w:r w:rsidRPr="00065E56">
        <w:rPr>
          <w:rFonts w:ascii="Times New Roman" w:hAnsi="Times New Roman" w:cs="Times New Roman"/>
          <w:i/>
          <w:iCs/>
        </w:rPr>
        <w:t>Academic Medicine</w:t>
      </w:r>
      <w:r w:rsidRPr="00065E56">
        <w:rPr>
          <w:rFonts w:ascii="Times New Roman" w:hAnsi="Times New Roman" w:cs="Times New Roman"/>
        </w:rPr>
        <w:t xml:space="preserve">, </w:t>
      </w:r>
      <w:r w:rsidRPr="00065E56">
        <w:rPr>
          <w:rFonts w:ascii="Times New Roman" w:hAnsi="Times New Roman" w:cs="Times New Roman"/>
          <w:i/>
          <w:iCs/>
        </w:rPr>
        <w:t>74</w:t>
      </w:r>
      <w:r w:rsidRPr="00065E56">
        <w:rPr>
          <w:rFonts w:ascii="Times New Roman" w:hAnsi="Times New Roman" w:cs="Times New Roman"/>
        </w:rPr>
        <w:t>(2), 154–164.</w:t>
      </w:r>
    </w:p>
    <w:p w14:paraId="0561EC0C" w14:textId="77777777" w:rsidR="00065E56" w:rsidRPr="00065E56" w:rsidRDefault="00065E56" w:rsidP="00065E56">
      <w:pPr>
        <w:pStyle w:val="Bibliography"/>
        <w:rPr>
          <w:rFonts w:ascii="Times New Roman" w:hAnsi="Times New Roman" w:cs="Times New Roman"/>
        </w:rPr>
      </w:pPr>
      <w:r w:rsidRPr="00065E56">
        <w:rPr>
          <w:rFonts w:ascii="Times New Roman" w:hAnsi="Times New Roman" w:cs="Times New Roman"/>
        </w:rPr>
        <w:t xml:space="preserve">Pather, N., Blyth, P., Chapman, J. A., Dayal, M. R., Flack, N. A. M. S., Fogg, Q. A., Green, R. A., Hulme, A. K., Johnson, I. P., Meyer, A. J., Morley, J. W., Shortland, P. J., Štrkalj, G., Štrkalj, M., Valter, K., Webb, A. L., Woodley, S. J., &amp; Lazarus, M. D. (2020). Forced Disruption of Anatomy Education in Australia and New Zealand: An Acute Response to the Covid‐19 Pandemic. </w:t>
      </w:r>
      <w:r w:rsidRPr="00065E56">
        <w:rPr>
          <w:rFonts w:ascii="Times New Roman" w:hAnsi="Times New Roman" w:cs="Times New Roman"/>
          <w:i/>
          <w:iCs/>
        </w:rPr>
        <w:t>Anatomical Sciences Education</w:t>
      </w:r>
      <w:r w:rsidRPr="00065E56">
        <w:rPr>
          <w:rFonts w:ascii="Times New Roman" w:hAnsi="Times New Roman" w:cs="Times New Roman"/>
        </w:rPr>
        <w:t xml:space="preserve">, </w:t>
      </w:r>
      <w:r w:rsidRPr="00065E56">
        <w:rPr>
          <w:rFonts w:ascii="Times New Roman" w:hAnsi="Times New Roman" w:cs="Times New Roman"/>
          <w:i/>
          <w:iCs/>
        </w:rPr>
        <w:t>13</w:t>
      </w:r>
      <w:r w:rsidRPr="00065E56">
        <w:rPr>
          <w:rFonts w:ascii="Times New Roman" w:hAnsi="Times New Roman" w:cs="Times New Roman"/>
        </w:rPr>
        <w:t>(3), 284–300. https://doi.org/10.1002/ase.1968</w:t>
      </w:r>
    </w:p>
    <w:p w14:paraId="18A936BE" w14:textId="77777777" w:rsidR="00065E56" w:rsidRPr="00065E56" w:rsidRDefault="00065E56" w:rsidP="00065E56">
      <w:pPr>
        <w:pStyle w:val="Bibliography"/>
        <w:rPr>
          <w:rFonts w:ascii="Times New Roman" w:hAnsi="Times New Roman" w:cs="Times New Roman"/>
        </w:rPr>
      </w:pPr>
      <w:r w:rsidRPr="00065E56">
        <w:rPr>
          <w:rFonts w:ascii="Times New Roman" w:hAnsi="Times New Roman" w:cs="Times New Roman"/>
        </w:rPr>
        <w:lastRenderedPageBreak/>
        <w:t xml:space="preserve">Pawlina, W., &amp; Drake, R. L. (2016). Authentic learning in anatomy: A primer on pragmatism: Authentic Learning in Anatomy. </w:t>
      </w:r>
      <w:r w:rsidRPr="00065E56">
        <w:rPr>
          <w:rFonts w:ascii="Times New Roman" w:hAnsi="Times New Roman" w:cs="Times New Roman"/>
          <w:i/>
          <w:iCs/>
        </w:rPr>
        <w:t>Anatomical Sciences Education</w:t>
      </w:r>
      <w:r w:rsidRPr="00065E56">
        <w:rPr>
          <w:rFonts w:ascii="Times New Roman" w:hAnsi="Times New Roman" w:cs="Times New Roman"/>
        </w:rPr>
        <w:t xml:space="preserve">, </w:t>
      </w:r>
      <w:r w:rsidRPr="00065E56">
        <w:rPr>
          <w:rFonts w:ascii="Times New Roman" w:hAnsi="Times New Roman" w:cs="Times New Roman"/>
          <w:i/>
          <w:iCs/>
        </w:rPr>
        <w:t>9</w:t>
      </w:r>
      <w:r w:rsidRPr="00065E56">
        <w:rPr>
          <w:rFonts w:ascii="Times New Roman" w:hAnsi="Times New Roman" w:cs="Times New Roman"/>
        </w:rPr>
        <w:t>(1), 5–7. https://doi.org/10.1002/ase.1592</w:t>
      </w:r>
    </w:p>
    <w:p w14:paraId="2EA5DB36" w14:textId="77777777" w:rsidR="00065E56" w:rsidRPr="00065E56" w:rsidRDefault="00065E56" w:rsidP="00065E56">
      <w:pPr>
        <w:pStyle w:val="Bibliography"/>
        <w:rPr>
          <w:rFonts w:ascii="Times New Roman" w:hAnsi="Times New Roman" w:cs="Times New Roman"/>
        </w:rPr>
      </w:pPr>
      <w:r w:rsidRPr="00065E56">
        <w:rPr>
          <w:rFonts w:ascii="Times New Roman" w:hAnsi="Times New Roman" w:cs="Times New Roman"/>
        </w:rPr>
        <w:t xml:space="preserve">Peters, O. (1998). </w:t>
      </w:r>
      <w:r w:rsidRPr="00065E56">
        <w:rPr>
          <w:rFonts w:ascii="Times New Roman" w:hAnsi="Times New Roman" w:cs="Times New Roman"/>
          <w:i/>
          <w:iCs/>
        </w:rPr>
        <w:t>Learning and Teaching in Distance Education: Analyses and. Interpretations from an International Perspective.</w:t>
      </w:r>
      <w:r w:rsidRPr="00065E56">
        <w:rPr>
          <w:rFonts w:ascii="Times New Roman" w:hAnsi="Times New Roman" w:cs="Times New Roman"/>
        </w:rPr>
        <w:t xml:space="preserve"> Kogan Page Limited.</w:t>
      </w:r>
    </w:p>
    <w:p w14:paraId="2BD76555" w14:textId="77777777" w:rsidR="00065E56" w:rsidRPr="00065E56" w:rsidRDefault="00065E56" w:rsidP="00065E56">
      <w:pPr>
        <w:pStyle w:val="Bibliography"/>
        <w:rPr>
          <w:rFonts w:ascii="Times New Roman" w:hAnsi="Times New Roman" w:cs="Times New Roman"/>
        </w:rPr>
      </w:pPr>
      <w:r w:rsidRPr="00065E56">
        <w:rPr>
          <w:rFonts w:ascii="Times New Roman" w:hAnsi="Times New Roman" w:cs="Times New Roman"/>
        </w:rPr>
        <w:t xml:space="preserve">Physician Assistant Education Association, Chitwood, R., &amp; Yuen, C. (2020). </w:t>
      </w:r>
      <w:r w:rsidRPr="00065E56">
        <w:rPr>
          <w:rFonts w:ascii="Times New Roman" w:hAnsi="Times New Roman" w:cs="Times New Roman"/>
          <w:i/>
          <w:iCs/>
        </w:rPr>
        <w:t>By the Numbers: Program Report 35</w:t>
      </w:r>
      <w:r w:rsidRPr="00065E56">
        <w:rPr>
          <w:rFonts w:ascii="Times New Roman" w:hAnsi="Times New Roman" w:cs="Times New Roman"/>
        </w:rPr>
        <w:t>. Physician Assistant Education Association. https://doi.org/10.17538/PR35.2020</w:t>
      </w:r>
    </w:p>
    <w:p w14:paraId="015748FF" w14:textId="77777777" w:rsidR="00065E56" w:rsidRPr="00065E56" w:rsidRDefault="00065E56" w:rsidP="00065E56">
      <w:pPr>
        <w:pStyle w:val="Bibliography"/>
        <w:rPr>
          <w:rFonts w:ascii="Times New Roman" w:hAnsi="Times New Roman" w:cs="Times New Roman"/>
        </w:rPr>
      </w:pPr>
      <w:r w:rsidRPr="00065E56">
        <w:rPr>
          <w:rFonts w:ascii="Times New Roman" w:hAnsi="Times New Roman" w:cs="Times New Roman"/>
        </w:rPr>
        <w:t xml:space="preserve">Popper, K. R. (1979). </w:t>
      </w:r>
      <w:r w:rsidRPr="00065E56">
        <w:rPr>
          <w:rFonts w:ascii="Times New Roman" w:hAnsi="Times New Roman" w:cs="Times New Roman"/>
          <w:i/>
          <w:iCs/>
        </w:rPr>
        <w:t>Objective Knowledge: An Evolutionary Approach</w:t>
      </w:r>
      <w:r w:rsidRPr="00065E56">
        <w:rPr>
          <w:rFonts w:ascii="Times New Roman" w:hAnsi="Times New Roman" w:cs="Times New Roman"/>
        </w:rPr>
        <w:t>. Clarendon Press.</w:t>
      </w:r>
    </w:p>
    <w:p w14:paraId="0C980D52" w14:textId="77777777" w:rsidR="00065E56" w:rsidRPr="00065E56" w:rsidRDefault="00065E56" w:rsidP="00065E56">
      <w:pPr>
        <w:pStyle w:val="Bibliography"/>
        <w:rPr>
          <w:rFonts w:ascii="Times New Roman" w:hAnsi="Times New Roman" w:cs="Times New Roman"/>
        </w:rPr>
      </w:pPr>
      <w:r w:rsidRPr="00065E56">
        <w:rPr>
          <w:rFonts w:ascii="Times New Roman" w:hAnsi="Times New Roman" w:cs="Times New Roman"/>
        </w:rPr>
        <w:t xml:space="preserve">Pyle, M. A. (2012). New Models of Dental Education and Curricular Change: Their Potential Impact on Dental Education. </w:t>
      </w:r>
      <w:r w:rsidRPr="00065E56">
        <w:rPr>
          <w:rFonts w:ascii="Times New Roman" w:hAnsi="Times New Roman" w:cs="Times New Roman"/>
          <w:i/>
          <w:iCs/>
        </w:rPr>
        <w:t>Journal of Dental Education</w:t>
      </w:r>
      <w:r w:rsidRPr="00065E56">
        <w:rPr>
          <w:rFonts w:ascii="Times New Roman" w:hAnsi="Times New Roman" w:cs="Times New Roman"/>
        </w:rPr>
        <w:t xml:space="preserve">, </w:t>
      </w:r>
      <w:r w:rsidRPr="00065E56">
        <w:rPr>
          <w:rFonts w:ascii="Times New Roman" w:hAnsi="Times New Roman" w:cs="Times New Roman"/>
          <w:i/>
          <w:iCs/>
        </w:rPr>
        <w:t>76</w:t>
      </w:r>
      <w:r w:rsidRPr="00065E56">
        <w:rPr>
          <w:rFonts w:ascii="Times New Roman" w:hAnsi="Times New Roman" w:cs="Times New Roman"/>
        </w:rPr>
        <w:t>(1), 89–97. https://doi.org/10.1002/j.0022-0337.2012.76.1.tb05237.x</w:t>
      </w:r>
    </w:p>
    <w:p w14:paraId="4043BC7C" w14:textId="77777777" w:rsidR="00065E56" w:rsidRPr="00065E56" w:rsidRDefault="00065E56" w:rsidP="00065E56">
      <w:pPr>
        <w:pStyle w:val="Bibliography"/>
        <w:rPr>
          <w:rFonts w:ascii="Times New Roman" w:hAnsi="Times New Roman" w:cs="Times New Roman"/>
        </w:rPr>
      </w:pPr>
      <w:r w:rsidRPr="00065E56">
        <w:rPr>
          <w:rFonts w:ascii="Times New Roman" w:hAnsi="Times New Roman" w:cs="Times New Roman"/>
        </w:rPr>
        <w:t xml:space="preserve">Rapanta, C., Botturi, L., Goodyear, P., Guàrdia, L., &amp; Koole, M. (2020). Online University Teaching During and After the Covid-19 Crisis: Refocusing Teacher Presence and Learning Activity. </w:t>
      </w:r>
      <w:r w:rsidRPr="00065E56">
        <w:rPr>
          <w:rFonts w:ascii="Times New Roman" w:hAnsi="Times New Roman" w:cs="Times New Roman"/>
          <w:i/>
          <w:iCs/>
        </w:rPr>
        <w:t>Postdigital Science and Education</w:t>
      </w:r>
      <w:r w:rsidRPr="00065E56">
        <w:rPr>
          <w:rFonts w:ascii="Times New Roman" w:hAnsi="Times New Roman" w:cs="Times New Roman"/>
        </w:rPr>
        <w:t>. https://doi.org/10.1007/s42438-020-00155-y</w:t>
      </w:r>
    </w:p>
    <w:p w14:paraId="01A2C126" w14:textId="77777777" w:rsidR="00065E56" w:rsidRPr="00065E56" w:rsidRDefault="00065E56" w:rsidP="00065E56">
      <w:pPr>
        <w:pStyle w:val="Bibliography"/>
        <w:rPr>
          <w:rFonts w:ascii="Times New Roman" w:hAnsi="Times New Roman" w:cs="Times New Roman"/>
        </w:rPr>
      </w:pPr>
      <w:r w:rsidRPr="00065E56">
        <w:rPr>
          <w:rFonts w:ascii="Times New Roman" w:hAnsi="Times New Roman" w:cs="Times New Roman"/>
        </w:rPr>
        <w:t xml:space="preserve">Reed, B. (n.d.). </w:t>
      </w:r>
      <w:r w:rsidRPr="00065E56">
        <w:rPr>
          <w:rFonts w:ascii="Times New Roman" w:hAnsi="Times New Roman" w:cs="Times New Roman"/>
          <w:i/>
          <w:iCs/>
        </w:rPr>
        <w:t>How to Think about Fallibilism</w:t>
      </w:r>
      <w:r w:rsidRPr="00065E56">
        <w:rPr>
          <w:rFonts w:ascii="Times New Roman" w:hAnsi="Times New Roman" w:cs="Times New Roman"/>
        </w:rPr>
        <w:t>. 16.</w:t>
      </w:r>
    </w:p>
    <w:p w14:paraId="5BD86D60" w14:textId="77777777" w:rsidR="00065E56" w:rsidRPr="00065E56" w:rsidRDefault="00065E56" w:rsidP="00065E56">
      <w:pPr>
        <w:pStyle w:val="Bibliography"/>
        <w:rPr>
          <w:rFonts w:ascii="Times New Roman" w:hAnsi="Times New Roman" w:cs="Times New Roman"/>
        </w:rPr>
      </w:pPr>
      <w:r w:rsidRPr="00065E56">
        <w:rPr>
          <w:rFonts w:ascii="Times New Roman" w:hAnsi="Times New Roman" w:cs="Times New Roman"/>
        </w:rPr>
        <w:t xml:space="preserve">Reyna, J. (2020). Twelve Tips for COVID-19 friendly learning design in medical education. </w:t>
      </w:r>
      <w:r w:rsidRPr="00065E56">
        <w:rPr>
          <w:rFonts w:ascii="Times New Roman" w:hAnsi="Times New Roman" w:cs="Times New Roman"/>
          <w:i/>
          <w:iCs/>
        </w:rPr>
        <w:t>MedEdPublish</w:t>
      </w:r>
      <w:r w:rsidRPr="00065E56">
        <w:rPr>
          <w:rFonts w:ascii="Times New Roman" w:hAnsi="Times New Roman" w:cs="Times New Roman"/>
        </w:rPr>
        <w:t xml:space="preserve">, </w:t>
      </w:r>
      <w:r w:rsidRPr="00065E56">
        <w:rPr>
          <w:rFonts w:ascii="Times New Roman" w:hAnsi="Times New Roman" w:cs="Times New Roman"/>
          <w:i/>
          <w:iCs/>
        </w:rPr>
        <w:t>9</w:t>
      </w:r>
      <w:r w:rsidRPr="00065E56">
        <w:rPr>
          <w:rFonts w:ascii="Times New Roman" w:hAnsi="Times New Roman" w:cs="Times New Roman"/>
        </w:rPr>
        <w:t>(1). https://doi.org/10.15694/mep.2020.000103.1</w:t>
      </w:r>
    </w:p>
    <w:p w14:paraId="18E8D9EA" w14:textId="77777777" w:rsidR="00065E56" w:rsidRPr="00065E56" w:rsidRDefault="00065E56" w:rsidP="00065E56">
      <w:pPr>
        <w:pStyle w:val="Bibliography"/>
        <w:rPr>
          <w:rFonts w:ascii="Times New Roman" w:hAnsi="Times New Roman" w:cs="Times New Roman"/>
        </w:rPr>
      </w:pPr>
      <w:r w:rsidRPr="00065E56">
        <w:rPr>
          <w:rFonts w:ascii="Times New Roman" w:hAnsi="Times New Roman" w:cs="Times New Roman"/>
        </w:rPr>
        <w:t xml:space="preserve">Rizzolo, L. J., &amp; Stewart, W. B. (2006). Should we continue teaching anatomy by dissection when …? </w:t>
      </w:r>
      <w:r w:rsidRPr="00065E56">
        <w:rPr>
          <w:rFonts w:ascii="Times New Roman" w:hAnsi="Times New Roman" w:cs="Times New Roman"/>
          <w:i/>
          <w:iCs/>
        </w:rPr>
        <w:t>The Anatomical Record Part B: The New Anatomist</w:t>
      </w:r>
      <w:r w:rsidRPr="00065E56">
        <w:rPr>
          <w:rFonts w:ascii="Times New Roman" w:hAnsi="Times New Roman" w:cs="Times New Roman"/>
        </w:rPr>
        <w:t xml:space="preserve">, </w:t>
      </w:r>
      <w:r w:rsidRPr="00065E56">
        <w:rPr>
          <w:rFonts w:ascii="Times New Roman" w:hAnsi="Times New Roman" w:cs="Times New Roman"/>
          <w:i/>
          <w:iCs/>
        </w:rPr>
        <w:t>289B</w:t>
      </w:r>
      <w:r w:rsidRPr="00065E56">
        <w:rPr>
          <w:rFonts w:ascii="Times New Roman" w:hAnsi="Times New Roman" w:cs="Times New Roman"/>
        </w:rPr>
        <w:t>(6), 215–218. https://doi.org/10.1002/ar.b.20117</w:t>
      </w:r>
    </w:p>
    <w:p w14:paraId="37FCA360" w14:textId="77777777" w:rsidR="00065E56" w:rsidRPr="00065E56" w:rsidRDefault="00065E56" w:rsidP="00065E56">
      <w:pPr>
        <w:pStyle w:val="Bibliography"/>
        <w:rPr>
          <w:rFonts w:ascii="Times New Roman" w:hAnsi="Times New Roman" w:cs="Times New Roman"/>
        </w:rPr>
      </w:pPr>
      <w:r w:rsidRPr="00065E56">
        <w:rPr>
          <w:rFonts w:ascii="Times New Roman" w:hAnsi="Times New Roman" w:cs="Times New Roman"/>
        </w:rPr>
        <w:lastRenderedPageBreak/>
        <w:t xml:space="preserve">Saks, K., &amp; Leijen, Ä. (2014). Distinguishing Self-directed and Self-regulated Learning and Measuring them in the E-learning Context. </w:t>
      </w:r>
      <w:r w:rsidRPr="00065E56">
        <w:rPr>
          <w:rFonts w:ascii="Times New Roman" w:hAnsi="Times New Roman" w:cs="Times New Roman"/>
          <w:i/>
          <w:iCs/>
        </w:rPr>
        <w:t>Procedia - Social and Behavioral Sciences</w:t>
      </w:r>
      <w:r w:rsidRPr="00065E56">
        <w:rPr>
          <w:rFonts w:ascii="Times New Roman" w:hAnsi="Times New Roman" w:cs="Times New Roman"/>
        </w:rPr>
        <w:t xml:space="preserve">, </w:t>
      </w:r>
      <w:r w:rsidRPr="00065E56">
        <w:rPr>
          <w:rFonts w:ascii="Times New Roman" w:hAnsi="Times New Roman" w:cs="Times New Roman"/>
          <w:i/>
          <w:iCs/>
        </w:rPr>
        <w:t>112</w:t>
      </w:r>
      <w:r w:rsidRPr="00065E56">
        <w:rPr>
          <w:rFonts w:ascii="Times New Roman" w:hAnsi="Times New Roman" w:cs="Times New Roman"/>
        </w:rPr>
        <w:t>, 190–198. https://doi.org/10.1016/j.sbspro.2014.01.1155</w:t>
      </w:r>
    </w:p>
    <w:p w14:paraId="72146AA5" w14:textId="77777777" w:rsidR="00065E56" w:rsidRPr="00065E56" w:rsidRDefault="00065E56" w:rsidP="00065E56">
      <w:pPr>
        <w:pStyle w:val="Bibliography"/>
        <w:rPr>
          <w:rFonts w:ascii="Times New Roman" w:hAnsi="Times New Roman" w:cs="Times New Roman"/>
        </w:rPr>
      </w:pPr>
      <w:r w:rsidRPr="00065E56">
        <w:rPr>
          <w:rFonts w:ascii="Times New Roman" w:hAnsi="Times New Roman" w:cs="Times New Roman"/>
        </w:rPr>
        <w:t xml:space="preserve">Santangelo, M. (1981). The history and development of United States dental education. </w:t>
      </w:r>
      <w:r w:rsidRPr="00065E56">
        <w:rPr>
          <w:rFonts w:ascii="Times New Roman" w:hAnsi="Times New Roman" w:cs="Times New Roman"/>
          <w:i/>
          <w:iCs/>
        </w:rPr>
        <w:t>Journal of Dental Education</w:t>
      </w:r>
      <w:r w:rsidRPr="00065E56">
        <w:rPr>
          <w:rFonts w:ascii="Times New Roman" w:hAnsi="Times New Roman" w:cs="Times New Roman"/>
        </w:rPr>
        <w:t xml:space="preserve">, </w:t>
      </w:r>
      <w:r w:rsidRPr="00065E56">
        <w:rPr>
          <w:rFonts w:ascii="Times New Roman" w:hAnsi="Times New Roman" w:cs="Times New Roman"/>
          <w:i/>
          <w:iCs/>
        </w:rPr>
        <w:t>45</w:t>
      </w:r>
      <w:r w:rsidRPr="00065E56">
        <w:rPr>
          <w:rFonts w:ascii="Times New Roman" w:hAnsi="Times New Roman" w:cs="Times New Roman"/>
        </w:rPr>
        <w:t>(10), 619–627.</w:t>
      </w:r>
    </w:p>
    <w:p w14:paraId="144C34CE" w14:textId="77777777" w:rsidR="00065E56" w:rsidRPr="00065E56" w:rsidRDefault="00065E56" w:rsidP="00065E56">
      <w:pPr>
        <w:pStyle w:val="Bibliography"/>
        <w:rPr>
          <w:rFonts w:ascii="Times New Roman" w:hAnsi="Times New Roman" w:cs="Times New Roman"/>
        </w:rPr>
      </w:pPr>
      <w:r w:rsidRPr="00065E56">
        <w:rPr>
          <w:rFonts w:ascii="Times New Roman" w:hAnsi="Times New Roman" w:cs="Times New Roman"/>
        </w:rPr>
        <w:t xml:space="preserve">Schwartzstein, R. M., Dienstag, J. L., King, R. W., Chang, B. S., Flanagan, J. G., Besche, H. C., Hoenig, M. P., Miloslavsky, E. M., Atkins, K. M., Puig, A., Cockrill, B. A., Wittels, K. A., Dalrymple, J. L., Gooding, H., Hirsh, D. A., Alexander, E. K., Fazio, S. B., Hundert, E. M., &amp; for the Pathways Writing Group. (2020). The Harvard Medical School Pathways Curriculum: Reimagining Developmentally Appropriate Medical Education for Contemporary Learners. </w:t>
      </w:r>
      <w:r w:rsidRPr="00065E56">
        <w:rPr>
          <w:rFonts w:ascii="Times New Roman" w:hAnsi="Times New Roman" w:cs="Times New Roman"/>
          <w:i/>
          <w:iCs/>
        </w:rPr>
        <w:t>Academic Medicine</w:t>
      </w:r>
      <w:r w:rsidRPr="00065E56">
        <w:rPr>
          <w:rFonts w:ascii="Times New Roman" w:hAnsi="Times New Roman" w:cs="Times New Roman"/>
        </w:rPr>
        <w:t xml:space="preserve">, </w:t>
      </w:r>
      <w:r w:rsidRPr="00065E56">
        <w:rPr>
          <w:rFonts w:ascii="Times New Roman" w:hAnsi="Times New Roman" w:cs="Times New Roman"/>
          <w:i/>
          <w:iCs/>
        </w:rPr>
        <w:t>95</w:t>
      </w:r>
      <w:r w:rsidRPr="00065E56">
        <w:rPr>
          <w:rFonts w:ascii="Times New Roman" w:hAnsi="Times New Roman" w:cs="Times New Roman"/>
        </w:rPr>
        <w:t>(11), 1687–1695. https://doi.org/10.1097/ACM.0000000000003270</w:t>
      </w:r>
    </w:p>
    <w:p w14:paraId="4A9275DD" w14:textId="77777777" w:rsidR="00065E56" w:rsidRPr="00065E56" w:rsidRDefault="00065E56" w:rsidP="00065E56">
      <w:pPr>
        <w:pStyle w:val="Bibliography"/>
        <w:rPr>
          <w:rFonts w:ascii="Times New Roman" w:hAnsi="Times New Roman" w:cs="Times New Roman"/>
        </w:rPr>
      </w:pPr>
      <w:r w:rsidRPr="00065E56">
        <w:rPr>
          <w:rFonts w:ascii="Times New Roman" w:hAnsi="Times New Roman" w:cs="Times New Roman"/>
        </w:rPr>
        <w:t xml:space="preserve">Scott, D. (2001). Curriculum Theory. In </w:t>
      </w:r>
      <w:r w:rsidRPr="00065E56">
        <w:rPr>
          <w:rFonts w:ascii="Times New Roman" w:hAnsi="Times New Roman" w:cs="Times New Roman"/>
          <w:i/>
          <w:iCs/>
        </w:rPr>
        <w:t>International Encyclopedia of the Social &amp; Behavioral Sicneces</w:t>
      </w:r>
      <w:r w:rsidRPr="00065E56">
        <w:rPr>
          <w:rFonts w:ascii="Times New Roman" w:hAnsi="Times New Roman" w:cs="Times New Roman"/>
        </w:rPr>
        <w:t xml:space="preserve"> (pp. 3195–3198). Elsevier, Ltd.</w:t>
      </w:r>
    </w:p>
    <w:p w14:paraId="6FC06D82" w14:textId="77777777" w:rsidR="00065E56" w:rsidRPr="00065E56" w:rsidRDefault="00065E56" w:rsidP="00065E56">
      <w:pPr>
        <w:pStyle w:val="Bibliography"/>
        <w:rPr>
          <w:rFonts w:ascii="Times New Roman" w:hAnsi="Times New Roman" w:cs="Times New Roman"/>
        </w:rPr>
      </w:pPr>
      <w:r w:rsidRPr="00065E56">
        <w:rPr>
          <w:rFonts w:ascii="Times New Roman" w:hAnsi="Times New Roman" w:cs="Times New Roman"/>
        </w:rPr>
        <w:t xml:space="preserve">Shaffer, K., &amp; Small, J. E. (2004). Blended learning in medical education: Use of an integrated approach with web-based small group modules and didactic instruction for teaching radiologic anatomy1. </w:t>
      </w:r>
      <w:r w:rsidRPr="00065E56">
        <w:rPr>
          <w:rFonts w:ascii="Times New Roman" w:hAnsi="Times New Roman" w:cs="Times New Roman"/>
          <w:i/>
          <w:iCs/>
        </w:rPr>
        <w:t>Academic Radiology</w:t>
      </w:r>
      <w:r w:rsidRPr="00065E56">
        <w:rPr>
          <w:rFonts w:ascii="Times New Roman" w:hAnsi="Times New Roman" w:cs="Times New Roman"/>
        </w:rPr>
        <w:t xml:space="preserve">, </w:t>
      </w:r>
      <w:r w:rsidRPr="00065E56">
        <w:rPr>
          <w:rFonts w:ascii="Times New Roman" w:hAnsi="Times New Roman" w:cs="Times New Roman"/>
          <w:i/>
          <w:iCs/>
        </w:rPr>
        <w:t>11</w:t>
      </w:r>
      <w:r w:rsidRPr="00065E56">
        <w:rPr>
          <w:rFonts w:ascii="Times New Roman" w:hAnsi="Times New Roman" w:cs="Times New Roman"/>
        </w:rPr>
        <w:t>(9), 1059–1070. https://doi.org/10.1016/j.acra.2004.05.018</w:t>
      </w:r>
    </w:p>
    <w:p w14:paraId="44360658" w14:textId="77777777" w:rsidR="00065E56" w:rsidRPr="00065E56" w:rsidRDefault="00065E56" w:rsidP="00065E56">
      <w:pPr>
        <w:pStyle w:val="Bibliography"/>
        <w:rPr>
          <w:rFonts w:ascii="Times New Roman" w:hAnsi="Times New Roman" w:cs="Times New Roman"/>
        </w:rPr>
      </w:pPr>
      <w:r w:rsidRPr="00065E56">
        <w:rPr>
          <w:rFonts w:ascii="Times New Roman" w:hAnsi="Times New Roman" w:cs="Times New Roman"/>
        </w:rPr>
        <w:t xml:space="preserve">Shahrvini, B., Baxter, S. L., Coffey, C. S., MacDonald, B. V., &amp; Lander, L. (2021). Pre-clinical remote undergraduate medical education during the COVID-19 pandemic: A survey study. </w:t>
      </w:r>
      <w:r w:rsidRPr="00065E56">
        <w:rPr>
          <w:rFonts w:ascii="Times New Roman" w:hAnsi="Times New Roman" w:cs="Times New Roman"/>
          <w:i/>
          <w:iCs/>
        </w:rPr>
        <w:t>BMC Medical Education</w:t>
      </w:r>
      <w:r w:rsidRPr="00065E56">
        <w:rPr>
          <w:rFonts w:ascii="Times New Roman" w:hAnsi="Times New Roman" w:cs="Times New Roman"/>
        </w:rPr>
        <w:t xml:space="preserve">, </w:t>
      </w:r>
      <w:r w:rsidRPr="00065E56">
        <w:rPr>
          <w:rFonts w:ascii="Times New Roman" w:hAnsi="Times New Roman" w:cs="Times New Roman"/>
          <w:i/>
          <w:iCs/>
        </w:rPr>
        <w:t>21</w:t>
      </w:r>
      <w:r w:rsidRPr="00065E56">
        <w:rPr>
          <w:rFonts w:ascii="Times New Roman" w:hAnsi="Times New Roman" w:cs="Times New Roman"/>
        </w:rPr>
        <w:t>(1), 13. https://doi.org/10.1186/s12909-020-02445-2</w:t>
      </w:r>
    </w:p>
    <w:p w14:paraId="679E2A05" w14:textId="77777777" w:rsidR="00065E56" w:rsidRPr="00065E56" w:rsidRDefault="00065E56" w:rsidP="00065E56">
      <w:pPr>
        <w:pStyle w:val="Bibliography"/>
        <w:rPr>
          <w:rFonts w:ascii="Times New Roman" w:hAnsi="Times New Roman" w:cs="Times New Roman"/>
        </w:rPr>
      </w:pPr>
      <w:r w:rsidRPr="00065E56">
        <w:rPr>
          <w:rFonts w:ascii="Times New Roman" w:hAnsi="Times New Roman" w:cs="Times New Roman"/>
        </w:rPr>
        <w:t xml:space="preserve">Simonson, M. (2019). </w:t>
      </w:r>
      <w:r w:rsidRPr="00065E56">
        <w:rPr>
          <w:rFonts w:ascii="Times New Roman" w:hAnsi="Times New Roman" w:cs="Times New Roman"/>
          <w:i/>
          <w:iCs/>
        </w:rPr>
        <w:t>RESEARCH IN DISTANCE EDUCATION</w:t>
      </w:r>
      <w:r w:rsidRPr="00065E56">
        <w:rPr>
          <w:rFonts w:ascii="Times New Roman" w:hAnsi="Times New Roman" w:cs="Times New Roman"/>
        </w:rPr>
        <w:t xml:space="preserve">. </w:t>
      </w:r>
      <w:r w:rsidRPr="00065E56">
        <w:rPr>
          <w:rFonts w:ascii="Times New Roman" w:hAnsi="Times New Roman" w:cs="Times New Roman"/>
          <w:i/>
          <w:iCs/>
        </w:rPr>
        <w:t>20</w:t>
      </w:r>
      <w:r w:rsidRPr="00065E56">
        <w:rPr>
          <w:rFonts w:ascii="Times New Roman" w:hAnsi="Times New Roman" w:cs="Times New Roman"/>
        </w:rPr>
        <w:t>(2), 16.</w:t>
      </w:r>
    </w:p>
    <w:p w14:paraId="39BEE9AB" w14:textId="77777777" w:rsidR="00065E56" w:rsidRPr="00065E56" w:rsidRDefault="00065E56" w:rsidP="00065E56">
      <w:pPr>
        <w:pStyle w:val="Bibliography"/>
        <w:rPr>
          <w:rFonts w:ascii="Times New Roman" w:hAnsi="Times New Roman" w:cs="Times New Roman"/>
        </w:rPr>
      </w:pPr>
      <w:r w:rsidRPr="00065E56">
        <w:rPr>
          <w:rFonts w:ascii="Times New Roman" w:hAnsi="Times New Roman" w:cs="Times New Roman"/>
        </w:rPr>
        <w:lastRenderedPageBreak/>
        <w:t xml:space="preserve">Singh, V., &amp; Thurman, A. (2019). How Many Ways Can We Define Online Learning? A Systematic Literature Review of Definitions of Online Learning (1988-2018). </w:t>
      </w:r>
      <w:r w:rsidRPr="00065E56">
        <w:rPr>
          <w:rFonts w:ascii="Times New Roman" w:hAnsi="Times New Roman" w:cs="Times New Roman"/>
          <w:i/>
          <w:iCs/>
        </w:rPr>
        <w:t>American Journal of Distance Education</w:t>
      </w:r>
      <w:r w:rsidRPr="00065E56">
        <w:rPr>
          <w:rFonts w:ascii="Times New Roman" w:hAnsi="Times New Roman" w:cs="Times New Roman"/>
        </w:rPr>
        <w:t xml:space="preserve">, </w:t>
      </w:r>
      <w:r w:rsidRPr="00065E56">
        <w:rPr>
          <w:rFonts w:ascii="Times New Roman" w:hAnsi="Times New Roman" w:cs="Times New Roman"/>
          <w:i/>
          <w:iCs/>
        </w:rPr>
        <w:t>33</w:t>
      </w:r>
      <w:r w:rsidRPr="00065E56">
        <w:rPr>
          <w:rFonts w:ascii="Times New Roman" w:hAnsi="Times New Roman" w:cs="Times New Roman"/>
        </w:rPr>
        <w:t>(4), 289–306. https://doi.org/10.1080/08923647.2019.1663082</w:t>
      </w:r>
    </w:p>
    <w:p w14:paraId="6C171584" w14:textId="77777777" w:rsidR="00065E56" w:rsidRPr="00065E56" w:rsidRDefault="00065E56" w:rsidP="00065E56">
      <w:pPr>
        <w:pStyle w:val="Bibliography"/>
        <w:rPr>
          <w:rFonts w:ascii="Times New Roman" w:hAnsi="Times New Roman" w:cs="Times New Roman"/>
        </w:rPr>
      </w:pPr>
      <w:r w:rsidRPr="00065E56">
        <w:rPr>
          <w:rFonts w:ascii="Times New Roman" w:hAnsi="Times New Roman" w:cs="Times New Roman"/>
        </w:rPr>
        <w:t xml:space="preserve">Slack, M. K., &amp; Draugalis, J. R. (2001). Establishing the internal and external validity of experimental studies. </w:t>
      </w:r>
      <w:r w:rsidRPr="00065E56">
        <w:rPr>
          <w:rFonts w:ascii="Times New Roman" w:hAnsi="Times New Roman" w:cs="Times New Roman"/>
          <w:i/>
          <w:iCs/>
        </w:rPr>
        <w:t>American Journal of Health-System Pharmacy</w:t>
      </w:r>
      <w:r w:rsidRPr="00065E56">
        <w:rPr>
          <w:rFonts w:ascii="Times New Roman" w:hAnsi="Times New Roman" w:cs="Times New Roman"/>
        </w:rPr>
        <w:t xml:space="preserve">, </w:t>
      </w:r>
      <w:r w:rsidRPr="00065E56">
        <w:rPr>
          <w:rFonts w:ascii="Times New Roman" w:hAnsi="Times New Roman" w:cs="Times New Roman"/>
          <w:i/>
          <w:iCs/>
        </w:rPr>
        <w:t>58</w:t>
      </w:r>
      <w:r w:rsidRPr="00065E56">
        <w:rPr>
          <w:rFonts w:ascii="Times New Roman" w:hAnsi="Times New Roman" w:cs="Times New Roman"/>
        </w:rPr>
        <w:t>(22), 2173–2181. https://doi.org/10.1093/ajhp/58.22.2173</w:t>
      </w:r>
    </w:p>
    <w:p w14:paraId="4CA16555" w14:textId="77777777" w:rsidR="00065E56" w:rsidRPr="00065E56" w:rsidRDefault="00065E56" w:rsidP="00065E56">
      <w:pPr>
        <w:pStyle w:val="Bibliography"/>
        <w:rPr>
          <w:rFonts w:ascii="Times New Roman" w:hAnsi="Times New Roman" w:cs="Times New Roman"/>
        </w:rPr>
      </w:pPr>
      <w:r w:rsidRPr="00065E56">
        <w:rPr>
          <w:rFonts w:ascii="Times New Roman" w:hAnsi="Times New Roman" w:cs="Times New Roman"/>
          <w:i/>
          <w:iCs/>
        </w:rPr>
        <w:t>Standards-4th-Ed-March-2018.pdf</w:t>
      </w:r>
      <w:r w:rsidRPr="00065E56">
        <w:rPr>
          <w:rFonts w:ascii="Times New Roman" w:hAnsi="Times New Roman" w:cs="Times New Roman"/>
        </w:rPr>
        <w:t>. (n.d.).</w:t>
      </w:r>
    </w:p>
    <w:p w14:paraId="66B95BCC" w14:textId="77777777" w:rsidR="00065E56" w:rsidRPr="00065E56" w:rsidRDefault="00065E56" w:rsidP="00065E56">
      <w:pPr>
        <w:pStyle w:val="Bibliography"/>
        <w:rPr>
          <w:rFonts w:ascii="Times New Roman" w:hAnsi="Times New Roman" w:cs="Times New Roman"/>
        </w:rPr>
      </w:pPr>
      <w:r w:rsidRPr="00065E56">
        <w:rPr>
          <w:rFonts w:ascii="Times New Roman" w:hAnsi="Times New Roman" w:cs="Times New Roman"/>
        </w:rPr>
        <w:t xml:space="preserve">Stephens, G. C., Rees, C. E., &amp; Lazarus, M. D. (2019). How does Donor Dissection Influence Medical Students’ Perceptions of Ethics? A Cross‐Sectional and Longitudinal Qualitative Study. </w:t>
      </w:r>
      <w:r w:rsidRPr="00065E56">
        <w:rPr>
          <w:rFonts w:ascii="Times New Roman" w:hAnsi="Times New Roman" w:cs="Times New Roman"/>
          <w:i/>
          <w:iCs/>
        </w:rPr>
        <w:t>Anatomical Sciences Education</w:t>
      </w:r>
      <w:r w:rsidRPr="00065E56">
        <w:rPr>
          <w:rFonts w:ascii="Times New Roman" w:hAnsi="Times New Roman" w:cs="Times New Roman"/>
        </w:rPr>
        <w:t xml:space="preserve">, </w:t>
      </w:r>
      <w:r w:rsidRPr="00065E56">
        <w:rPr>
          <w:rFonts w:ascii="Times New Roman" w:hAnsi="Times New Roman" w:cs="Times New Roman"/>
          <w:i/>
          <w:iCs/>
        </w:rPr>
        <w:t>12</w:t>
      </w:r>
      <w:r w:rsidRPr="00065E56">
        <w:rPr>
          <w:rFonts w:ascii="Times New Roman" w:hAnsi="Times New Roman" w:cs="Times New Roman"/>
        </w:rPr>
        <w:t>(4), 332–348. https://doi.org/10.1002/ase.1877</w:t>
      </w:r>
    </w:p>
    <w:p w14:paraId="70038CDB" w14:textId="77777777" w:rsidR="00065E56" w:rsidRPr="00065E56" w:rsidRDefault="00065E56" w:rsidP="00065E56">
      <w:pPr>
        <w:pStyle w:val="Bibliography"/>
        <w:rPr>
          <w:rFonts w:ascii="Times New Roman" w:hAnsi="Times New Roman" w:cs="Times New Roman"/>
        </w:rPr>
      </w:pPr>
      <w:r w:rsidRPr="00065E56">
        <w:rPr>
          <w:rFonts w:ascii="Times New Roman" w:hAnsi="Times New Roman" w:cs="Times New Roman"/>
        </w:rPr>
        <w:t xml:space="preserve">Tavakol, M., &amp; Dennick, R. (2011). Post-examination analysis of objective tests. </w:t>
      </w:r>
      <w:r w:rsidRPr="00065E56">
        <w:rPr>
          <w:rFonts w:ascii="Times New Roman" w:hAnsi="Times New Roman" w:cs="Times New Roman"/>
          <w:i/>
          <w:iCs/>
        </w:rPr>
        <w:t>Medical Teacher</w:t>
      </w:r>
      <w:r w:rsidRPr="00065E56">
        <w:rPr>
          <w:rFonts w:ascii="Times New Roman" w:hAnsi="Times New Roman" w:cs="Times New Roman"/>
        </w:rPr>
        <w:t xml:space="preserve">, </w:t>
      </w:r>
      <w:r w:rsidRPr="00065E56">
        <w:rPr>
          <w:rFonts w:ascii="Times New Roman" w:hAnsi="Times New Roman" w:cs="Times New Roman"/>
          <w:i/>
          <w:iCs/>
        </w:rPr>
        <w:t>33</w:t>
      </w:r>
      <w:r w:rsidRPr="00065E56">
        <w:rPr>
          <w:rFonts w:ascii="Times New Roman" w:hAnsi="Times New Roman" w:cs="Times New Roman"/>
        </w:rPr>
        <w:t>(6), 447–458. https://doi.org/10.3109/0142159X.2011.564682</w:t>
      </w:r>
    </w:p>
    <w:p w14:paraId="533F8F0A" w14:textId="77777777" w:rsidR="00065E56" w:rsidRPr="00065E56" w:rsidRDefault="00065E56" w:rsidP="00065E56">
      <w:pPr>
        <w:pStyle w:val="Bibliography"/>
        <w:rPr>
          <w:rFonts w:ascii="Times New Roman" w:hAnsi="Times New Roman" w:cs="Times New Roman"/>
        </w:rPr>
      </w:pPr>
      <w:r w:rsidRPr="00065E56">
        <w:rPr>
          <w:rFonts w:ascii="Times New Roman" w:hAnsi="Times New Roman" w:cs="Times New Roman"/>
        </w:rPr>
        <w:t xml:space="preserve">Tavakol, M., &amp; Dennick, R. (2017). The foundations of measurement and assessment in medical education. </w:t>
      </w:r>
      <w:r w:rsidRPr="00065E56">
        <w:rPr>
          <w:rFonts w:ascii="Times New Roman" w:hAnsi="Times New Roman" w:cs="Times New Roman"/>
          <w:i/>
          <w:iCs/>
        </w:rPr>
        <w:t>Medical Teacher</w:t>
      </w:r>
      <w:r w:rsidRPr="00065E56">
        <w:rPr>
          <w:rFonts w:ascii="Times New Roman" w:hAnsi="Times New Roman" w:cs="Times New Roman"/>
        </w:rPr>
        <w:t xml:space="preserve">, </w:t>
      </w:r>
      <w:r w:rsidRPr="00065E56">
        <w:rPr>
          <w:rFonts w:ascii="Times New Roman" w:hAnsi="Times New Roman" w:cs="Times New Roman"/>
          <w:i/>
          <w:iCs/>
        </w:rPr>
        <w:t>39</w:t>
      </w:r>
      <w:r w:rsidRPr="00065E56">
        <w:rPr>
          <w:rFonts w:ascii="Times New Roman" w:hAnsi="Times New Roman" w:cs="Times New Roman"/>
        </w:rPr>
        <w:t>(10), 1010–1015. https://doi.org/10.1080/0142159X.2017.1359521</w:t>
      </w:r>
    </w:p>
    <w:p w14:paraId="485F589C" w14:textId="77777777" w:rsidR="00065E56" w:rsidRPr="00065E56" w:rsidRDefault="00065E56" w:rsidP="00065E56">
      <w:pPr>
        <w:pStyle w:val="Bibliography"/>
        <w:rPr>
          <w:rFonts w:ascii="Times New Roman" w:hAnsi="Times New Roman" w:cs="Times New Roman"/>
        </w:rPr>
      </w:pPr>
      <w:r w:rsidRPr="00065E56">
        <w:rPr>
          <w:rFonts w:ascii="Times New Roman" w:hAnsi="Times New Roman" w:cs="Times New Roman"/>
        </w:rPr>
        <w:t xml:space="preserve">Taylor, D., Grant, J., Hamdy, H., Grant, L., Marei, H., &amp; Venkatramana, M. (2020). Transformation to learning from a distance. </w:t>
      </w:r>
      <w:r w:rsidRPr="00065E56">
        <w:rPr>
          <w:rFonts w:ascii="Times New Roman" w:hAnsi="Times New Roman" w:cs="Times New Roman"/>
          <w:i/>
          <w:iCs/>
        </w:rPr>
        <w:t>MedEdPublish</w:t>
      </w:r>
      <w:r w:rsidRPr="00065E56">
        <w:rPr>
          <w:rFonts w:ascii="Times New Roman" w:hAnsi="Times New Roman" w:cs="Times New Roman"/>
        </w:rPr>
        <w:t xml:space="preserve">, </w:t>
      </w:r>
      <w:r w:rsidRPr="00065E56">
        <w:rPr>
          <w:rFonts w:ascii="Times New Roman" w:hAnsi="Times New Roman" w:cs="Times New Roman"/>
          <w:i/>
          <w:iCs/>
        </w:rPr>
        <w:t>9</w:t>
      </w:r>
      <w:r w:rsidRPr="00065E56">
        <w:rPr>
          <w:rFonts w:ascii="Times New Roman" w:hAnsi="Times New Roman" w:cs="Times New Roman"/>
        </w:rPr>
        <w:t>(1). https://doi.org/10.15694/mep.2020.000076.1</w:t>
      </w:r>
    </w:p>
    <w:p w14:paraId="0CD73AAE" w14:textId="77777777" w:rsidR="00065E56" w:rsidRPr="00065E56" w:rsidRDefault="00065E56" w:rsidP="00065E56">
      <w:pPr>
        <w:pStyle w:val="Bibliography"/>
        <w:rPr>
          <w:rFonts w:ascii="Times New Roman" w:hAnsi="Times New Roman" w:cs="Times New Roman"/>
        </w:rPr>
      </w:pPr>
      <w:r w:rsidRPr="00065E56">
        <w:rPr>
          <w:rFonts w:ascii="Times New Roman" w:hAnsi="Times New Roman" w:cs="Times New Roman"/>
        </w:rPr>
        <w:t xml:space="preserve">Thompson, A. R., &amp; O’Loughlin, V. D. (2015). The Blooming Anatomy Tool (BAT): A discipline-specific rubric for utilizing Bloom’s taxonomy in the design and evaluation of assessments in the anatomical sciences: Blooming Anatomy Tool for Evaluating MCQs. </w:t>
      </w:r>
      <w:r w:rsidRPr="00065E56">
        <w:rPr>
          <w:rFonts w:ascii="Times New Roman" w:hAnsi="Times New Roman" w:cs="Times New Roman"/>
          <w:i/>
          <w:iCs/>
        </w:rPr>
        <w:t>Anatomical Sciences Education</w:t>
      </w:r>
      <w:r w:rsidRPr="00065E56">
        <w:rPr>
          <w:rFonts w:ascii="Times New Roman" w:hAnsi="Times New Roman" w:cs="Times New Roman"/>
        </w:rPr>
        <w:t xml:space="preserve">, </w:t>
      </w:r>
      <w:r w:rsidRPr="00065E56">
        <w:rPr>
          <w:rFonts w:ascii="Times New Roman" w:hAnsi="Times New Roman" w:cs="Times New Roman"/>
          <w:i/>
          <w:iCs/>
        </w:rPr>
        <w:t>8</w:t>
      </w:r>
      <w:r w:rsidRPr="00065E56">
        <w:rPr>
          <w:rFonts w:ascii="Times New Roman" w:hAnsi="Times New Roman" w:cs="Times New Roman"/>
        </w:rPr>
        <w:t>(6), 493–501. https://doi.org/10.1002/ase.1507</w:t>
      </w:r>
    </w:p>
    <w:p w14:paraId="37F2EF2A" w14:textId="77777777" w:rsidR="00065E56" w:rsidRPr="00065E56" w:rsidRDefault="00065E56" w:rsidP="00065E56">
      <w:pPr>
        <w:pStyle w:val="Bibliography"/>
        <w:rPr>
          <w:rFonts w:ascii="Times New Roman" w:hAnsi="Times New Roman" w:cs="Times New Roman"/>
        </w:rPr>
      </w:pPr>
      <w:r w:rsidRPr="00065E56">
        <w:rPr>
          <w:rFonts w:ascii="Times New Roman" w:hAnsi="Times New Roman" w:cs="Times New Roman"/>
        </w:rPr>
        <w:lastRenderedPageBreak/>
        <w:t xml:space="preserve">White, L. J., McGowan, H. W., &amp; McDonald, A. C. (2019). The Effect of Content Delivery Style on Student Performance in Anatomy: Blended Learning and Assessment in Anatomy. </w:t>
      </w:r>
      <w:r w:rsidRPr="00065E56">
        <w:rPr>
          <w:rFonts w:ascii="Times New Roman" w:hAnsi="Times New Roman" w:cs="Times New Roman"/>
          <w:i/>
          <w:iCs/>
        </w:rPr>
        <w:t>Anatomical Sciences Education</w:t>
      </w:r>
      <w:r w:rsidRPr="00065E56">
        <w:rPr>
          <w:rFonts w:ascii="Times New Roman" w:hAnsi="Times New Roman" w:cs="Times New Roman"/>
        </w:rPr>
        <w:t xml:space="preserve">, </w:t>
      </w:r>
      <w:r w:rsidRPr="00065E56">
        <w:rPr>
          <w:rFonts w:ascii="Times New Roman" w:hAnsi="Times New Roman" w:cs="Times New Roman"/>
          <w:i/>
          <w:iCs/>
        </w:rPr>
        <w:t>12</w:t>
      </w:r>
      <w:r w:rsidRPr="00065E56">
        <w:rPr>
          <w:rFonts w:ascii="Times New Roman" w:hAnsi="Times New Roman" w:cs="Times New Roman"/>
        </w:rPr>
        <w:t>(1), 43–51. https://doi.org/10.1002/ase.1787</w:t>
      </w:r>
    </w:p>
    <w:p w14:paraId="7DCE02CF" w14:textId="77777777" w:rsidR="00065E56" w:rsidRPr="00065E56" w:rsidRDefault="00065E56" w:rsidP="00065E56">
      <w:pPr>
        <w:pStyle w:val="Bibliography"/>
        <w:rPr>
          <w:rFonts w:ascii="Times New Roman" w:hAnsi="Times New Roman" w:cs="Times New Roman"/>
        </w:rPr>
      </w:pPr>
      <w:r w:rsidRPr="00065E56">
        <w:rPr>
          <w:rFonts w:ascii="Times New Roman" w:hAnsi="Times New Roman" w:cs="Times New Roman"/>
        </w:rPr>
        <w:t xml:space="preserve">Wijnen-Meijer, M., van den Broek, S., Koens, F., &amp; ten Cate, O. (2020). Vertical integration in medical education: The broader perspective. </w:t>
      </w:r>
      <w:r w:rsidRPr="00065E56">
        <w:rPr>
          <w:rFonts w:ascii="Times New Roman" w:hAnsi="Times New Roman" w:cs="Times New Roman"/>
          <w:i/>
          <w:iCs/>
        </w:rPr>
        <w:t>BMC Medical Education</w:t>
      </w:r>
      <w:r w:rsidRPr="00065E56">
        <w:rPr>
          <w:rFonts w:ascii="Times New Roman" w:hAnsi="Times New Roman" w:cs="Times New Roman"/>
        </w:rPr>
        <w:t xml:space="preserve">, </w:t>
      </w:r>
      <w:r w:rsidRPr="00065E56">
        <w:rPr>
          <w:rFonts w:ascii="Times New Roman" w:hAnsi="Times New Roman" w:cs="Times New Roman"/>
          <w:i/>
          <w:iCs/>
        </w:rPr>
        <w:t>20</w:t>
      </w:r>
      <w:r w:rsidRPr="00065E56">
        <w:rPr>
          <w:rFonts w:ascii="Times New Roman" w:hAnsi="Times New Roman" w:cs="Times New Roman"/>
        </w:rPr>
        <w:t>(1), 509. https://doi.org/10.1186/s12909-020-02433-6</w:t>
      </w:r>
    </w:p>
    <w:p w14:paraId="634EB642" w14:textId="77777777" w:rsidR="00065E56" w:rsidRPr="00065E56" w:rsidRDefault="00065E56" w:rsidP="00065E56">
      <w:pPr>
        <w:pStyle w:val="Bibliography"/>
        <w:rPr>
          <w:rFonts w:ascii="Times New Roman" w:hAnsi="Times New Roman" w:cs="Times New Roman"/>
        </w:rPr>
      </w:pPr>
      <w:r w:rsidRPr="00065E56">
        <w:rPr>
          <w:rFonts w:ascii="Times New Roman" w:hAnsi="Times New Roman" w:cs="Times New Roman"/>
        </w:rPr>
        <w:t xml:space="preserve">Wilson, A. B., Miller, C. H., Klein, B. A., Taylor, M. A., Goodwin, M., Boyle, E. K., Brown, K., Hoppe, C., &amp; Lazarus, M. (2018). A meta-analysis of anatomy laboratory pedagogies: Effectiveness of Anatomy Laboratory Pedagogies. </w:t>
      </w:r>
      <w:r w:rsidRPr="00065E56">
        <w:rPr>
          <w:rFonts w:ascii="Times New Roman" w:hAnsi="Times New Roman" w:cs="Times New Roman"/>
          <w:i/>
          <w:iCs/>
        </w:rPr>
        <w:t>Clinical Anatomy</w:t>
      </w:r>
      <w:r w:rsidRPr="00065E56">
        <w:rPr>
          <w:rFonts w:ascii="Times New Roman" w:hAnsi="Times New Roman" w:cs="Times New Roman"/>
        </w:rPr>
        <w:t xml:space="preserve">, </w:t>
      </w:r>
      <w:r w:rsidRPr="00065E56">
        <w:rPr>
          <w:rFonts w:ascii="Times New Roman" w:hAnsi="Times New Roman" w:cs="Times New Roman"/>
          <w:i/>
          <w:iCs/>
        </w:rPr>
        <w:t>31</w:t>
      </w:r>
      <w:r w:rsidRPr="00065E56">
        <w:rPr>
          <w:rFonts w:ascii="Times New Roman" w:hAnsi="Times New Roman" w:cs="Times New Roman"/>
        </w:rPr>
        <w:t>(1), 122–133. https://doi.org/10.1002/ca.22934</w:t>
      </w:r>
    </w:p>
    <w:p w14:paraId="5DB2F3F1" w14:textId="77777777" w:rsidR="00065E56" w:rsidRPr="00065E56" w:rsidRDefault="00065E56" w:rsidP="00065E56">
      <w:pPr>
        <w:pStyle w:val="Bibliography"/>
        <w:rPr>
          <w:rFonts w:ascii="Times New Roman" w:hAnsi="Times New Roman" w:cs="Times New Roman"/>
        </w:rPr>
      </w:pPr>
      <w:r w:rsidRPr="00065E56">
        <w:rPr>
          <w:rFonts w:ascii="Times New Roman" w:hAnsi="Times New Roman" w:cs="Times New Roman"/>
        </w:rPr>
        <w:t xml:space="preserve">Xiao, N., Thor, D., Zheng, M., Baek, J., &amp; Kim, G. (2018). Flipped classroom narrows the performance gap between low- and high-performing dental students in physiology. </w:t>
      </w:r>
      <w:r w:rsidRPr="00065E56">
        <w:rPr>
          <w:rFonts w:ascii="Times New Roman" w:hAnsi="Times New Roman" w:cs="Times New Roman"/>
          <w:i/>
          <w:iCs/>
        </w:rPr>
        <w:t>Advances in Physiology Education</w:t>
      </w:r>
      <w:r w:rsidRPr="00065E56">
        <w:rPr>
          <w:rFonts w:ascii="Times New Roman" w:hAnsi="Times New Roman" w:cs="Times New Roman"/>
        </w:rPr>
        <w:t xml:space="preserve">, </w:t>
      </w:r>
      <w:r w:rsidRPr="00065E56">
        <w:rPr>
          <w:rFonts w:ascii="Times New Roman" w:hAnsi="Times New Roman" w:cs="Times New Roman"/>
          <w:i/>
          <w:iCs/>
        </w:rPr>
        <w:t>42</w:t>
      </w:r>
      <w:r w:rsidRPr="00065E56">
        <w:rPr>
          <w:rFonts w:ascii="Times New Roman" w:hAnsi="Times New Roman" w:cs="Times New Roman"/>
        </w:rPr>
        <w:t>(4), 586–592. https://doi.org/10.1152/advan.00104.2018</w:t>
      </w:r>
    </w:p>
    <w:p w14:paraId="1A422A5B" w14:textId="162B4AF1" w:rsidR="00CC1AAB" w:rsidRDefault="00CC1AAB" w:rsidP="00E179E4">
      <w:pPr>
        <w:spacing w:line="480" w:lineRule="auto"/>
        <w:rPr>
          <w:rFonts w:ascii="Times New Roman" w:hAnsi="Times New Roman" w:cs="Times New Roman"/>
        </w:rPr>
      </w:pPr>
      <w:r>
        <w:rPr>
          <w:rFonts w:ascii="Times New Roman" w:hAnsi="Times New Roman" w:cs="Times New Roman"/>
        </w:rPr>
        <w:fldChar w:fldCharType="end"/>
      </w:r>
    </w:p>
    <w:p w14:paraId="15E6BA86" w14:textId="4BC15208" w:rsidR="00065E56" w:rsidRDefault="00065E56" w:rsidP="00E179E4">
      <w:pPr>
        <w:spacing w:line="480" w:lineRule="auto"/>
        <w:rPr>
          <w:rFonts w:ascii="Times New Roman" w:hAnsi="Times New Roman" w:cs="Times New Roman"/>
        </w:rPr>
      </w:pPr>
    </w:p>
    <w:p w14:paraId="5274DB8A" w14:textId="681726C8" w:rsidR="00065E56" w:rsidRDefault="00065E56" w:rsidP="00E179E4">
      <w:pPr>
        <w:spacing w:line="480" w:lineRule="auto"/>
        <w:rPr>
          <w:rFonts w:ascii="Times New Roman" w:hAnsi="Times New Roman" w:cs="Times New Roman"/>
        </w:rPr>
      </w:pPr>
    </w:p>
    <w:p w14:paraId="5B37A4D7" w14:textId="00BBB250" w:rsidR="00065E56" w:rsidRDefault="00065E56" w:rsidP="00E179E4">
      <w:pPr>
        <w:spacing w:line="480" w:lineRule="auto"/>
        <w:rPr>
          <w:rFonts w:ascii="Times New Roman" w:hAnsi="Times New Roman" w:cs="Times New Roman"/>
        </w:rPr>
      </w:pPr>
    </w:p>
    <w:p w14:paraId="3BB4513F" w14:textId="0F9DC1D8" w:rsidR="00065E56" w:rsidRDefault="00065E56" w:rsidP="00E179E4">
      <w:pPr>
        <w:spacing w:line="480" w:lineRule="auto"/>
        <w:rPr>
          <w:rFonts w:ascii="Times New Roman" w:hAnsi="Times New Roman" w:cs="Times New Roman"/>
        </w:rPr>
      </w:pPr>
    </w:p>
    <w:p w14:paraId="39834600" w14:textId="77777777" w:rsidR="00065E56" w:rsidRDefault="00065E56" w:rsidP="00065E56">
      <w:pPr>
        <w:spacing w:line="480" w:lineRule="auto"/>
        <w:jc w:val="center"/>
        <w:rPr>
          <w:rFonts w:ascii="Times New Roman" w:hAnsi="Times New Roman" w:cs="Times New Roman"/>
        </w:rPr>
      </w:pPr>
    </w:p>
    <w:p w14:paraId="222D0788" w14:textId="77777777" w:rsidR="00065E56" w:rsidRDefault="00065E56" w:rsidP="00065E56">
      <w:pPr>
        <w:spacing w:line="480" w:lineRule="auto"/>
        <w:jc w:val="center"/>
        <w:rPr>
          <w:rFonts w:ascii="Times New Roman" w:hAnsi="Times New Roman" w:cs="Times New Roman"/>
        </w:rPr>
      </w:pPr>
    </w:p>
    <w:p w14:paraId="2EF20D45" w14:textId="77777777" w:rsidR="00065E56" w:rsidRDefault="00065E56" w:rsidP="00065E56">
      <w:pPr>
        <w:spacing w:line="480" w:lineRule="auto"/>
        <w:jc w:val="center"/>
        <w:rPr>
          <w:rFonts w:ascii="Times New Roman" w:hAnsi="Times New Roman" w:cs="Times New Roman"/>
        </w:rPr>
      </w:pPr>
    </w:p>
    <w:p w14:paraId="256FC5D2" w14:textId="77777777" w:rsidR="00065E56" w:rsidRDefault="00065E56" w:rsidP="00065E56">
      <w:pPr>
        <w:spacing w:line="480" w:lineRule="auto"/>
        <w:jc w:val="center"/>
        <w:rPr>
          <w:rFonts w:ascii="Times New Roman" w:hAnsi="Times New Roman" w:cs="Times New Roman"/>
        </w:rPr>
      </w:pPr>
    </w:p>
    <w:p w14:paraId="6CDBBC19" w14:textId="77777777" w:rsidR="00065E56" w:rsidRDefault="00065E56" w:rsidP="00065E56">
      <w:pPr>
        <w:spacing w:line="480" w:lineRule="auto"/>
        <w:jc w:val="center"/>
        <w:rPr>
          <w:rFonts w:ascii="Times New Roman" w:hAnsi="Times New Roman" w:cs="Times New Roman"/>
        </w:rPr>
      </w:pPr>
    </w:p>
    <w:p w14:paraId="5F13ECB8" w14:textId="77777777" w:rsidR="00065E56" w:rsidRDefault="00065E56" w:rsidP="00065E56">
      <w:pPr>
        <w:spacing w:line="480" w:lineRule="auto"/>
        <w:jc w:val="center"/>
        <w:rPr>
          <w:rFonts w:ascii="Times New Roman" w:hAnsi="Times New Roman" w:cs="Times New Roman"/>
        </w:rPr>
      </w:pPr>
    </w:p>
    <w:p w14:paraId="6A42A1C9" w14:textId="77777777" w:rsidR="00065E56" w:rsidRDefault="00065E56" w:rsidP="00065E56">
      <w:pPr>
        <w:spacing w:line="480" w:lineRule="auto"/>
        <w:jc w:val="center"/>
        <w:rPr>
          <w:rFonts w:ascii="Times New Roman" w:hAnsi="Times New Roman" w:cs="Times New Roman"/>
        </w:rPr>
      </w:pPr>
    </w:p>
    <w:p w14:paraId="1B930A65" w14:textId="77777777" w:rsidR="00065E56" w:rsidRDefault="00065E56" w:rsidP="00065E56">
      <w:pPr>
        <w:spacing w:line="480" w:lineRule="auto"/>
        <w:jc w:val="center"/>
        <w:rPr>
          <w:rFonts w:ascii="Times New Roman" w:hAnsi="Times New Roman" w:cs="Times New Roman"/>
        </w:rPr>
      </w:pPr>
    </w:p>
    <w:p w14:paraId="2382CCA2" w14:textId="20C6FD66" w:rsidR="00065E56" w:rsidRDefault="00065E56" w:rsidP="00E71E5D">
      <w:pPr>
        <w:spacing w:line="480" w:lineRule="auto"/>
        <w:jc w:val="center"/>
        <w:rPr>
          <w:rFonts w:ascii="Times New Roman" w:hAnsi="Times New Roman" w:cs="Times New Roman"/>
        </w:rPr>
      </w:pPr>
    </w:p>
    <w:p w14:paraId="6BF13904" w14:textId="77777777" w:rsidR="00065E56" w:rsidRDefault="00065E56" w:rsidP="00065E56">
      <w:pPr>
        <w:spacing w:line="480" w:lineRule="auto"/>
        <w:rPr>
          <w:rFonts w:ascii="Times New Roman" w:hAnsi="Times New Roman" w:cs="Times New Roman"/>
        </w:rPr>
      </w:pPr>
    </w:p>
    <w:p w14:paraId="20254A50" w14:textId="77777777" w:rsidR="00065E56" w:rsidRDefault="00065E56" w:rsidP="00065E56">
      <w:pPr>
        <w:spacing w:line="480" w:lineRule="auto"/>
        <w:rPr>
          <w:rFonts w:ascii="Times New Roman" w:hAnsi="Times New Roman" w:cs="Times New Roman"/>
        </w:rPr>
      </w:pPr>
    </w:p>
    <w:p w14:paraId="51A09C47" w14:textId="77777777" w:rsidR="00065E56" w:rsidRDefault="00065E56" w:rsidP="00065E56">
      <w:pPr>
        <w:spacing w:line="480" w:lineRule="auto"/>
        <w:rPr>
          <w:rFonts w:ascii="Times New Roman" w:hAnsi="Times New Roman" w:cs="Times New Roman"/>
        </w:rPr>
      </w:pPr>
    </w:p>
    <w:p w14:paraId="199838FF" w14:textId="77777777" w:rsidR="00065E56" w:rsidRDefault="00065E56" w:rsidP="00065E56">
      <w:pPr>
        <w:spacing w:line="480" w:lineRule="auto"/>
        <w:rPr>
          <w:rFonts w:ascii="Times New Roman" w:hAnsi="Times New Roman" w:cs="Times New Roman"/>
        </w:rPr>
      </w:pPr>
    </w:p>
    <w:p w14:paraId="7FCF4302" w14:textId="77777777" w:rsidR="00065E56" w:rsidRDefault="00065E56" w:rsidP="00065E56">
      <w:pPr>
        <w:spacing w:line="480" w:lineRule="auto"/>
        <w:rPr>
          <w:rFonts w:ascii="Times New Roman" w:hAnsi="Times New Roman" w:cs="Times New Roman"/>
        </w:rPr>
      </w:pPr>
    </w:p>
    <w:p w14:paraId="4D4AA2A8" w14:textId="77777777" w:rsidR="00065E56" w:rsidRDefault="00065E56" w:rsidP="00065E56">
      <w:pPr>
        <w:spacing w:line="480" w:lineRule="auto"/>
        <w:jc w:val="center"/>
        <w:rPr>
          <w:rFonts w:ascii="Times New Roman" w:hAnsi="Times New Roman" w:cs="Times New Roman"/>
        </w:rPr>
      </w:pPr>
      <w:r>
        <w:rPr>
          <w:rFonts w:ascii="Times New Roman" w:hAnsi="Times New Roman" w:cs="Times New Roman"/>
        </w:rPr>
        <w:t>Appendix A</w:t>
      </w:r>
    </w:p>
    <w:p w14:paraId="434ED57B" w14:textId="77777777" w:rsidR="00065E56" w:rsidRDefault="00065E56" w:rsidP="00065E56">
      <w:pPr>
        <w:spacing w:line="480" w:lineRule="auto"/>
        <w:jc w:val="center"/>
        <w:rPr>
          <w:rFonts w:ascii="Times New Roman" w:hAnsi="Times New Roman" w:cs="Times New Roman"/>
        </w:rPr>
      </w:pPr>
      <w:r>
        <w:rPr>
          <w:rFonts w:ascii="Times New Roman" w:hAnsi="Times New Roman" w:cs="Times New Roman"/>
        </w:rPr>
        <w:t>Blooming Anatomy Tool (BAT)</w:t>
      </w:r>
    </w:p>
    <w:p w14:paraId="4260B057" w14:textId="77777777" w:rsidR="00065E56" w:rsidRDefault="00065E56" w:rsidP="00065E56">
      <w:pPr>
        <w:spacing w:line="480" w:lineRule="auto"/>
        <w:rPr>
          <w:rFonts w:ascii="Times New Roman" w:hAnsi="Times New Roman" w:cs="Times New Roman"/>
        </w:rPr>
      </w:pPr>
    </w:p>
    <w:p w14:paraId="1259DF96" w14:textId="77777777" w:rsidR="00065E56" w:rsidRDefault="00065E56" w:rsidP="00065E56">
      <w:pPr>
        <w:spacing w:line="480" w:lineRule="auto"/>
        <w:rPr>
          <w:rFonts w:ascii="Times New Roman" w:hAnsi="Times New Roman" w:cs="Times New Roman"/>
        </w:rPr>
      </w:pPr>
    </w:p>
    <w:p w14:paraId="1CE33923" w14:textId="77777777" w:rsidR="00065E56" w:rsidRDefault="00065E56" w:rsidP="00065E56">
      <w:pPr>
        <w:spacing w:line="480" w:lineRule="auto"/>
        <w:rPr>
          <w:rFonts w:ascii="Times New Roman" w:hAnsi="Times New Roman" w:cs="Times New Roman"/>
        </w:rPr>
      </w:pPr>
    </w:p>
    <w:p w14:paraId="5413BDAB" w14:textId="77777777" w:rsidR="00065E56" w:rsidRDefault="00065E56" w:rsidP="00065E56">
      <w:pPr>
        <w:spacing w:line="480" w:lineRule="auto"/>
        <w:rPr>
          <w:rFonts w:ascii="Times New Roman" w:hAnsi="Times New Roman" w:cs="Times New Roman"/>
        </w:rPr>
      </w:pPr>
    </w:p>
    <w:p w14:paraId="14602DAE" w14:textId="77777777" w:rsidR="00065E56" w:rsidRDefault="00065E56" w:rsidP="00065E56">
      <w:pPr>
        <w:spacing w:line="480" w:lineRule="auto"/>
        <w:rPr>
          <w:rFonts w:ascii="Times New Roman" w:hAnsi="Times New Roman" w:cs="Times New Roman"/>
        </w:rPr>
      </w:pPr>
    </w:p>
    <w:p w14:paraId="48C5168C" w14:textId="77777777" w:rsidR="00065E56" w:rsidRDefault="00065E56" w:rsidP="00065E56">
      <w:pPr>
        <w:spacing w:line="480" w:lineRule="auto"/>
        <w:rPr>
          <w:rFonts w:ascii="Times New Roman" w:hAnsi="Times New Roman" w:cs="Times New Roman"/>
        </w:rPr>
      </w:pPr>
    </w:p>
    <w:p w14:paraId="4BFEC463" w14:textId="77777777" w:rsidR="00065E56" w:rsidRDefault="00065E56" w:rsidP="00065E56">
      <w:pPr>
        <w:spacing w:line="480" w:lineRule="auto"/>
        <w:rPr>
          <w:rFonts w:ascii="Times New Roman" w:hAnsi="Times New Roman" w:cs="Times New Roman"/>
        </w:rPr>
      </w:pPr>
    </w:p>
    <w:p w14:paraId="07C0E767" w14:textId="6CCC765A" w:rsidR="00065E56" w:rsidRDefault="00065E56" w:rsidP="00065E56">
      <w:pPr>
        <w:spacing w:line="480" w:lineRule="auto"/>
        <w:rPr>
          <w:rFonts w:ascii="Times New Roman" w:hAnsi="Times New Roman" w:cs="Times New Roman"/>
        </w:rPr>
      </w:pPr>
    </w:p>
    <w:p w14:paraId="7AE54876" w14:textId="4919DB1E" w:rsidR="00A851A5" w:rsidRDefault="00A851A5" w:rsidP="00065E56">
      <w:pPr>
        <w:spacing w:line="480" w:lineRule="auto"/>
        <w:rPr>
          <w:rFonts w:ascii="Times New Roman" w:hAnsi="Times New Roman" w:cs="Times New Roman"/>
        </w:rPr>
      </w:pPr>
    </w:p>
    <w:p w14:paraId="7FF7D84C" w14:textId="77777777" w:rsidR="00A851A5" w:rsidRDefault="00A851A5" w:rsidP="00065E56">
      <w:pPr>
        <w:spacing w:line="480" w:lineRule="auto"/>
        <w:rPr>
          <w:rFonts w:ascii="Times New Roman" w:hAnsi="Times New Roman" w:cs="Times New Roman"/>
        </w:rPr>
      </w:pPr>
    </w:p>
    <w:p w14:paraId="0E7A214E" w14:textId="77777777" w:rsidR="00065E56" w:rsidRDefault="00065E56" w:rsidP="00065E56">
      <w:pPr>
        <w:spacing w:line="480" w:lineRule="auto"/>
        <w:rPr>
          <w:rFonts w:ascii="Times New Roman" w:hAnsi="Times New Roman" w:cs="Times New Roman"/>
        </w:rPr>
      </w:pPr>
    </w:p>
    <w:p w14:paraId="7E5C5A5D" w14:textId="77777777" w:rsidR="00065E56" w:rsidRDefault="00065E56" w:rsidP="00065E56">
      <w:pPr>
        <w:spacing w:line="480" w:lineRule="auto"/>
        <w:rPr>
          <w:rFonts w:ascii="Times New Roman" w:hAnsi="Times New Roman" w:cs="Times New Roman"/>
        </w:rPr>
      </w:pPr>
      <w:r>
        <w:rPr>
          <w:rFonts w:ascii="Times New Roman" w:hAnsi="Times New Roman" w:cs="Times New Roman"/>
        </w:rPr>
        <w:lastRenderedPageBreak/>
        <w:t>The Blooming Anatomy Tool</w:t>
      </w:r>
    </w:p>
    <w:tbl>
      <w:tblPr>
        <w:tblStyle w:val="TableGrid"/>
        <w:tblW w:w="10366" w:type="dxa"/>
        <w:tblInd w:w="-513" w:type="dxa"/>
        <w:tblLayout w:type="fixed"/>
        <w:tblLook w:val="04A0" w:firstRow="1" w:lastRow="0" w:firstColumn="1" w:lastColumn="0" w:noHBand="0" w:noVBand="1"/>
      </w:tblPr>
      <w:tblGrid>
        <w:gridCol w:w="1866"/>
        <w:gridCol w:w="2629"/>
        <w:gridCol w:w="1890"/>
        <w:gridCol w:w="257"/>
        <w:gridCol w:w="1696"/>
        <w:gridCol w:w="1788"/>
        <w:gridCol w:w="240"/>
      </w:tblGrid>
      <w:tr w:rsidR="00065E56" w14:paraId="2125C30F" w14:textId="77777777" w:rsidTr="001C607A">
        <w:tc>
          <w:tcPr>
            <w:tcW w:w="1866" w:type="dxa"/>
            <w:tcBorders>
              <w:bottom w:val="nil"/>
            </w:tcBorders>
          </w:tcPr>
          <w:p w14:paraId="3803A85B" w14:textId="77777777" w:rsidR="00065E56" w:rsidRDefault="00065E56" w:rsidP="001C607A">
            <w:pPr>
              <w:rPr>
                <w:rFonts w:ascii="Times New Roman" w:hAnsi="Times New Roman" w:cs="Times New Roman"/>
              </w:rPr>
            </w:pPr>
            <w:r>
              <w:rPr>
                <w:rFonts w:ascii="Times New Roman" w:hAnsi="Times New Roman" w:cs="Times New Roman"/>
              </w:rPr>
              <w:t>Bloom’s level</w:t>
            </w:r>
          </w:p>
        </w:tc>
        <w:tc>
          <w:tcPr>
            <w:tcW w:w="2629" w:type="dxa"/>
            <w:tcBorders>
              <w:bottom w:val="nil"/>
              <w:right w:val="nil"/>
            </w:tcBorders>
          </w:tcPr>
          <w:p w14:paraId="7F5E8D96" w14:textId="77777777" w:rsidR="00065E56" w:rsidRDefault="00065E56" w:rsidP="001C607A">
            <w:pPr>
              <w:rPr>
                <w:rFonts w:ascii="Times New Roman" w:hAnsi="Times New Roman" w:cs="Times New Roman"/>
              </w:rPr>
            </w:pPr>
            <w:r>
              <w:rPr>
                <w:rFonts w:ascii="Times New Roman" w:hAnsi="Times New Roman" w:cs="Times New Roman"/>
              </w:rPr>
              <w:t>Lower order</w:t>
            </w:r>
          </w:p>
        </w:tc>
        <w:tc>
          <w:tcPr>
            <w:tcW w:w="2147" w:type="dxa"/>
            <w:gridSpan w:val="2"/>
            <w:tcBorders>
              <w:left w:val="nil"/>
              <w:bottom w:val="nil"/>
            </w:tcBorders>
          </w:tcPr>
          <w:p w14:paraId="696AAE39" w14:textId="77777777" w:rsidR="00065E56" w:rsidRDefault="00065E56" w:rsidP="001C607A">
            <w:pPr>
              <w:rPr>
                <w:rFonts w:ascii="Times New Roman" w:hAnsi="Times New Roman" w:cs="Times New Roman"/>
              </w:rPr>
            </w:pPr>
          </w:p>
        </w:tc>
        <w:tc>
          <w:tcPr>
            <w:tcW w:w="1696" w:type="dxa"/>
            <w:tcBorders>
              <w:bottom w:val="nil"/>
              <w:right w:val="nil"/>
            </w:tcBorders>
          </w:tcPr>
          <w:p w14:paraId="3CAAAEED" w14:textId="77777777" w:rsidR="00065E56" w:rsidRDefault="00065E56" w:rsidP="001C607A">
            <w:pPr>
              <w:rPr>
                <w:rFonts w:ascii="Times New Roman" w:hAnsi="Times New Roman" w:cs="Times New Roman"/>
              </w:rPr>
            </w:pPr>
            <w:r>
              <w:rPr>
                <w:rFonts w:ascii="Times New Roman" w:hAnsi="Times New Roman" w:cs="Times New Roman"/>
              </w:rPr>
              <w:t>Higher order</w:t>
            </w:r>
          </w:p>
        </w:tc>
        <w:tc>
          <w:tcPr>
            <w:tcW w:w="2028" w:type="dxa"/>
            <w:gridSpan w:val="2"/>
            <w:tcBorders>
              <w:left w:val="nil"/>
              <w:bottom w:val="nil"/>
            </w:tcBorders>
          </w:tcPr>
          <w:p w14:paraId="7B059B5A" w14:textId="77777777" w:rsidR="00065E56" w:rsidRDefault="00065E56" w:rsidP="001C607A">
            <w:pPr>
              <w:rPr>
                <w:rFonts w:ascii="Times New Roman" w:hAnsi="Times New Roman" w:cs="Times New Roman"/>
              </w:rPr>
            </w:pPr>
          </w:p>
        </w:tc>
      </w:tr>
      <w:tr w:rsidR="00065E56" w14:paraId="627003FF" w14:textId="77777777" w:rsidTr="001C607A">
        <w:tc>
          <w:tcPr>
            <w:tcW w:w="1866" w:type="dxa"/>
            <w:tcBorders>
              <w:top w:val="nil"/>
            </w:tcBorders>
          </w:tcPr>
          <w:p w14:paraId="40B8D790" w14:textId="77777777" w:rsidR="00065E56" w:rsidRDefault="00065E56" w:rsidP="001C607A">
            <w:pPr>
              <w:rPr>
                <w:rFonts w:ascii="Times New Roman" w:hAnsi="Times New Roman" w:cs="Times New Roman"/>
              </w:rPr>
            </w:pPr>
          </w:p>
        </w:tc>
        <w:tc>
          <w:tcPr>
            <w:tcW w:w="2629" w:type="dxa"/>
            <w:tcBorders>
              <w:top w:val="nil"/>
              <w:bottom w:val="single" w:sz="4" w:space="0" w:color="auto"/>
            </w:tcBorders>
          </w:tcPr>
          <w:p w14:paraId="0E32833C" w14:textId="77777777" w:rsidR="00065E56" w:rsidRDefault="00065E56" w:rsidP="001C607A">
            <w:pPr>
              <w:rPr>
                <w:rFonts w:ascii="Times New Roman" w:hAnsi="Times New Roman" w:cs="Times New Roman"/>
              </w:rPr>
            </w:pPr>
            <w:r>
              <w:rPr>
                <w:rFonts w:ascii="Times New Roman" w:hAnsi="Times New Roman" w:cs="Times New Roman"/>
              </w:rPr>
              <w:t>Level 1</w:t>
            </w:r>
          </w:p>
          <w:p w14:paraId="42E1590F" w14:textId="77777777" w:rsidR="00065E56" w:rsidRDefault="00065E56" w:rsidP="001C607A">
            <w:pPr>
              <w:rPr>
                <w:rFonts w:ascii="Times New Roman" w:hAnsi="Times New Roman" w:cs="Times New Roman"/>
              </w:rPr>
            </w:pPr>
            <w:r>
              <w:rPr>
                <w:rFonts w:ascii="Times New Roman" w:hAnsi="Times New Roman" w:cs="Times New Roman"/>
              </w:rPr>
              <w:t>(Knowledge)</w:t>
            </w:r>
          </w:p>
        </w:tc>
        <w:tc>
          <w:tcPr>
            <w:tcW w:w="2147" w:type="dxa"/>
            <w:gridSpan w:val="2"/>
            <w:tcBorders>
              <w:top w:val="nil"/>
              <w:bottom w:val="single" w:sz="4" w:space="0" w:color="auto"/>
            </w:tcBorders>
          </w:tcPr>
          <w:p w14:paraId="5A225A22" w14:textId="77777777" w:rsidR="00065E56" w:rsidRDefault="00065E56" w:rsidP="001C607A">
            <w:pPr>
              <w:rPr>
                <w:rFonts w:ascii="Times New Roman" w:hAnsi="Times New Roman" w:cs="Times New Roman"/>
              </w:rPr>
            </w:pPr>
            <w:r>
              <w:rPr>
                <w:rFonts w:ascii="Times New Roman" w:hAnsi="Times New Roman" w:cs="Times New Roman"/>
              </w:rPr>
              <w:t>Level 2</w:t>
            </w:r>
          </w:p>
          <w:p w14:paraId="72E8A157" w14:textId="77777777" w:rsidR="00065E56" w:rsidRDefault="00065E56" w:rsidP="001C607A">
            <w:pPr>
              <w:rPr>
                <w:rFonts w:ascii="Times New Roman" w:hAnsi="Times New Roman" w:cs="Times New Roman"/>
              </w:rPr>
            </w:pPr>
            <w:r>
              <w:rPr>
                <w:rFonts w:ascii="Times New Roman" w:hAnsi="Times New Roman" w:cs="Times New Roman"/>
              </w:rPr>
              <w:t>(Comprehension)</w:t>
            </w:r>
          </w:p>
        </w:tc>
        <w:tc>
          <w:tcPr>
            <w:tcW w:w="1696" w:type="dxa"/>
            <w:tcBorders>
              <w:top w:val="nil"/>
            </w:tcBorders>
          </w:tcPr>
          <w:p w14:paraId="61828263" w14:textId="77777777" w:rsidR="00065E56" w:rsidRDefault="00065E56" w:rsidP="001C607A">
            <w:pPr>
              <w:rPr>
                <w:rFonts w:ascii="Times New Roman" w:hAnsi="Times New Roman" w:cs="Times New Roman"/>
              </w:rPr>
            </w:pPr>
            <w:r>
              <w:rPr>
                <w:rFonts w:ascii="Times New Roman" w:hAnsi="Times New Roman" w:cs="Times New Roman"/>
              </w:rPr>
              <w:t>Level 3</w:t>
            </w:r>
          </w:p>
          <w:p w14:paraId="66D0EC80" w14:textId="77777777" w:rsidR="00065E56" w:rsidRDefault="00065E56" w:rsidP="001C607A">
            <w:pPr>
              <w:rPr>
                <w:rFonts w:ascii="Times New Roman" w:hAnsi="Times New Roman" w:cs="Times New Roman"/>
              </w:rPr>
            </w:pPr>
            <w:r>
              <w:rPr>
                <w:rFonts w:ascii="Times New Roman" w:hAnsi="Times New Roman" w:cs="Times New Roman"/>
              </w:rPr>
              <w:t>(Application)</w:t>
            </w:r>
          </w:p>
        </w:tc>
        <w:tc>
          <w:tcPr>
            <w:tcW w:w="2028" w:type="dxa"/>
            <w:gridSpan w:val="2"/>
            <w:tcBorders>
              <w:top w:val="nil"/>
            </w:tcBorders>
          </w:tcPr>
          <w:p w14:paraId="780DD0D9" w14:textId="77777777" w:rsidR="00065E56" w:rsidRDefault="00065E56" w:rsidP="001C607A">
            <w:pPr>
              <w:rPr>
                <w:rFonts w:ascii="Times New Roman" w:hAnsi="Times New Roman" w:cs="Times New Roman"/>
              </w:rPr>
            </w:pPr>
            <w:r>
              <w:rPr>
                <w:rFonts w:ascii="Times New Roman" w:hAnsi="Times New Roman" w:cs="Times New Roman"/>
              </w:rPr>
              <w:t>Level 4</w:t>
            </w:r>
          </w:p>
          <w:p w14:paraId="451219AE" w14:textId="77777777" w:rsidR="00065E56" w:rsidRDefault="00065E56" w:rsidP="001C607A">
            <w:pPr>
              <w:rPr>
                <w:rFonts w:ascii="Times New Roman" w:hAnsi="Times New Roman" w:cs="Times New Roman"/>
              </w:rPr>
            </w:pPr>
            <w:r>
              <w:rPr>
                <w:rFonts w:ascii="Times New Roman" w:hAnsi="Times New Roman" w:cs="Times New Roman"/>
              </w:rPr>
              <w:t>(Analysis)</w:t>
            </w:r>
          </w:p>
        </w:tc>
      </w:tr>
      <w:tr w:rsidR="00065E56" w14:paraId="64BD9189" w14:textId="77777777" w:rsidTr="001C607A">
        <w:trPr>
          <w:cantSplit/>
          <w:trHeight w:val="1134"/>
        </w:trPr>
        <w:tc>
          <w:tcPr>
            <w:tcW w:w="1866" w:type="dxa"/>
            <w:tcBorders>
              <w:right w:val="single" w:sz="4" w:space="0" w:color="auto"/>
            </w:tcBorders>
          </w:tcPr>
          <w:p w14:paraId="7E563B07" w14:textId="77777777" w:rsidR="00065E56" w:rsidRDefault="00065E56" w:rsidP="001C607A">
            <w:pPr>
              <w:rPr>
                <w:rFonts w:ascii="Times New Roman" w:hAnsi="Times New Roman" w:cs="Times New Roman"/>
              </w:rPr>
            </w:pPr>
            <w:r>
              <w:rPr>
                <w:rFonts w:ascii="Times New Roman" w:hAnsi="Times New Roman" w:cs="Times New Roman"/>
              </w:rPr>
              <w:t>Distinguishing features of questions</w:t>
            </w:r>
          </w:p>
        </w:tc>
        <w:tc>
          <w:tcPr>
            <w:tcW w:w="4519" w:type="dxa"/>
            <w:gridSpan w:val="2"/>
            <w:tcBorders>
              <w:left w:val="single" w:sz="4" w:space="0" w:color="auto"/>
              <w:right w:val="nil"/>
            </w:tcBorders>
          </w:tcPr>
          <w:p w14:paraId="4D23833D" w14:textId="77777777" w:rsidR="00065E56" w:rsidRDefault="00065E56" w:rsidP="00065E56">
            <w:pPr>
              <w:pStyle w:val="ListParagraph"/>
              <w:numPr>
                <w:ilvl w:val="0"/>
                <w:numId w:val="2"/>
              </w:numPr>
              <w:spacing w:line="276" w:lineRule="auto"/>
              <w:contextualSpacing w:val="0"/>
              <w:rPr>
                <w:rFonts w:ascii="Times New Roman" w:hAnsi="Times New Roman" w:cs="Times New Roman"/>
              </w:rPr>
            </w:pPr>
            <w:r>
              <w:rPr>
                <w:rFonts w:ascii="Times New Roman" w:hAnsi="Times New Roman" w:cs="Times New Roman"/>
              </w:rPr>
              <w:t>Questions are straight forward with answers likely stated verbatim in notes or text</w:t>
            </w:r>
          </w:p>
          <w:p w14:paraId="666E9333" w14:textId="77777777" w:rsidR="00065E56" w:rsidRDefault="00065E56" w:rsidP="00065E56">
            <w:pPr>
              <w:pStyle w:val="ListParagraph"/>
              <w:numPr>
                <w:ilvl w:val="0"/>
                <w:numId w:val="2"/>
              </w:numPr>
              <w:spacing w:line="276" w:lineRule="auto"/>
              <w:contextualSpacing w:val="0"/>
              <w:rPr>
                <w:rFonts w:ascii="Times New Roman" w:hAnsi="Times New Roman" w:cs="Times New Roman"/>
              </w:rPr>
            </w:pPr>
            <w:r>
              <w:rPr>
                <w:rFonts w:ascii="Times New Roman" w:hAnsi="Times New Roman" w:cs="Times New Roman"/>
              </w:rPr>
              <w:t>Questions usually not placed in a clinical context</w:t>
            </w:r>
          </w:p>
          <w:p w14:paraId="3B11F5C7" w14:textId="77777777" w:rsidR="00065E56" w:rsidRPr="00FC6DB6" w:rsidRDefault="00065E56" w:rsidP="00065E56">
            <w:pPr>
              <w:pStyle w:val="ListParagraph"/>
              <w:numPr>
                <w:ilvl w:val="0"/>
                <w:numId w:val="2"/>
              </w:numPr>
              <w:spacing w:line="276" w:lineRule="auto"/>
              <w:contextualSpacing w:val="0"/>
              <w:rPr>
                <w:rFonts w:ascii="Times New Roman" w:hAnsi="Times New Roman" w:cs="Times New Roman"/>
              </w:rPr>
            </w:pPr>
            <w:r>
              <w:rPr>
                <w:rFonts w:ascii="Times New Roman" w:hAnsi="Times New Roman" w:cs="Times New Roman"/>
              </w:rPr>
              <w:t>Students not required to make independent connections from the information</w:t>
            </w:r>
          </w:p>
        </w:tc>
        <w:tc>
          <w:tcPr>
            <w:tcW w:w="257" w:type="dxa"/>
            <w:tcBorders>
              <w:left w:val="nil"/>
            </w:tcBorders>
          </w:tcPr>
          <w:p w14:paraId="3B0E9C80" w14:textId="77777777" w:rsidR="00065E56" w:rsidRDefault="00065E56" w:rsidP="001C607A">
            <w:pPr>
              <w:rPr>
                <w:rFonts w:ascii="Times New Roman" w:hAnsi="Times New Roman" w:cs="Times New Roman"/>
              </w:rPr>
            </w:pPr>
          </w:p>
        </w:tc>
        <w:tc>
          <w:tcPr>
            <w:tcW w:w="3484" w:type="dxa"/>
            <w:gridSpan w:val="2"/>
            <w:tcBorders>
              <w:right w:val="nil"/>
            </w:tcBorders>
          </w:tcPr>
          <w:p w14:paraId="3A969FBC" w14:textId="77777777" w:rsidR="00065E56" w:rsidRDefault="00065E56" w:rsidP="00065E56">
            <w:pPr>
              <w:pStyle w:val="ListParagraph"/>
              <w:numPr>
                <w:ilvl w:val="0"/>
                <w:numId w:val="2"/>
              </w:numPr>
              <w:spacing w:line="276" w:lineRule="auto"/>
              <w:contextualSpacing w:val="0"/>
              <w:rPr>
                <w:rFonts w:ascii="Times New Roman" w:hAnsi="Times New Roman" w:cs="Times New Roman"/>
              </w:rPr>
            </w:pPr>
            <w:r>
              <w:rPr>
                <w:rFonts w:ascii="Times New Roman" w:hAnsi="Times New Roman" w:cs="Times New Roman"/>
              </w:rPr>
              <w:t>Anatomic information may be placed in a clinical scenario or a new setting (although not all clinical questions are higher order)</w:t>
            </w:r>
          </w:p>
          <w:p w14:paraId="3F7AC2D8" w14:textId="77777777" w:rsidR="00065E56" w:rsidRPr="00AD7BCC" w:rsidRDefault="00065E56" w:rsidP="00065E56">
            <w:pPr>
              <w:pStyle w:val="ListParagraph"/>
              <w:numPr>
                <w:ilvl w:val="0"/>
                <w:numId w:val="2"/>
              </w:numPr>
              <w:spacing w:line="276" w:lineRule="auto"/>
              <w:contextualSpacing w:val="0"/>
              <w:rPr>
                <w:rFonts w:ascii="Times New Roman" w:hAnsi="Times New Roman" w:cs="Times New Roman"/>
              </w:rPr>
            </w:pPr>
            <w:r>
              <w:rPr>
                <w:rFonts w:ascii="Times New Roman" w:hAnsi="Times New Roman" w:cs="Times New Roman"/>
              </w:rPr>
              <w:t>Students must interpret and make independent connections from the information</w:t>
            </w:r>
          </w:p>
        </w:tc>
        <w:tc>
          <w:tcPr>
            <w:tcW w:w="240" w:type="dxa"/>
            <w:tcBorders>
              <w:left w:val="nil"/>
            </w:tcBorders>
          </w:tcPr>
          <w:p w14:paraId="6391A040" w14:textId="77777777" w:rsidR="00065E56" w:rsidRDefault="00065E56" w:rsidP="001C607A">
            <w:pPr>
              <w:rPr>
                <w:rFonts w:ascii="Times New Roman" w:hAnsi="Times New Roman" w:cs="Times New Roman"/>
              </w:rPr>
            </w:pPr>
          </w:p>
        </w:tc>
      </w:tr>
      <w:tr w:rsidR="00065E56" w14:paraId="1FA8646C" w14:textId="77777777" w:rsidTr="001C607A">
        <w:tc>
          <w:tcPr>
            <w:tcW w:w="1866" w:type="dxa"/>
          </w:tcPr>
          <w:p w14:paraId="57853040" w14:textId="77777777" w:rsidR="00065E56" w:rsidRDefault="00065E56" w:rsidP="001C607A">
            <w:pPr>
              <w:rPr>
                <w:rFonts w:ascii="Times New Roman" w:hAnsi="Times New Roman" w:cs="Times New Roman"/>
              </w:rPr>
            </w:pPr>
            <w:r>
              <w:rPr>
                <w:rFonts w:ascii="Times New Roman" w:hAnsi="Times New Roman" w:cs="Times New Roman"/>
              </w:rPr>
              <w:t>Key Skills Assessed</w:t>
            </w:r>
          </w:p>
        </w:tc>
        <w:tc>
          <w:tcPr>
            <w:tcW w:w="2629" w:type="dxa"/>
          </w:tcPr>
          <w:p w14:paraId="2B98EE47" w14:textId="77777777" w:rsidR="00065E56" w:rsidRDefault="00065E56" w:rsidP="001C607A">
            <w:pPr>
              <w:rPr>
                <w:rFonts w:ascii="Times New Roman" w:hAnsi="Times New Roman" w:cs="Times New Roman"/>
              </w:rPr>
            </w:pPr>
            <w:r>
              <w:rPr>
                <w:rFonts w:ascii="Times New Roman" w:hAnsi="Times New Roman" w:cs="Times New Roman"/>
              </w:rPr>
              <w:t>Identify, repeat, recall, memorize</w:t>
            </w:r>
          </w:p>
        </w:tc>
        <w:tc>
          <w:tcPr>
            <w:tcW w:w="2147" w:type="dxa"/>
            <w:gridSpan w:val="2"/>
          </w:tcPr>
          <w:p w14:paraId="24F9EA45" w14:textId="77777777" w:rsidR="00065E56" w:rsidRDefault="00065E56" w:rsidP="001C607A">
            <w:pPr>
              <w:rPr>
                <w:rFonts w:ascii="Times New Roman" w:hAnsi="Times New Roman" w:cs="Times New Roman"/>
              </w:rPr>
            </w:pPr>
            <w:r>
              <w:rPr>
                <w:rFonts w:ascii="Times New Roman" w:hAnsi="Times New Roman" w:cs="Times New Roman"/>
              </w:rPr>
              <w:t>Describe or distinguish</w:t>
            </w:r>
          </w:p>
        </w:tc>
        <w:tc>
          <w:tcPr>
            <w:tcW w:w="1696" w:type="dxa"/>
          </w:tcPr>
          <w:p w14:paraId="229D0FB1" w14:textId="77777777" w:rsidR="00065E56" w:rsidRDefault="00065E56" w:rsidP="001C607A">
            <w:pPr>
              <w:rPr>
                <w:rFonts w:ascii="Times New Roman" w:hAnsi="Times New Roman" w:cs="Times New Roman"/>
              </w:rPr>
            </w:pPr>
            <w:r>
              <w:rPr>
                <w:rFonts w:ascii="Times New Roman" w:hAnsi="Times New Roman" w:cs="Times New Roman"/>
              </w:rPr>
              <w:t>Infer or predict</w:t>
            </w:r>
          </w:p>
        </w:tc>
        <w:tc>
          <w:tcPr>
            <w:tcW w:w="2028" w:type="dxa"/>
            <w:gridSpan w:val="2"/>
          </w:tcPr>
          <w:p w14:paraId="7E6FBCBC" w14:textId="77777777" w:rsidR="00065E56" w:rsidRDefault="00065E56" w:rsidP="001C607A">
            <w:pPr>
              <w:rPr>
                <w:rFonts w:ascii="Times New Roman" w:hAnsi="Times New Roman" w:cs="Times New Roman"/>
              </w:rPr>
            </w:pPr>
            <w:r>
              <w:rPr>
                <w:rFonts w:ascii="Times New Roman" w:hAnsi="Times New Roman" w:cs="Times New Roman"/>
              </w:rPr>
              <w:t>In addition to infer or predict, interpret, judge, critique, or analyze</w:t>
            </w:r>
          </w:p>
        </w:tc>
      </w:tr>
      <w:tr w:rsidR="00065E56" w14:paraId="6CF6B92B" w14:textId="77777777" w:rsidTr="001C607A">
        <w:tc>
          <w:tcPr>
            <w:tcW w:w="1866" w:type="dxa"/>
          </w:tcPr>
          <w:p w14:paraId="1A213AE9" w14:textId="77777777" w:rsidR="00065E56" w:rsidRDefault="00065E56" w:rsidP="001C607A">
            <w:pPr>
              <w:rPr>
                <w:rFonts w:ascii="Times New Roman" w:hAnsi="Times New Roman" w:cs="Times New Roman"/>
              </w:rPr>
            </w:pPr>
            <w:r>
              <w:rPr>
                <w:rFonts w:ascii="Times New Roman" w:hAnsi="Times New Roman" w:cs="Times New Roman"/>
              </w:rPr>
              <w:t>Types of anatomical information assessed</w:t>
            </w:r>
          </w:p>
        </w:tc>
        <w:tc>
          <w:tcPr>
            <w:tcW w:w="2629" w:type="dxa"/>
          </w:tcPr>
          <w:p w14:paraId="07DDAE8D" w14:textId="77777777" w:rsidR="00065E56" w:rsidRDefault="00065E56" w:rsidP="00065E56">
            <w:pPr>
              <w:pStyle w:val="ListParagraph"/>
              <w:numPr>
                <w:ilvl w:val="0"/>
                <w:numId w:val="1"/>
              </w:numPr>
              <w:spacing w:line="276" w:lineRule="auto"/>
              <w:contextualSpacing w:val="0"/>
              <w:rPr>
                <w:rFonts w:ascii="Times New Roman" w:hAnsi="Times New Roman" w:cs="Times New Roman"/>
              </w:rPr>
            </w:pPr>
            <w:r>
              <w:rPr>
                <w:rFonts w:ascii="Times New Roman" w:hAnsi="Times New Roman" w:cs="Times New Roman"/>
              </w:rPr>
              <w:t>Basic Definitions</w:t>
            </w:r>
          </w:p>
          <w:p w14:paraId="5E7E09A6" w14:textId="77777777" w:rsidR="00065E56" w:rsidRDefault="00065E56" w:rsidP="00065E56">
            <w:pPr>
              <w:pStyle w:val="ListParagraph"/>
              <w:numPr>
                <w:ilvl w:val="0"/>
                <w:numId w:val="1"/>
              </w:numPr>
              <w:spacing w:line="276" w:lineRule="auto"/>
              <w:contextualSpacing w:val="0"/>
              <w:rPr>
                <w:rFonts w:ascii="Times New Roman" w:hAnsi="Times New Roman" w:cs="Times New Roman"/>
              </w:rPr>
            </w:pPr>
            <w:r>
              <w:rPr>
                <w:rFonts w:ascii="Times New Roman" w:hAnsi="Times New Roman" w:cs="Times New Roman"/>
              </w:rPr>
              <w:t>Facts</w:t>
            </w:r>
          </w:p>
          <w:p w14:paraId="24450883" w14:textId="77777777" w:rsidR="00065E56" w:rsidRPr="00554E30" w:rsidRDefault="00065E56" w:rsidP="00065E56">
            <w:pPr>
              <w:pStyle w:val="ListParagraph"/>
              <w:numPr>
                <w:ilvl w:val="0"/>
                <w:numId w:val="1"/>
              </w:numPr>
              <w:spacing w:line="276" w:lineRule="auto"/>
              <w:contextualSpacing w:val="0"/>
              <w:rPr>
                <w:rFonts w:ascii="Times New Roman" w:hAnsi="Times New Roman" w:cs="Times New Roman"/>
              </w:rPr>
            </w:pPr>
            <w:r>
              <w:rPr>
                <w:rFonts w:ascii="Times New Roman" w:hAnsi="Times New Roman" w:cs="Times New Roman"/>
              </w:rPr>
              <w:t>Straightforward recall</w:t>
            </w:r>
          </w:p>
        </w:tc>
        <w:tc>
          <w:tcPr>
            <w:tcW w:w="2147" w:type="dxa"/>
            <w:gridSpan w:val="2"/>
          </w:tcPr>
          <w:p w14:paraId="07644FF4" w14:textId="77777777" w:rsidR="00065E56" w:rsidRDefault="00065E56" w:rsidP="00065E56">
            <w:pPr>
              <w:pStyle w:val="ListParagraph"/>
              <w:numPr>
                <w:ilvl w:val="0"/>
                <w:numId w:val="1"/>
              </w:numPr>
              <w:spacing w:line="276" w:lineRule="auto"/>
              <w:contextualSpacing w:val="0"/>
              <w:rPr>
                <w:rFonts w:ascii="Times New Roman" w:hAnsi="Times New Roman" w:cs="Times New Roman"/>
              </w:rPr>
            </w:pPr>
            <w:r>
              <w:rPr>
                <w:rFonts w:ascii="Times New Roman" w:hAnsi="Times New Roman" w:cs="Times New Roman"/>
              </w:rPr>
              <w:t>Anatomical concepts</w:t>
            </w:r>
          </w:p>
          <w:p w14:paraId="2E5BE642" w14:textId="77777777" w:rsidR="00065E56" w:rsidRDefault="00065E56" w:rsidP="00065E56">
            <w:pPr>
              <w:pStyle w:val="ListParagraph"/>
              <w:numPr>
                <w:ilvl w:val="0"/>
                <w:numId w:val="1"/>
              </w:numPr>
              <w:spacing w:line="276" w:lineRule="auto"/>
              <w:contextualSpacing w:val="0"/>
              <w:rPr>
                <w:rFonts w:ascii="Times New Roman" w:hAnsi="Times New Roman" w:cs="Times New Roman"/>
              </w:rPr>
            </w:pPr>
            <w:r>
              <w:rPr>
                <w:rFonts w:ascii="Times New Roman" w:hAnsi="Times New Roman" w:cs="Times New Roman"/>
              </w:rPr>
              <w:t>Basic special organization</w:t>
            </w:r>
          </w:p>
          <w:p w14:paraId="169D48AC" w14:textId="77777777" w:rsidR="00065E56" w:rsidRPr="00554E30" w:rsidRDefault="00065E56" w:rsidP="00065E56">
            <w:pPr>
              <w:pStyle w:val="ListParagraph"/>
              <w:numPr>
                <w:ilvl w:val="0"/>
                <w:numId w:val="1"/>
              </w:numPr>
              <w:spacing w:line="276" w:lineRule="auto"/>
              <w:contextualSpacing w:val="0"/>
              <w:rPr>
                <w:rFonts w:ascii="Times New Roman" w:hAnsi="Times New Roman" w:cs="Times New Roman"/>
              </w:rPr>
            </w:pPr>
            <w:r>
              <w:rPr>
                <w:rFonts w:ascii="Times New Roman" w:hAnsi="Times New Roman" w:cs="Times New Roman"/>
              </w:rPr>
              <w:t>Basic understanding of pathways, blood</w:t>
            </w:r>
          </w:p>
        </w:tc>
        <w:tc>
          <w:tcPr>
            <w:tcW w:w="1696" w:type="dxa"/>
          </w:tcPr>
          <w:p w14:paraId="2AF9A808" w14:textId="77777777" w:rsidR="00065E56" w:rsidRDefault="00065E56" w:rsidP="00065E56">
            <w:pPr>
              <w:pStyle w:val="ListParagraph"/>
              <w:numPr>
                <w:ilvl w:val="0"/>
                <w:numId w:val="1"/>
              </w:numPr>
              <w:spacing w:line="276" w:lineRule="auto"/>
              <w:contextualSpacing w:val="0"/>
              <w:rPr>
                <w:rFonts w:ascii="Times New Roman" w:hAnsi="Times New Roman" w:cs="Times New Roman"/>
              </w:rPr>
            </w:pPr>
            <w:r>
              <w:rPr>
                <w:rFonts w:ascii="Times New Roman" w:hAnsi="Times New Roman" w:cs="Times New Roman"/>
              </w:rPr>
              <w:t>Interaction between 2 or more body systems</w:t>
            </w:r>
          </w:p>
          <w:p w14:paraId="46B00190" w14:textId="77777777" w:rsidR="00065E56" w:rsidRPr="00554E30" w:rsidRDefault="00065E56" w:rsidP="00065E56">
            <w:pPr>
              <w:pStyle w:val="ListParagraph"/>
              <w:numPr>
                <w:ilvl w:val="0"/>
                <w:numId w:val="1"/>
              </w:numPr>
              <w:spacing w:line="276" w:lineRule="auto"/>
              <w:contextualSpacing w:val="0"/>
              <w:rPr>
                <w:rFonts w:ascii="Times New Roman" w:hAnsi="Times New Roman" w:cs="Times New Roman"/>
              </w:rPr>
            </w:pPr>
            <w:r>
              <w:rPr>
                <w:rFonts w:ascii="Times New Roman" w:hAnsi="Times New Roman" w:cs="Times New Roman"/>
              </w:rPr>
              <w:t>Functional aspects of anatomical features beyond*</w:t>
            </w:r>
          </w:p>
        </w:tc>
        <w:tc>
          <w:tcPr>
            <w:tcW w:w="2028" w:type="dxa"/>
            <w:gridSpan w:val="2"/>
          </w:tcPr>
          <w:p w14:paraId="6938D62A" w14:textId="77777777" w:rsidR="00065E56" w:rsidRDefault="00065E56" w:rsidP="00065E56">
            <w:pPr>
              <w:pStyle w:val="ListParagraph"/>
              <w:numPr>
                <w:ilvl w:val="0"/>
                <w:numId w:val="1"/>
              </w:numPr>
              <w:spacing w:line="276" w:lineRule="auto"/>
              <w:contextualSpacing w:val="0"/>
              <w:rPr>
                <w:rFonts w:ascii="Times New Roman" w:hAnsi="Times New Roman" w:cs="Times New Roman"/>
              </w:rPr>
            </w:pPr>
            <w:r>
              <w:rPr>
                <w:rFonts w:ascii="Times New Roman" w:hAnsi="Times New Roman" w:cs="Times New Roman"/>
              </w:rPr>
              <w:t>Interaction between two or more body systems and applying information to a potentially new situation</w:t>
            </w:r>
          </w:p>
          <w:p w14:paraId="447CF5D4" w14:textId="77777777" w:rsidR="00065E56" w:rsidRDefault="00065E56" w:rsidP="00065E56">
            <w:pPr>
              <w:pStyle w:val="ListParagraph"/>
              <w:numPr>
                <w:ilvl w:val="0"/>
                <w:numId w:val="1"/>
              </w:numPr>
              <w:spacing w:line="276" w:lineRule="auto"/>
              <w:contextualSpacing w:val="0"/>
              <w:rPr>
                <w:rFonts w:ascii="Times New Roman" w:hAnsi="Times New Roman" w:cs="Times New Roman"/>
              </w:rPr>
            </w:pPr>
            <w:r>
              <w:rPr>
                <w:rFonts w:ascii="Times New Roman" w:hAnsi="Times New Roman" w:cs="Times New Roman"/>
              </w:rPr>
              <w:t>Interpretation of anatomical images</w:t>
            </w:r>
          </w:p>
          <w:p w14:paraId="08EFA76D" w14:textId="77777777" w:rsidR="00065E56" w:rsidRPr="00554E30" w:rsidRDefault="00065E56" w:rsidP="00065E56">
            <w:pPr>
              <w:pStyle w:val="ListParagraph"/>
              <w:numPr>
                <w:ilvl w:val="0"/>
                <w:numId w:val="1"/>
              </w:numPr>
              <w:spacing w:line="276" w:lineRule="auto"/>
              <w:contextualSpacing w:val="0"/>
              <w:rPr>
                <w:rFonts w:ascii="Times New Roman" w:hAnsi="Times New Roman" w:cs="Times New Roman"/>
              </w:rPr>
            </w:pPr>
            <w:r>
              <w:rPr>
                <w:rFonts w:ascii="Times New Roman" w:hAnsi="Times New Roman" w:cs="Times New Roman"/>
              </w:rPr>
              <w:t>Potential to use clinical judgement</w:t>
            </w:r>
          </w:p>
        </w:tc>
      </w:tr>
    </w:tbl>
    <w:p w14:paraId="502A85C8" w14:textId="77777777" w:rsidR="00065E56" w:rsidRDefault="00065E56" w:rsidP="00065E56">
      <w:pPr>
        <w:rPr>
          <w:rFonts w:ascii="Times New Roman" w:hAnsi="Times New Roman" w:cs="Times New Roman"/>
        </w:rPr>
      </w:pPr>
    </w:p>
    <w:p w14:paraId="0A5B1783" w14:textId="77777777" w:rsidR="00065E56" w:rsidRPr="00554E30" w:rsidRDefault="00065E56" w:rsidP="00065E56">
      <w:pPr>
        <w:rPr>
          <w:rFonts w:ascii="Times New Roman" w:hAnsi="Times New Roman" w:cs="Times New Roman"/>
        </w:rPr>
      </w:pPr>
      <w:r w:rsidRPr="00554E30">
        <w:rPr>
          <w:rFonts w:ascii="Times New Roman" w:hAnsi="Times New Roman" w:cs="Times New Roman"/>
        </w:rPr>
        <w:t>Thompson &amp; O’Loughlin, 2015</w:t>
      </w:r>
    </w:p>
    <w:p w14:paraId="63A1A580" w14:textId="77777777" w:rsidR="00065E56" w:rsidRPr="00FD2452" w:rsidRDefault="00065E56" w:rsidP="00065E56"/>
    <w:p w14:paraId="4B570015" w14:textId="77777777" w:rsidR="00065E56" w:rsidRPr="00FD2452" w:rsidRDefault="00065E56" w:rsidP="00065E56"/>
    <w:p w14:paraId="63AB04A3" w14:textId="77777777" w:rsidR="00065E56" w:rsidRPr="00FD2452" w:rsidRDefault="00065E56" w:rsidP="00065E56"/>
    <w:p w14:paraId="32DDC758" w14:textId="77777777" w:rsidR="00065E56" w:rsidRPr="00FD2452" w:rsidRDefault="00065E56" w:rsidP="00065E56"/>
    <w:p w14:paraId="0135448D" w14:textId="77777777" w:rsidR="00065E56" w:rsidRPr="00FD2452" w:rsidRDefault="00065E56" w:rsidP="00065E56"/>
    <w:p w14:paraId="739396EF" w14:textId="77777777" w:rsidR="00065E56" w:rsidRDefault="00065E56" w:rsidP="00065E56"/>
    <w:p w14:paraId="00123422" w14:textId="77777777" w:rsidR="00065E56" w:rsidRDefault="00065E56" w:rsidP="00065E56">
      <w:pPr>
        <w:tabs>
          <w:tab w:val="left" w:pos="5161"/>
        </w:tabs>
      </w:pPr>
      <w:r>
        <w:tab/>
      </w:r>
    </w:p>
    <w:p w14:paraId="5566AB2E" w14:textId="03A6C8C2" w:rsidR="00065E56" w:rsidRDefault="00065E56" w:rsidP="00065E56">
      <w:pPr>
        <w:tabs>
          <w:tab w:val="left" w:pos="5161"/>
        </w:tabs>
      </w:pPr>
    </w:p>
    <w:p w14:paraId="30707512" w14:textId="65480F06" w:rsidR="00065E56" w:rsidRDefault="00065E56" w:rsidP="00065E56">
      <w:pPr>
        <w:tabs>
          <w:tab w:val="left" w:pos="5161"/>
        </w:tabs>
      </w:pPr>
    </w:p>
    <w:p w14:paraId="18755111" w14:textId="67B3C4A0" w:rsidR="00065E56" w:rsidRDefault="00065E56" w:rsidP="00065E56">
      <w:pPr>
        <w:tabs>
          <w:tab w:val="left" w:pos="5161"/>
        </w:tabs>
      </w:pPr>
    </w:p>
    <w:p w14:paraId="768B2AF4" w14:textId="53FBC402" w:rsidR="00065E56" w:rsidRDefault="00065E56" w:rsidP="00065E56">
      <w:pPr>
        <w:tabs>
          <w:tab w:val="left" w:pos="5161"/>
        </w:tabs>
      </w:pPr>
    </w:p>
    <w:p w14:paraId="7C9B53D2" w14:textId="6DEB89FC" w:rsidR="00065E56" w:rsidRDefault="00065E56" w:rsidP="00065E56">
      <w:pPr>
        <w:tabs>
          <w:tab w:val="left" w:pos="5161"/>
        </w:tabs>
      </w:pPr>
    </w:p>
    <w:p w14:paraId="00197B91" w14:textId="6CA61641" w:rsidR="00065E56" w:rsidRDefault="00065E56" w:rsidP="00065E56">
      <w:pPr>
        <w:tabs>
          <w:tab w:val="left" w:pos="5161"/>
        </w:tabs>
      </w:pPr>
    </w:p>
    <w:p w14:paraId="3AB0BEBD" w14:textId="29923B58" w:rsidR="00065E56" w:rsidRDefault="00065E56" w:rsidP="00065E56">
      <w:pPr>
        <w:tabs>
          <w:tab w:val="left" w:pos="5161"/>
        </w:tabs>
      </w:pPr>
    </w:p>
    <w:p w14:paraId="69FB5AE9" w14:textId="6ADB8278" w:rsidR="00065E56" w:rsidRDefault="00065E56" w:rsidP="00065E56">
      <w:pPr>
        <w:tabs>
          <w:tab w:val="left" w:pos="5161"/>
        </w:tabs>
      </w:pPr>
    </w:p>
    <w:p w14:paraId="02293008" w14:textId="01244EE5" w:rsidR="00065E56" w:rsidRDefault="00065E56" w:rsidP="00065E56">
      <w:pPr>
        <w:tabs>
          <w:tab w:val="left" w:pos="5161"/>
        </w:tabs>
      </w:pPr>
    </w:p>
    <w:p w14:paraId="68F34C35" w14:textId="58BF73C0" w:rsidR="00065E56" w:rsidRDefault="00065E56" w:rsidP="00065E56">
      <w:pPr>
        <w:tabs>
          <w:tab w:val="left" w:pos="5161"/>
        </w:tabs>
      </w:pPr>
    </w:p>
    <w:p w14:paraId="43C86611" w14:textId="7A00616E" w:rsidR="00065E56" w:rsidRDefault="00065E56" w:rsidP="00065E56">
      <w:pPr>
        <w:tabs>
          <w:tab w:val="left" w:pos="5161"/>
        </w:tabs>
      </w:pPr>
    </w:p>
    <w:p w14:paraId="7BA6AF32" w14:textId="449C0348" w:rsidR="00065E56" w:rsidRDefault="00065E56" w:rsidP="00065E56">
      <w:pPr>
        <w:tabs>
          <w:tab w:val="left" w:pos="5161"/>
        </w:tabs>
      </w:pPr>
    </w:p>
    <w:p w14:paraId="3036AD36" w14:textId="3C9FB21B" w:rsidR="00065E56" w:rsidRDefault="00065E56" w:rsidP="00065E56">
      <w:pPr>
        <w:tabs>
          <w:tab w:val="left" w:pos="5161"/>
        </w:tabs>
      </w:pPr>
    </w:p>
    <w:p w14:paraId="55808635" w14:textId="3EA97546" w:rsidR="00065E56" w:rsidRDefault="00065E56" w:rsidP="00065E56">
      <w:pPr>
        <w:tabs>
          <w:tab w:val="left" w:pos="5161"/>
        </w:tabs>
      </w:pPr>
    </w:p>
    <w:p w14:paraId="0604C5FD" w14:textId="002C404C" w:rsidR="00065E56" w:rsidRDefault="00065E56" w:rsidP="00065E56">
      <w:pPr>
        <w:tabs>
          <w:tab w:val="left" w:pos="5161"/>
        </w:tabs>
      </w:pPr>
    </w:p>
    <w:p w14:paraId="3CAB5EBA" w14:textId="155DEB7A" w:rsidR="00065E56" w:rsidRDefault="00065E56" w:rsidP="00065E56">
      <w:pPr>
        <w:tabs>
          <w:tab w:val="left" w:pos="5161"/>
        </w:tabs>
      </w:pPr>
    </w:p>
    <w:p w14:paraId="4F1F6A61" w14:textId="0340FAE3" w:rsidR="00065E56" w:rsidRDefault="00065E56" w:rsidP="00065E56">
      <w:pPr>
        <w:tabs>
          <w:tab w:val="left" w:pos="5161"/>
        </w:tabs>
      </w:pPr>
    </w:p>
    <w:p w14:paraId="6EE57C4D" w14:textId="74DE8BC2" w:rsidR="00065E56" w:rsidRDefault="00065E56" w:rsidP="00065E56">
      <w:pPr>
        <w:tabs>
          <w:tab w:val="left" w:pos="5161"/>
        </w:tabs>
      </w:pPr>
    </w:p>
    <w:p w14:paraId="18A49714" w14:textId="7D4488A5" w:rsidR="00065E56" w:rsidRDefault="00065E56" w:rsidP="00065E56">
      <w:pPr>
        <w:tabs>
          <w:tab w:val="left" w:pos="5161"/>
        </w:tabs>
      </w:pPr>
    </w:p>
    <w:p w14:paraId="493B0C7D" w14:textId="795AFCA3" w:rsidR="00065E56" w:rsidRDefault="00065E56" w:rsidP="00065E56">
      <w:pPr>
        <w:tabs>
          <w:tab w:val="left" w:pos="5161"/>
        </w:tabs>
      </w:pPr>
    </w:p>
    <w:p w14:paraId="329AE244" w14:textId="7AE717A7" w:rsidR="00065E56" w:rsidRDefault="00065E56" w:rsidP="00065E56">
      <w:pPr>
        <w:tabs>
          <w:tab w:val="left" w:pos="5161"/>
        </w:tabs>
      </w:pPr>
    </w:p>
    <w:p w14:paraId="0E83506A" w14:textId="5EB0B7F7" w:rsidR="00065E56" w:rsidRDefault="00065E56" w:rsidP="00065E56">
      <w:pPr>
        <w:tabs>
          <w:tab w:val="left" w:pos="5161"/>
        </w:tabs>
      </w:pPr>
    </w:p>
    <w:p w14:paraId="3C8E672E" w14:textId="3E19317E" w:rsidR="00065E56" w:rsidRDefault="00065E56" w:rsidP="00065E56">
      <w:pPr>
        <w:tabs>
          <w:tab w:val="left" w:pos="5161"/>
        </w:tabs>
      </w:pPr>
    </w:p>
    <w:p w14:paraId="678C8A2F" w14:textId="7DD8DB1D" w:rsidR="00065E56" w:rsidRPr="00065E56" w:rsidRDefault="00065E56" w:rsidP="00065E56">
      <w:pPr>
        <w:tabs>
          <w:tab w:val="left" w:pos="5161"/>
        </w:tabs>
        <w:jc w:val="center"/>
        <w:rPr>
          <w:rFonts w:ascii="Times New Roman" w:hAnsi="Times New Roman" w:cs="Times New Roman"/>
        </w:rPr>
      </w:pPr>
      <w:r w:rsidRPr="00065E56">
        <w:rPr>
          <w:rFonts w:ascii="Times New Roman" w:hAnsi="Times New Roman" w:cs="Times New Roman"/>
        </w:rPr>
        <w:t>Appendix B</w:t>
      </w:r>
    </w:p>
    <w:p w14:paraId="6DF168D8" w14:textId="615022EC" w:rsidR="00065E56" w:rsidRPr="00065E56" w:rsidRDefault="00065E56" w:rsidP="00065E56">
      <w:pPr>
        <w:tabs>
          <w:tab w:val="left" w:pos="5161"/>
        </w:tabs>
        <w:rPr>
          <w:rFonts w:ascii="Times New Roman" w:hAnsi="Times New Roman" w:cs="Times New Roman"/>
        </w:rPr>
      </w:pPr>
    </w:p>
    <w:p w14:paraId="5A58ACB2" w14:textId="16E61743" w:rsidR="00065E56" w:rsidRDefault="00065E56" w:rsidP="00065E56">
      <w:pPr>
        <w:tabs>
          <w:tab w:val="left" w:pos="5161"/>
        </w:tabs>
      </w:pPr>
    </w:p>
    <w:p w14:paraId="14171CB7" w14:textId="55B554DF" w:rsidR="00065E56" w:rsidRDefault="00065E56" w:rsidP="00065E56">
      <w:pPr>
        <w:tabs>
          <w:tab w:val="left" w:pos="5161"/>
        </w:tabs>
      </w:pPr>
    </w:p>
    <w:p w14:paraId="2885D84A" w14:textId="31C74A3A" w:rsidR="00065E56" w:rsidRDefault="00065E56" w:rsidP="00065E56">
      <w:pPr>
        <w:tabs>
          <w:tab w:val="left" w:pos="5161"/>
        </w:tabs>
      </w:pPr>
    </w:p>
    <w:p w14:paraId="45776784" w14:textId="10CB01A2" w:rsidR="00065E56" w:rsidRDefault="00065E56" w:rsidP="00065E56">
      <w:pPr>
        <w:tabs>
          <w:tab w:val="left" w:pos="5161"/>
        </w:tabs>
      </w:pPr>
    </w:p>
    <w:p w14:paraId="570A4CB0" w14:textId="412CD58D" w:rsidR="00065E56" w:rsidRDefault="00065E56" w:rsidP="00065E56">
      <w:pPr>
        <w:tabs>
          <w:tab w:val="left" w:pos="5161"/>
        </w:tabs>
      </w:pPr>
    </w:p>
    <w:p w14:paraId="7009655A" w14:textId="33821373" w:rsidR="00065E56" w:rsidRDefault="00065E56" w:rsidP="00065E56">
      <w:pPr>
        <w:tabs>
          <w:tab w:val="left" w:pos="5161"/>
        </w:tabs>
      </w:pPr>
    </w:p>
    <w:p w14:paraId="2030F008" w14:textId="107520CD" w:rsidR="00065E56" w:rsidRDefault="00065E56" w:rsidP="00065E56">
      <w:pPr>
        <w:tabs>
          <w:tab w:val="left" w:pos="5161"/>
        </w:tabs>
      </w:pPr>
    </w:p>
    <w:p w14:paraId="78780D4B" w14:textId="30A2F89F" w:rsidR="00065E56" w:rsidRDefault="00065E56" w:rsidP="00065E56">
      <w:pPr>
        <w:tabs>
          <w:tab w:val="left" w:pos="5161"/>
        </w:tabs>
      </w:pPr>
    </w:p>
    <w:p w14:paraId="7728C7B2" w14:textId="7281F2FE" w:rsidR="00065E56" w:rsidRDefault="00065E56" w:rsidP="00065E56">
      <w:pPr>
        <w:tabs>
          <w:tab w:val="left" w:pos="5161"/>
        </w:tabs>
      </w:pPr>
    </w:p>
    <w:p w14:paraId="7E53F9DF" w14:textId="76A5ED19" w:rsidR="00065E56" w:rsidRDefault="00065E56" w:rsidP="00065E56">
      <w:pPr>
        <w:tabs>
          <w:tab w:val="left" w:pos="5161"/>
        </w:tabs>
      </w:pPr>
    </w:p>
    <w:p w14:paraId="5685D97B" w14:textId="67F53832" w:rsidR="00065E56" w:rsidRDefault="00065E56" w:rsidP="00065E56">
      <w:pPr>
        <w:tabs>
          <w:tab w:val="left" w:pos="5161"/>
        </w:tabs>
      </w:pPr>
    </w:p>
    <w:p w14:paraId="4579C150" w14:textId="6AF9EA29" w:rsidR="00065E56" w:rsidRDefault="00065E56" w:rsidP="00065E56">
      <w:pPr>
        <w:tabs>
          <w:tab w:val="left" w:pos="5161"/>
        </w:tabs>
      </w:pPr>
    </w:p>
    <w:p w14:paraId="10990768" w14:textId="77777777" w:rsidR="00065E56" w:rsidRDefault="00065E56" w:rsidP="00065E56">
      <w:pPr>
        <w:tabs>
          <w:tab w:val="left" w:pos="5161"/>
        </w:tabs>
      </w:pPr>
    </w:p>
    <w:p w14:paraId="5EC1F1B5" w14:textId="77777777" w:rsidR="00065E56" w:rsidRDefault="00065E56" w:rsidP="00065E56">
      <w:pPr>
        <w:tabs>
          <w:tab w:val="left" w:pos="5161"/>
        </w:tabs>
      </w:pPr>
    </w:p>
    <w:p w14:paraId="516286BE" w14:textId="77777777" w:rsidR="00065E56" w:rsidRDefault="00065E56" w:rsidP="00065E56">
      <w:pPr>
        <w:tabs>
          <w:tab w:val="left" w:pos="5161"/>
        </w:tabs>
      </w:pPr>
    </w:p>
    <w:p w14:paraId="78732489" w14:textId="77777777" w:rsidR="00065E56" w:rsidRDefault="00065E56" w:rsidP="00065E56">
      <w:pPr>
        <w:tabs>
          <w:tab w:val="left" w:pos="5161"/>
        </w:tabs>
        <w:jc w:val="center"/>
      </w:pPr>
    </w:p>
    <w:p w14:paraId="744D9094" w14:textId="77777777" w:rsidR="00065E56" w:rsidRDefault="00065E56" w:rsidP="00065E56">
      <w:pPr>
        <w:tabs>
          <w:tab w:val="left" w:pos="5161"/>
        </w:tabs>
        <w:jc w:val="center"/>
      </w:pPr>
    </w:p>
    <w:p w14:paraId="5EB084DC" w14:textId="77777777" w:rsidR="00065E56" w:rsidRDefault="00065E56" w:rsidP="00065E56">
      <w:pPr>
        <w:tabs>
          <w:tab w:val="left" w:pos="5161"/>
        </w:tabs>
        <w:jc w:val="center"/>
      </w:pPr>
    </w:p>
    <w:p w14:paraId="34E5D8F2" w14:textId="77777777" w:rsidR="00065E56" w:rsidRDefault="00065E56" w:rsidP="00065E56">
      <w:pPr>
        <w:pStyle w:val="H2"/>
      </w:pPr>
      <w:r>
        <w:lastRenderedPageBreak/>
        <w:t>Online Clinical Anatomy Student Survey</w:t>
      </w:r>
    </w:p>
    <w:p w14:paraId="70C07A67" w14:textId="77777777" w:rsidR="00065E56" w:rsidRDefault="00065E56" w:rsidP="00065E56"/>
    <w:p w14:paraId="2324ADFE" w14:textId="77777777" w:rsidR="00065E56" w:rsidRDefault="00065E56" w:rsidP="00065E56">
      <w:pPr>
        <w:pStyle w:val="BlockSeparator"/>
      </w:pPr>
    </w:p>
    <w:p w14:paraId="5133A464" w14:textId="77777777" w:rsidR="00065E56" w:rsidRDefault="00065E56" w:rsidP="00065E56">
      <w:pPr>
        <w:pStyle w:val="BlockStartLabel"/>
      </w:pPr>
      <w:r>
        <w:t>Start of Block: Default Question Block</w:t>
      </w:r>
    </w:p>
    <w:p w14:paraId="4536763B" w14:textId="77777777" w:rsidR="00065E56" w:rsidRDefault="00065E56" w:rsidP="00065E56"/>
    <w:p w14:paraId="55629078" w14:textId="77777777" w:rsidR="00065E56" w:rsidRDefault="00065E56" w:rsidP="00065E56">
      <w:pPr>
        <w:keepNext/>
      </w:pPr>
      <w:r>
        <w:t>Q2 Dental and PA Students-thank you so much for taking this survey. Please select the response that best represents you/your opinion for each statement. There are open response boxes at the end of every section if you wish to add more detail to your answers. There is an additional open response box for anything you want us to know at the end of the survey. We appreciate this-you are helping us make online Clinical Anatomy better!</w:t>
      </w:r>
    </w:p>
    <w:p w14:paraId="414D4008" w14:textId="77777777" w:rsidR="00065E56" w:rsidRDefault="00065E56" w:rsidP="00065E56"/>
    <w:p w14:paraId="4B9E5716" w14:textId="77777777" w:rsidR="00065E56" w:rsidRDefault="00065E56" w:rsidP="00065E56">
      <w:pPr>
        <w:pStyle w:val="QuestionSeparator"/>
      </w:pPr>
    </w:p>
    <w:tbl>
      <w:tblPr>
        <w:tblW w:w="0" w:type="auto"/>
        <w:tblInd w:w="10" w:type="dxa"/>
        <w:tblCellMar>
          <w:left w:w="10" w:type="dxa"/>
          <w:right w:w="10" w:type="dxa"/>
        </w:tblCellMar>
        <w:tblLook w:val="04A0" w:firstRow="1" w:lastRow="0" w:firstColumn="1" w:lastColumn="0" w:noHBand="0" w:noVBand="1"/>
      </w:tblPr>
      <w:tblGrid>
        <w:gridCol w:w="1348"/>
        <w:gridCol w:w="8002"/>
      </w:tblGrid>
      <w:tr w:rsidR="00065E56" w14:paraId="78CA2F4F" w14:textId="77777777" w:rsidTr="001C607A">
        <w:trPr>
          <w:trHeight w:val="300"/>
        </w:trPr>
        <w:tc>
          <w:tcPr>
            <w:tcW w:w="1368" w:type="dxa"/>
            <w:tcBorders>
              <w:top w:val="nil"/>
              <w:left w:val="nil"/>
              <w:bottom w:val="nil"/>
              <w:right w:val="nil"/>
            </w:tcBorders>
          </w:tcPr>
          <w:p w14:paraId="147FBB37" w14:textId="77777777" w:rsidR="00065E56" w:rsidRDefault="00065E56" w:rsidP="001C607A">
            <w:pPr>
              <w:rPr>
                <w:color w:val="CCCCCC"/>
              </w:rPr>
            </w:pPr>
            <w:r>
              <w:rPr>
                <w:color w:val="CCCCCC"/>
              </w:rPr>
              <w:t>Page Break</w:t>
            </w:r>
          </w:p>
        </w:tc>
        <w:tc>
          <w:tcPr>
            <w:tcW w:w="8208" w:type="dxa"/>
            <w:tcBorders>
              <w:top w:val="nil"/>
              <w:left w:val="nil"/>
              <w:bottom w:val="nil"/>
              <w:right w:val="nil"/>
            </w:tcBorders>
          </w:tcPr>
          <w:p w14:paraId="033DE6C1" w14:textId="77777777" w:rsidR="00065E56" w:rsidRDefault="00065E56" w:rsidP="001C607A">
            <w:pPr>
              <w:pBdr>
                <w:top w:val="single" w:sz="8" w:space="0" w:color="CCCCCC"/>
              </w:pBdr>
              <w:spacing w:before="120" w:after="120" w:line="120" w:lineRule="auto"/>
              <w:jc w:val="center"/>
              <w:rPr>
                <w:color w:val="CCCCCC"/>
              </w:rPr>
            </w:pPr>
          </w:p>
        </w:tc>
      </w:tr>
    </w:tbl>
    <w:p w14:paraId="7F85E88D" w14:textId="77777777" w:rsidR="00065E56" w:rsidRDefault="00065E56" w:rsidP="00065E56">
      <w:r>
        <w:t>Q3 Choose one.</w:t>
      </w:r>
    </w:p>
    <w:p w14:paraId="4F376DEC" w14:textId="77777777" w:rsidR="00065E56" w:rsidRDefault="00065E56" w:rsidP="00065E56">
      <w:pPr>
        <w:pStyle w:val="ListParagraph"/>
        <w:keepNext/>
        <w:numPr>
          <w:ilvl w:val="0"/>
          <w:numId w:val="1"/>
        </w:numPr>
        <w:spacing w:line="276" w:lineRule="auto"/>
        <w:contextualSpacing w:val="0"/>
      </w:pPr>
      <w:r>
        <w:t>I am a dental student.</w:t>
      </w:r>
    </w:p>
    <w:p w14:paraId="1C80C496" w14:textId="77777777" w:rsidR="00065E56" w:rsidRDefault="00065E56" w:rsidP="00065E56">
      <w:pPr>
        <w:pStyle w:val="ListParagraph"/>
        <w:keepNext/>
        <w:numPr>
          <w:ilvl w:val="0"/>
          <w:numId w:val="1"/>
        </w:numPr>
        <w:spacing w:line="276" w:lineRule="auto"/>
        <w:contextualSpacing w:val="0"/>
      </w:pPr>
      <w:r>
        <w:t>I am a PA student.</w:t>
      </w:r>
    </w:p>
    <w:p w14:paraId="13027DC5" w14:textId="77777777" w:rsidR="00065E56" w:rsidRDefault="00065E56" w:rsidP="00065E56"/>
    <w:p w14:paraId="619FA8C9" w14:textId="77777777" w:rsidR="00065E56" w:rsidRDefault="00065E56" w:rsidP="00065E56">
      <w:pPr>
        <w:pStyle w:val="QuestionSeparator"/>
      </w:pPr>
    </w:p>
    <w:p w14:paraId="451B0607" w14:textId="77777777" w:rsidR="00065E56" w:rsidRDefault="00065E56" w:rsidP="00065E56"/>
    <w:p w14:paraId="38C320AC" w14:textId="77777777" w:rsidR="00065E56" w:rsidRDefault="00065E56" w:rsidP="00065E56">
      <w:pPr>
        <w:keepNext/>
      </w:pPr>
      <w:r>
        <w:t>Q4 Choose one.</w:t>
      </w:r>
    </w:p>
    <w:p w14:paraId="30C93011" w14:textId="77777777" w:rsidR="00065E56" w:rsidRDefault="00065E56" w:rsidP="00065E56">
      <w:pPr>
        <w:pStyle w:val="ListParagraph"/>
        <w:keepNext/>
        <w:numPr>
          <w:ilvl w:val="0"/>
          <w:numId w:val="1"/>
        </w:numPr>
        <w:spacing w:line="276" w:lineRule="auto"/>
        <w:contextualSpacing w:val="0"/>
      </w:pPr>
      <w:r>
        <w:t>I completed an undergraduate anatomy course with cadaveric dissection.</w:t>
      </w:r>
    </w:p>
    <w:p w14:paraId="3145BDE4" w14:textId="77777777" w:rsidR="00065E56" w:rsidRDefault="00065E56" w:rsidP="00065E56">
      <w:pPr>
        <w:pStyle w:val="ListParagraph"/>
        <w:keepNext/>
        <w:numPr>
          <w:ilvl w:val="0"/>
          <w:numId w:val="1"/>
        </w:numPr>
        <w:spacing w:line="276" w:lineRule="auto"/>
        <w:contextualSpacing w:val="0"/>
      </w:pPr>
      <w:r>
        <w:t>I completed an undergraduate anatomy course without cadaveric dissection.</w:t>
      </w:r>
    </w:p>
    <w:p w14:paraId="5B9292C4" w14:textId="77777777" w:rsidR="00065E56" w:rsidRDefault="00065E56" w:rsidP="00065E56">
      <w:pPr>
        <w:pStyle w:val="ListParagraph"/>
        <w:keepNext/>
        <w:numPr>
          <w:ilvl w:val="0"/>
          <w:numId w:val="1"/>
        </w:numPr>
        <w:spacing w:line="276" w:lineRule="auto"/>
        <w:contextualSpacing w:val="0"/>
      </w:pPr>
      <w:r>
        <w:t>I did not complete an undergraduate anatomy course.</w:t>
      </w:r>
    </w:p>
    <w:p w14:paraId="21155939" w14:textId="77777777" w:rsidR="00065E56" w:rsidRDefault="00065E56" w:rsidP="00065E56"/>
    <w:p w14:paraId="4B0CA863" w14:textId="77777777" w:rsidR="00065E56" w:rsidRDefault="00065E56" w:rsidP="00065E56">
      <w:pPr>
        <w:pStyle w:val="QuestionSeparator"/>
      </w:pPr>
    </w:p>
    <w:p w14:paraId="3FA4BF26" w14:textId="77777777" w:rsidR="00065E56" w:rsidRDefault="00065E56" w:rsidP="00065E56"/>
    <w:p w14:paraId="2E45DED6" w14:textId="77777777" w:rsidR="00065E56" w:rsidRDefault="00065E56" w:rsidP="00065E56">
      <w:pPr>
        <w:keepNext/>
      </w:pPr>
      <w:r>
        <w:t>Q5 Choose one.</w:t>
      </w:r>
    </w:p>
    <w:p w14:paraId="49827CE7" w14:textId="77777777" w:rsidR="00065E56" w:rsidRDefault="00065E56" w:rsidP="00065E56">
      <w:pPr>
        <w:pStyle w:val="ListParagraph"/>
        <w:keepNext/>
        <w:numPr>
          <w:ilvl w:val="0"/>
          <w:numId w:val="1"/>
        </w:numPr>
        <w:spacing w:line="276" w:lineRule="auto"/>
        <w:contextualSpacing w:val="0"/>
      </w:pPr>
      <w:r>
        <w:t>Ability to participate in cadaveric dissection enhanced my interest in applying to OUHSC.</w:t>
      </w:r>
    </w:p>
    <w:p w14:paraId="2DFE767F" w14:textId="77777777" w:rsidR="00065E56" w:rsidRDefault="00065E56" w:rsidP="00065E56">
      <w:pPr>
        <w:pStyle w:val="ListParagraph"/>
        <w:keepNext/>
        <w:numPr>
          <w:ilvl w:val="0"/>
          <w:numId w:val="1"/>
        </w:numPr>
        <w:spacing w:line="276" w:lineRule="auto"/>
        <w:contextualSpacing w:val="0"/>
      </w:pPr>
      <w:r>
        <w:t>Ability to participate in cadaveric dissection did not enhance my interest in applying to OUHSC.</w:t>
      </w:r>
    </w:p>
    <w:p w14:paraId="1614B20B" w14:textId="77777777" w:rsidR="00065E56" w:rsidRDefault="00065E56" w:rsidP="00065E56">
      <w:pPr>
        <w:pStyle w:val="QuestionSeparator"/>
      </w:pPr>
    </w:p>
    <w:tbl>
      <w:tblPr>
        <w:tblW w:w="0" w:type="auto"/>
        <w:tblInd w:w="10" w:type="dxa"/>
        <w:tblCellMar>
          <w:left w:w="10" w:type="dxa"/>
          <w:right w:w="10" w:type="dxa"/>
        </w:tblCellMar>
        <w:tblLook w:val="04A0" w:firstRow="1" w:lastRow="0" w:firstColumn="1" w:lastColumn="0" w:noHBand="0" w:noVBand="1"/>
      </w:tblPr>
      <w:tblGrid>
        <w:gridCol w:w="1348"/>
        <w:gridCol w:w="8002"/>
      </w:tblGrid>
      <w:tr w:rsidR="00065E56" w14:paraId="082C05C6" w14:textId="77777777" w:rsidTr="001C607A">
        <w:trPr>
          <w:trHeight w:val="300"/>
        </w:trPr>
        <w:tc>
          <w:tcPr>
            <w:tcW w:w="1368" w:type="dxa"/>
            <w:tcBorders>
              <w:top w:val="nil"/>
              <w:left w:val="nil"/>
              <w:bottom w:val="nil"/>
              <w:right w:val="nil"/>
            </w:tcBorders>
          </w:tcPr>
          <w:p w14:paraId="32FF038C" w14:textId="77777777" w:rsidR="00065E56" w:rsidRDefault="00065E56" w:rsidP="001C607A">
            <w:pPr>
              <w:rPr>
                <w:color w:val="CCCCCC"/>
              </w:rPr>
            </w:pPr>
            <w:r>
              <w:rPr>
                <w:color w:val="CCCCCC"/>
              </w:rPr>
              <w:t>Page Break</w:t>
            </w:r>
          </w:p>
        </w:tc>
        <w:tc>
          <w:tcPr>
            <w:tcW w:w="8208" w:type="dxa"/>
            <w:tcBorders>
              <w:top w:val="nil"/>
              <w:left w:val="nil"/>
              <w:bottom w:val="nil"/>
              <w:right w:val="nil"/>
            </w:tcBorders>
          </w:tcPr>
          <w:p w14:paraId="7C37EA7F" w14:textId="77777777" w:rsidR="00065E56" w:rsidRDefault="00065E56" w:rsidP="001C607A">
            <w:pPr>
              <w:pBdr>
                <w:top w:val="single" w:sz="8" w:space="0" w:color="CCCCCC"/>
              </w:pBdr>
              <w:spacing w:before="120" w:after="120" w:line="120" w:lineRule="auto"/>
              <w:jc w:val="center"/>
              <w:rPr>
                <w:color w:val="CCCCCC"/>
              </w:rPr>
            </w:pPr>
          </w:p>
        </w:tc>
      </w:tr>
    </w:tbl>
    <w:p w14:paraId="1BE62552" w14:textId="77777777" w:rsidR="00065E56" w:rsidRDefault="00065E56" w:rsidP="00065E56">
      <w:r>
        <w:br w:type="page"/>
      </w:r>
    </w:p>
    <w:p w14:paraId="67326A97" w14:textId="77777777" w:rsidR="00065E56" w:rsidRDefault="00065E56" w:rsidP="00065E56"/>
    <w:p w14:paraId="14301EB7" w14:textId="77777777" w:rsidR="00065E56" w:rsidRDefault="00065E56" w:rsidP="00065E56">
      <w:pPr>
        <w:keepNext/>
      </w:pPr>
      <w:r>
        <w:t>Q6 Please select the response that best represents you/your opinion for each statement.</w:t>
      </w:r>
    </w:p>
    <w:tbl>
      <w:tblPr>
        <w:tblStyle w:val="QQuestionTable"/>
        <w:tblW w:w="9576" w:type="auto"/>
        <w:tblLook w:val="07E0" w:firstRow="1" w:lastRow="1" w:firstColumn="1" w:lastColumn="1" w:noHBand="1" w:noVBand="1"/>
      </w:tblPr>
      <w:tblGrid>
        <w:gridCol w:w="1585"/>
        <w:gridCol w:w="1548"/>
        <w:gridCol w:w="1548"/>
        <w:gridCol w:w="1576"/>
        <w:gridCol w:w="1553"/>
        <w:gridCol w:w="1550"/>
      </w:tblGrid>
      <w:tr w:rsidR="00065E56" w14:paraId="49A78119" w14:textId="77777777" w:rsidTr="001C607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15170FA0" w14:textId="77777777" w:rsidR="00065E56" w:rsidRDefault="00065E56" w:rsidP="001C607A">
            <w:pPr>
              <w:keepNext/>
            </w:pPr>
          </w:p>
        </w:tc>
        <w:tc>
          <w:tcPr>
            <w:tcW w:w="1596" w:type="dxa"/>
          </w:tcPr>
          <w:p w14:paraId="30BF28FE" w14:textId="77777777" w:rsidR="00065E56" w:rsidRDefault="00065E56" w:rsidP="001C607A">
            <w:pPr>
              <w:cnfStyle w:val="100000000000" w:firstRow="1" w:lastRow="0" w:firstColumn="0" w:lastColumn="0" w:oddVBand="0" w:evenVBand="0" w:oddHBand="0" w:evenHBand="0" w:firstRowFirstColumn="0" w:firstRowLastColumn="0" w:lastRowFirstColumn="0" w:lastRowLastColumn="0"/>
            </w:pPr>
            <w:r>
              <w:t>Not at all true for me</w:t>
            </w:r>
          </w:p>
        </w:tc>
        <w:tc>
          <w:tcPr>
            <w:tcW w:w="1596" w:type="dxa"/>
          </w:tcPr>
          <w:p w14:paraId="30947722" w14:textId="77777777" w:rsidR="00065E56" w:rsidRDefault="00065E56" w:rsidP="001C607A">
            <w:pPr>
              <w:cnfStyle w:val="100000000000" w:firstRow="1" w:lastRow="0" w:firstColumn="0" w:lastColumn="0" w:oddVBand="0" w:evenVBand="0" w:oddHBand="0" w:evenHBand="0" w:firstRowFirstColumn="0" w:firstRowLastColumn="0" w:lastRowFirstColumn="0" w:lastRowLastColumn="0"/>
            </w:pPr>
            <w:r>
              <w:t>Not very true for me</w:t>
            </w:r>
          </w:p>
        </w:tc>
        <w:tc>
          <w:tcPr>
            <w:tcW w:w="1596" w:type="dxa"/>
          </w:tcPr>
          <w:p w14:paraId="4AAB2B8B" w14:textId="77777777" w:rsidR="00065E56" w:rsidRDefault="00065E56" w:rsidP="001C607A">
            <w:pPr>
              <w:cnfStyle w:val="100000000000" w:firstRow="1" w:lastRow="0" w:firstColumn="0" w:lastColumn="0" w:oddVBand="0" w:evenVBand="0" w:oddHBand="0" w:evenHBand="0" w:firstRowFirstColumn="0" w:firstRowLastColumn="0" w:lastRowFirstColumn="0" w:lastRowLastColumn="0"/>
            </w:pPr>
            <w:r>
              <w:t>Somewhat true for me</w:t>
            </w:r>
          </w:p>
        </w:tc>
        <w:tc>
          <w:tcPr>
            <w:tcW w:w="1596" w:type="dxa"/>
          </w:tcPr>
          <w:p w14:paraId="23B24552" w14:textId="77777777" w:rsidR="00065E56" w:rsidRDefault="00065E56" w:rsidP="001C607A">
            <w:pPr>
              <w:cnfStyle w:val="100000000000" w:firstRow="1" w:lastRow="0" w:firstColumn="0" w:lastColumn="0" w:oddVBand="0" w:evenVBand="0" w:oddHBand="0" w:evenHBand="0" w:firstRowFirstColumn="0" w:firstRowLastColumn="0" w:lastRowFirstColumn="0" w:lastRowLastColumn="0"/>
            </w:pPr>
            <w:r>
              <w:t>Fairly true for me</w:t>
            </w:r>
          </w:p>
        </w:tc>
        <w:tc>
          <w:tcPr>
            <w:tcW w:w="1596" w:type="dxa"/>
          </w:tcPr>
          <w:p w14:paraId="091A1BC1" w14:textId="77777777" w:rsidR="00065E56" w:rsidRDefault="00065E56" w:rsidP="001C607A">
            <w:pPr>
              <w:cnfStyle w:val="100000000000" w:firstRow="1" w:lastRow="0" w:firstColumn="0" w:lastColumn="0" w:oddVBand="0" w:evenVBand="0" w:oddHBand="0" w:evenHBand="0" w:firstRowFirstColumn="0" w:firstRowLastColumn="0" w:lastRowFirstColumn="0" w:lastRowLastColumn="0"/>
            </w:pPr>
            <w:r>
              <w:t>Very true for me</w:t>
            </w:r>
          </w:p>
        </w:tc>
      </w:tr>
      <w:tr w:rsidR="00065E56" w14:paraId="52F98494" w14:textId="77777777" w:rsidTr="001C607A">
        <w:tc>
          <w:tcPr>
            <w:cnfStyle w:val="001000000000" w:firstRow="0" w:lastRow="0" w:firstColumn="1" w:lastColumn="0" w:oddVBand="0" w:evenVBand="0" w:oddHBand="0" w:evenHBand="0" w:firstRowFirstColumn="0" w:firstRowLastColumn="0" w:lastRowFirstColumn="0" w:lastRowLastColumn="0"/>
            <w:tcW w:w="1596" w:type="dxa"/>
          </w:tcPr>
          <w:p w14:paraId="3A106896" w14:textId="77777777" w:rsidR="00065E56" w:rsidRDefault="00065E56" w:rsidP="001C607A">
            <w:pPr>
              <w:keepNext/>
            </w:pPr>
            <w:r>
              <w:t>My anatomical knowledge is adequate for where I am in my program.</w:t>
            </w:r>
          </w:p>
        </w:tc>
        <w:tc>
          <w:tcPr>
            <w:tcW w:w="1596" w:type="dxa"/>
          </w:tcPr>
          <w:p w14:paraId="2289076E" w14:textId="77777777" w:rsidR="00065E56" w:rsidRDefault="00065E56" w:rsidP="00065E56">
            <w:pPr>
              <w:pStyle w:val="ListParagraph"/>
              <w:keepNext/>
              <w:numPr>
                <w:ilvl w:val="0"/>
                <w:numId w:val="1"/>
              </w:numPr>
              <w:spacing w:line="276" w:lineRule="auto"/>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7DEEBEA1" w14:textId="77777777" w:rsidR="00065E56" w:rsidRDefault="00065E56" w:rsidP="00065E56">
            <w:pPr>
              <w:pStyle w:val="ListParagraph"/>
              <w:keepNext/>
              <w:numPr>
                <w:ilvl w:val="0"/>
                <w:numId w:val="1"/>
              </w:numPr>
              <w:spacing w:line="276" w:lineRule="auto"/>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4B14251E" w14:textId="77777777" w:rsidR="00065E56" w:rsidRDefault="00065E56" w:rsidP="00065E56">
            <w:pPr>
              <w:pStyle w:val="ListParagraph"/>
              <w:keepNext/>
              <w:numPr>
                <w:ilvl w:val="0"/>
                <w:numId w:val="1"/>
              </w:numPr>
              <w:spacing w:line="276" w:lineRule="auto"/>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5EE0C8D6" w14:textId="77777777" w:rsidR="00065E56" w:rsidRDefault="00065E56" w:rsidP="00065E56">
            <w:pPr>
              <w:pStyle w:val="ListParagraph"/>
              <w:keepNext/>
              <w:numPr>
                <w:ilvl w:val="0"/>
                <w:numId w:val="1"/>
              </w:numPr>
              <w:spacing w:line="276" w:lineRule="auto"/>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7085AAE2" w14:textId="77777777" w:rsidR="00065E56" w:rsidRDefault="00065E56" w:rsidP="00065E56">
            <w:pPr>
              <w:pStyle w:val="ListParagraph"/>
              <w:keepNext/>
              <w:numPr>
                <w:ilvl w:val="0"/>
                <w:numId w:val="1"/>
              </w:numPr>
              <w:spacing w:line="276" w:lineRule="auto"/>
              <w:contextualSpacing w:val="0"/>
              <w:cnfStyle w:val="000000000000" w:firstRow="0" w:lastRow="0" w:firstColumn="0" w:lastColumn="0" w:oddVBand="0" w:evenVBand="0" w:oddHBand="0" w:evenHBand="0" w:firstRowFirstColumn="0" w:firstRowLastColumn="0" w:lastRowFirstColumn="0" w:lastRowLastColumn="0"/>
            </w:pPr>
          </w:p>
        </w:tc>
      </w:tr>
      <w:tr w:rsidR="00065E56" w14:paraId="30DC0C31" w14:textId="77777777" w:rsidTr="001C607A">
        <w:tc>
          <w:tcPr>
            <w:cnfStyle w:val="001000000000" w:firstRow="0" w:lastRow="0" w:firstColumn="1" w:lastColumn="0" w:oddVBand="0" w:evenVBand="0" w:oddHBand="0" w:evenHBand="0" w:firstRowFirstColumn="0" w:firstRowLastColumn="0" w:lastRowFirstColumn="0" w:lastRowLastColumn="0"/>
            <w:tcW w:w="1596" w:type="dxa"/>
          </w:tcPr>
          <w:p w14:paraId="496011EF" w14:textId="77777777" w:rsidR="00065E56" w:rsidRDefault="00065E56" w:rsidP="001C607A">
            <w:pPr>
              <w:keepNext/>
            </w:pPr>
            <w:r>
              <w:t>My anatomical knowledge feels fragmented: I cannot see whole body connections.</w:t>
            </w:r>
          </w:p>
        </w:tc>
        <w:tc>
          <w:tcPr>
            <w:tcW w:w="1596" w:type="dxa"/>
          </w:tcPr>
          <w:p w14:paraId="059CD472" w14:textId="77777777" w:rsidR="00065E56" w:rsidRDefault="00065E56" w:rsidP="00065E56">
            <w:pPr>
              <w:pStyle w:val="ListParagraph"/>
              <w:keepNext/>
              <w:numPr>
                <w:ilvl w:val="0"/>
                <w:numId w:val="1"/>
              </w:numPr>
              <w:spacing w:line="276" w:lineRule="auto"/>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6C8ECBFD" w14:textId="77777777" w:rsidR="00065E56" w:rsidRDefault="00065E56" w:rsidP="00065E56">
            <w:pPr>
              <w:pStyle w:val="ListParagraph"/>
              <w:keepNext/>
              <w:numPr>
                <w:ilvl w:val="0"/>
                <w:numId w:val="1"/>
              </w:numPr>
              <w:spacing w:line="276" w:lineRule="auto"/>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3D349A0D" w14:textId="77777777" w:rsidR="00065E56" w:rsidRDefault="00065E56" w:rsidP="00065E56">
            <w:pPr>
              <w:pStyle w:val="ListParagraph"/>
              <w:keepNext/>
              <w:numPr>
                <w:ilvl w:val="0"/>
                <w:numId w:val="1"/>
              </w:numPr>
              <w:spacing w:line="276" w:lineRule="auto"/>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2606C95A" w14:textId="77777777" w:rsidR="00065E56" w:rsidRDefault="00065E56" w:rsidP="00065E56">
            <w:pPr>
              <w:pStyle w:val="ListParagraph"/>
              <w:keepNext/>
              <w:numPr>
                <w:ilvl w:val="0"/>
                <w:numId w:val="1"/>
              </w:numPr>
              <w:spacing w:line="276" w:lineRule="auto"/>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6D67595C" w14:textId="77777777" w:rsidR="00065E56" w:rsidRDefault="00065E56" w:rsidP="00065E56">
            <w:pPr>
              <w:pStyle w:val="ListParagraph"/>
              <w:keepNext/>
              <w:numPr>
                <w:ilvl w:val="0"/>
                <w:numId w:val="1"/>
              </w:numPr>
              <w:spacing w:line="276" w:lineRule="auto"/>
              <w:contextualSpacing w:val="0"/>
              <w:cnfStyle w:val="000000000000" w:firstRow="0" w:lastRow="0" w:firstColumn="0" w:lastColumn="0" w:oddVBand="0" w:evenVBand="0" w:oddHBand="0" w:evenHBand="0" w:firstRowFirstColumn="0" w:firstRowLastColumn="0" w:lastRowFirstColumn="0" w:lastRowLastColumn="0"/>
            </w:pPr>
          </w:p>
        </w:tc>
      </w:tr>
      <w:tr w:rsidR="00065E56" w14:paraId="1376A59B" w14:textId="77777777" w:rsidTr="001C607A">
        <w:tc>
          <w:tcPr>
            <w:cnfStyle w:val="001000000000" w:firstRow="0" w:lastRow="0" w:firstColumn="1" w:lastColumn="0" w:oddVBand="0" w:evenVBand="0" w:oddHBand="0" w:evenHBand="0" w:firstRowFirstColumn="0" w:firstRowLastColumn="0" w:lastRowFirstColumn="0" w:lastRowLastColumn="0"/>
            <w:tcW w:w="1596" w:type="dxa"/>
          </w:tcPr>
          <w:p w14:paraId="04CC91B1" w14:textId="77777777" w:rsidR="00065E56" w:rsidRDefault="00065E56" w:rsidP="001C607A">
            <w:pPr>
              <w:keepNext/>
            </w:pPr>
            <w:r>
              <w:t>I am able to picture a muscle or organ as part of a group or system.</w:t>
            </w:r>
          </w:p>
        </w:tc>
        <w:tc>
          <w:tcPr>
            <w:tcW w:w="1596" w:type="dxa"/>
          </w:tcPr>
          <w:p w14:paraId="36FDD744" w14:textId="77777777" w:rsidR="00065E56" w:rsidRDefault="00065E56" w:rsidP="00065E56">
            <w:pPr>
              <w:pStyle w:val="ListParagraph"/>
              <w:keepNext/>
              <w:numPr>
                <w:ilvl w:val="0"/>
                <w:numId w:val="1"/>
              </w:numPr>
              <w:spacing w:line="276" w:lineRule="auto"/>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43382CBC" w14:textId="77777777" w:rsidR="00065E56" w:rsidRDefault="00065E56" w:rsidP="00065E56">
            <w:pPr>
              <w:pStyle w:val="ListParagraph"/>
              <w:keepNext/>
              <w:numPr>
                <w:ilvl w:val="0"/>
                <w:numId w:val="1"/>
              </w:numPr>
              <w:spacing w:line="276" w:lineRule="auto"/>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5D190AC0" w14:textId="77777777" w:rsidR="00065E56" w:rsidRDefault="00065E56" w:rsidP="00065E56">
            <w:pPr>
              <w:pStyle w:val="ListParagraph"/>
              <w:keepNext/>
              <w:numPr>
                <w:ilvl w:val="0"/>
                <w:numId w:val="1"/>
              </w:numPr>
              <w:spacing w:line="276" w:lineRule="auto"/>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24BE5B84" w14:textId="77777777" w:rsidR="00065E56" w:rsidRDefault="00065E56" w:rsidP="00065E56">
            <w:pPr>
              <w:pStyle w:val="ListParagraph"/>
              <w:keepNext/>
              <w:numPr>
                <w:ilvl w:val="0"/>
                <w:numId w:val="1"/>
              </w:numPr>
              <w:spacing w:line="276" w:lineRule="auto"/>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35C9A2C8" w14:textId="77777777" w:rsidR="00065E56" w:rsidRDefault="00065E56" w:rsidP="00065E56">
            <w:pPr>
              <w:pStyle w:val="ListParagraph"/>
              <w:keepNext/>
              <w:numPr>
                <w:ilvl w:val="0"/>
                <w:numId w:val="1"/>
              </w:numPr>
              <w:spacing w:line="276" w:lineRule="auto"/>
              <w:contextualSpacing w:val="0"/>
              <w:cnfStyle w:val="000000000000" w:firstRow="0" w:lastRow="0" w:firstColumn="0" w:lastColumn="0" w:oddVBand="0" w:evenVBand="0" w:oddHBand="0" w:evenHBand="0" w:firstRowFirstColumn="0" w:firstRowLastColumn="0" w:lastRowFirstColumn="0" w:lastRowLastColumn="0"/>
            </w:pPr>
          </w:p>
        </w:tc>
      </w:tr>
      <w:tr w:rsidR="00065E56" w14:paraId="2EC55FE7" w14:textId="77777777" w:rsidTr="001C607A">
        <w:tc>
          <w:tcPr>
            <w:cnfStyle w:val="001000000000" w:firstRow="0" w:lastRow="0" w:firstColumn="1" w:lastColumn="0" w:oddVBand="0" w:evenVBand="0" w:oddHBand="0" w:evenHBand="0" w:firstRowFirstColumn="0" w:firstRowLastColumn="0" w:lastRowFirstColumn="0" w:lastRowLastColumn="0"/>
            <w:tcW w:w="1596" w:type="dxa"/>
          </w:tcPr>
          <w:p w14:paraId="49BBE1B5" w14:textId="77777777" w:rsidR="00065E56" w:rsidRDefault="00065E56" w:rsidP="001C607A">
            <w:pPr>
              <w:keepNext/>
            </w:pPr>
            <w:r>
              <w:t>I perceive different tissue depths accurately.</w:t>
            </w:r>
          </w:p>
        </w:tc>
        <w:tc>
          <w:tcPr>
            <w:tcW w:w="1596" w:type="dxa"/>
          </w:tcPr>
          <w:p w14:paraId="47CEB1A6" w14:textId="77777777" w:rsidR="00065E56" w:rsidRDefault="00065E56" w:rsidP="00065E56">
            <w:pPr>
              <w:pStyle w:val="ListParagraph"/>
              <w:keepNext/>
              <w:numPr>
                <w:ilvl w:val="0"/>
                <w:numId w:val="1"/>
              </w:numPr>
              <w:spacing w:line="276" w:lineRule="auto"/>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5F81FF6D" w14:textId="77777777" w:rsidR="00065E56" w:rsidRDefault="00065E56" w:rsidP="00065E56">
            <w:pPr>
              <w:pStyle w:val="ListParagraph"/>
              <w:keepNext/>
              <w:numPr>
                <w:ilvl w:val="0"/>
                <w:numId w:val="1"/>
              </w:numPr>
              <w:spacing w:line="276" w:lineRule="auto"/>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1930D570" w14:textId="77777777" w:rsidR="00065E56" w:rsidRDefault="00065E56" w:rsidP="00065E56">
            <w:pPr>
              <w:pStyle w:val="ListParagraph"/>
              <w:keepNext/>
              <w:numPr>
                <w:ilvl w:val="0"/>
                <w:numId w:val="1"/>
              </w:numPr>
              <w:spacing w:line="276" w:lineRule="auto"/>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0178DF31" w14:textId="77777777" w:rsidR="00065E56" w:rsidRDefault="00065E56" w:rsidP="00065E56">
            <w:pPr>
              <w:pStyle w:val="ListParagraph"/>
              <w:keepNext/>
              <w:numPr>
                <w:ilvl w:val="0"/>
                <w:numId w:val="1"/>
              </w:numPr>
              <w:spacing w:line="276" w:lineRule="auto"/>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15170271" w14:textId="77777777" w:rsidR="00065E56" w:rsidRDefault="00065E56" w:rsidP="00065E56">
            <w:pPr>
              <w:pStyle w:val="ListParagraph"/>
              <w:keepNext/>
              <w:numPr>
                <w:ilvl w:val="0"/>
                <w:numId w:val="1"/>
              </w:numPr>
              <w:spacing w:line="276" w:lineRule="auto"/>
              <w:contextualSpacing w:val="0"/>
              <w:cnfStyle w:val="000000000000" w:firstRow="0" w:lastRow="0" w:firstColumn="0" w:lastColumn="0" w:oddVBand="0" w:evenVBand="0" w:oddHBand="0" w:evenHBand="0" w:firstRowFirstColumn="0" w:firstRowLastColumn="0" w:lastRowFirstColumn="0" w:lastRowLastColumn="0"/>
            </w:pPr>
          </w:p>
        </w:tc>
      </w:tr>
      <w:tr w:rsidR="00065E56" w14:paraId="75909F0B" w14:textId="77777777" w:rsidTr="001C607A">
        <w:tc>
          <w:tcPr>
            <w:cnfStyle w:val="001000000000" w:firstRow="0" w:lastRow="0" w:firstColumn="1" w:lastColumn="0" w:oddVBand="0" w:evenVBand="0" w:oddHBand="0" w:evenHBand="0" w:firstRowFirstColumn="0" w:firstRowLastColumn="0" w:lastRowFirstColumn="0" w:lastRowLastColumn="0"/>
            <w:tcW w:w="1596" w:type="dxa"/>
          </w:tcPr>
          <w:p w14:paraId="64FCDE65" w14:textId="77777777" w:rsidR="00065E56" w:rsidRDefault="00065E56" w:rsidP="001C607A">
            <w:pPr>
              <w:keepNext/>
            </w:pPr>
            <w:r>
              <w:t>I can tell tissue textures apart.</w:t>
            </w:r>
          </w:p>
        </w:tc>
        <w:tc>
          <w:tcPr>
            <w:tcW w:w="1596" w:type="dxa"/>
          </w:tcPr>
          <w:p w14:paraId="53ECB719" w14:textId="77777777" w:rsidR="00065E56" w:rsidRDefault="00065E56" w:rsidP="00065E56">
            <w:pPr>
              <w:pStyle w:val="ListParagraph"/>
              <w:keepNext/>
              <w:numPr>
                <w:ilvl w:val="0"/>
                <w:numId w:val="1"/>
              </w:numPr>
              <w:spacing w:line="276" w:lineRule="auto"/>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3B39198B" w14:textId="77777777" w:rsidR="00065E56" w:rsidRDefault="00065E56" w:rsidP="00065E56">
            <w:pPr>
              <w:pStyle w:val="ListParagraph"/>
              <w:keepNext/>
              <w:numPr>
                <w:ilvl w:val="0"/>
                <w:numId w:val="1"/>
              </w:numPr>
              <w:spacing w:line="276" w:lineRule="auto"/>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1895ACB6" w14:textId="77777777" w:rsidR="00065E56" w:rsidRDefault="00065E56" w:rsidP="00065E56">
            <w:pPr>
              <w:pStyle w:val="ListParagraph"/>
              <w:keepNext/>
              <w:numPr>
                <w:ilvl w:val="0"/>
                <w:numId w:val="1"/>
              </w:numPr>
              <w:spacing w:line="276" w:lineRule="auto"/>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410F72F8" w14:textId="77777777" w:rsidR="00065E56" w:rsidRDefault="00065E56" w:rsidP="00065E56">
            <w:pPr>
              <w:pStyle w:val="ListParagraph"/>
              <w:keepNext/>
              <w:numPr>
                <w:ilvl w:val="0"/>
                <w:numId w:val="1"/>
              </w:numPr>
              <w:spacing w:line="276" w:lineRule="auto"/>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08BA7E6C" w14:textId="77777777" w:rsidR="00065E56" w:rsidRDefault="00065E56" w:rsidP="00065E56">
            <w:pPr>
              <w:pStyle w:val="ListParagraph"/>
              <w:keepNext/>
              <w:numPr>
                <w:ilvl w:val="0"/>
                <w:numId w:val="1"/>
              </w:numPr>
              <w:spacing w:line="276" w:lineRule="auto"/>
              <w:contextualSpacing w:val="0"/>
              <w:cnfStyle w:val="000000000000" w:firstRow="0" w:lastRow="0" w:firstColumn="0" w:lastColumn="0" w:oddVBand="0" w:evenVBand="0" w:oddHBand="0" w:evenHBand="0" w:firstRowFirstColumn="0" w:firstRowLastColumn="0" w:lastRowFirstColumn="0" w:lastRowLastColumn="0"/>
            </w:pPr>
          </w:p>
        </w:tc>
      </w:tr>
    </w:tbl>
    <w:p w14:paraId="48325079" w14:textId="77777777" w:rsidR="00065E56" w:rsidRDefault="00065E56" w:rsidP="00065E56"/>
    <w:p w14:paraId="4D4605F3" w14:textId="77777777" w:rsidR="00065E56" w:rsidRDefault="00065E56" w:rsidP="00065E56"/>
    <w:p w14:paraId="125F2CDF" w14:textId="77777777" w:rsidR="00065E56" w:rsidRDefault="00065E56" w:rsidP="00065E56">
      <w:pPr>
        <w:pStyle w:val="QuestionSeparator"/>
      </w:pPr>
    </w:p>
    <w:tbl>
      <w:tblPr>
        <w:tblW w:w="0" w:type="auto"/>
        <w:tblInd w:w="10" w:type="dxa"/>
        <w:tblCellMar>
          <w:left w:w="10" w:type="dxa"/>
          <w:right w:w="10" w:type="dxa"/>
        </w:tblCellMar>
        <w:tblLook w:val="04A0" w:firstRow="1" w:lastRow="0" w:firstColumn="1" w:lastColumn="0" w:noHBand="0" w:noVBand="1"/>
      </w:tblPr>
      <w:tblGrid>
        <w:gridCol w:w="1348"/>
        <w:gridCol w:w="8002"/>
      </w:tblGrid>
      <w:tr w:rsidR="00065E56" w14:paraId="5FC16576" w14:textId="77777777" w:rsidTr="001C607A">
        <w:trPr>
          <w:trHeight w:val="300"/>
        </w:trPr>
        <w:tc>
          <w:tcPr>
            <w:tcW w:w="1368" w:type="dxa"/>
            <w:tcBorders>
              <w:top w:val="nil"/>
              <w:left w:val="nil"/>
              <w:bottom w:val="nil"/>
              <w:right w:val="nil"/>
            </w:tcBorders>
          </w:tcPr>
          <w:p w14:paraId="68492892" w14:textId="77777777" w:rsidR="00065E56" w:rsidRDefault="00065E56" w:rsidP="001C607A">
            <w:pPr>
              <w:rPr>
                <w:color w:val="CCCCCC"/>
              </w:rPr>
            </w:pPr>
            <w:r>
              <w:rPr>
                <w:color w:val="CCCCCC"/>
              </w:rPr>
              <w:t>Page Break</w:t>
            </w:r>
          </w:p>
        </w:tc>
        <w:tc>
          <w:tcPr>
            <w:tcW w:w="8208" w:type="dxa"/>
            <w:tcBorders>
              <w:top w:val="nil"/>
              <w:left w:val="nil"/>
              <w:bottom w:val="nil"/>
              <w:right w:val="nil"/>
            </w:tcBorders>
          </w:tcPr>
          <w:p w14:paraId="59A666C4" w14:textId="77777777" w:rsidR="00065E56" w:rsidRDefault="00065E56" w:rsidP="001C607A">
            <w:pPr>
              <w:pBdr>
                <w:top w:val="single" w:sz="8" w:space="0" w:color="CCCCCC"/>
              </w:pBdr>
              <w:spacing w:before="120" w:after="120" w:line="120" w:lineRule="auto"/>
              <w:jc w:val="center"/>
              <w:rPr>
                <w:color w:val="CCCCCC"/>
              </w:rPr>
            </w:pPr>
          </w:p>
        </w:tc>
      </w:tr>
    </w:tbl>
    <w:p w14:paraId="195E4E2A" w14:textId="77777777" w:rsidR="00065E56" w:rsidRDefault="00065E56" w:rsidP="00065E56">
      <w:r>
        <w:br w:type="page"/>
      </w:r>
    </w:p>
    <w:p w14:paraId="51E9631E" w14:textId="77777777" w:rsidR="00065E56" w:rsidRDefault="00065E56" w:rsidP="00065E56"/>
    <w:p w14:paraId="018C6924" w14:textId="77777777" w:rsidR="00065E56" w:rsidRDefault="00065E56" w:rsidP="00065E56">
      <w:pPr>
        <w:keepNext/>
      </w:pPr>
      <w:r>
        <w:t>Q7 Please select the response that best represents you/your opinion for each statement.</w:t>
      </w:r>
    </w:p>
    <w:tbl>
      <w:tblPr>
        <w:tblStyle w:val="QQuestionTable"/>
        <w:tblW w:w="9576" w:type="auto"/>
        <w:tblLook w:val="07E0" w:firstRow="1" w:lastRow="1" w:firstColumn="1" w:lastColumn="1" w:noHBand="1" w:noVBand="1"/>
      </w:tblPr>
      <w:tblGrid>
        <w:gridCol w:w="1365"/>
        <w:gridCol w:w="1319"/>
        <w:gridCol w:w="1320"/>
        <w:gridCol w:w="1356"/>
        <w:gridCol w:w="1326"/>
        <w:gridCol w:w="1321"/>
        <w:gridCol w:w="1353"/>
      </w:tblGrid>
      <w:tr w:rsidR="00065E56" w14:paraId="26554F00" w14:textId="77777777" w:rsidTr="001C607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8" w:type="dxa"/>
          </w:tcPr>
          <w:p w14:paraId="02AA4B7F" w14:textId="77777777" w:rsidR="00065E56" w:rsidRDefault="00065E56" w:rsidP="001C607A">
            <w:pPr>
              <w:keepNext/>
            </w:pPr>
          </w:p>
        </w:tc>
        <w:tc>
          <w:tcPr>
            <w:tcW w:w="1368" w:type="dxa"/>
          </w:tcPr>
          <w:p w14:paraId="5A1EEA34" w14:textId="77777777" w:rsidR="00065E56" w:rsidRDefault="00065E56" w:rsidP="001C607A">
            <w:pPr>
              <w:cnfStyle w:val="100000000000" w:firstRow="1" w:lastRow="0" w:firstColumn="0" w:lastColumn="0" w:oddVBand="0" w:evenVBand="0" w:oddHBand="0" w:evenHBand="0" w:firstRowFirstColumn="0" w:firstRowLastColumn="0" w:lastRowFirstColumn="0" w:lastRowLastColumn="0"/>
            </w:pPr>
            <w:r>
              <w:t>Not at all true for me</w:t>
            </w:r>
          </w:p>
        </w:tc>
        <w:tc>
          <w:tcPr>
            <w:tcW w:w="1368" w:type="dxa"/>
          </w:tcPr>
          <w:p w14:paraId="6F0BB287" w14:textId="77777777" w:rsidR="00065E56" w:rsidRDefault="00065E56" w:rsidP="001C607A">
            <w:pPr>
              <w:cnfStyle w:val="100000000000" w:firstRow="1" w:lastRow="0" w:firstColumn="0" w:lastColumn="0" w:oddVBand="0" w:evenVBand="0" w:oddHBand="0" w:evenHBand="0" w:firstRowFirstColumn="0" w:firstRowLastColumn="0" w:lastRowFirstColumn="0" w:lastRowLastColumn="0"/>
            </w:pPr>
            <w:r>
              <w:t>Not very true for me</w:t>
            </w:r>
          </w:p>
        </w:tc>
        <w:tc>
          <w:tcPr>
            <w:tcW w:w="1368" w:type="dxa"/>
          </w:tcPr>
          <w:p w14:paraId="2ECCCA46" w14:textId="77777777" w:rsidR="00065E56" w:rsidRDefault="00065E56" w:rsidP="001C607A">
            <w:pPr>
              <w:cnfStyle w:val="100000000000" w:firstRow="1" w:lastRow="0" w:firstColumn="0" w:lastColumn="0" w:oddVBand="0" w:evenVBand="0" w:oddHBand="0" w:evenHBand="0" w:firstRowFirstColumn="0" w:firstRowLastColumn="0" w:lastRowFirstColumn="0" w:lastRowLastColumn="0"/>
            </w:pPr>
            <w:r>
              <w:t>Somewhat true for me</w:t>
            </w:r>
          </w:p>
        </w:tc>
        <w:tc>
          <w:tcPr>
            <w:tcW w:w="1368" w:type="dxa"/>
          </w:tcPr>
          <w:p w14:paraId="0178A232" w14:textId="77777777" w:rsidR="00065E56" w:rsidRDefault="00065E56" w:rsidP="001C607A">
            <w:pPr>
              <w:cnfStyle w:val="100000000000" w:firstRow="1" w:lastRow="0" w:firstColumn="0" w:lastColumn="0" w:oddVBand="0" w:evenVBand="0" w:oddHBand="0" w:evenHBand="0" w:firstRowFirstColumn="0" w:firstRowLastColumn="0" w:lastRowFirstColumn="0" w:lastRowLastColumn="0"/>
            </w:pPr>
            <w:r>
              <w:t>Fairly true for me</w:t>
            </w:r>
          </w:p>
        </w:tc>
        <w:tc>
          <w:tcPr>
            <w:tcW w:w="1368" w:type="dxa"/>
          </w:tcPr>
          <w:p w14:paraId="0BF30593" w14:textId="77777777" w:rsidR="00065E56" w:rsidRDefault="00065E56" w:rsidP="001C607A">
            <w:pPr>
              <w:cnfStyle w:val="100000000000" w:firstRow="1" w:lastRow="0" w:firstColumn="0" w:lastColumn="0" w:oddVBand="0" w:evenVBand="0" w:oddHBand="0" w:evenHBand="0" w:firstRowFirstColumn="0" w:firstRowLastColumn="0" w:lastRowFirstColumn="0" w:lastRowLastColumn="0"/>
            </w:pPr>
            <w:r>
              <w:t>Very true for me</w:t>
            </w:r>
          </w:p>
        </w:tc>
        <w:tc>
          <w:tcPr>
            <w:tcW w:w="1368" w:type="dxa"/>
          </w:tcPr>
          <w:p w14:paraId="05298EBB" w14:textId="77777777" w:rsidR="00065E56" w:rsidRDefault="00065E56" w:rsidP="001C607A">
            <w:pPr>
              <w:cnfStyle w:val="100000000000" w:firstRow="1" w:lastRow="0" w:firstColumn="0" w:lastColumn="0" w:oddVBand="0" w:evenVBand="0" w:oddHBand="0" w:evenHBand="0" w:firstRowFirstColumn="0" w:firstRowLastColumn="0" w:lastRowFirstColumn="0" w:lastRowLastColumn="0"/>
            </w:pPr>
            <w:r>
              <w:t>Not applicable</w:t>
            </w:r>
          </w:p>
        </w:tc>
      </w:tr>
      <w:tr w:rsidR="00065E56" w14:paraId="5484C941" w14:textId="77777777" w:rsidTr="001C607A">
        <w:tc>
          <w:tcPr>
            <w:cnfStyle w:val="001000000000" w:firstRow="0" w:lastRow="0" w:firstColumn="1" w:lastColumn="0" w:oddVBand="0" w:evenVBand="0" w:oddHBand="0" w:evenHBand="0" w:firstRowFirstColumn="0" w:firstRowLastColumn="0" w:lastRowFirstColumn="0" w:lastRowLastColumn="0"/>
            <w:tcW w:w="1368" w:type="dxa"/>
          </w:tcPr>
          <w:p w14:paraId="31C47187" w14:textId="77777777" w:rsidR="00065E56" w:rsidRDefault="00065E56" w:rsidP="001C607A">
            <w:pPr>
              <w:keepNext/>
            </w:pPr>
            <w:r>
              <w:t>I wanted to dissect a cadaver.</w:t>
            </w:r>
          </w:p>
        </w:tc>
        <w:tc>
          <w:tcPr>
            <w:tcW w:w="1368" w:type="dxa"/>
          </w:tcPr>
          <w:p w14:paraId="584424EA" w14:textId="77777777" w:rsidR="00065E56" w:rsidRDefault="00065E56" w:rsidP="00065E56">
            <w:pPr>
              <w:pStyle w:val="ListParagraph"/>
              <w:keepNext/>
              <w:numPr>
                <w:ilvl w:val="0"/>
                <w:numId w:val="1"/>
              </w:numPr>
              <w:spacing w:line="276" w:lineRule="auto"/>
              <w:contextualSpacing w:val="0"/>
              <w:cnfStyle w:val="000000000000" w:firstRow="0" w:lastRow="0" w:firstColumn="0" w:lastColumn="0" w:oddVBand="0" w:evenVBand="0" w:oddHBand="0" w:evenHBand="0" w:firstRowFirstColumn="0" w:firstRowLastColumn="0" w:lastRowFirstColumn="0" w:lastRowLastColumn="0"/>
            </w:pPr>
          </w:p>
        </w:tc>
        <w:tc>
          <w:tcPr>
            <w:tcW w:w="1368" w:type="dxa"/>
          </w:tcPr>
          <w:p w14:paraId="49491789" w14:textId="77777777" w:rsidR="00065E56" w:rsidRDefault="00065E56" w:rsidP="00065E56">
            <w:pPr>
              <w:pStyle w:val="ListParagraph"/>
              <w:keepNext/>
              <w:numPr>
                <w:ilvl w:val="0"/>
                <w:numId w:val="1"/>
              </w:numPr>
              <w:spacing w:line="276" w:lineRule="auto"/>
              <w:contextualSpacing w:val="0"/>
              <w:cnfStyle w:val="000000000000" w:firstRow="0" w:lastRow="0" w:firstColumn="0" w:lastColumn="0" w:oddVBand="0" w:evenVBand="0" w:oddHBand="0" w:evenHBand="0" w:firstRowFirstColumn="0" w:firstRowLastColumn="0" w:lastRowFirstColumn="0" w:lastRowLastColumn="0"/>
            </w:pPr>
          </w:p>
        </w:tc>
        <w:tc>
          <w:tcPr>
            <w:tcW w:w="1368" w:type="dxa"/>
          </w:tcPr>
          <w:p w14:paraId="1418C1EE" w14:textId="77777777" w:rsidR="00065E56" w:rsidRDefault="00065E56" w:rsidP="00065E56">
            <w:pPr>
              <w:pStyle w:val="ListParagraph"/>
              <w:keepNext/>
              <w:numPr>
                <w:ilvl w:val="0"/>
                <w:numId w:val="1"/>
              </w:numPr>
              <w:spacing w:line="276" w:lineRule="auto"/>
              <w:contextualSpacing w:val="0"/>
              <w:cnfStyle w:val="000000000000" w:firstRow="0" w:lastRow="0" w:firstColumn="0" w:lastColumn="0" w:oddVBand="0" w:evenVBand="0" w:oddHBand="0" w:evenHBand="0" w:firstRowFirstColumn="0" w:firstRowLastColumn="0" w:lastRowFirstColumn="0" w:lastRowLastColumn="0"/>
            </w:pPr>
          </w:p>
        </w:tc>
        <w:tc>
          <w:tcPr>
            <w:tcW w:w="1368" w:type="dxa"/>
          </w:tcPr>
          <w:p w14:paraId="14D4952A" w14:textId="77777777" w:rsidR="00065E56" w:rsidRDefault="00065E56" w:rsidP="00065E56">
            <w:pPr>
              <w:pStyle w:val="ListParagraph"/>
              <w:keepNext/>
              <w:numPr>
                <w:ilvl w:val="0"/>
                <w:numId w:val="1"/>
              </w:numPr>
              <w:spacing w:line="276" w:lineRule="auto"/>
              <w:contextualSpacing w:val="0"/>
              <w:cnfStyle w:val="000000000000" w:firstRow="0" w:lastRow="0" w:firstColumn="0" w:lastColumn="0" w:oddVBand="0" w:evenVBand="0" w:oddHBand="0" w:evenHBand="0" w:firstRowFirstColumn="0" w:firstRowLastColumn="0" w:lastRowFirstColumn="0" w:lastRowLastColumn="0"/>
            </w:pPr>
          </w:p>
        </w:tc>
        <w:tc>
          <w:tcPr>
            <w:tcW w:w="1368" w:type="dxa"/>
          </w:tcPr>
          <w:p w14:paraId="3A6B2D99" w14:textId="77777777" w:rsidR="00065E56" w:rsidRDefault="00065E56" w:rsidP="00065E56">
            <w:pPr>
              <w:pStyle w:val="ListParagraph"/>
              <w:keepNext/>
              <w:numPr>
                <w:ilvl w:val="0"/>
                <w:numId w:val="1"/>
              </w:numPr>
              <w:spacing w:line="276" w:lineRule="auto"/>
              <w:contextualSpacing w:val="0"/>
              <w:cnfStyle w:val="000000000000" w:firstRow="0" w:lastRow="0" w:firstColumn="0" w:lastColumn="0" w:oddVBand="0" w:evenVBand="0" w:oddHBand="0" w:evenHBand="0" w:firstRowFirstColumn="0" w:firstRowLastColumn="0" w:lastRowFirstColumn="0" w:lastRowLastColumn="0"/>
            </w:pPr>
          </w:p>
        </w:tc>
        <w:tc>
          <w:tcPr>
            <w:tcW w:w="1368" w:type="dxa"/>
          </w:tcPr>
          <w:p w14:paraId="3CC1090B" w14:textId="77777777" w:rsidR="00065E56" w:rsidRDefault="00065E56" w:rsidP="00065E56">
            <w:pPr>
              <w:pStyle w:val="ListParagraph"/>
              <w:keepNext/>
              <w:numPr>
                <w:ilvl w:val="0"/>
                <w:numId w:val="1"/>
              </w:numPr>
              <w:spacing w:line="276" w:lineRule="auto"/>
              <w:contextualSpacing w:val="0"/>
              <w:cnfStyle w:val="000000000000" w:firstRow="0" w:lastRow="0" w:firstColumn="0" w:lastColumn="0" w:oddVBand="0" w:evenVBand="0" w:oddHBand="0" w:evenHBand="0" w:firstRowFirstColumn="0" w:firstRowLastColumn="0" w:lastRowFirstColumn="0" w:lastRowLastColumn="0"/>
            </w:pPr>
          </w:p>
        </w:tc>
      </w:tr>
      <w:tr w:rsidR="00065E56" w14:paraId="116E1529" w14:textId="77777777" w:rsidTr="001C607A">
        <w:tc>
          <w:tcPr>
            <w:cnfStyle w:val="001000000000" w:firstRow="0" w:lastRow="0" w:firstColumn="1" w:lastColumn="0" w:oddVBand="0" w:evenVBand="0" w:oddHBand="0" w:evenHBand="0" w:firstRowFirstColumn="0" w:firstRowLastColumn="0" w:lastRowFirstColumn="0" w:lastRowLastColumn="0"/>
            <w:tcW w:w="1368" w:type="dxa"/>
          </w:tcPr>
          <w:p w14:paraId="0529AFCA" w14:textId="77777777" w:rsidR="00065E56" w:rsidRDefault="00065E56" w:rsidP="001C607A">
            <w:pPr>
              <w:keepNext/>
            </w:pPr>
            <w:r>
              <w:t>I feel behind on surgery skills because I could not dissect.</w:t>
            </w:r>
          </w:p>
        </w:tc>
        <w:tc>
          <w:tcPr>
            <w:tcW w:w="1368" w:type="dxa"/>
          </w:tcPr>
          <w:p w14:paraId="2B497E73" w14:textId="77777777" w:rsidR="00065E56" w:rsidRDefault="00065E56" w:rsidP="00065E56">
            <w:pPr>
              <w:pStyle w:val="ListParagraph"/>
              <w:keepNext/>
              <w:numPr>
                <w:ilvl w:val="0"/>
                <w:numId w:val="1"/>
              </w:numPr>
              <w:spacing w:line="276" w:lineRule="auto"/>
              <w:contextualSpacing w:val="0"/>
              <w:cnfStyle w:val="000000000000" w:firstRow="0" w:lastRow="0" w:firstColumn="0" w:lastColumn="0" w:oddVBand="0" w:evenVBand="0" w:oddHBand="0" w:evenHBand="0" w:firstRowFirstColumn="0" w:firstRowLastColumn="0" w:lastRowFirstColumn="0" w:lastRowLastColumn="0"/>
            </w:pPr>
          </w:p>
        </w:tc>
        <w:tc>
          <w:tcPr>
            <w:tcW w:w="1368" w:type="dxa"/>
          </w:tcPr>
          <w:p w14:paraId="3D84BFBE" w14:textId="77777777" w:rsidR="00065E56" w:rsidRDefault="00065E56" w:rsidP="00065E56">
            <w:pPr>
              <w:pStyle w:val="ListParagraph"/>
              <w:keepNext/>
              <w:numPr>
                <w:ilvl w:val="0"/>
                <w:numId w:val="1"/>
              </w:numPr>
              <w:spacing w:line="276" w:lineRule="auto"/>
              <w:contextualSpacing w:val="0"/>
              <w:cnfStyle w:val="000000000000" w:firstRow="0" w:lastRow="0" w:firstColumn="0" w:lastColumn="0" w:oddVBand="0" w:evenVBand="0" w:oddHBand="0" w:evenHBand="0" w:firstRowFirstColumn="0" w:firstRowLastColumn="0" w:lastRowFirstColumn="0" w:lastRowLastColumn="0"/>
            </w:pPr>
          </w:p>
        </w:tc>
        <w:tc>
          <w:tcPr>
            <w:tcW w:w="1368" w:type="dxa"/>
          </w:tcPr>
          <w:p w14:paraId="28BCBE2E" w14:textId="77777777" w:rsidR="00065E56" w:rsidRDefault="00065E56" w:rsidP="00065E56">
            <w:pPr>
              <w:pStyle w:val="ListParagraph"/>
              <w:keepNext/>
              <w:numPr>
                <w:ilvl w:val="0"/>
                <w:numId w:val="1"/>
              </w:numPr>
              <w:spacing w:line="276" w:lineRule="auto"/>
              <w:contextualSpacing w:val="0"/>
              <w:cnfStyle w:val="000000000000" w:firstRow="0" w:lastRow="0" w:firstColumn="0" w:lastColumn="0" w:oddVBand="0" w:evenVBand="0" w:oddHBand="0" w:evenHBand="0" w:firstRowFirstColumn="0" w:firstRowLastColumn="0" w:lastRowFirstColumn="0" w:lastRowLastColumn="0"/>
            </w:pPr>
          </w:p>
        </w:tc>
        <w:tc>
          <w:tcPr>
            <w:tcW w:w="1368" w:type="dxa"/>
          </w:tcPr>
          <w:p w14:paraId="6BD8C299" w14:textId="77777777" w:rsidR="00065E56" w:rsidRDefault="00065E56" w:rsidP="00065E56">
            <w:pPr>
              <w:pStyle w:val="ListParagraph"/>
              <w:keepNext/>
              <w:numPr>
                <w:ilvl w:val="0"/>
                <w:numId w:val="1"/>
              </w:numPr>
              <w:spacing w:line="276" w:lineRule="auto"/>
              <w:contextualSpacing w:val="0"/>
              <w:cnfStyle w:val="000000000000" w:firstRow="0" w:lastRow="0" w:firstColumn="0" w:lastColumn="0" w:oddVBand="0" w:evenVBand="0" w:oddHBand="0" w:evenHBand="0" w:firstRowFirstColumn="0" w:firstRowLastColumn="0" w:lastRowFirstColumn="0" w:lastRowLastColumn="0"/>
            </w:pPr>
          </w:p>
        </w:tc>
        <w:tc>
          <w:tcPr>
            <w:tcW w:w="1368" w:type="dxa"/>
          </w:tcPr>
          <w:p w14:paraId="75AE6A41" w14:textId="77777777" w:rsidR="00065E56" w:rsidRDefault="00065E56" w:rsidP="00065E56">
            <w:pPr>
              <w:pStyle w:val="ListParagraph"/>
              <w:keepNext/>
              <w:numPr>
                <w:ilvl w:val="0"/>
                <w:numId w:val="1"/>
              </w:numPr>
              <w:spacing w:line="276" w:lineRule="auto"/>
              <w:contextualSpacing w:val="0"/>
              <w:cnfStyle w:val="000000000000" w:firstRow="0" w:lastRow="0" w:firstColumn="0" w:lastColumn="0" w:oddVBand="0" w:evenVBand="0" w:oddHBand="0" w:evenHBand="0" w:firstRowFirstColumn="0" w:firstRowLastColumn="0" w:lastRowFirstColumn="0" w:lastRowLastColumn="0"/>
            </w:pPr>
          </w:p>
        </w:tc>
        <w:tc>
          <w:tcPr>
            <w:tcW w:w="1368" w:type="dxa"/>
          </w:tcPr>
          <w:p w14:paraId="3F2F376D" w14:textId="77777777" w:rsidR="00065E56" w:rsidRDefault="00065E56" w:rsidP="00065E56">
            <w:pPr>
              <w:pStyle w:val="ListParagraph"/>
              <w:keepNext/>
              <w:numPr>
                <w:ilvl w:val="0"/>
                <w:numId w:val="1"/>
              </w:numPr>
              <w:spacing w:line="276" w:lineRule="auto"/>
              <w:contextualSpacing w:val="0"/>
              <w:cnfStyle w:val="000000000000" w:firstRow="0" w:lastRow="0" w:firstColumn="0" w:lastColumn="0" w:oddVBand="0" w:evenVBand="0" w:oddHBand="0" w:evenHBand="0" w:firstRowFirstColumn="0" w:firstRowLastColumn="0" w:lastRowFirstColumn="0" w:lastRowLastColumn="0"/>
            </w:pPr>
          </w:p>
        </w:tc>
      </w:tr>
      <w:tr w:rsidR="00065E56" w14:paraId="22030648" w14:textId="77777777" w:rsidTr="001C607A">
        <w:tc>
          <w:tcPr>
            <w:cnfStyle w:val="001000000000" w:firstRow="0" w:lastRow="0" w:firstColumn="1" w:lastColumn="0" w:oddVBand="0" w:evenVBand="0" w:oddHBand="0" w:evenHBand="0" w:firstRowFirstColumn="0" w:firstRowLastColumn="0" w:lastRowFirstColumn="0" w:lastRowLastColumn="0"/>
            <w:tcW w:w="1368" w:type="dxa"/>
          </w:tcPr>
          <w:p w14:paraId="472E8116" w14:textId="77777777" w:rsidR="00065E56" w:rsidRDefault="00065E56" w:rsidP="001C607A">
            <w:pPr>
              <w:keepNext/>
            </w:pPr>
            <w:r>
              <w:t>Studying from physical models would have contributed to my anatomical knowledge.</w:t>
            </w:r>
          </w:p>
        </w:tc>
        <w:tc>
          <w:tcPr>
            <w:tcW w:w="1368" w:type="dxa"/>
          </w:tcPr>
          <w:p w14:paraId="5E1B15DD" w14:textId="77777777" w:rsidR="00065E56" w:rsidRDefault="00065E56" w:rsidP="00065E56">
            <w:pPr>
              <w:pStyle w:val="ListParagraph"/>
              <w:keepNext/>
              <w:numPr>
                <w:ilvl w:val="0"/>
                <w:numId w:val="1"/>
              </w:numPr>
              <w:spacing w:line="276" w:lineRule="auto"/>
              <w:contextualSpacing w:val="0"/>
              <w:cnfStyle w:val="000000000000" w:firstRow="0" w:lastRow="0" w:firstColumn="0" w:lastColumn="0" w:oddVBand="0" w:evenVBand="0" w:oddHBand="0" w:evenHBand="0" w:firstRowFirstColumn="0" w:firstRowLastColumn="0" w:lastRowFirstColumn="0" w:lastRowLastColumn="0"/>
            </w:pPr>
          </w:p>
        </w:tc>
        <w:tc>
          <w:tcPr>
            <w:tcW w:w="1368" w:type="dxa"/>
          </w:tcPr>
          <w:p w14:paraId="50229634" w14:textId="77777777" w:rsidR="00065E56" w:rsidRDefault="00065E56" w:rsidP="00065E56">
            <w:pPr>
              <w:pStyle w:val="ListParagraph"/>
              <w:keepNext/>
              <w:numPr>
                <w:ilvl w:val="0"/>
                <w:numId w:val="1"/>
              </w:numPr>
              <w:spacing w:line="276" w:lineRule="auto"/>
              <w:contextualSpacing w:val="0"/>
              <w:cnfStyle w:val="000000000000" w:firstRow="0" w:lastRow="0" w:firstColumn="0" w:lastColumn="0" w:oddVBand="0" w:evenVBand="0" w:oddHBand="0" w:evenHBand="0" w:firstRowFirstColumn="0" w:firstRowLastColumn="0" w:lastRowFirstColumn="0" w:lastRowLastColumn="0"/>
            </w:pPr>
          </w:p>
        </w:tc>
        <w:tc>
          <w:tcPr>
            <w:tcW w:w="1368" w:type="dxa"/>
          </w:tcPr>
          <w:p w14:paraId="59E91757" w14:textId="77777777" w:rsidR="00065E56" w:rsidRDefault="00065E56" w:rsidP="00065E56">
            <w:pPr>
              <w:pStyle w:val="ListParagraph"/>
              <w:keepNext/>
              <w:numPr>
                <w:ilvl w:val="0"/>
                <w:numId w:val="1"/>
              </w:numPr>
              <w:spacing w:line="276" w:lineRule="auto"/>
              <w:contextualSpacing w:val="0"/>
              <w:cnfStyle w:val="000000000000" w:firstRow="0" w:lastRow="0" w:firstColumn="0" w:lastColumn="0" w:oddVBand="0" w:evenVBand="0" w:oddHBand="0" w:evenHBand="0" w:firstRowFirstColumn="0" w:firstRowLastColumn="0" w:lastRowFirstColumn="0" w:lastRowLastColumn="0"/>
            </w:pPr>
          </w:p>
        </w:tc>
        <w:tc>
          <w:tcPr>
            <w:tcW w:w="1368" w:type="dxa"/>
          </w:tcPr>
          <w:p w14:paraId="5E314543" w14:textId="77777777" w:rsidR="00065E56" w:rsidRDefault="00065E56" w:rsidP="00065E56">
            <w:pPr>
              <w:pStyle w:val="ListParagraph"/>
              <w:keepNext/>
              <w:numPr>
                <w:ilvl w:val="0"/>
                <w:numId w:val="1"/>
              </w:numPr>
              <w:spacing w:line="276" w:lineRule="auto"/>
              <w:contextualSpacing w:val="0"/>
              <w:cnfStyle w:val="000000000000" w:firstRow="0" w:lastRow="0" w:firstColumn="0" w:lastColumn="0" w:oddVBand="0" w:evenVBand="0" w:oddHBand="0" w:evenHBand="0" w:firstRowFirstColumn="0" w:firstRowLastColumn="0" w:lastRowFirstColumn="0" w:lastRowLastColumn="0"/>
            </w:pPr>
          </w:p>
        </w:tc>
        <w:tc>
          <w:tcPr>
            <w:tcW w:w="1368" w:type="dxa"/>
          </w:tcPr>
          <w:p w14:paraId="233B0152" w14:textId="77777777" w:rsidR="00065E56" w:rsidRDefault="00065E56" w:rsidP="00065E56">
            <w:pPr>
              <w:pStyle w:val="ListParagraph"/>
              <w:keepNext/>
              <w:numPr>
                <w:ilvl w:val="0"/>
                <w:numId w:val="1"/>
              </w:numPr>
              <w:spacing w:line="276" w:lineRule="auto"/>
              <w:contextualSpacing w:val="0"/>
              <w:cnfStyle w:val="000000000000" w:firstRow="0" w:lastRow="0" w:firstColumn="0" w:lastColumn="0" w:oddVBand="0" w:evenVBand="0" w:oddHBand="0" w:evenHBand="0" w:firstRowFirstColumn="0" w:firstRowLastColumn="0" w:lastRowFirstColumn="0" w:lastRowLastColumn="0"/>
            </w:pPr>
          </w:p>
        </w:tc>
        <w:tc>
          <w:tcPr>
            <w:tcW w:w="1368" w:type="dxa"/>
          </w:tcPr>
          <w:p w14:paraId="29AE626F" w14:textId="77777777" w:rsidR="00065E56" w:rsidRDefault="00065E56" w:rsidP="00065E56">
            <w:pPr>
              <w:pStyle w:val="ListParagraph"/>
              <w:keepNext/>
              <w:numPr>
                <w:ilvl w:val="0"/>
                <w:numId w:val="1"/>
              </w:numPr>
              <w:spacing w:line="276" w:lineRule="auto"/>
              <w:contextualSpacing w:val="0"/>
              <w:cnfStyle w:val="000000000000" w:firstRow="0" w:lastRow="0" w:firstColumn="0" w:lastColumn="0" w:oddVBand="0" w:evenVBand="0" w:oddHBand="0" w:evenHBand="0" w:firstRowFirstColumn="0" w:firstRowLastColumn="0" w:lastRowFirstColumn="0" w:lastRowLastColumn="0"/>
            </w:pPr>
          </w:p>
        </w:tc>
      </w:tr>
      <w:tr w:rsidR="00065E56" w14:paraId="7BED91CA" w14:textId="77777777" w:rsidTr="001C607A">
        <w:tc>
          <w:tcPr>
            <w:cnfStyle w:val="001000000000" w:firstRow="0" w:lastRow="0" w:firstColumn="1" w:lastColumn="0" w:oddVBand="0" w:evenVBand="0" w:oddHBand="0" w:evenHBand="0" w:firstRowFirstColumn="0" w:firstRowLastColumn="0" w:lastRowFirstColumn="0" w:lastRowLastColumn="0"/>
            <w:tcW w:w="1368" w:type="dxa"/>
          </w:tcPr>
          <w:p w14:paraId="6914B658" w14:textId="77777777" w:rsidR="00065E56" w:rsidRDefault="00065E56" w:rsidP="001C607A">
            <w:pPr>
              <w:keepNext/>
            </w:pPr>
            <w:r>
              <w:t>Studying from a three-dimensional online atlas is just as good as studying from physical models.</w:t>
            </w:r>
          </w:p>
        </w:tc>
        <w:tc>
          <w:tcPr>
            <w:tcW w:w="1368" w:type="dxa"/>
          </w:tcPr>
          <w:p w14:paraId="5AA44507" w14:textId="77777777" w:rsidR="00065E56" w:rsidRDefault="00065E56" w:rsidP="00065E56">
            <w:pPr>
              <w:pStyle w:val="ListParagraph"/>
              <w:keepNext/>
              <w:numPr>
                <w:ilvl w:val="0"/>
                <w:numId w:val="1"/>
              </w:numPr>
              <w:spacing w:line="276" w:lineRule="auto"/>
              <w:contextualSpacing w:val="0"/>
              <w:cnfStyle w:val="000000000000" w:firstRow="0" w:lastRow="0" w:firstColumn="0" w:lastColumn="0" w:oddVBand="0" w:evenVBand="0" w:oddHBand="0" w:evenHBand="0" w:firstRowFirstColumn="0" w:firstRowLastColumn="0" w:lastRowFirstColumn="0" w:lastRowLastColumn="0"/>
            </w:pPr>
          </w:p>
        </w:tc>
        <w:tc>
          <w:tcPr>
            <w:tcW w:w="1368" w:type="dxa"/>
          </w:tcPr>
          <w:p w14:paraId="6AF90F6F" w14:textId="77777777" w:rsidR="00065E56" w:rsidRDefault="00065E56" w:rsidP="00065E56">
            <w:pPr>
              <w:pStyle w:val="ListParagraph"/>
              <w:keepNext/>
              <w:numPr>
                <w:ilvl w:val="0"/>
                <w:numId w:val="1"/>
              </w:numPr>
              <w:spacing w:line="276" w:lineRule="auto"/>
              <w:contextualSpacing w:val="0"/>
              <w:cnfStyle w:val="000000000000" w:firstRow="0" w:lastRow="0" w:firstColumn="0" w:lastColumn="0" w:oddVBand="0" w:evenVBand="0" w:oddHBand="0" w:evenHBand="0" w:firstRowFirstColumn="0" w:firstRowLastColumn="0" w:lastRowFirstColumn="0" w:lastRowLastColumn="0"/>
            </w:pPr>
          </w:p>
        </w:tc>
        <w:tc>
          <w:tcPr>
            <w:tcW w:w="1368" w:type="dxa"/>
          </w:tcPr>
          <w:p w14:paraId="6FD1F2C2" w14:textId="77777777" w:rsidR="00065E56" w:rsidRDefault="00065E56" w:rsidP="00065E56">
            <w:pPr>
              <w:pStyle w:val="ListParagraph"/>
              <w:keepNext/>
              <w:numPr>
                <w:ilvl w:val="0"/>
                <w:numId w:val="1"/>
              </w:numPr>
              <w:spacing w:line="276" w:lineRule="auto"/>
              <w:contextualSpacing w:val="0"/>
              <w:cnfStyle w:val="000000000000" w:firstRow="0" w:lastRow="0" w:firstColumn="0" w:lastColumn="0" w:oddVBand="0" w:evenVBand="0" w:oddHBand="0" w:evenHBand="0" w:firstRowFirstColumn="0" w:firstRowLastColumn="0" w:lastRowFirstColumn="0" w:lastRowLastColumn="0"/>
            </w:pPr>
          </w:p>
        </w:tc>
        <w:tc>
          <w:tcPr>
            <w:tcW w:w="1368" w:type="dxa"/>
          </w:tcPr>
          <w:p w14:paraId="645AE9CC" w14:textId="77777777" w:rsidR="00065E56" w:rsidRDefault="00065E56" w:rsidP="00065E56">
            <w:pPr>
              <w:pStyle w:val="ListParagraph"/>
              <w:keepNext/>
              <w:numPr>
                <w:ilvl w:val="0"/>
                <w:numId w:val="1"/>
              </w:numPr>
              <w:spacing w:line="276" w:lineRule="auto"/>
              <w:contextualSpacing w:val="0"/>
              <w:cnfStyle w:val="000000000000" w:firstRow="0" w:lastRow="0" w:firstColumn="0" w:lastColumn="0" w:oddVBand="0" w:evenVBand="0" w:oddHBand="0" w:evenHBand="0" w:firstRowFirstColumn="0" w:firstRowLastColumn="0" w:lastRowFirstColumn="0" w:lastRowLastColumn="0"/>
            </w:pPr>
          </w:p>
        </w:tc>
        <w:tc>
          <w:tcPr>
            <w:tcW w:w="1368" w:type="dxa"/>
          </w:tcPr>
          <w:p w14:paraId="0EC8118D" w14:textId="77777777" w:rsidR="00065E56" w:rsidRDefault="00065E56" w:rsidP="00065E56">
            <w:pPr>
              <w:pStyle w:val="ListParagraph"/>
              <w:keepNext/>
              <w:numPr>
                <w:ilvl w:val="0"/>
                <w:numId w:val="1"/>
              </w:numPr>
              <w:spacing w:line="276" w:lineRule="auto"/>
              <w:contextualSpacing w:val="0"/>
              <w:cnfStyle w:val="000000000000" w:firstRow="0" w:lastRow="0" w:firstColumn="0" w:lastColumn="0" w:oddVBand="0" w:evenVBand="0" w:oddHBand="0" w:evenHBand="0" w:firstRowFirstColumn="0" w:firstRowLastColumn="0" w:lastRowFirstColumn="0" w:lastRowLastColumn="0"/>
            </w:pPr>
          </w:p>
        </w:tc>
        <w:tc>
          <w:tcPr>
            <w:tcW w:w="1368" w:type="dxa"/>
          </w:tcPr>
          <w:p w14:paraId="2C560AEB" w14:textId="77777777" w:rsidR="00065E56" w:rsidRDefault="00065E56" w:rsidP="00065E56">
            <w:pPr>
              <w:pStyle w:val="ListParagraph"/>
              <w:keepNext/>
              <w:numPr>
                <w:ilvl w:val="0"/>
                <w:numId w:val="1"/>
              </w:numPr>
              <w:spacing w:line="276" w:lineRule="auto"/>
              <w:contextualSpacing w:val="0"/>
              <w:cnfStyle w:val="000000000000" w:firstRow="0" w:lastRow="0" w:firstColumn="0" w:lastColumn="0" w:oddVBand="0" w:evenVBand="0" w:oddHBand="0" w:evenHBand="0" w:firstRowFirstColumn="0" w:firstRowLastColumn="0" w:lastRowFirstColumn="0" w:lastRowLastColumn="0"/>
            </w:pPr>
          </w:p>
        </w:tc>
      </w:tr>
    </w:tbl>
    <w:p w14:paraId="63FEE9F7" w14:textId="77777777" w:rsidR="00065E56" w:rsidRDefault="00065E56" w:rsidP="00065E56"/>
    <w:p w14:paraId="4562A509" w14:textId="77777777" w:rsidR="00065E56" w:rsidRDefault="00065E56" w:rsidP="00065E56"/>
    <w:p w14:paraId="74623138" w14:textId="77777777" w:rsidR="00065E56" w:rsidRDefault="00065E56" w:rsidP="00065E56"/>
    <w:p w14:paraId="76072135" w14:textId="77777777" w:rsidR="00065E56" w:rsidRDefault="00065E56" w:rsidP="00065E56"/>
    <w:p w14:paraId="0A91F5CE" w14:textId="77777777" w:rsidR="00065E56" w:rsidRDefault="00065E56" w:rsidP="00065E56"/>
    <w:p w14:paraId="1C8F8394" w14:textId="77777777" w:rsidR="00065E56" w:rsidRDefault="00065E56" w:rsidP="00065E56"/>
    <w:p w14:paraId="48B790E4" w14:textId="77777777" w:rsidR="00065E56" w:rsidRDefault="00065E56" w:rsidP="00065E56"/>
    <w:p w14:paraId="453E69A6" w14:textId="77777777" w:rsidR="00065E56" w:rsidRDefault="00065E56" w:rsidP="00065E56"/>
    <w:p w14:paraId="0667D196" w14:textId="77777777" w:rsidR="00065E56" w:rsidRDefault="00065E56" w:rsidP="00065E56"/>
    <w:p w14:paraId="57E01785" w14:textId="77777777" w:rsidR="00065E56" w:rsidRDefault="00065E56" w:rsidP="00065E56"/>
    <w:p w14:paraId="4AF333B7" w14:textId="77777777" w:rsidR="00065E56" w:rsidRDefault="00065E56" w:rsidP="00065E56"/>
    <w:p w14:paraId="6F13CA9F" w14:textId="77777777" w:rsidR="00065E56" w:rsidRDefault="00065E56" w:rsidP="00065E56">
      <w:pPr>
        <w:pStyle w:val="QuestionSeparator"/>
      </w:pPr>
    </w:p>
    <w:p w14:paraId="6551191D" w14:textId="77777777" w:rsidR="00065E56" w:rsidRDefault="00065E56" w:rsidP="00065E56"/>
    <w:p w14:paraId="733D6857" w14:textId="77777777" w:rsidR="00065E56" w:rsidRDefault="00065E56" w:rsidP="00065E56">
      <w:pPr>
        <w:keepNext/>
      </w:pPr>
      <w:proofErr w:type="gramStart"/>
      <w:r>
        <w:t>Q8</w:t>
      </w:r>
      <w:proofErr w:type="gramEnd"/>
      <w:r>
        <w:t xml:space="preserve"> I bought my own model(s) for this course.  </w:t>
      </w:r>
    </w:p>
    <w:p w14:paraId="15D8C6A5" w14:textId="77777777" w:rsidR="00065E56" w:rsidRDefault="00065E56" w:rsidP="00065E56">
      <w:pPr>
        <w:pStyle w:val="ListParagraph"/>
        <w:keepNext/>
        <w:numPr>
          <w:ilvl w:val="0"/>
          <w:numId w:val="1"/>
        </w:numPr>
        <w:spacing w:line="276" w:lineRule="auto"/>
        <w:contextualSpacing w:val="0"/>
      </w:pPr>
      <w:r>
        <w:t>Yes</w:t>
      </w:r>
    </w:p>
    <w:p w14:paraId="3849774B" w14:textId="77777777" w:rsidR="00065E56" w:rsidRDefault="00065E56" w:rsidP="00065E56">
      <w:pPr>
        <w:pStyle w:val="ListParagraph"/>
        <w:keepNext/>
        <w:numPr>
          <w:ilvl w:val="0"/>
          <w:numId w:val="1"/>
        </w:numPr>
        <w:spacing w:line="276" w:lineRule="auto"/>
        <w:contextualSpacing w:val="0"/>
      </w:pPr>
      <w:r>
        <w:t>No</w:t>
      </w:r>
    </w:p>
    <w:p w14:paraId="7572396E" w14:textId="77777777" w:rsidR="00065E56" w:rsidRDefault="00065E56" w:rsidP="00065E56"/>
    <w:p w14:paraId="3A123237" w14:textId="77777777" w:rsidR="00065E56" w:rsidRDefault="00065E56" w:rsidP="00065E56">
      <w:pPr>
        <w:pStyle w:val="QuestionSeparator"/>
      </w:pPr>
    </w:p>
    <w:p w14:paraId="671D2831" w14:textId="77777777" w:rsidR="00065E56" w:rsidRDefault="00065E56" w:rsidP="00065E56"/>
    <w:p w14:paraId="649BD330" w14:textId="77777777" w:rsidR="00065E56" w:rsidRDefault="00065E56" w:rsidP="00065E56">
      <w:pPr>
        <w:keepNext/>
      </w:pPr>
      <w:r>
        <w:t>Q9 Models should be provided by the university for online laboratory courses.</w:t>
      </w:r>
    </w:p>
    <w:p w14:paraId="4901CE26" w14:textId="77777777" w:rsidR="00065E56" w:rsidRDefault="00065E56" w:rsidP="00065E56">
      <w:pPr>
        <w:pStyle w:val="ListParagraph"/>
        <w:keepNext/>
        <w:numPr>
          <w:ilvl w:val="0"/>
          <w:numId w:val="1"/>
        </w:numPr>
        <w:spacing w:line="276" w:lineRule="auto"/>
        <w:contextualSpacing w:val="0"/>
      </w:pPr>
      <w:r>
        <w:t>Yes</w:t>
      </w:r>
    </w:p>
    <w:p w14:paraId="654E6F5B" w14:textId="77777777" w:rsidR="00065E56" w:rsidRDefault="00065E56" w:rsidP="00065E56">
      <w:pPr>
        <w:pStyle w:val="ListParagraph"/>
        <w:keepNext/>
        <w:numPr>
          <w:ilvl w:val="0"/>
          <w:numId w:val="1"/>
        </w:numPr>
        <w:spacing w:line="276" w:lineRule="auto"/>
        <w:contextualSpacing w:val="0"/>
      </w:pPr>
      <w:r>
        <w:t>No</w:t>
      </w:r>
    </w:p>
    <w:p w14:paraId="0D12D0F3" w14:textId="77777777" w:rsidR="00065E56" w:rsidRDefault="00065E56" w:rsidP="00065E56"/>
    <w:p w14:paraId="25E6BA6B" w14:textId="77777777" w:rsidR="00065E56" w:rsidRDefault="00065E56" w:rsidP="00065E56">
      <w:pPr>
        <w:pStyle w:val="QuestionSeparator"/>
      </w:pPr>
    </w:p>
    <w:tbl>
      <w:tblPr>
        <w:tblW w:w="0" w:type="auto"/>
        <w:tblInd w:w="10" w:type="dxa"/>
        <w:tblCellMar>
          <w:left w:w="10" w:type="dxa"/>
          <w:right w:w="10" w:type="dxa"/>
        </w:tblCellMar>
        <w:tblLook w:val="04A0" w:firstRow="1" w:lastRow="0" w:firstColumn="1" w:lastColumn="0" w:noHBand="0" w:noVBand="1"/>
      </w:tblPr>
      <w:tblGrid>
        <w:gridCol w:w="1348"/>
        <w:gridCol w:w="8002"/>
      </w:tblGrid>
      <w:tr w:rsidR="00065E56" w14:paraId="3AE15AA3" w14:textId="77777777" w:rsidTr="001C607A">
        <w:trPr>
          <w:trHeight w:val="300"/>
        </w:trPr>
        <w:tc>
          <w:tcPr>
            <w:tcW w:w="1368" w:type="dxa"/>
            <w:tcBorders>
              <w:top w:val="nil"/>
              <w:left w:val="nil"/>
              <w:bottom w:val="nil"/>
              <w:right w:val="nil"/>
            </w:tcBorders>
          </w:tcPr>
          <w:p w14:paraId="1F8A60EE" w14:textId="77777777" w:rsidR="00065E56" w:rsidRDefault="00065E56" w:rsidP="001C607A">
            <w:pPr>
              <w:rPr>
                <w:color w:val="CCCCCC"/>
              </w:rPr>
            </w:pPr>
            <w:r>
              <w:rPr>
                <w:color w:val="CCCCCC"/>
              </w:rPr>
              <w:t>Page Break</w:t>
            </w:r>
          </w:p>
        </w:tc>
        <w:tc>
          <w:tcPr>
            <w:tcW w:w="8208" w:type="dxa"/>
            <w:tcBorders>
              <w:top w:val="nil"/>
              <w:left w:val="nil"/>
              <w:bottom w:val="nil"/>
              <w:right w:val="nil"/>
            </w:tcBorders>
          </w:tcPr>
          <w:p w14:paraId="1AB55DEF" w14:textId="77777777" w:rsidR="00065E56" w:rsidRDefault="00065E56" w:rsidP="001C607A">
            <w:pPr>
              <w:pBdr>
                <w:top w:val="single" w:sz="8" w:space="0" w:color="CCCCCC"/>
              </w:pBdr>
              <w:spacing w:before="120" w:after="120" w:line="120" w:lineRule="auto"/>
              <w:jc w:val="center"/>
              <w:rPr>
                <w:color w:val="CCCCCC"/>
              </w:rPr>
            </w:pPr>
          </w:p>
        </w:tc>
      </w:tr>
    </w:tbl>
    <w:p w14:paraId="725EFD9F" w14:textId="77777777" w:rsidR="00065E56" w:rsidRDefault="00065E56" w:rsidP="00065E56">
      <w:r>
        <w:br w:type="page"/>
      </w:r>
    </w:p>
    <w:p w14:paraId="4134B7DF" w14:textId="77777777" w:rsidR="00065E56" w:rsidRDefault="00065E56" w:rsidP="00065E56"/>
    <w:p w14:paraId="1E7EAA46" w14:textId="77777777" w:rsidR="00065E56" w:rsidRDefault="00065E56" w:rsidP="00065E56">
      <w:pPr>
        <w:keepNext/>
      </w:pPr>
      <w:r>
        <w:t>Q10 Please select the response that best represents you/your opinion for each statement.</w:t>
      </w:r>
    </w:p>
    <w:tbl>
      <w:tblPr>
        <w:tblStyle w:val="QQuestionTable"/>
        <w:tblW w:w="9576" w:type="auto"/>
        <w:tblLook w:val="07E0" w:firstRow="1" w:lastRow="1" w:firstColumn="1" w:lastColumn="1" w:noHBand="1" w:noVBand="1"/>
      </w:tblPr>
      <w:tblGrid>
        <w:gridCol w:w="1596"/>
        <w:gridCol w:w="1545"/>
        <w:gridCol w:w="1546"/>
        <w:gridCol w:w="1575"/>
        <w:gridCol w:w="1551"/>
        <w:gridCol w:w="1547"/>
      </w:tblGrid>
      <w:tr w:rsidR="00065E56" w14:paraId="63887DCD" w14:textId="77777777" w:rsidTr="001C607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7C57051C" w14:textId="77777777" w:rsidR="00065E56" w:rsidRDefault="00065E56" w:rsidP="001C607A">
            <w:pPr>
              <w:keepNext/>
            </w:pPr>
          </w:p>
        </w:tc>
        <w:tc>
          <w:tcPr>
            <w:tcW w:w="1596" w:type="dxa"/>
          </w:tcPr>
          <w:p w14:paraId="316C0087" w14:textId="77777777" w:rsidR="00065E56" w:rsidRDefault="00065E56" w:rsidP="001C607A">
            <w:pPr>
              <w:cnfStyle w:val="100000000000" w:firstRow="1" w:lastRow="0" w:firstColumn="0" w:lastColumn="0" w:oddVBand="0" w:evenVBand="0" w:oddHBand="0" w:evenHBand="0" w:firstRowFirstColumn="0" w:firstRowLastColumn="0" w:lastRowFirstColumn="0" w:lastRowLastColumn="0"/>
            </w:pPr>
            <w:r>
              <w:t>Not true at all for me</w:t>
            </w:r>
          </w:p>
        </w:tc>
        <w:tc>
          <w:tcPr>
            <w:tcW w:w="1596" w:type="dxa"/>
          </w:tcPr>
          <w:p w14:paraId="175D108A" w14:textId="77777777" w:rsidR="00065E56" w:rsidRDefault="00065E56" w:rsidP="001C607A">
            <w:pPr>
              <w:cnfStyle w:val="100000000000" w:firstRow="1" w:lastRow="0" w:firstColumn="0" w:lastColumn="0" w:oddVBand="0" w:evenVBand="0" w:oddHBand="0" w:evenHBand="0" w:firstRowFirstColumn="0" w:firstRowLastColumn="0" w:lastRowFirstColumn="0" w:lastRowLastColumn="0"/>
            </w:pPr>
            <w:r>
              <w:t>Not very true for me</w:t>
            </w:r>
          </w:p>
        </w:tc>
        <w:tc>
          <w:tcPr>
            <w:tcW w:w="1596" w:type="dxa"/>
          </w:tcPr>
          <w:p w14:paraId="68503B46" w14:textId="77777777" w:rsidR="00065E56" w:rsidRDefault="00065E56" w:rsidP="001C607A">
            <w:pPr>
              <w:cnfStyle w:val="100000000000" w:firstRow="1" w:lastRow="0" w:firstColumn="0" w:lastColumn="0" w:oddVBand="0" w:evenVBand="0" w:oddHBand="0" w:evenHBand="0" w:firstRowFirstColumn="0" w:firstRowLastColumn="0" w:lastRowFirstColumn="0" w:lastRowLastColumn="0"/>
            </w:pPr>
            <w:r>
              <w:t>Somewhat true for me</w:t>
            </w:r>
          </w:p>
        </w:tc>
        <w:tc>
          <w:tcPr>
            <w:tcW w:w="1596" w:type="dxa"/>
          </w:tcPr>
          <w:p w14:paraId="68FECEA9" w14:textId="77777777" w:rsidR="00065E56" w:rsidRDefault="00065E56" w:rsidP="001C607A">
            <w:pPr>
              <w:cnfStyle w:val="100000000000" w:firstRow="1" w:lastRow="0" w:firstColumn="0" w:lastColumn="0" w:oddVBand="0" w:evenVBand="0" w:oddHBand="0" w:evenHBand="0" w:firstRowFirstColumn="0" w:firstRowLastColumn="0" w:lastRowFirstColumn="0" w:lastRowLastColumn="0"/>
            </w:pPr>
            <w:r>
              <w:t>Fairly true for me</w:t>
            </w:r>
          </w:p>
        </w:tc>
        <w:tc>
          <w:tcPr>
            <w:tcW w:w="1596" w:type="dxa"/>
          </w:tcPr>
          <w:p w14:paraId="124B0842" w14:textId="77777777" w:rsidR="00065E56" w:rsidRDefault="00065E56" w:rsidP="001C607A">
            <w:pPr>
              <w:cnfStyle w:val="100000000000" w:firstRow="1" w:lastRow="0" w:firstColumn="0" w:lastColumn="0" w:oddVBand="0" w:evenVBand="0" w:oddHBand="0" w:evenHBand="0" w:firstRowFirstColumn="0" w:firstRowLastColumn="0" w:lastRowFirstColumn="0" w:lastRowLastColumn="0"/>
            </w:pPr>
            <w:r>
              <w:t>Very true for me</w:t>
            </w:r>
          </w:p>
        </w:tc>
      </w:tr>
      <w:tr w:rsidR="00065E56" w14:paraId="7E1E919C" w14:textId="77777777" w:rsidTr="001C607A">
        <w:tc>
          <w:tcPr>
            <w:cnfStyle w:val="001000000000" w:firstRow="0" w:lastRow="0" w:firstColumn="1" w:lastColumn="0" w:oddVBand="0" w:evenVBand="0" w:oddHBand="0" w:evenHBand="0" w:firstRowFirstColumn="0" w:firstRowLastColumn="0" w:lastRowFirstColumn="0" w:lastRowLastColumn="0"/>
            <w:tcW w:w="1596" w:type="dxa"/>
          </w:tcPr>
          <w:p w14:paraId="064F19A9" w14:textId="77777777" w:rsidR="00065E56" w:rsidRDefault="00065E56" w:rsidP="001C607A">
            <w:pPr>
              <w:keepNext/>
            </w:pPr>
            <w:r>
              <w:t>Undergraduate cadaveric anatomy contributed to my three-dimensional understanding of a human body in this course.</w:t>
            </w:r>
          </w:p>
        </w:tc>
        <w:tc>
          <w:tcPr>
            <w:tcW w:w="1596" w:type="dxa"/>
          </w:tcPr>
          <w:p w14:paraId="2398295C" w14:textId="77777777" w:rsidR="00065E56" w:rsidRDefault="00065E56" w:rsidP="00065E56">
            <w:pPr>
              <w:pStyle w:val="ListParagraph"/>
              <w:keepNext/>
              <w:numPr>
                <w:ilvl w:val="0"/>
                <w:numId w:val="1"/>
              </w:numPr>
              <w:spacing w:line="276" w:lineRule="auto"/>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1F777468" w14:textId="77777777" w:rsidR="00065E56" w:rsidRDefault="00065E56" w:rsidP="00065E56">
            <w:pPr>
              <w:pStyle w:val="ListParagraph"/>
              <w:keepNext/>
              <w:numPr>
                <w:ilvl w:val="0"/>
                <w:numId w:val="1"/>
              </w:numPr>
              <w:spacing w:line="276" w:lineRule="auto"/>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44B98648" w14:textId="77777777" w:rsidR="00065E56" w:rsidRDefault="00065E56" w:rsidP="00065E56">
            <w:pPr>
              <w:pStyle w:val="ListParagraph"/>
              <w:keepNext/>
              <w:numPr>
                <w:ilvl w:val="0"/>
                <w:numId w:val="1"/>
              </w:numPr>
              <w:spacing w:line="276" w:lineRule="auto"/>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1C616375" w14:textId="77777777" w:rsidR="00065E56" w:rsidRDefault="00065E56" w:rsidP="00065E56">
            <w:pPr>
              <w:pStyle w:val="ListParagraph"/>
              <w:keepNext/>
              <w:numPr>
                <w:ilvl w:val="0"/>
                <w:numId w:val="1"/>
              </w:numPr>
              <w:spacing w:line="276" w:lineRule="auto"/>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5F31372D" w14:textId="77777777" w:rsidR="00065E56" w:rsidRDefault="00065E56" w:rsidP="00065E56">
            <w:pPr>
              <w:pStyle w:val="ListParagraph"/>
              <w:keepNext/>
              <w:numPr>
                <w:ilvl w:val="0"/>
                <w:numId w:val="1"/>
              </w:numPr>
              <w:spacing w:line="276" w:lineRule="auto"/>
              <w:contextualSpacing w:val="0"/>
              <w:cnfStyle w:val="000000000000" w:firstRow="0" w:lastRow="0" w:firstColumn="0" w:lastColumn="0" w:oddVBand="0" w:evenVBand="0" w:oddHBand="0" w:evenHBand="0" w:firstRowFirstColumn="0" w:firstRowLastColumn="0" w:lastRowFirstColumn="0" w:lastRowLastColumn="0"/>
            </w:pPr>
          </w:p>
        </w:tc>
      </w:tr>
      <w:tr w:rsidR="00065E56" w14:paraId="109BFB3D" w14:textId="77777777" w:rsidTr="001C607A">
        <w:tc>
          <w:tcPr>
            <w:cnfStyle w:val="001000000000" w:firstRow="0" w:lastRow="0" w:firstColumn="1" w:lastColumn="0" w:oddVBand="0" w:evenVBand="0" w:oddHBand="0" w:evenHBand="0" w:firstRowFirstColumn="0" w:firstRowLastColumn="0" w:lastRowFirstColumn="0" w:lastRowLastColumn="0"/>
            <w:tcW w:w="1596" w:type="dxa"/>
          </w:tcPr>
          <w:p w14:paraId="75C50CD2" w14:textId="77777777" w:rsidR="00065E56" w:rsidRDefault="00065E56" w:rsidP="001C607A">
            <w:pPr>
              <w:keepNext/>
            </w:pPr>
            <w:r>
              <w:t>Activities that integrate lab and lecture knowledge would have contributed to my learning.</w:t>
            </w:r>
          </w:p>
        </w:tc>
        <w:tc>
          <w:tcPr>
            <w:tcW w:w="1596" w:type="dxa"/>
          </w:tcPr>
          <w:p w14:paraId="2389DDEF" w14:textId="77777777" w:rsidR="00065E56" w:rsidRDefault="00065E56" w:rsidP="00065E56">
            <w:pPr>
              <w:pStyle w:val="ListParagraph"/>
              <w:keepNext/>
              <w:numPr>
                <w:ilvl w:val="0"/>
                <w:numId w:val="1"/>
              </w:numPr>
              <w:spacing w:line="276" w:lineRule="auto"/>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7B13E739" w14:textId="77777777" w:rsidR="00065E56" w:rsidRDefault="00065E56" w:rsidP="00065E56">
            <w:pPr>
              <w:pStyle w:val="ListParagraph"/>
              <w:keepNext/>
              <w:numPr>
                <w:ilvl w:val="0"/>
                <w:numId w:val="1"/>
              </w:numPr>
              <w:spacing w:line="276" w:lineRule="auto"/>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459A67E6" w14:textId="77777777" w:rsidR="00065E56" w:rsidRDefault="00065E56" w:rsidP="00065E56">
            <w:pPr>
              <w:pStyle w:val="ListParagraph"/>
              <w:keepNext/>
              <w:numPr>
                <w:ilvl w:val="0"/>
                <w:numId w:val="1"/>
              </w:numPr>
              <w:spacing w:line="276" w:lineRule="auto"/>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4F90B580" w14:textId="77777777" w:rsidR="00065E56" w:rsidRDefault="00065E56" w:rsidP="00065E56">
            <w:pPr>
              <w:pStyle w:val="ListParagraph"/>
              <w:keepNext/>
              <w:numPr>
                <w:ilvl w:val="0"/>
                <w:numId w:val="1"/>
              </w:numPr>
              <w:spacing w:line="276" w:lineRule="auto"/>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7D8FCC42" w14:textId="77777777" w:rsidR="00065E56" w:rsidRDefault="00065E56" w:rsidP="00065E56">
            <w:pPr>
              <w:pStyle w:val="ListParagraph"/>
              <w:keepNext/>
              <w:numPr>
                <w:ilvl w:val="0"/>
                <w:numId w:val="1"/>
              </w:numPr>
              <w:spacing w:line="276" w:lineRule="auto"/>
              <w:contextualSpacing w:val="0"/>
              <w:cnfStyle w:val="000000000000" w:firstRow="0" w:lastRow="0" w:firstColumn="0" w:lastColumn="0" w:oddVBand="0" w:evenVBand="0" w:oddHBand="0" w:evenHBand="0" w:firstRowFirstColumn="0" w:firstRowLastColumn="0" w:lastRowFirstColumn="0" w:lastRowLastColumn="0"/>
            </w:pPr>
          </w:p>
        </w:tc>
      </w:tr>
      <w:tr w:rsidR="00065E56" w14:paraId="4D616257" w14:textId="77777777" w:rsidTr="001C607A">
        <w:tc>
          <w:tcPr>
            <w:cnfStyle w:val="001000000000" w:firstRow="0" w:lastRow="0" w:firstColumn="1" w:lastColumn="0" w:oddVBand="0" w:evenVBand="0" w:oddHBand="0" w:evenHBand="0" w:firstRowFirstColumn="0" w:firstRowLastColumn="0" w:lastRowFirstColumn="0" w:lastRowLastColumn="0"/>
            <w:tcW w:w="1596" w:type="dxa"/>
          </w:tcPr>
          <w:p w14:paraId="4B01FEFE" w14:textId="77777777" w:rsidR="00065E56" w:rsidRDefault="00065E56" w:rsidP="001C607A">
            <w:pPr>
              <w:keepNext/>
            </w:pPr>
            <w:r>
              <w:t>Regardless of my grade, I’m not sure how well I understand anatomy.</w:t>
            </w:r>
          </w:p>
        </w:tc>
        <w:tc>
          <w:tcPr>
            <w:tcW w:w="1596" w:type="dxa"/>
          </w:tcPr>
          <w:p w14:paraId="26A03A14" w14:textId="77777777" w:rsidR="00065E56" w:rsidRDefault="00065E56" w:rsidP="00065E56">
            <w:pPr>
              <w:pStyle w:val="ListParagraph"/>
              <w:keepNext/>
              <w:numPr>
                <w:ilvl w:val="0"/>
                <w:numId w:val="1"/>
              </w:numPr>
              <w:spacing w:line="276" w:lineRule="auto"/>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6BE0E901" w14:textId="77777777" w:rsidR="00065E56" w:rsidRDefault="00065E56" w:rsidP="00065E56">
            <w:pPr>
              <w:pStyle w:val="ListParagraph"/>
              <w:keepNext/>
              <w:numPr>
                <w:ilvl w:val="0"/>
                <w:numId w:val="1"/>
              </w:numPr>
              <w:spacing w:line="276" w:lineRule="auto"/>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2E57C01A" w14:textId="77777777" w:rsidR="00065E56" w:rsidRDefault="00065E56" w:rsidP="00065E56">
            <w:pPr>
              <w:pStyle w:val="ListParagraph"/>
              <w:keepNext/>
              <w:numPr>
                <w:ilvl w:val="0"/>
                <w:numId w:val="1"/>
              </w:numPr>
              <w:spacing w:line="276" w:lineRule="auto"/>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77717F48" w14:textId="77777777" w:rsidR="00065E56" w:rsidRDefault="00065E56" w:rsidP="00065E56">
            <w:pPr>
              <w:pStyle w:val="ListParagraph"/>
              <w:keepNext/>
              <w:numPr>
                <w:ilvl w:val="0"/>
                <w:numId w:val="1"/>
              </w:numPr>
              <w:spacing w:line="276" w:lineRule="auto"/>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582CE531" w14:textId="77777777" w:rsidR="00065E56" w:rsidRDefault="00065E56" w:rsidP="00065E56">
            <w:pPr>
              <w:pStyle w:val="ListParagraph"/>
              <w:keepNext/>
              <w:numPr>
                <w:ilvl w:val="0"/>
                <w:numId w:val="1"/>
              </w:numPr>
              <w:spacing w:line="276" w:lineRule="auto"/>
              <w:contextualSpacing w:val="0"/>
              <w:cnfStyle w:val="000000000000" w:firstRow="0" w:lastRow="0" w:firstColumn="0" w:lastColumn="0" w:oddVBand="0" w:evenVBand="0" w:oddHBand="0" w:evenHBand="0" w:firstRowFirstColumn="0" w:firstRowLastColumn="0" w:lastRowFirstColumn="0" w:lastRowLastColumn="0"/>
            </w:pPr>
          </w:p>
        </w:tc>
      </w:tr>
      <w:tr w:rsidR="00065E56" w14:paraId="2A1F2D2B" w14:textId="77777777" w:rsidTr="001C607A">
        <w:tc>
          <w:tcPr>
            <w:cnfStyle w:val="001000000000" w:firstRow="0" w:lastRow="0" w:firstColumn="1" w:lastColumn="0" w:oddVBand="0" w:evenVBand="0" w:oddHBand="0" w:evenHBand="0" w:firstRowFirstColumn="0" w:firstRowLastColumn="0" w:lastRowFirstColumn="0" w:lastRowLastColumn="0"/>
            <w:tcW w:w="1596" w:type="dxa"/>
          </w:tcPr>
          <w:p w14:paraId="2C067FC5" w14:textId="77777777" w:rsidR="00065E56" w:rsidRDefault="00065E56" w:rsidP="001C607A">
            <w:pPr>
              <w:keepNext/>
            </w:pPr>
            <w:r>
              <w:t>I would like cadaveric review lab time in future classes.</w:t>
            </w:r>
          </w:p>
        </w:tc>
        <w:tc>
          <w:tcPr>
            <w:tcW w:w="1596" w:type="dxa"/>
          </w:tcPr>
          <w:p w14:paraId="10606C14" w14:textId="77777777" w:rsidR="00065E56" w:rsidRDefault="00065E56" w:rsidP="00065E56">
            <w:pPr>
              <w:pStyle w:val="ListParagraph"/>
              <w:keepNext/>
              <w:numPr>
                <w:ilvl w:val="0"/>
                <w:numId w:val="1"/>
              </w:numPr>
              <w:spacing w:line="276" w:lineRule="auto"/>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5E1F07FE" w14:textId="77777777" w:rsidR="00065E56" w:rsidRDefault="00065E56" w:rsidP="00065E56">
            <w:pPr>
              <w:pStyle w:val="ListParagraph"/>
              <w:keepNext/>
              <w:numPr>
                <w:ilvl w:val="0"/>
                <w:numId w:val="1"/>
              </w:numPr>
              <w:spacing w:line="276" w:lineRule="auto"/>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6782751C" w14:textId="77777777" w:rsidR="00065E56" w:rsidRDefault="00065E56" w:rsidP="00065E56">
            <w:pPr>
              <w:pStyle w:val="ListParagraph"/>
              <w:keepNext/>
              <w:numPr>
                <w:ilvl w:val="0"/>
                <w:numId w:val="1"/>
              </w:numPr>
              <w:spacing w:line="276" w:lineRule="auto"/>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12D3AB36" w14:textId="77777777" w:rsidR="00065E56" w:rsidRDefault="00065E56" w:rsidP="00065E56">
            <w:pPr>
              <w:pStyle w:val="ListParagraph"/>
              <w:keepNext/>
              <w:numPr>
                <w:ilvl w:val="0"/>
                <w:numId w:val="1"/>
              </w:numPr>
              <w:spacing w:line="276" w:lineRule="auto"/>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5D5BE9A4" w14:textId="77777777" w:rsidR="00065E56" w:rsidRDefault="00065E56" w:rsidP="00065E56">
            <w:pPr>
              <w:pStyle w:val="ListParagraph"/>
              <w:keepNext/>
              <w:numPr>
                <w:ilvl w:val="0"/>
                <w:numId w:val="1"/>
              </w:numPr>
              <w:spacing w:line="276" w:lineRule="auto"/>
              <w:contextualSpacing w:val="0"/>
              <w:cnfStyle w:val="000000000000" w:firstRow="0" w:lastRow="0" w:firstColumn="0" w:lastColumn="0" w:oddVBand="0" w:evenVBand="0" w:oddHBand="0" w:evenHBand="0" w:firstRowFirstColumn="0" w:firstRowLastColumn="0" w:lastRowFirstColumn="0" w:lastRowLastColumn="0"/>
            </w:pPr>
          </w:p>
        </w:tc>
      </w:tr>
      <w:tr w:rsidR="00065E56" w14:paraId="6DD42AEE" w14:textId="77777777" w:rsidTr="001C607A">
        <w:tc>
          <w:tcPr>
            <w:cnfStyle w:val="001000000000" w:firstRow="0" w:lastRow="0" w:firstColumn="1" w:lastColumn="0" w:oddVBand="0" w:evenVBand="0" w:oddHBand="0" w:evenHBand="0" w:firstRowFirstColumn="0" w:firstRowLastColumn="0" w:lastRowFirstColumn="0" w:lastRowLastColumn="0"/>
            <w:tcW w:w="1596" w:type="dxa"/>
          </w:tcPr>
          <w:p w14:paraId="09149661" w14:textId="77777777" w:rsidR="00065E56" w:rsidRDefault="00065E56" w:rsidP="001C607A">
            <w:pPr>
              <w:keepNext/>
            </w:pPr>
            <w:r>
              <w:t>Reviewing relevant anatomy on a cadaver in future classes would help me visualize anatomical relationships for the whole body.</w:t>
            </w:r>
          </w:p>
        </w:tc>
        <w:tc>
          <w:tcPr>
            <w:tcW w:w="1596" w:type="dxa"/>
          </w:tcPr>
          <w:p w14:paraId="75D9ACD9" w14:textId="77777777" w:rsidR="00065E56" w:rsidRDefault="00065E56" w:rsidP="00065E56">
            <w:pPr>
              <w:pStyle w:val="ListParagraph"/>
              <w:keepNext/>
              <w:numPr>
                <w:ilvl w:val="0"/>
                <w:numId w:val="1"/>
              </w:numPr>
              <w:spacing w:line="276" w:lineRule="auto"/>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3AC90814" w14:textId="77777777" w:rsidR="00065E56" w:rsidRDefault="00065E56" w:rsidP="00065E56">
            <w:pPr>
              <w:pStyle w:val="ListParagraph"/>
              <w:keepNext/>
              <w:numPr>
                <w:ilvl w:val="0"/>
                <w:numId w:val="1"/>
              </w:numPr>
              <w:spacing w:line="276" w:lineRule="auto"/>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4D47BBDC" w14:textId="77777777" w:rsidR="00065E56" w:rsidRDefault="00065E56" w:rsidP="00065E56">
            <w:pPr>
              <w:pStyle w:val="ListParagraph"/>
              <w:keepNext/>
              <w:numPr>
                <w:ilvl w:val="0"/>
                <w:numId w:val="1"/>
              </w:numPr>
              <w:spacing w:line="276" w:lineRule="auto"/>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53FEC388" w14:textId="77777777" w:rsidR="00065E56" w:rsidRDefault="00065E56" w:rsidP="00065E56">
            <w:pPr>
              <w:pStyle w:val="ListParagraph"/>
              <w:keepNext/>
              <w:numPr>
                <w:ilvl w:val="0"/>
                <w:numId w:val="1"/>
              </w:numPr>
              <w:spacing w:line="276" w:lineRule="auto"/>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6FA025B9" w14:textId="77777777" w:rsidR="00065E56" w:rsidRDefault="00065E56" w:rsidP="00065E56">
            <w:pPr>
              <w:pStyle w:val="ListParagraph"/>
              <w:keepNext/>
              <w:numPr>
                <w:ilvl w:val="0"/>
                <w:numId w:val="1"/>
              </w:numPr>
              <w:spacing w:line="276" w:lineRule="auto"/>
              <w:contextualSpacing w:val="0"/>
              <w:cnfStyle w:val="000000000000" w:firstRow="0" w:lastRow="0" w:firstColumn="0" w:lastColumn="0" w:oddVBand="0" w:evenVBand="0" w:oddHBand="0" w:evenHBand="0" w:firstRowFirstColumn="0" w:firstRowLastColumn="0" w:lastRowFirstColumn="0" w:lastRowLastColumn="0"/>
            </w:pPr>
          </w:p>
        </w:tc>
      </w:tr>
    </w:tbl>
    <w:p w14:paraId="7F7FEF0F" w14:textId="77777777" w:rsidR="00065E56" w:rsidRDefault="00065E56" w:rsidP="00065E56"/>
    <w:p w14:paraId="6A03035D" w14:textId="77777777" w:rsidR="00065E56" w:rsidRDefault="00065E56" w:rsidP="00065E56"/>
    <w:p w14:paraId="10A4FCCD" w14:textId="77777777" w:rsidR="00065E56" w:rsidRDefault="00065E56" w:rsidP="00065E56">
      <w:pPr>
        <w:pStyle w:val="QuestionSeparator"/>
      </w:pPr>
    </w:p>
    <w:p w14:paraId="2482FB2C" w14:textId="77777777" w:rsidR="00065E56" w:rsidRDefault="00065E56" w:rsidP="00065E56"/>
    <w:p w14:paraId="4FEA9163" w14:textId="77777777" w:rsidR="00065E56" w:rsidRDefault="00065E56" w:rsidP="00065E56">
      <w:pPr>
        <w:keepNext/>
      </w:pPr>
      <w:r>
        <w:t>Q11 Please record any comments regarding your feelings about your understanding of anatomy here.</w:t>
      </w:r>
    </w:p>
    <w:p w14:paraId="74D86AF6" w14:textId="77777777" w:rsidR="00065E56" w:rsidRDefault="00065E56" w:rsidP="00065E56">
      <w:pPr>
        <w:pStyle w:val="TextEntryLine"/>
        <w:ind w:firstLine="400"/>
      </w:pPr>
      <w:r>
        <w:t>________________________________________________________________</w:t>
      </w:r>
    </w:p>
    <w:p w14:paraId="2D8C6411" w14:textId="77777777" w:rsidR="00065E56" w:rsidRDefault="00065E56" w:rsidP="00065E56"/>
    <w:p w14:paraId="7DE7AE06" w14:textId="77777777" w:rsidR="00065E56" w:rsidRDefault="00065E56" w:rsidP="00065E56">
      <w:pPr>
        <w:pStyle w:val="QuestionSeparator"/>
      </w:pPr>
    </w:p>
    <w:tbl>
      <w:tblPr>
        <w:tblW w:w="0" w:type="auto"/>
        <w:tblInd w:w="10" w:type="dxa"/>
        <w:tblCellMar>
          <w:left w:w="10" w:type="dxa"/>
          <w:right w:w="10" w:type="dxa"/>
        </w:tblCellMar>
        <w:tblLook w:val="04A0" w:firstRow="1" w:lastRow="0" w:firstColumn="1" w:lastColumn="0" w:noHBand="0" w:noVBand="1"/>
      </w:tblPr>
      <w:tblGrid>
        <w:gridCol w:w="1348"/>
        <w:gridCol w:w="8002"/>
      </w:tblGrid>
      <w:tr w:rsidR="00065E56" w14:paraId="46A69CFA" w14:textId="77777777" w:rsidTr="001C607A">
        <w:trPr>
          <w:trHeight w:val="300"/>
        </w:trPr>
        <w:tc>
          <w:tcPr>
            <w:tcW w:w="1368" w:type="dxa"/>
            <w:tcBorders>
              <w:top w:val="nil"/>
              <w:left w:val="nil"/>
              <w:bottom w:val="nil"/>
              <w:right w:val="nil"/>
            </w:tcBorders>
          </w:tcPr>
          <w:p w14:paraId="3C0C11D1" w14:textId="77777777" w:rsidR="00065E56" w:rsidRDefault="00065E56" w:rsidP="001C607A">
            <w:pPr>
              <w:rPr>
                <w:color w:val="CCCCCC"/>
              </w:rPr>
            </w:pPr>
            <w:r>
              <w:rPr>
                <w:color w:val="CCCCCC"/>
              </w:rPr>
              <w:t>Page Break</w:t>
            </w:r>
          </w:p>
        </w:tc>
        <w:tc>
          <w:tcPr>
            <w:tcW w:w="8208" w:type="dxa"/>
            <w:tcBorders>
              <w:top w:val="nil"/>
              <w:left w:val="nil"/>
              <w:bottom w:val="nil"/>
              <w:right w:val="nil"/>
            </w:tcBorders>
          </w:tcPr>
          <w:p w14:paraId="36145FA9" w14:textId="77777777" w:rsidR="00065E56" w:rsidRDefault="00065E56" w:rsidP="001C607A">
            <w:pPr>
              <w:pBdr>
                <w:top w:val="single" w:sz="8" w:space="0" w:color="CCCCCC"/>
              </w:pBdr>
              <w:spacing w:before="120" w:after="120" w:line="120" w:lineRule="auto"/>
              <w:jc w:val="center"/>
              <w:rPr>
                <w:color w:val="CCCCCC"/>
              </w:rPr>
            </w:pPr>
          </w:p>
        </w:tc>
      </w:tr>
    </w:tbl>
    <w:p w14:paraId="00E100B6" w14:textId="77777777" w:rsidR="00065E56" w:rsidRDefault="00065E56" w:rsidP="00065E56"/>
    <w:p w14:paraId="52E4EA15" w14:textId="77777777" w:rsidR="00065E56" w:rsidRDefault="00065E56" w:rsidP="00065E56"/>
    <w:p w14:paraId="32F508AA" w14:textId="77777777" w:rsidR="00065E56" w:rsidRDefault="00065E56" w:rsidP="00065E56">
      <w:pPr>
        <w:tabs>
          <w:tab w:val="left" w:pos="5161"/>
        </w:tabs>
      </w:pPr>
    </w:p>
    <w:p w14:paraId="7D5A2950" w14:textId="77777777" w:rsidR="00065E56" w:rsidRDefault="00065E56" w:rsidP="00065E56">
      <w:pPr>
        <w:tabs>
          <w:tab w:val="left" w:pos="5161"/>
        </w:tabs>
        <w:jc w:val="center"/>
      </w:pPr>
    </w:p>
    <w:p w14:paraId="06EFCDD0" w14:textId="77777777" w:rsidR="00065E56" w:rsidRDefault="00065E56" w:rsidP="00065E56"/>
    <w:p w14:paraId="38B75FD5" w14:textId="77777777" w:rsidR="00065E56" w:rsidRDefault="00065E56" w:rsidP="00065E56"/>
    <w:p w14:paraId="6DE43BDA" w14:textId="77777777" w:rsidR="00065E56" w:rsidRDefault="00065E56" w:rsidP="00065E56"/>
    <w:p w14:paraId="67D9135A" w14:textId="77777777" w:rsidR="00065E56" w:rsidRDefault="00065E56" w:rsidP="00065E56"/>
    <w:p w14:paraId="0DC858F6" w14:textId="77777777" w:rsidR="00065E56" w:rsidRDefault="00065E56" w:rsidP="00065E56"/>
    <w:p w14:paraId="5A09931B" w14:textId="77777777" w:rsidR="00065E56" w:rsidRDefault="00065E56" w:rsidP="00065E56"/>
    <w:p w14:paraId="3C5D666C" w14:textId="77777777" w:rsidR="00065E56" w:rsidRDefault="00065E56" w:rsidP="00065E56"/>
    <w:p w14:paraId="662F217D" w14:textId="77777777" w:rsidR="00065E56" w:rsidRDefault="00065E56" w:rsidP="00065E56"/>
    <w:p w14:paraId="39249399" w14:textId="77777777" w:rsidR="00065E56" w:rsidRDefault="00065E56" w:rsidP="00065E56"/>
    <w:p w14:paraId="4B3F3098" w14:textId="77777777" w:rsidR="00065E56" w:rsidRDefault="00065E56" w:rsidP="00065E56"/>
    <w:p w14:paraId="52381328" w14:textId="77777777" w:rsidR="00065E56" w:rsidRDefault="00065E56" w:rsidP="00065E56"/>
    <w:p w14:paraId="4C43BA80" w14:textId="77777777" w:rsidR="00065E56" w:rsidRDefault="00065E56" w:rsidP="00065E56"/>
    <w:p w14:paraId="5D569997" w14:textId="77777777" w:rsidR="00065E56" w:rsidRDefault="00065E56" w:rsidP="00065E56"/>
    <w:p w14:paraId="5E4F0E92" w14:textId="77777777" w:rsidR="00065E56" w:rsidRDefault="00065E56" w:rsidP="00065E56"/>
    <w:p w14:paraId="19EED347" w14:textId="77777777" w:rsidR="00065E56" w:rsidRDefault="00065E56" w:rsidP="00065E56"/>
    <w:p w14:paraId="7A2C1545" w14:textId="77777777" w:rsidR="00065E56" w:rsidRDefault="00065E56" w:rsidP="00065E56"/>
    <w:p w14:paraId="0838E70A" w14:textId="77777777" w:rsidR="00065E56" w:rsidRDefault="00065E56" w:rsidP="00065E56"/>
    <w:p w14:paraId="0A041E90" w14:textId="77777777" w:rsidR="00065E56" w:rsidRDefault="00065E56" w:rsidP="00065E56"/>
    <w:p w14:paraId="5B152911" w14:textId="77777777" w:rsidR="00065E56" w:rsidRDefault="00065E56" w:rsidP="00065E56"/>
    <w:p w14:paraId="55D55834" w14:textId="77777777" w:rsidR="00065E56" w:rsidRDefault="00065E56" w:rsidP="00065E56"/>
    <w:p w14:paraId="74A5935C" w14:textId="77777777" w:rsidR="00065E56" w:rsidRDefault="00065E56" w:rsidP="00065E56"/>
    <w:p w14:paraId="0F1333C6" w14:textId="77777777" w:rsidR="00065E56" w:rsidRDefault="00065E56" w:rsidP="00065E56"/>
    <w:p w14:paraId="6EB5F670" w14:textId="77777777" w:rsidR="00065E56" w:rsidRDefault="00065E56" w:rsidP="00065E56"/>
    <w:p w14:paraId="55BC19C7" w14:textId="77777777" w:rsidR="00065E56" w:rsidRDefault="00065E56" w:rsidP="00065E56"/>
    <w:p w14:paraId="2C35C122" w14:textId="77777777" w:rsidR="00065E56" w:rsidRDefault="00065E56" w:rsidP="00065E56"/>
    <w:p w14:paraId="253F0706" w14:textId="77777777" w:rsidR="00065E56" w:rsidRDefault="00065E56" w:rsidP="00065E56"/>
    <w:p w14:paraId="7DFD4A91" w14:textId="77777777" w:rsidR="00065E56" w:rsidRDefault="00065E56" w:rsidP="00065E56"/>
    <w:p w14:paraId="79229143" w14:textId="77777777" w:rsidR="00065E56" w:rsidRDefault="00065E56" w:rsidP="00065E56"/>
    <w:p w14:paraId="3E2BA975" w14:textId="77777777" w:rsidR="00065E56" w:rsidRDefault="00065E56" w:rsidP="00065E56"/>
    <w:p w14:paraId="2C10B98F" w14:textId="77777777" w:rsidR="00065E56" w:rsidRDefault="00065E56" w:rsidP="00065E56"/>
    <w:p w14:paraId="18AB6470" w14:textId="77777777" w:rsidR="00065E56" w:rsidRDefault="00065E56" w:rsidP="00065E56"/>
    <w:p w14:paraId="0238ED17" w14:textId="77777777" w:rsidR="00065E56" w:rsidRDefault="00065E56" w:rsidP="00065E56"/>
    <w:p w14:paraId="5CEC3B02" w14:textId="77777777" w:rsidR="00065E56" w:rsidRDefault="00065E56" w:rsidP="00065E56"/>
    <w:p w14:paraId="6DA0A9A5" w14:textId="77777777" w:rsidR="00065E56" w:rsidRDefault="00065E56" w:rsidP="00065E56"/>
    <w:p w14:paraId="479921B1" w14:textId="6231E9F9" w:rsidR="00065E56" w:rsidRDefault="00065E56" w:rsidP="00065E56"/>
    <w:p w14:paraId="2FE9D3CB" w14:textId="386EE086" w:rsidR="00A851A5" w:rsidRDefault="00A851A5" w:rsidP="00065E56"/>
    <w:p w14:paraId="10A83CFD" w14:textId="77777777" w:rsidR="00A851A5" w:rsidRDefault="00A851A5" w:rsidP="00065E56"/>
    <w:p w14:paraId="58AE5BCA" w14:textId="77777777" w:rsidR="00065E56" w:rsidRDefault="00065E56" w:rsidP="00065E56"/>
    <w:p w14:paraId="34044214" w14:textId="77777777" w:rsidR="00065E56" w:rsidRDefault="00065E56" w:rsidP="00065E56"/>
    <w:p w14:paraId="2267D01C" w14:textId="77777777" w:rsidR="00065E56" w:rsidRDefault="00065E56" w:rsidP="00065E56"/>
    <w:p w14:paraId="03A789A8" w14:textId="77777777" w:rsidR="00065E56" w:rsidRDefault="00065E56" w:rsidP="00065E56"/>
    <w:p w14:paraId="4D58B072" w14:textId="77777777" w:rsidR="00065E56" w:rsidRDefault="00065E56" w:rsidP="00065E56"/>
    <w:p w14:paraId="5E75EB04" w14:textId="77777777" w:rsidR="00065E56" w:rsidRDefault="00065E56" w:rsidP="00065E56"/>
    <w:p w14:paraId="6CC5DDFB" w14:textId="77777777" w:rsidR="00065E56" w:rsidRDefault="00065E56" w:rsidP="00065E56"/>
    <w:p w14:paraId="7DE1C4BD" w14:textId="77777777" w:rsidR="00065E56" w:rsidRDefault="00065E56" w:rsidP="00065E56">
      <w:pPr>
        <w:jc w:val="center"/>
        <w:rPr>
          <w:rFonts w:ascii="Times New Roman" w:hAnsi="Times New Roman" w:cs="Times New Roman"/>
        </w:rPr>
      </w:pPr>
    </w:p>
    <w:p w14:paraId="59458FDA" w14:textId="77777777" w:rsidR="00065E56" w:rsidRDefault="00065E56" w:rsidP="00065E56">
      <w:pPr>
        <w:jc w:val="center"/>
        <w:rPr>
          <w:rFonts w:ascii="Times New Roman" w:hAnsi="Times New Roman" w:cs="Times New Roman"/>
        </w:rPr>
      </w:pPr>
    </w:p>
    <w:p w14:paraId="5CAC8E83" w14:textId="77777777" w:rsidR="00065E56" w:rsidRDefault="00065E56" w:rsidP="00065E56">
      <w:pPr>
        <w:jc w:val="center"/>
        <w:rPr>
          <w:rFonts w:ascii="Times New Roman" w:hAnsi="Times New Roman" w:cs="Times New Roman"/>
        </w:rPr>
      </w:pPr>
    </w:p>
    <w:p w14:paraId="62E41C24" w14:textId="77777777" w:rsidR="00065E56" w:rsidRDefault="00065E56" w:rsidP="00065E56">
      <w:pPr>
        <w:jc w:val="center"/>
        <w:rPr>
          <w:rFonts w:ascii="Times New Roman" w:hAnsi="Times New Roman" w:cs="Times New Roman"/>
        </w:rPr>
      </w:pPr>
    </w:p>
    <w:p w14:paraId="64188823" w14:textId="77777777" w:rsidR="00065E56" w:rsidRDefault="00065E56" w:rsidP="00065E56">
      <w:pPr>
        <w:jc w:val="center"/>
        <w:rPr>
          <w:rFonts w:ascii="Times New Roman" w:hAnsi="Times New Roman" w:cs="Times New Roman"/>
        </w:rPr>
      </w:pPr>
      <w:r w:rsidRPr="00C1171E">
        <w:rPr>
          <w:rFonts w:ascii="Times New Roman" w:hAnsi="Times New Roman" w:cs="Times New Roman"/>
        </w:rPr>
        <w:t>Appendix C</w:t>
      </w:r>
    </w:p>
    <w:p w14:paraId="1C2B989C" w14:textId="77777777" w:rsidR="00065E56" w:rsidRDefault="00065E56" w:rsidP="00065E56">
      <w:pPr>
        <w:jc w:val="center"/>
        <w:rPr>
          <w:rFonts w:ascii="Times New Roman" w:hAnsi="Times New Roman" w:cs="Times New Roman"/>
        </w:rPr>
      </w:pPr>
    </w:p>
    <w:p w14:paraId="4F8A4FBE" w14:textId="77777777" w:rsidR="00065E56" w:rsidRDefault="00065E56" w:rsidP="00065E56">
      <w:pPr>
        <w:jc w:val="center"/>
        <w:rPr>
          <w:rFonts w:ascii="Times New Roman" w:hAnsi="Times New Roman" w:cs="Times New Roman"/>
        </w:rPr>
      </w:pPr>
      <w:r>
        <w:rPr>
          <w:rFonts w:ascii="Times New Roman" w:hAnsi="Times New Roman" w:cs="Times New Roman"/>
        </w:rPr>
        <w:t>Summative Equality of Variance Data</w:t>
      </w:r>
    </w:p>
    <w:p w14:paraId="08221946" w14:textId="77777777" w:rsidR="00065E56" w:rsidRDefault="00065E56" w:rsidP="00065E56">
      <w:pPr>
        <w:jc w:val="center"/>
        <w:rPr>
          <w:rFonts w:ascii="Times New Roman" w:hAnsi="Times New Roman" w:cs="Times New Roman"/>
        </w:rPr>
      </w:pPr>
    </w:p>
    <w:p w14:paraId="1F303F77" w14:textId="77777777" w:rsidR="00065E56" w:rsidRDefault="00065E56" w:rsidP="00065E56">
      <w:pPr>
        <w:jc w:val="center"/>
        <w:rPr>
          <w:rFonts w:ascii="Times New Roman" w:hAnsi="Times New Roman" w:cs="Times New Roman"/>
        </w:rPr>
      </w:pPr>
    </w:p>
    <w:p w14:paraId="18FF7214" w14:textId="77777777" w:rsidR="00065E56" w:rsidRDefault="00065E56" w:rsidP="00065E56">
      <w:pPr>
        <w:jc w:val="center"/>
        <w:rPr>
          <w:rFonts w:ascii="Times New Roman" w:hAnsi="Times New Roman" w:cs="Times New Roman"/>
        </w:rPr>
      </w:pPr>
    </w:p>
    <w:p w14:paraId="1AC82570" w14:textId="77777777" w:rsidR="00065E56" w:rsidRDefault="00065E56" w:rsidP="00065E56">
      <w:pPr>
        <w:jc w:val="center"/>
        <w:rPr>
          <w:rFonts w:ascii="Times New Roman" w:hAnsi="Times New Roman" w:cs="Times New Roman"/>
        </w:rPr>
      </w:pPr>
    </w:p>
    <w:p w14:paraId="0B50E7B2" w14:textId="77777777" w:rsidR="00065E56" w:rsidRDefault="00065E56" w:rsidP="00065E56">
      <w:pPr>
        <w:jc w:val="center"/>
        <w:rPr>
          <w:rFonts w:ascii="Times New Roman" w:hAnsi="Times New Roman" w:cs="Times New Roman"/>
        </w:rPr>
      </w:pPr>
    </w:p>
    <w:p w14:paraId="39D55F5F" w14:textId="77777777" w:rsidR="00065E56" w:rsidRDefault="00065E56" w:rsidP="00065E56">
      <w:pPr>
        <w:jc w:val="center"/>
        <w:rPr>
          <w:rFonts w:ascii="Times New Roman" w:hAnsi="Times New Roman" w:cs="Times New Roman"/>
        </w:rPr>
      </w:pPr>
    </w:p>
    <w:p w14:paraId="49B892D5" w14:textId="77777777" w:rsidR="00065E56" w:rsidRDefault="00065E56" w:rsidP="00065E56">
      <w:pPr>
        <w:jc w:val="center"/>
        <w:rPr>
          <w:rFonts w:ascii="Times New Roman" w:hAnsi="Times New Roman" w:cs="Times New Roman"/>
        </w:rPr>
      </w:pPr>
    </w:p>
    <w:p w14:paraId="48E5CE9E" w14:textId="77777777" w:rsidR="00065E56" w:rsidRDefault="00065E56" w:rsidP="00065E56">
      <w:pPr>
        <w:jc w:val="center"/>
        <w:rPr>
          <w:rFonts w:ascii="Times New Roman" w:hAnsi="Times New Roman" w:cs="Times New Roman"/>
        </w:rPr>
      </w:pPr>
    </w:p>
    <w:p w14:paraId="33346A0D" w14:textId="77777777" w:rsidR="00065E56" w:rsidRDefault="00065E56" w:rsidP="00065E56">
      <w:pPr>
        <w:jc w:val="center"/>
        <w:rPr>
          <w:rFonts w:ascii="Times New Roman" w:hAnsi="Times New Roman" w:cs="Times New Roman"/>
        </w:rPr>
      </w:pPr>
    </w:p>
    <w:p w14:paraId="7CD548B7" w14:textId="77777777" w:rsidR="00065E56" w:rsidRDefault="00065E56" w:rsidP="00065E56">
      <w:pPr>
        <w:jc w:val="center"/>
        <w:rPr>
          <w:rFonts w:ascii="Times New Roman" w:hAnsi="Times New Roman" w:cs="Times New Roman"/>
        </w:rPr>
      </w:pPr>
    </w:p>
    <w:p w14:paraId="1D538613" w14:textId="77777777" w:rsidR="00065E56" w:rsidRDefault="00065E56" w:rsidP="00065E56">
      <w:pPr>
        <w:jc w:val="center"/>
        <w:rPr>
          <w:rFonts w:ascii="Times New Roman" w:hAnsi="Times New Roman" w:cs="Times New Roman"/>
        </w:rPr>
      </w:pPr>
    </w:p>
    <w:p w14:paraId="284B4877" w14:textId="77777777" w:rsidR="00065E56" w:rsidRDefault="00065E56" w:rsidP="00065E56">
      <w:pPr>
        <w:jc w:val="center"/>
        <w:rPr>
          <w:rFonts w:ascii="Times New Roman" w:hAnsi="Times New Roman" w:cs="Times New Roman"/>
        </w:rPr>
      </w:pPr>
    </w:p>
    <w:p w14:paraId="6B27D498" w14:textId="77777777" w:rsidR="00065E56" w:rsidRDefault="00065E56" w:rsidP="00065E56">
      <w:pPr>
        <w:jc w:val="center"/>
        <w:rPr>
          <w:rFonts w:ascii="Times New Roman" w:hAnsi="Times New Roman" w:cs="Times New Roman"/>
        </w:rPr>
      </w:pPr>
    </w:p>
    <w:p w14:paraId="7213C37A" w14:textId="77777777" w:rsidR="00065E56" w:rsidRDefault="00065E56" w:rsidP="00065E56">
      <w:pPr>
        <w:jc w:val="center"/>
        <w:rPr>
          <w:rFonts w:ascii="Times New Roman" w:hAnsi="Times New Roman" w:cs="Times New Roman"/>
        </w:rPr>
      </w:pPr>
    </w:p>
    <w:p w14:paraId="7B3F0DB0" w14:textId="77777777" w:rsidR="00065E56" w:rsidRDefault="00065E56" w:rsidP="00065E56">
      <w:pPr>
        <w:jc w:val="center"/>
        <w:rPr>
          <w:rFonts w:ascii="Times New Roman" w:hAnsi="Times New Roman" w:cs="Times New Roman"/>
        </w:rPr>
      </w:pPr>
    </w:p>
    <w:p w14:paraId="3CFD0835" w14:textId="77777777" w:rsidR="00065E56" w:rsidRDefault="00065E56" w:rsidP="00065E56">
      <w:pPr>
        <w:jc w:val="center"/>
        <w:rPr>
          <w:rFonts w:ascii="Times New Roman" w:hAnsi="Times New Roman" w:cs="Times New Roman"/>
        </w:rPr>
      </w:pPr>
    </w:p>
    <w:p w14:paraId="5230A90D" w14:textId="77777777" w:rsidR="00065E56" w:rsidRDefault="00065E56" w:rsidP="00065E56">
      <w:pPr>
        <w:jc w:val="center"/>
        <w:rPr>
          <w:rFonts w:ascii="Times New Roman" w:hAnsi="Times New Roman" w:cs="Times New Roman"/>
        </w:rPr>
      </w:pPr>
    </w:p>
    <w:p w14:paraId="2FD242B9" w14:textId="77777777" w:rsidR="00065E56" w:rsidRDefault="00065E56" w:rsidP="00065E56">
      <w:pPr>
        <w:jc w:val="center"/>
        <w:rPr>
          <w:rFonts w:ascii="Times New Roman" w:hAnsi="Times New Roman" w:cs="Times New Roman"/>
        </w:rPr>
      </w:pPr>
    </w:p>
    <w:p w14:paraId="3056755F" w14:textId="77777777" w:rsidR="00065E56" w:rsidRDefault="00065E56" w:rsidP="00065E56">
      <w:pPr>
        <w:jc w:val="center"/>
        <w:rPr>
          <w:rFonts w:ascii="Times New Roman" w:hAnsi="Times New Roman" w:cs="Times New Roman"/>
        </w:rPr>
      </w:pPr>
    </w:p>
    <w:p w14:paraId="7FE17FE5" w14:textId="77777777" w:rsidR="00065E56" w:rsidRDefault="00065E56" w:rsidP="00065E56">
      <w:pPr>
        <w:jc w:val="center"/>
        <w:rPr>
          <w:rFonts w:ascii="Times New Roman" w:hAnsi="Times New Roman" w:cs="Times New Roman"/>
        </w:rPr>
      </w:pPr>
    </w:p>
    <w:p w14:paraId="08F471DA" w14:textId="77777777" w:rsidR="00065E56" w:rsidRDefault="00065E56" w:rsidP="00065E56">
      <w:pPr>
        <w:jc w:val="center"/>
        <w:rPr>
          <w:rFonts w:ascii="Times New Roman" w:hAnsi="Times New Roman" w:cs="Times New Roman"/>
        </w:rPr>
      </w:pPr>
    </w:p>
    <w:p w14:paraId="24C05CD6" w14:textId="77777777" w:rsidR="00065E56" w:rsidRDefault="00065E56" w:rsidP="00065E56">
      <w:pPr>
        <w:jc w:val="center"/>
        <w:rPr>
          <w:rFonts w:ascii="Times New Roman" w:hAnsi="Times New Roman" w:cs="Times New Roman"/>
        </w:rPr>
      </w:pPr>
    </w:p>
    <w:p w14:paraId="02B650C4" w14:textId="77777777" w:rsidR="00065E56" w:rsidRDefault="00065E56" w:rsidP="00065E56">
      <w:pPr>
        <w:jc w:val="center"/>
        <w:rPr>
          <w:rFonts w:ascii="Times New Roman" w:hAnsi="Times New Roman" w:cs="Times New Roman"/>
        </w:rPr>
      </w:pPr>
    </w:p>
    <w:p w14:paraId="27452C92" w14:textId="77777777" w:rsidR="00065E56" w:rsidRDefault="00065E56" w:rsidP="00065E56">
      <w:pPr>
        <w:jc w:val="center"/>
        <w:rPr>
          <w:rFonts w:ascii="Times New Roman" w:hAnsi="Times New Roman" w:cs="Times New Roman"/>
        </w:rPr>
      </w:pPr>
    </w:p>
    <w:p w14:paraId="11D4AC10" w14:textId="77777777" w:rsidR="00065E56" w:rsidRDefault="00065E56" w:rsidP="00065E56">
      <w:pPr>
        <w:jc w:val="center"/>
        <w:rPr>
          <w:rFonts w:ascii="Times New Roman" w:hAnsi="Times New Roman" w:cs="Times New Roman"/>
        </w:rPr>
      </w:pPr>
    </w:p>
    <w:p w14:paraId="26D9A9E5" w14:textId="77777777" w:rsidR="00065E56" w:rsidRDefault="00695F3E" w:rsidP="00065E56">
      <w:pPr>
        <w:jc w:val="center"/>
        <w:rPr>
          <w:rFonts w:ascii="Times New Roman" w:hAnsi="Times New Roman" w:cs="Times New Roman"/>
        </w:rPr>
      </w:pPr>
      <w:r>
        <w:rPr>
          <w:rFonts w:ascii="Times New Roman" w:hAnsi="Times New Roman" w:cs="Times New Roman"/>
          <w:noProof/>
        </w:rPr>
        <w:object w:dxaOrig="8240" w:dyaOrig="5220" w14:anchorId="6AFEE9FC">
          <v:shape id="_x0000_i1032" type="#_x0000_t75" alt="" style="width:411.8pt;height:260.85pt;mso-width-percent:0;mso-height-percent:0;mso-width-percent:0;mso-height-percent:0" o:ole="">
            <v:imagedata r:id="rId30" o:title=""/>
          </v:shape>
          <o:OLEObject Type="Embed" ProgID="Excel.Sheet.12" ShapeID="_x0000_i1032" DrawAspect="Content" ObjectID="_1681813814" r:id="rId31"/>
        </w:object>
      </w:r>
    </w:p>
    <w:p w14:paraId="075785FE" w14:textId="77777777" w:rsidR="00065E56" w:rsidRDefault="00065E56" w:rsidP="00065E56">
      <w:pPr>
        <w:jc w:val="center"/>
        <w:rPr>
          <w:rFonts w:ascii="Times New Roman" w:hAnsi="Times New Roman" w:cs="Times New Roman"/>
        </w:rPr>
      </w:pPr>
    </w:p>
    <w:p w14:paraId="43BC25E8" w14:textId="77777777" w:rsidR="00065E56" w:rsidRDefault="00065E56" w:rsidP="00065E56">
      <w:pPr>
        <w:jc w:val="center"/>
        <w:rPr>
          <w:rFonts w:ascii="Times New Roman" w:hAnsi="Times New Roman" w:cs="Times New Roman"/>
        </w:rPr>
      </w:pPr>
    </w:p>
    <w:p w14:paraId="24071DCF" w14:textId="77777777" w:rsidR="00065E56" w:rsidRDefault="00065E56" w:rsidP="00065E56">
      <w:pPr>
        <w:jc w:val="center"/>
        <w:rPr>
          <w:rFonts w:ascii="Times New Roman" w:hAnsi="Times New Roman" w:cs="Times New Roman"/>
        </w:rPr>
      </w:pPr>
    </w:p>
    <w:p w14:paraId="400F5096" w14:textId="77777777" w:rsidR="00065E56" w:rsidRDefault="00065E56" w:rsidP="00065E56">
      <w:pPr>
        <w:jc w:val="center"/>
        <w:rPr>
          <w:rFonts w:ascii="Times New Roman" w:hAnsi="Times New Roman" w:cs="Times New Roman"/>
        </w:rPr>
      </w:pPr>
    </w:p>
    <w:p w14:paraId="269361C9" w14:textId="77777777" w:rsidR="00065E56" w:rsidRDefault="00065E56" w:rsidP="00065E56">
      <w:pPr>
        <w:jc w:val="center"/>
        <w:rPr>
          <w:rFonts w:ascii="Times New Roman" w:hAnsi="Times New Roman" w:cs="Times New Roman"/>
        </w:rPr>
      </w:pPr>
    </w:p>
    <w:p w14:paraId="7F1B26F2" w14:textId="77777777" w:rsidR="00065E56" w:rsidRDefault="00065E56" w:rsidP="00065E56">
      <w:pPr>
        <w:jc w:val="center"/>
        <w:rPr>
          <w:rFonts w:ascii="Times New Roman" w:hAnsi="Times New Roman" w:cs="Times New Roman"/>
        </w:rPr>
      </w:pPr>
    </w:p>
    <w:p w14:paraId="4FB20454" w14:textId="77777777" w:rsidR="00065E56" w:rsidRDefault="00065E56" w:rsidP="00065E56">
      <w:pPr>
        <w:jc w:val="center"/>
        <w:rPr>
          <w:rFonts w:ascii="Times New Roman" w:hAnsi="Times New Roman" w:cs="Times New Roman"/>
        </w:rPr>
      </w:pPr>
    </w:p>
    <w:p w14:paraId="7B5CF270" w14:textId="77777777" w:rsidR="00065E56" w:rsidRDefault="00065E56" w:rsidP="00065E56">
      <w:pPr>
        <w:jc w:val="center"/>
        <w:rPr>
          <w:rFonts w:ascii="Times New Roman" w:hAnsi="Times New Roman" w:cs="Times New Roman"/>
        </w:rPr>
      </w:pPr>
    </w:p>
    <w:p w14:paraId="37CDB06B" w14:textId="77777777" w:rsidR="00065E56" w:rsidRDefault="00065E56" w:rsidP="00065E56">
      <w:pPr>
        <w:jc w:val="center"/>
        <w:rPr>
          <w:rFonts w:ascii="Times New Roman" w:hAnsi="Times New Roman" w:cs="Times New Roman"/>
        </w:rPr>
      </w:pPr>
    </w:p>
    <w:p w14:paraId="68F5CAEA" w14:textId="77777777" w:rsidR="00065E56" w:rsidRDefault="00065E56" w:rsidP="00065E56">
      <w:pPr>
        <w:jc w:val="center"/>
        <w:rPr>
          <w:rFonts w:ascii="Times New Roman" w:hAnsi="Times New Roman" w:cs="Times New Roman"/>
        </w:rPr>
      </w:pPr>
    </w:p>
    <w:p w14:paraId="38766F3D" w14:textId="77777777" w:rsidR="00065E56" w:rsidRDefault="00065E56" w:rsidP="00065E56">
      <w:pPr>
        <w:jc w:val="center"/>
        <w:rPr>
          <w:rFonts w:ascii="Times New Roman" w:hAnsi="Times New Roman" w:cs="Times New Roman"/>
        </w:rPr>
      </w:pPr>
    </w:p>
    <w:p w14:paraId="32965725" w14:textId="77777777" w:rsidR="00065E56" w:rsidRDefault="00065E56" w:rsidP="00065E56">
      <w:pPr>
        <w:jc w:val="center"/>
        <w:rPr>
          <w:rFonts w:ascii="Times New Roman" w:hAnsi="Times New Roman" w:cs="Times New Roman"/>
        </w:rPr>
      </w:pPr>
    </w:p>
    <w:p w14:paraId="4C99F411" w14:textId="77777777" w:rsidR="00065E56" w:rsidRDefault="00065E56" w:rsidP="00065E56">
      <w:pPr>
        <w:jc w:val="center"/>
        <w:rPr>
          <w:rFonts w:ascii="Times New Roman" w:hAnsi="Times New Roman" w:cs="Times New Roman"/>
        </w:rPr>
      </w:pPr>
    </w:p>
    <w:p w14:paraId="493510E8" w14:textId="77777777" w:rsidR="00065E56" w:rsidRDefault="00065E56" w:rsidP="00065E56">
      <w:pPr>
        <w:jc w:val="center"/>
        <w:rPr>
          <w:rFonts w:ascii="Times New Roman" w:hAnsi="Times New Roman" w:cs="Times New Roman"/>
        </w:rPr>
      </w:pPr>
    </w:p>
    <w:p w14:paraId="13D6813B" w14:textId="77777777" w:rsidR="00065E56" w:rsidRDefault="00065E56" w:rsidP="00065E56">
      <w:pPr>
        <w:jc w:val="center"/>
        <w:rPr>
          <w:rFonts w:ascii="Times New Roman" w:hAnsi="Times New Roman" w:cs="Times New Roman"/>
        </w:rPr>
      </w:pPr>
    </w:p>
    <w:p w14:paraId="27286BF5" w14:textId="77777777" w:rsidR="00065E56" w:rsidRDefault="00065E56" w:rsidP="00065E56">
      <w:pPr>
        <w:jc w:val="center"/>
        <w:rPr>
          <w:rFonts w:ascii="Times New Roman" w:hAnsi="Times New Roman" w:cs="Times New Roman"/>
        </w:rPr>
      </w:pPr>
    </w:p>
    <w:p w14:paraId="54C26055" w14:textId="77777777" w:rsidR="00065E56" w:rsidRDefault="00065E56" w:rsidP="00065E56">
      <w:pPr>
        <w:jc w:val="center"/>
        <w:rPr>
          <w:rFonts w:ascii="Times New Roman" w:hAnsi="Times New Roman" w:cs="Times New Roman"/>
        </w:rPr>
      </w:pPr>
    </w:p>
    <w:p w14:paraId="3FF67DE9" w14:textId="77777777" w:rsidR="00065E56" w:rsidRDefault="00065E56" w:rsidP="00065E56">
      <w:pPr>
        <w:jc w:val="center"/>
        <w:rPr>
          <w:rFonts w:ascii="Times New Roman" w:hAnsi="Times New Roman" w:cs="Times New Roman"/>
        </w:rPr>
      </w:pPr>
    </w:p>
    <w:p w14:paraId="6E493619" w14:textId="77777777" w:rsidR="00065E56" w:rsidRDefault="00065E56" w:rsidP="00065E56">
      <w:pPr>
        <w:jc w:val="center"/>
        <w:rPr>
          <w:rFonts w:ascii="Times New Roman" w:hAnsi="Times New Roman" w:cs="Times New Roman"/>
        </w:rPr>
      </w:pPr>
    </w:p>
    <w:p w14:paraId="09AD50DA" w14:textId="77777777" w:rsidR="00065E56" w:rsidRDefault="00065E56" w:rsidP="00065E56">
      <w:pPr>
        <w:jc w:val="center"/>
        <w:rPr>
          <w:rFonts w:ascii="Times New Roman" w:hAnsi="Times New Roman" w:cs="Times New Roman"/>
        </w:rPr>
      </w:pPr>
    </w:p>
    <w:p w14:paraId="590360BC" w14:textId="77777777" w:rsidR="00065E56" w:rsidRDefault="00065E56" w:rsidP="00065E56">
      <w:pPr>
        <w:jc w:val="center"/>
        <w:rPr>
          <w:rFonts w:ascii="Times New Roman" w:hAnsi="Times New Roman" w:cs="Times New Roman"/>
        </w:rPr>
      </w:pPr>
    </w:p>
    <w:p w14:paraId="71A2E635" w14:textId="77777777" w:rsidR="00065E56" w:rsidRDefault="00065E56" w:rsidP="00065E56">
      <w:pPr>
        <w:jc w:val="center"/>
        <w:rPr>
          <w:rFonts w:ascii="Times New Roman" w:hAnsi="Times New Roman" w:cs="Times New Roman"/>
        </w:rPr>
      </w:pPr>
    </w:p>
    <w:p w14:paraId="11667E43" w14:textId="77777777" w:rsidR="00065E56" w:rsidRDefault="00065E56" w:rsidP="00065E56">
      <w:pPr>
        <w:jc w:val="center"/>
        <w:rPr>
          <w:rFonts w:ascii="Times New Roman" w:hAnsi="Times New Roman" w:cs="Times New Roman"/>
        </w:rPr>
      </w:pPr>
    </w:p>
    <w:p w14:paraId="24067F52" w14:textId="77777777" w:rsidR="00065E56" w:rsidRDefault="00065E56" w:rsidP="00065E56">
      <w:pPr>
        <w:jc w:val="center"/>
        <w:rPr>
          <w:rFonts w:ascii="Times New Roman" w:hAnsi="Times New Roman" w:cs="Times New Roman"/>
        </w:rPr>
      </w:pPr>
    </w:p>
    <w:p w14:paraId="284F425C" w14:textId="77777777" w:rsidR="00065E56" w:rsidRDefault="00065E56" w:rsidP="00065E56">
      <w:pPr>
        <w:rPr>
          <w:rFonts w:ascii="Times New Roman" w:hAnsi="Times New Roman" w:cs="Times New Roman"/>
        </w:rPr>
      </w:pPr>
    </w:p>
    <w:p w14:paraId="03B18789" w14:textId="77777777" w:rsidR="00065E56" w:rsidRDefault="00065E56" w:rsidP="00065E56">
      <w:pPr>
        <w:jc w:val="center"/>
        <w:rPr>
          <w:rFonts w:ascii="Times New Roman" w:hAnsi="Times New Roman" w:cs="Times New Roman"/>
        </w:rPr>
      </w:pPr>
    </w:p>
    <w:p w14:paraId="4CA94A84" w14:textId="77777777" w:rsidR="00065E56" w:rsidRDefault="00065E56" w:rsidP="00065E56">
      <w:pPr>
        <w:jc w:val="center"/>
        <w:rPr>
          <w:rFonts w:ascii="Times New Roman" w:hAnsi="Times New Roman" w:cs="Times New Roman"/>
        </w:rPr>
      </w:pPr>
    </w:p>
    <w:p w14:paraId="159C8931" w14:textId="77777777" w:rsidR="00065E56" w:rsidRDefault="00065E56" w:rsidP="00065E56">
      <w:pPr>
        <w:jc w:val="center"/>
        <w:rPr>
          <w:rFonts w:ascii="Times New Roman" w:hAnsi="Times New Roman" w:cs="Times New Roman"/>
        </w:rPr>
      </w:pPr>
    </w:p>
    <w:p w14:paraId="3147CB1C" w14:textId="77777777" w:rsidR="00065E56" w:rsidRDefault="00065E56" w:rsidP="00065E56">
      <w:pPr>
        <w:jc w:val="center"/>
        <w:rPr>
          <w:rFonts w:ascii="Times New Roman" w:hAnsi="Times New Roman" w:cs="Times New Roman"/>
        </w:rPr>
      </w:pPr>
    </w:p>
    <w:p w14:paraId="2A47AE64" w14:textId="77777777" w:rsidR="00065E56" w:rsidRDefault="00065E56" w:rsidP="00065E56">
      <w:pPr>
        <w:jc w:val="center"/>
        <w:rPr>
          <w:rFonts w:ascii="Times New Roman" w:hAnsi="Times New Roman" w:cs="Times New Roman"/>
        </w:rPr>
      </w:pPr>
    </w:p>
    <w:p w14:paraId="1AF9F52B" w14:textId="77777777" w:rsidR="00065E56" w:rsidRDefault="00065E56" w:rsidP="00065E56">
      <w:pPr>
        <w:jc w:val="center"/>
        <w:rPr>
          <w:rFonts w:ascii="Times New Roman" w:hAnsi="Times New Roman" w:cs="Times New Roman"/>
        </w:rPr>
      </w:pPr>
    </w:p>
    <w:p w14:paraId="023F2700" w14:textId="77777777" w:rsidR="00065E56" w:rsidRDefault="00065E56" w:rsidP="00065E56">
      <w:pPr>
        <w:jc w:val="center"/>
        <w:rPr>
          <w:rFonts w:ascii="Times New Roman" w:hAnsi="Times New Roman" w:cs="Times New Roman"/>
        </w:rPr>
      </w:pPr>
    </w:p>
    <w:p w14:paraId="4BC7DD34" w14:textId="77777777" w:rsidR="00065E56" w:rsidRDefault="00065E56" w:rsidP="00065E56">
      <w:pPr>
        <w:jc w:val="center"/>
        <w:rPr>
          <w:rFonts w:ascii="Times New Roman" w:hAnsi="Times New Roman" w:cs="Times New Roman"/>
        </w:rPr>
      </w:pPr>
    </w:p>
    <w:p w14:paraId="4D7DE231" w14:textId="77777777" w:rsidR="00065E56" w:rsidRDefault="00065E56" w:rsidP="00065E56">
      <w:pPr>
        <w:jc w:val="center"/>
        <w:rPr>
          <w:rFonts w:ascii="Times New Roman" w:hAnsi="Times New Roman" w:cs="Times New Roman"/>
        </w:rPr>
      </w:pPr>
    </w:p>
    <w:p w14:paraId="715B5B86" w14:textId="77777777" w:rsidR="00065E56" w:rsidRDefault="00065E56" w:rsidP="00065E56">
      <w:pPr>
        <w:jc w:val="center"/>
        <w:rPr>
          <w:rFonts w:ascii="Times New Roman" w:hAnsi="Times New Roman" w:cs="Times New Roman"/>
        </w:rPr>
      </w:pPr>
    </w:p>
    <w:p w14:paraId="58D308D5" w14:textId="77777777" w:rsidR="00065E56" w:rsidRDefault="00065E56" w:rsidP="00065E56">
      <w:pPr>
        <w:jc w:val="center"/>
        <w:rPr>
          <w:rFonts w:ascii="Times New Roman" w:hAnsi="Times New Roman" w:cs="Times New Roman"/>
        </w:rPr>
      </w:pPr>
    </w:p>
    <w:p w14:paraId="3306B59C" w14:textId="77777777" w:rsidR="00065E56" w:rsidRDefault="00065E56" w:rsidP="00065E56">
      <w:pPr>
        <w:jc w:val="center"/>
        <w:rPr>
          <w:rFonts w:ascii="Times New Roman" w:hAnsi="Times New Roman" w:cs="Times New Roman"/>
        </w:rPr>
      </w:pPr>
    </w:p>
    <w:p w14:paraId="23720088" w14:textId="77777777" w:rsidR="00065E56" w:rsidRDefault="00065E56" w:rsidP="00065E56">
      <w:pPr>
        <w:jc w:val="center"/>
        <w:rPr>
          <w:rFonts w:ascii="Times New Roman" w:hAnsi="Times New Roman" w:cs="Times New Roman"/>
        </w:rPr>
      </w:pPr>
    </w:p>
    <w:p w14:paraId="678B3998" w14:textId="77777777" w:rsidR="00065E56" w:rsidRDefault="00065E56" w:rsidP="00065E56">
      <w:pPr>
        <w:jc w:val="center"/>
        <w:rPr>
          <w:rFonts w:ascii="Times New Roman" w:hAnsi="Times New Roman" w:cs="Times New Roman"/>
        </w:rPr>
      </w:pPr>
    </w:p>
    <w:p w14:paraId="632D7467" w14:textId="77777777" w:rsidR="00065E56" w:rsidRDefault="00065E56" w:rsidP="00065E56">
      <w:pPr>
        <w:jc w:val="center"/>
        <w:rPr>
          <w:rFonts w:ascii="Times New Roman" w:hAnsi="Times New Roman" w:cs="Times New Roman"/>
        </w:rPr>
      </w:pPr>
    </w:p>
    <w:p w14:paraId="61D77ABE" w14:textId="77777777" w:rsidR="00065E56" w:rsidRDefault="00065E56" w:rsidP="00065E56">
      <w:pPr>
        <w:jc w:val="center"/>
        <w:rPr>
          <w:rFonts w:ascii="Times New Roman" w:hAnsi="Times New Roman" w:cs="Times New Roman"/>
        </w:rPr>
      </w:pPr>
    </w:p>
    <w:p w14:paraId="228CB75F" w14:textId="77777777" w:rsidR="00065E56" w:rsidRDefault="00065E56" w:rsidP="00065E56">
      <w:pPr>
        <w:jc w:val="center"/>
        <w:rPr>
          <w:rFonts w:ascii="Times New Roman" w:hAnsi="Times New Roman" w:cs="Times New Roman"/>
        </w:rPr>
      </w:pPr>
    </w:p>
    <w:p w14:paraId="0B638404" w14:textId="77777777" w:rsidR="00065E56" w:rsidRDefault="00065E56" w:rsidP="00065E56">
      <w:pPr>
        <w:jc w:val="center"/>
        <w:rPr>
          <w:rFonts w:ascii="Times New Roman" w:hAnsi="Times New Roman" w:cs="Times New Roman"/>
        </w:rPr>
      </w:pPr>
    </w:p>
    <w:p w14:paraId="03CC5264" w14:textId="77777777" w:rsidR="00065E56" w:rsidRDefault="00065E56" w:rsidP="00065E56">
      <w:pPr>
        <w:jc w:val="center"/>
        <w:rPr>
          <w:rFonts w:ascii="Times New Roman" w:hAnsi="Times New Roman" w:cs="Times New Roman"/>
        </w:rPr>
      </w:pPr>
    </w:p>
    <w:p w14:paraId="50817E00" w14:textId="77777777" w:rsidR="00065E56" w:rsidRDefault="00065E56" w:rsidP="00065E56">
      <w:pPr>
        <w:jc w:val="center"/>
        <w:rPr>
          <w:rFonts w:ascii="Times New Roman" w:hAnsi="Times New Roman" w:cs="Times New Roman"/>
        </w:rPr>
      </w:pPr>
    </w:p>
    <w:p w14:paraId="12CB9E45" w14:textId="21387441" w:rsidR="00065E56" w:rsidRDefault="00065E56" w:rsidP="00065E56">
      <w:pPr>
        <w:jc w:val="center"/>
        <w:rPr>
          <w:rFonts w:ascii="Times New Roman" w:hAnsi="Times New Roman" w:cs="Times New Roman"/>
        </w:rPr>
      </w:pPr>
    </w:p>
    <w:p w14:paraId="0DD099E3" w14:textId="77777777" w:rsidR="00A851A5" w:rsidRDefault="00A851A5" w:rsidP="00065E56">
      <w:pPr>
        <w:jc w:val="center"/>
        <w:rPr>
          <w:rFonts w:ascii="Times New Roman" w:hAnsi="Times New Roman" w:cs="Times New Roman"/>
        </w:rPr>
      </w:pPr>
    </w:p>
    <w:p w14:paraId="28836F7F" w14:textId="77777777" w:rsidR="00065E56" w:rsidRDefault="00065E56" w:rsidP="00065E56">
      <w:pPr>
        <w:jc w:val="center"/>
        <w:rPr>
          <w:rFonts w:ascii="Times New Roman" w:hAnsi="Times New Roman" w:cs="Times New Roman"/>
        </w:rPr>
      </w:pPr>
    </w:p>
    <w:p w14:paraId="555917FA" w14:textId="77777777" w:rsidR="00065E56" w:rsidRDefault="00065E56" w:rsidP="00065E56">
      <w:pPr>
        <w:jc w:val="center"/>
        <w:rPr>
          <w:rFonts w:ascii="Times New Roman" w:hAnsi="Times New Roman" w:cs="Times New Roman"/>
        </w:rPr>
      </w:pPr>
    </w:p>
    <w:p w14:paraId="55F9BE8A" w14:textId="77777777" w:rsidR="00065E56" w:rsidRDefault="00065E56" w:rsidP="00065E56">
      <w:pPr>
        <w:jc w:val="center"/>
        <w:rPr>
          <w:rFonts w:ascii="Times New Roman" w:hAnsi="Times New Roman" w:cs="Times New Roman"/>
        </w:rPr>
      </w:pPr>
    </w:p>
    <w:p w14:paraId="690FA379" w14:textId="77777777" w:rsidR="00065E56" w:rsidRDefault="00065E56" w:rsidP="00065E56">
      <w:pPr>
        <w:jc w:val="center"/>
        <w:rPr>
          <w:rFonts w:ascii="Times New Roman" w:hAnsi="Times New Roman" w:cs="Times New Roman"/>
        </w:rPr>
      </w:pPr>
      <w:r>
        <w:rPr>
          <w:rFonts w:ascii="Times New Roman" w:hAnsi="Times New Roman" w:cs="Times New Roman"/>
        </w:rPr>
        <w:t>Appendix D</w:t>
      </w:r>
    </w:p>
    <w:p w14:paraId="17FF5604" w14:textId="77777777" w:rsidR="00065E56" w:rsidRDefault="00065E56" w:rsidP="00065E56">
      <w:pPr>
        <w:jc w:val="center"/>
        <w:rPr>
          <w:rFonts w:ascii="Times New Roman" w:hAnsi="Times New Roman" w:cs="Times New Roman"/>
        </w:rPr>
      </w:pPr>
    </w:p>
    <w:p w14:paraId="39939100" w14:textId="77777777" w:rsidR="00065E56" w:rsidRDefault="00065E56" w:rsidP="00065E56">
      <w:pPr>
        <w:jc w:val="center"/>
        <w:rPr>
          <w:rFonts w:ascii="Times New Roman" w:hAnsi="Times New Roman" w:cs="Times New Roman"/>
        </w:rPr>
      </w:pPr>
      <w:r>
        <w:rPr>
          <w:rFonts w:ascii="Times New Roman" w:hAnsi="Times New Roman" w:cs="Times New Roman"/>
        </w:rPr>
        <w:t>Summative Test Statistics</w:t>
      </w:r>
    </w:p>
    <w:p w14:paraId="6D2E73A8" w14:textId="77777777" w:rsidR="00065E56" w:rsidRDefault="00695F3E" w:rsidP="00065E56">
      <w:pPr>
        <w:jc w:val="center"/>
        <w:rPr>
          <w:rFonts w:ascii="Times New Roman" w:hAnsi="Times New Roman" w:cs="Times New Roman"/>
        </w:rPr>
      </w:pPr>
      <w:r>
        <w:rPr>
          <w:rFonts w:ascii="Times New Roman" w:hAnsi="Times New Roman" w:cs="Times New Roman"/>
          <w:noProof/>
        </w:rPr>
        <w:object w:dxaOrig="12260" w:dyaOrig="17220" w14:anchorId="4AFA3B28">
          <v:shape id="_x0000_i1031" type="#_x0000_t75" alt="" style="width:447.8pt;height:629.7pt;mso-width-percent:0;mso-height-percent:0;mso-width-percent:0;mso-height-percent:0" o:ole="">
            <v:imagedata r:id="rId32" o:title=""/>
          </v:shape>
          <o:OLEObject Type="Embed" ProgID="Excel.Sheet.12" ShapeID="_x0000_i1031" DrawAspect="Content" ObjectID="_1681813815" r:id="rId33"/>
        </w:object>
      </w:r>
    </w:p>
    <w:p w14:paraId="2A17D8E3" w14:textId="77777777" w:rsidR="00065E56" w:rsidRDefault="00065E56" w:rsidP="00065E56">
      <w:pPr>
        <w:jc w:val="center"/>
        <w:rPr>
          <w:rFonts w:ascii="Times New Roman" w:hAnsi="Times New Roman" w:cs="Times New Roman"/>
        </w:rPr>
      </w:pPr>
    </w:p>
    <w:p w14:paraId="6FE842D2" w14:textId="77777777" w:rsidR="00065E56" w:rsidRDefault="00065E56" w:rsidP="00065E56">
      <w:pPr>
        <w:jc w:val="center"/>
        <w:rPr>
          <w:rFonts w:ascii="Times New Roman" w:hAnsi="Times New Roman" w:cs="Times New Roman"/>
        </w:rPr>
      </w:pPr>
    </w:p>
    <w:p w14:paraId="3C5861A2" w14:textId="77777777" w:rsidR="00065E56" w:rsidRDefault="00065E56" w:rsidP="00065E56">
      <w:pPr>
        <w:jc w:val="center"/>
        <w:rPr>
          <w:rFonts w:ascii="Times New Roman" w:hAnsi="Times New Roman" w:cs="Times New Roman"/>
        </w:rPr>
      </w:pPr>
    </w:p>
    <w:p w14:paraId="25A65AB2" w14:textId="77777777" w:rsidR="00065E56" w:rsidRDefault="00065E56" w:rsidP="00065E56">
      <w:pPr>
        <w:jc w:val="center"/>
        <w:rPr>
          <w:rFonts w:ascii="Times New Roman" w:hAnsi="Times New Roman" w:cs="Times New Roman"/>
        </w:rPr>
      </w:pPr>
    </w:p>
    <w:p w14:paraId="79F22624" w14:textId="77777777" w:rsidR="00065E56" w:rsidRDefault="00065E56" w:rsidP="00065E56">
      <w:pPr>
        <w:jc w:val="center"/>
        <w:rPr>
          <w:rFonts w:ascii="Times New Roman" w:hAnsi="Times New Roman" w:cs="Times New Roman"/>
        </w:rPr>
      </w:pPr>
    </w:p>
    <w:p w14:paraId="59AE3E38" w14:textId="77777777" w:rsidR="00065E56" w:rsidRDefault="00065E56" w:rsidP="00065E56">
      <w:pPr>
        <w:jc w:val="center"/>
        <w:rPr>
          <w:rFonts w:ascii="Times New Roman" w:hAnsi="Times New Roman" w:cs="Times New Roman"/>
        </w:rPr>
      </w:pPr>
    </w:p>
    <w:p w14:paraId="0C95D006" w14:textId="77777777" w:rsidR="00065E56" w:rsidRDefault="00065E56" w:rsidP="00065E56">
      <w:pPr>
        <w:jc w:val="center"/>
        <w:rPr>
          <w:rFonts w:ascii="Times New Roman" w:hAnsi="Times New Roman" w:cs="Times New Roman"/>
        </w:rPr>
      </w:pPr>
    </w:p>
    <w:p w14:paraId="6A5A3C4F" w14:textId="77777777" w:rsidR="00065E56" w:rsidRDefault="00065E56" w:rsidP="00065E56">
      <w:pPr>
        <w:jc w:val="center"/>
        <w:rPr>
          <w:rFonts w:ascii="Times New Roman" w:hAnsi="Times New Roman" w:cs="Times New Roman"/>
        </w:rPr>
      </w:pPr>
    </w:p>
    <w:p w14:paraId="22C8A381" w14:textId="77777777" w:rsidR="00065E56" w:rsidRDefault="00065E56" w:rsidP="00065E56">
      <w:pPr>
        <w:jc w:val="center"/>
        <w:rPr>
          <w:rFonts w:ascii="Times New Roman" w:hAnsi="Times New Roman" w:cs="Times New Roman"/>
        </w:rPr>
      </w:pPr>
    </w:p>
    <w:p w14:paraId="0635488F" w14:textId="77777777" w:rsidR="00065E56" w:rsidRDefault="00065E56" w:rsidP="00065E56">
      <w:pPr>
        <w:jc w:val="center"/>
        <w:rPr>
          <w:rFonts w:ascii="Times New Roman" w:hAnsi="Times New Roman" w:cs="Times New Roman"/>
        </w:rPr>
      </w:pPr>
    </w:p>
    <w:p w14:paraId="452D4E5F" w14:textId="77777777" w:rsidR="00065E56" w:rsidRDefault="00065E56" w:rsidP="00065E56">
      <w:pPr>
        <w:jc w:val="center"/>
        <w:rPr>
          <w:rFonts w:ascii="Times New Roman" w:hAnsi="Times New Roman" w:cs="Times New Roman"/>
        </w:rPr>
      </w:pPr>
    </w:p>
    <w:p w14:paraId="762463BB" w14:textId="77777777" w:rsidR="00065E56" w:rsidRDefault="00065E56" w:rsidP="00065E56">
      <w:pPr>
        <w:jc w:val="center"/>
        <w:rPr>
          <w:rFonts w:ascii="Times New Roman" w:hAnsi="Times New Roman" w:cs="Times New Roman"/>
        </w:rPr>
      </w:pPr>
    </w:p>
    <w:p w14:paraId="6D12F93D" w14:textId="77777777" w:rsidR="00065E56" w:rsidRDefault="00065E56" w:rsidP="00065E56">
      <w:pPr>
        <w:jc w:val="center"/>
        <w:rPr>
          <w:rFonts w:ascii="Times New Roman" w:hAnsi="Times New Roman" w:cs="Times New Roman"/>
        </w:rPr>
      </w:pPr>
    </w:p>
    <w:p w14:paraId="0BF08031" w14:textId="77777777" w:rsidR="00065E56" w:rsidRDefault="00065E56" w:rsidP="00065E56">
      <w:pPr>
        <w:jc w:val="center"/>
        <w:rPr>
          <w:rFonts w:ascii="Times New Roman" w:hAnsi="Times New Roman" w:cs="Times New Roman"/>
        </w:rPr>
      </w:pPr>
    </w:p>
    <w:p w14:paraId="247281FD" w14:textId="16AC5CC1" w:rsidR="00065E56" w:rsidRDefault="00065E56" w:rsidP="00065E56">
      <w:pPr>
        <w:jc w:val="center"/>
        <w:rPr>
          <w:rFonts w:ascii="Times New Roman" w:hAnsi="Times New Roman" w:cs="Times New Roman"/>
        </w:rPr>
      </w:pPr>
    </w:p>
    <w:p w14:paraId="6D6F0FEF" w14:textId="77777777" w:rsidR="00A851A5" w:rsidRDefault="00A851A5" w:rsidP="00065E56">
      <w:pPr>
        <w:jc w:val="center"/>
        <w:rPr>
          <w:rFonts w:ascii="Times New Roman" w:hAnsi="Times New Roman" w:cs="Times New Roman"/>
        </w:rPr>
      </w:pPr>
    </w:p>
    <w:p w14:paraId="57F18480" w14:textId="77777777" w:rsidR="00065E56" w:rsidRDefault="00065E56" w:rsidP="00065E56">
      <w:pPr>
        <w:jc w:val="center"/>
        <w:rPr>
          <w:rFonts w:ascii="Times New Roman" w:hAnsi="Times New Roman" w:cs="Times New Roman"/>
        </w:rPr>
      </w:pPr>
    </w:p>
    <w:p w14:paraId="6775082D" w14:textId="77777777" w:rsidR="00065E56" w:rsidRDefault="00065E56" w:rsidP="00065E56">
      <w:pPr>
        <w:jc w:val="center"/>
        <w:rPr>
          <w:rFonts w:ascii="Times New Roman" w:hAnsi="Times New Roman" w:cs="Times New Roman"/>
        </w:rPr>
      </w:pPr>
    </w:p>
    <w:p w14:paraId="0FC792D9" w14:textId="77777777" w:rsidR="00065E56" w:rsidRDefault="00065E56" w:rsidP="00065E56">
      <w:pPr>
        <w:jc w:val="center"/>
        <w:rPr>
          <w:rFonts w:ascii="Times New Roman" w:hAnsi="Times New Roman" w:cs="Times New Roman"/>
        </w:rPr>
      </w:pPr>
    </w:p>
    <w:p w14:paraId="765942E7" w14:textId="77777777" w:rsidR="00065E56" w:rsidRDefault="00065E56" w:rsidP="00065E56">
      <w:pPr>
        <w:jc w:val="center"/>
        <w:rPr>
          <w:rFonts w:ascii="Times New Roman" w:hAnsi="Times New Roman" w:cs="Times New Roman"/>
        </w:rPr>
      </w:pPr>
    </w:p>
    <w:p w14:paraId="5968A156" w14:textId="77777777" w:rsidR="00065E56" w:rsidRDefault="00065E56" w:rsidP="00065E56">
      <w:pPr>
        <w:jc w:val="center"/>
        <w:rPr>
          <w:rFonts w:ascii="Times New Roman" w:hAnsi="Times New Roman" w:cs="Times New Roman"/>
        </w:rPr>
      </w:pPr>
    </w:p>
    <w:p w14:paraId="1E023F2E" w14:textId="77777777" w:rsidR="00065E56" w:rsidRDefault="00065E56" w:rsidP="00065E56">
      <w:pPr>
        <w:jc w:val="center"/>
        <w:rPr>
          <w:rFonts w:ascii="Times New Roman" w:hAnsi="Times New Roman" w:cs="Times New Roman"/>
        </w:rPr>
      </w:pPr>
      <w:r>
        <w:rPr>
          <w:rFonts w:ascii="Times New Roman" w:hAnsi="Times New Roman" w:cs="Times New Roman"/>
        </w:rPr>
        <w:t>Appendix E</w:t>
      </w:r>
    </w:p>
    <w:p w14:paraId="573E8081" w14:textId="77777777" w:rsidR="00065E56" w:rsidRDefault="00065E56" w:rsidP="00065E56">
      <w:pPr>
        <w:jc w:val="center"/>
        <w:rPr>
          <w:rFonts w:ascii="Times New Roman" w:hAnsi="Times New Roman" w:cs="Times New Roman"/>
        </w:rPr>
      </w:pPr>
    </w:p>
    <w:p w14:paraId="13D4C8EE" w14:textId="77777777" w:rsidR="00065E56" w:rsidRDefault="00065E56" w:rsidP="00065E56">
      <w:pPr>
        <w:jc w:val="center"/>
        <w:rPr>
          <w:rFonts w:ascii="Times New Roman" w:hAnsi="Times New Roman" w:cs="Times New Roman"/>
        </w:rPr>
      </w:pPr>
      <w:r>
        <w:rPr>
          <w:rFonts w:ascii="Times New Roman" w:hAnsi="Times New Roman" w:cs="Times New Roman"/>
        </w:rPr>
        <w:t>Formative Exams Equality of Variance Data</w:t>
      </w:r>
    </w:p>
    <w:p w14:paraId="652D13CC" w14:textId="77777777" w:rsidR="00065E56" w:rsidRDefault="00065E56" w:rsidP="00065E56">
      <w:pPr>
        <w:jc w:val="center"/>
        <w:rPr>
          <w:rFonts w:ascii="Times New Roman" w:hAnsi="Times New Roman" w:cs="Times New Roman"/>
        </w:rPr>
      </w:pPr>
    </w:p>
    <w:p w14:paraId="0D5D61F0" w14:textId="77777777" w:rsidR="00065E56" w:rsidRDefault="00065E56" w:rsidP="00065E56">
      <w:pPr>
        <w:jc w:val="center"/>
        <w:rPr>
          <w:rFonts w:ascii="Times New Roman" w:hAnsi="Times New Roman" w:cs="Times New Roman"/>
        </w:rPr>
      </w:pPr>
    </w:p>
    <w:p w14:paraId="5282EC15" w14:textId="77777777" w:rsidR="00065E56" w:rsidRDefault="00065E56" w:rsidP="00065E56">
      <w:pPr>
        <w:jc w:val="center"/>
        <w:rPr>
          <w:rFonts w:ascii="Times New Roman" w:hAnsi="Times New Roman" w:cs="Times New Roman"/>
        </w:rPr>
      </w:pPr>
    </w:p>
    <w:p w14:paraId="03A7CECE" w14:textId="77777777" w:rsidR="00065E56" w:rsidRDefault="00065E56" w:rsidP="00065E56">
      <w:pPr>
        <w:jc w:val="center"/>
        <w:rPr>
          <w:rFonts w:ascii="Times New Roman" w:hAnsi="Times New Roman" w:cs="Times New Roman"/>
        </w:rPr>
      </w:pPr>
    </w:p>
    <w:p w14:paraId="57B55AE6" w14:textId="77777777" w:rsidR="00065E56" w:rsidRDefault="00065E56" w:rsidP="00065E56">
      <w:pPr>
        <w:jc w:val="center"/>
        <w:rPr>
          <w:rFonts w:ascii="Times New Roman" w:hAnsi="Times New Roman" w:cs="Times New Roman"/>
        </w:rPr>
      </w:pPr>
    </w:p>
    <w:p w14:paraId="636D0DE2" w14:textId="77777777" w:rsidR="00065E56" w:rsidRDefault="00065E56" w:rsidP="00065E56">
      <w:pPr>
        <w:jc w:val="center"/>
        <w:rPr>
          <w:rFonts w:ascii="Times New Roman" w:hAnsi="Times New Roman" w:cs="Times New Roman"/>
        </w:rPr>
      </w:pPr>
    </w:p>
    <w:p w14:paraId="69BA7941" w14:textId="77777777" w:rsidR="00065E56" w:rsidRDefault="00065E56" w:rsidP="00065E56">
      <w:pPr>
        <w:jc w:val="center"/>
        <w:rPr>
          <w:rFonts w:ascii="Times New Roman" w:hAnsi="Times New Roman" w:cs="Times New Roman"/>
        </w:rPr>
      </w:pPr>
    </w:p>
    <w:p w14:paraId="31CAB0DE" w14:textId="77777777" w:rsidR="00065E56" w:rsidRDefault="00065E56" w:rsidP="00065E56">
      <w:pPr>
        <w:jc w:val="center"/>
        <w:rPr>
          <w:rFonts w:ascii="Times New Roman" w:hAnsi="Times New Roman" w:cs="Times New Roman"/>
        </w:rPr>
      </w:pPr>
    </w:p>
    <w:p w14:paraId="47F010F6" w14:textId="77777777" w:rsidR="00065E56" w:rsidRDefault="00065E56" w:rsidP="00065E56">
      <w:pPr>
        <w:jc w:val="center"/>
        <w:rPr>
          <w:rFonts w:ascii="Times New Roman" w:hAnsi="Times New Roman" w:cs="Times New Roman"/>
        </w:rPr>
      </w:pPr>
    </w:p>
    <w:p w14:paraId="5FC77ED0" w14:textId="77777777" w:rsidR="00065E56" w:rsidRDefault="00065E56" w:rsidP="00065E56">
      <w:pPr>
        <w:jc w:val="center"/>
        <w:rPr>
          <w:rFonts w:ascii="Times New Roman" w:hAnsi="Times New Roman" w:cs="Times New Roman"/>
        </w:rPr>
      </w:pPr>
    </w:p>
    <w:p w14:paraId="0358DC6A" w14:textId="77777777" w:rsidR="00065E56" w:rsidRDefault="00065E56" w:rsidP="00065E56">
      <w:pPr>
        <w:jc w:val="center"/>
        <w:rPr>
          <w:rFonts w:ascii="Times New Roman" w:hAnsi="Times New Roman" w:cs="Times New Roman"/>
        </w:rPr>
      </w:pPr>
    </w:p>
    <w:p w14:paraId="030C82BD" w14:textId="77777777" w:rsidR="00065E56" w:rsidRDefault="00065E56" w:rsidP="00065E56">
      <w:pPr>
        <w:jc w:val="center"/>
        <w:rPr>
          <w:rFonts w:ascii="Times New Roman" w:hAnsi="Times New Roman" w:cs="Times New Roman"/>
        </w:rPr>
      </w:pPr>
    </w:p>
    <w:p w14:paraId="120030EE" w14:textId="77777777" w:rsidR="00065E56" w:rsidRDefault="00065E56" w:rsidP="00065E56">
      <w:pPr>
        <w:jc w:val="center"/>
        <w:rPr>
          <w:rFonts w:ascii="Times New Roman" w:hAnsi="Times New Roman" w:cs="Times New Roman"/>
        </w:rPr>
      </w:pPr>
    </w:p>
    <w:p w14:paraId="2C61CAA5" w14:textId="77777777" w:rsidR="00065E56" w:rsidRDefault="00065E56" w:rsidP="00065E56">
      <w:pPr>
        <w:jc w:val="center"/>
        <w:rPr>
          <w:rFonts w:ascii="Times New Roman" w:hAnsi="Times New Roman" w:cs="Times New Roman"/>
        </w:rPr>
      </w:pPr>
    </w:p>
    <w:p w14:paraId="3EA7DE8E" w14:textId="77777777" w:rsidR="00065E56" w:rsidRDefault="00065E56" w:rsidP="00065E56">
      <w:pPr>
        <w:jc w:val="center"/>
        <w:rPr>
          <w:rFonts w:ascii="Times New Roman" w:hAnsi="Times New Roman" w:cs="Times New Roman"/>
        </w:rPr>
      </w:pPr>
    </w:p>
    <w:p w14:paraId="4911B36B" w14:textId="77777777" w:rsidR="00065E56" w:rsidRDefault="00065E56" w:rsidP="00065E56">
      <w:pPr>
        <w:jc w:val="center"/>
        <w:rPr>
          <w:rFonts w:ascii="Times New Roman" w:hAnsi="Times New Roman" w:cs="Times New Roman"/>
        </w:rPr>
      </w:pPr>
    </w:p>
    <w:p w14:paraId="471CF4CD" w14:textId="77777777" w:rsidR="00065E56" w:rsidRDefault="00065E56" w:rsidP="00065E56">
      <w:pPr>
        <w:jc w:val="center"/>
        <w:rPr>
          <w:rFonts w:ascii="Times New Roman" w:hAnsi="Times New Roman" w:cs="Times New Roman"/>
        </w:rPr>
      </w:pPr>
    </w:p>
    <w:p w14:paraId="3CE829A6" w14:textId="77777777" w:rsidR="00065E56" w:rsidRDefault="00065E56" w:rsidP="00065E56">
      <w:pPr>
        <w:jc w:val="center"/>
        <w:rPr>
          <w:rFonts w:ascii="Times New Roman" w:hAnsi="Times New Roman" w:cs="Times New Roman"/>
        </w:rPr>
      </w:pPr>
    </w:p>
    <w:p w14:paraId="3192A297" w14:textId="77777777" w:rsidR="00065E56" w:rsidRDefault="00065E56" w:rsidP="00065E56">
      <w:pPr>
        <w:jc w:val="center"/>
        <w:rPr>
          <w:rFonts w:ascii="Times New Roman" w:hAnsi="Times New Roman" w:cs="Times New Roman"/>
        </w:rPr>
      </w:pPr>
    </w:p>
    <w:p w14:paraId="61745A2A" w14:textId="77777777" w:rsidR="00065E56" w:rsidRDefault="00065E56" w:rsidP="00065E56">
      <w:pPr>
        <w:jc w:val="center"/>
        <w:rPr>
          <w:rFonts w:ascii="Times New Roman" w:hAnsi="Times New Roman" w:cs="Times New Roman"/>
        </w:rPr>
      </w:pPr>
    </w:p>
    <w:p w14:paraId="47B3D8E5" w14:textId="77777777" w:rsidR="00065E56" w:rsidRDefault="00065E56" w:rsidP="00065E56">
      <w:pPr>
        <w:jc w:val="center"/>
        <w:rPr>
          <w:rFonts w:ascii="Times New Roman" w:hAnsi="Times New Roman" w:cs="Times New Roman"/>
        </w:rPr>
      </w:pPr>
    </w:p>
    <w:p w14:paraId="5994A8A6" w14:textId="77777777" w:rsidR="00065E56" w:rsidRDefault="00065E56" w:rsidP="00065E56">
      <w:pPr>
        <w:jc w:val="center"/>
        <w:rPr>
          <w:rFonts w:ascii="Times New Roman" w:hAnsi="Times New Roman" w:cs="Times New Roman"/>
        </w:rPr>
      </w:pPr>
    </w:p>
    <w:p w14:paraId="3716D1E1" w14:textId="77777777" w:rsidR="00065E56" w:rsidRDefault="00065E56" w:rsidP="00065E56">
      <w:pPr>
        <w:jc w:val="center"/>
        <w:rPr>
          <w:rFonts w:ascii="Times New Roman" w:hAnsi="Times New Roman" w:cs="Times New Roman"/>
        </w:rPr>
      </w:pPr>
    </w:p>
    <w:p w14:paraId="017E7BF5" w14:textId="77777777" w:rsidR="00065E56" w:rsidRDefault="00065E56" w:rsidP="00065E56">
      <w:pPr>
        <w:jc w:val="center"/>
        <w:rPr>
          <w:rFonts w:ascii="Times New Roman" w:hAnsi="Times New Roman" w:cs="Times New Roman"/>
        </w:rPr>
      </w:pPr>
    </w:p>
    <w:p w14:paraId="6C6629F6" w14:textId="77777777" w:rsidR="00065E56" w:rsidRDefault="00695F3E" w:rsidP="00065E56">
      <w:pPr>
        <w:jc w:val="center"/>
        <w:rPr>
          <w:rFonts w:ascii="Times New Roman" w:hAnsi="Times New Roman" w:cs="Times New Roman"/>
        </w:rPr>
      </w:pPr>
      <w:r>
        <w:rPr>
          <w:rFonts w:ascii="Times New Roman" w:hAnsi="Times New Roman" w:cs="Times New Roman"/>
          <w:noProof/>
        </w:rPr>
        <w:object w:dxaOrig="10420" w:dyaOrig="7860" w14:anchorId="1DB83C9C">
          <v:shape id="_x0000_i1030" type="#_x0000_t75" alt="" style="width:442.75pt;height:334.1pt;mso-width-percent:0;mso-height-percent:0;mso-width-percent:0;mso-height-percent:0" o:ole="">
            <v:imagedata r:id="rId34" o:title=""/>
          </v:shape>
          <o:OLEObject Type="Embed" ProgID="Excel.Sheet.12" ShapeID="_x0000_i1030" DrawAspect="Content" ObjectID="_1681813816" r:id="rId35"/>
        </w:object>
      </w:r>
    </w:p>
    <w:p w14:paraId="2664B8E8" w14:textId="77777777" w:rsidR="00065E56" w:rsidRDefault="00065E56" w:rsidP="00065E56">
      <w:pPr>
        <w:jc w:val="center"/>
        <w:rPr>
          <w:rFonts w:ascii="Times New Roman" w:hAnsi="Times New Roman" w:cs="Times New Roman"/>
        </w:rPr>
      </w:pPr>
    </w:p>
    <w:p w14:paraId="011668F0" w14:textId="77777777" w:rsidR="00065E56" w:rsidRDefault="00065E56" w:rsidP="00065E56">
      <w:pPr>
        <w:jc w:val="center"/>
        <w:rPr>
          <w:rFonts w:ascii="Times New Roman" w:hAnsi="Times New Roman" w:cs="Times New Roman"/>
        </w:rPr>
      </w:pPr>
    </w:p>
    <w:p w14:paraId="53C46BB2" w14:textId="77777777" w:rsidR="00065E56" w:rsidRDefault="00065E56" w:rsidP="00065E56">
      <w:pPr>
        <w:jc w:val="center"/>
        <w:rPr>
          <w:rFonts w:ascii="Times New Roman" w:hAnsi="Times New Roman" w:cs="Times New Roman"/>
        </w:rPr>
      </w:pPr>
    </w:p>
    <w:p w14:paraId="31646176" w14:textId="77777777" w:rsidR="00065E56" w:rsidRDefault="00065E56" w:rsidP="00065E56">
      <w:pPr>
        <w:jc w:val="center"/>
        <w:rPr>
          <w:rFonts w:ascii="Times New Roman" w:hAnsi="Times New Roman" w:cs="Times New Roman"/>
        </w:rPr>
      </w:pPr>
    </w:p>
    <w:p w14:paraId="72FBA9FB" w14:textId="77777777" w:rsidR="00065E56" w:rsidRDefault="00065E56" w:rsidP="00065E56">
      <w:pPr>
        <w:jc w:val="center"/>
        <w:rPr>
          <w:rFonts w:ascii="Times New Roman" w:hAnsi="Times New Roman" w:cs="Times New Roman"/>
        </w:rPr>
      </w:pPr>
    </w:p>
    <w:p w14:paraId="3BB4F247" w14:textId="77777777" w:rsidR="00065E56" w:rsidRDefault="00065E56" w:rsidP="00065E56">
      <w:pPr>
        <w:jc w:val="center"/>
        <w:rPr>
          <w:rFonts w:ascii="Times New Roman" w:hAnsi="Times New Roman" w:cs="Times New Roman"/>
        </w:rPr>
      </w:pPr>
    </w:p>
    <w:p w14:paraId="27BF5D72" w14:textId="77777777" w:rsidR="00065E56" w:rsidRDefault="00065E56" w:rsidP="00065E56">
      <w:pPr>
        <w:jc w:val="center"/>
        <w:rPr>
          <w:rFonts w:ascii="Times New Roman" w:hAnsi="Times New Roman" w:cs="Times New Roman"/>
        </w:rPr>
      </w:pPr>
    </w:p>
    <w:p w14:paraId="7370951C" w14:textId="77777777" w:rsidR="00065E56" w:rsidRDefault="00065E56" w:rsidP="00065E56">
      <w:pPr>
        <w:jc w:val="center"/>
        <w:rPr>
          <w:rFonts w:ascii="Times New Roman" w:hAnsi="Times New Roman" w:cs="Times New Roman"/>
        </w:rPr>
      </w:pPr>
    </w:p>
    <w:p w14:paraId="411543F0" w14:textId="77777777" w:rsidR="00065E56" w:rsidRDefault="00065E56" w:rsidP="00065E56">
      <w:pPr>
        <w:jc w:val="center"/>
        <w:rPr>
          <w:rFonts w:ascii="Times New Roman" w:hAnsi="Times New Roman" w:cs="Times New Roman"/>
        </w:rPr>
      </w:pPr>
    </w:p>
    <w:p w14:paraId="67DC3643" w14:textId="77777777" w:rsidR="00065E56" w:rsidRDefault="00065E56" w:rsidP="00065E56">
      <w:pPr>
        <w:jc w:val="center"/>
        <w:rPr>
          <w:rFonts w:ascii="Times New Roman" w:hAnsi="Times New Roman" w:cs="Times New Roman"/>
        </w:rPr>
      </w:pPr>
    </w:p>
    <w:p w14:paraId="061A8DA6" w14:textId="77777777" w:rsidR="00065E56" w:rsidRDefault="00065E56" w:rsidP="00065E56">
      <w:pPr>
        <w:jc w:val="center"/>
        <w:rPr>
          <w:rFonts w:ascii="Times New Roman" w:hAnsi="Times New Roman" w:cs="Times New Roman"/>
        </w:rPr>
      </w:pPr>
    </w:p>
    <w:p w14:paraId="43B8BC99" w14:textId="77777777" w:rsidR="00065E56" w:rsidRDefault="00065E56" w:rsidP="00065E56">
      <w:pPr>
        <w:jc w:val="center"/>
        <w:rPr>
          <w:rFonts w:ascii="Times New Roman" w:hAnsi="Times New Roman" w:cs="Times New Roman"/>
        </w:rPr>
      </w:pPr>
    </w:p>
    <w:p w14:paraId="21280244" w14:textId="77777777" w:rsidR="00065E56" w:rsidRDefault="00065E56" w:rsidP="00065E56">
      <w:pPr>
        <w:jc w:val="center"/>
        <w:rPr>
          <w:rFonts w:ascii="Times New Roman" w:hAnsi="Times New Roman" w:cs="Times New Roman"/>
        </w:rPr>
      </w:pPr>
    </w:p>
    <w:p w14:paraId="16EBA586" w14:textId="77777777" w:rsidR="00065E56" w:rsidRDefault="00065E56" w:rsidP="00065E56">
      <w:pPr>
        <w:jc w:val="center"/>
        <w:rPr>
          <w:rFonts w:ascii="Times New Roman" w:hAnsi="Times New Roman" w:cs="Times New Roman"/>
        </w:rPr>
      </w:pPr>
    </w:p>
    <w:p w14:paraId="6939CFB5" w14:textId="77777777" w:rsidR="00065E56" w:rsidRDefault="00065E56" w:rsidP="00065E56">
      <w:pPr>
        <w:jc w:val="center"/>
        <w:rPr>
          <w:rFonts w:ascii="Times New Roman" w:hAnsi="Times New Roman" w:cs="Times New Roman"/>
        </w:rPr>
      </w:pPr>
    </w:p>
    <w:p w14:paraId="69E23E46" w14:textId="77777777" w:rsidR="00065E56" w:rsidRDefault="00065E56" w:rsidP="00065E56">
      <w:pPr>
        <w:jc w:val="center"/>
        <w:rPr>
          <w:rFonts w:ascii="Times New Roman" w:hAnsi="Times New Roman" w:cs="Times New Roman"/>
        </w:rPr>
      </w:pPr>
    </w:p>
    <w:p w14:paraId="277BF65F" w14:textId="77777777" w:rsidR="00065E56" w:rsidRDefault="00065E56" w:rsidP="00065E56">
      <w:pPr>
        <w:jc w:val="center"/>
        <w:rPr>
          <w:rFonts w:ascii="Times New Roman" w:hAnsi="Times New Roman" w:cs="Times New Roman"/>
        </w:rPr>
      </w:pPr>
    </w:p>
    <w:p w14:paraId="59A7666A" w14:textId="77777777" w:rsidR="00065E56" w:rsidRDefault="00065E56" w:rsidP="00065E56">
      <w:pPr>
        <w:jc w:val="center"/>
        <w:rPr>
          <w:rFonts w:ascii="Times New Roman" w:hAnsi="Times New Roman" w:cs="Times New Roman"/>
        </w:rPr>
      </w:pPr>
    </w:p>
    <w:p w14:paraId="0610CA6D" w14:textId="77777777" w:rsidR="00065E56" w:rsidRDefault="00065E56" w:rsidP="00065E56">
      <w:pPr>
        <w:jc w:val="center"/>
        <w:rPr>
          <w:rFonts w:ascii="Times New Roman" w:hAnsi="Times New Roman" w:cs="Times New Roman"/>
        </w:rPr>
      </w:pPr>
    </w:p>
    <w:p w14:paraId="4D3269E0" w14:textId="77777777" w:rsidR="00065E56" w:rsidRDefault="00065E56" w:rsidP="00065E56">
      <w:pPr>
        <w:jc w:val="center"/>
        <w:rPr>
          <w:rFonts w:ascii="Times New Roman" w:hAnsi="Times New Roman" w:cs="Times New Roman"/>
        </w:rPr>
      </w:pPr>
    </w:p>
    <w:p w14:paraId="22148BA5" w14:textId="77777777" w:rsidR="00065E56" w:rsidRDefault="00065E56" w:rsidP="00065E56">
      <w:pPr>
        <w:jc w:val="center"/>
        <w:rPr>
          <w:rFonts w:ascii="Times New Roman" w:hAnsi="Times New Roman" w:cs="Times New Roman"/>
        </w:rPr>
      </w:pPr>
    </w:p>
    <w:p w14:paraId="093E078B" w14:textId="77777777" w:rsidR="00065E56" w:rsidRDefault="00065E56" w:rsidP="00065E56">
      <w:pPr>
        <w:jc w:val="center"/>
        <w:rPr>
          <w:rFonts w:ascii="Times New Roman" w:hAnsi="Times New Roman" w:cs="Times New Roman"/>
        </w:rPr>
      </w:pPr>
    </w:p>
    <w:p w14:paraId="2BB427BB" w14:textId="77777777" w:rsidR="00065E56" w:rsidRDefault="00065E56" w:rsidP="00065E56">
      <w:pPr>
        <w:jc w:val="center"/>
        <w:rPr>
          <w:rFonts w:ascii="Times New Roman" w:hAnsi="Times New Roman" w:cs="Times New Roman"/>
        </w:rPr>
      </w:pPr>
    </w:p>
    <w:p w14:paraId="3964E84E" w14:textId="77777777" w:rsidR="00065E56" w:rsidRDefault="00065E56" w:rsidP="00065E56">
      <w:pPr>
        <w:jc w:val="center"/>
        <w:rPr>
          <w:rFonts w:ascii="Times New Roman" w:hAnsi="Times New Roman" w:cs="Times New Roman"/>
        </w:rPr>
      </w:pPr>
    </w:p>
    <w:p w14:paraId="6F30DB17" w14:textId="77777777" w:rsidR="00065E56" w:rsidRDefault="00065E56" w:rsidP="00065E56">
      <w:pPr>
        <w:jc w:val="center"/>
        <w:rPr>
          <w:rFonts w:ascii="Times New Roman" w:hAnsi="Times New Roman" w:cs="Times New Roman"/>
        </w:rPr>
      </w:pPr>
    </w:p>
    <w:p w14:paraId="4051EAA1" w14:textId="77777777" w:rsidR="00065E56" w:rsidRDefault="00065E56" w:rsidP="00065E56">
      <w:pPr>
        <w:jc w:val="center"/>
        <w:rPr>
          <w:rFonts w:ascii="Times New Roman" w:hAnsi="Times New Roman" w:cs="Times New Roman"/>
        </w:rPr>
      </w:pPr>
    </w:p>
    <w:p w14:paraId="21A30446" w14:textId="77777777" w:rsidR="00065E56" w:rsidRDefault="00065E56" w:rsidP="00065E56">
      <w:pPr>
        <w:jc w:val="center"/>
        <w:rPr>
          <w:rFonts w:ascii="Times New Roman" w:hAnsi="Times New Roman" w:cs="Times New Roman"/>
        </w:rPr>
      </w:pPr>
    </w:p>
    <w:p w14:paraId="05E7A67C" w14:textId="77777777" w:rsidR="00065E56" w:rsidRDefault="00065E56" w:rsidP="00065E56">
      <w:pPr>
        <w:jc w:val="center"/>
        <w:rPr>
          <w:rFonts w:ascii="Times New Roman" w:hAnsi="Times New Roman" w:cs="Times New Roman"/>
        </w:rPr>
      </w:pPr>
    </w:p>
    <w:p w14:paraId="22EA873D" w14:textId="77777777" w:rsidR="00065E56" w:rsidRDefault="00065E56" w:rsidP="00065E56">
      <w:pPr>
        <w:jc w:val="center"/>
        <w:rPr>
          <w:rFonts w:ascii="Times New Roman" w:hAnsi="Times New Roman" w:cs="Times New Roman"/>
        </w:rPr>
      </w:pPr>
    </w:p>
    <w:p w14:paraId="1A52FEBD" w14:textId="77777777" w:rsidR="00065E56" w:rsidRDefault="00065E56" w:rsidP="00065E56">
      <w:pPr>
        <w:jc w:val="center"/>
        <w:rPr>
          <w:rFonts w:ascii="Times New Roman" w:hAnsi="Times New Roman" w:cs="Times New Roman"/>
        </w:rPr>
      </w:pPr>
    </w:p>
    <w:p w14:paraId="7D034863" w14:textId="77777777" w:rsidR="00065E56" w:rsidRDefault="00065E56" w:rsidP="00065E56">
      <w:pPr>
        <w:jc w:val="center"/>
        <w:rPr>
          <w:rFonts w:ascii="Times New Roman" w:hAnsi="Times New Roman" w:cs="Times New Roman"/>
        </w:rPr>
      </w:pPr>
    </w:p>
    <w:p w14:paraId="01FCF2DB" w14:textId="77777777" w:rsidR="00065E56" w:rsidRDefault="00065E56" w:rsidP="00065E56">
      <w:pPr>
        <w:jc w:val="center"/>
        <w:rPr>
          <w:rFonts w:ascii="Times New Roman" w:hAnsi="Times New Roman" w:cs="Times New Roman"/>
        </w:rPr>
      </w:pPr>
    </w:p>
    <w:p w14:paraId="5FFD7CD2" w14:textId="77777777" w:rsidR="00065E56" w:rsidRDefault="00065E56" w:rsidP="00065E56">
      <w:pPr>
        <w:jc w:val="center"/>
        <w:rPr>
          <w:rFonts w:ascii="Times New Roman" w:hAnsi="Times New Roman" w:cs="Times New Roman"/>
        </w:rPr>
      </w:pPr>
    </w:p>
    <w:p w14:paraId="1AAA6626" w14:textId="77777777" w:rsidR="00065E56" w:rsidRDefault="00065E56" w:rsidP="00065E56">
      <w:pPr>
        <w:jc w:val="center"/>
        <w:rPr>
          <w:rFonts w:ascii="Times New Roman" w:hAnsi="Times New Roman" w:cs="Times New Roman"/>
        </w:rPr>
      </w:pPr>
    </w:p>
    <w:p w14:paraId="161D92D4" w14:textId="77777777" w:rsidR="00065E56" w:rsidRDefault="00065E56" w:rsidP="00065E56">
      <w:pPr>
        <w:jc w:val="center"/>
        <w:rPr>
          <w:rFonts w:ascii="Times New Roman" w:hAnsi="Times New Roman" w:cs="Times New Roman"/>
        </w:rPr>
      </w:pPr>
    </w:p>
    <w:p w14:paraId="07968C63" w14:textId="77777777" w:rsidR="00065E56" w:rsidRDefault="00065E56" w:rsidP="00065E56">
      <w:pPr>
        <w:jc w:val="center"/>
        <w:rPr>
          <w:rFonts w:ascii="Times New Roman" w:hAnsi="Times New Roman" w:cs="Times New Roman"/>
        </w:rPr>
      </w:pPr>
    </w:p>
    <w:p w14:paraId="35945C60" w14:textId="77777777" w:rsidR="00065E56" w:rsidRDefault="00065E56" w:rsidP="00065E56">
      <w:pPr>
        <w:jc w:val="center"/>
        <w:rPr>
          <w:rFonts w:ascii="Times New Roman" w:hAnsi="Times New Roman" w:cs="Times New Roman"/>
        </w:rPr>
      </w:pPr>
    </w:p>
    <w:p w14:paraId="17A8A160" w14:textId="77777777" w:rsidR="00065E56" w:rsidRDefault="00065E56" w:rsidP="00065E56">
      <w:pPr>
        <w:jc w:val="center"/>
        <w:rPr>
          <w:rFonts w:ascii="Times New Roman" w:hAnsi="Times New Roman" w:cs="Times New Roman"/>
        </w:rPr>
      </w:pPr>
    </w:p>
    <w:p w14:paraId="3B4392D4" w14:textId="77777777" w:rsidR="00065E56" w:rsidRDefault="00065E56" w:rsidP="00065E56">
      <w:pPr>
        <w:jc w:val="center"/>
        <w:rPr>
          <w:rFonts w:ascii="Times New Roman" w:hAnsi="Times New Roman" w:cs="Times New Roman"/>
        </w:rPr>
      </w:pPr>
    </w:p>
    <w:p w14:paraId="2A649646" w14:textId="77777777" w:rsidR="00065E56" w:rsidRDefault="00065E56" w:rsidP="00065E56">
      <w:pPr>
        <w:jc w:val="center"/>
        <w:rPr>
          <w:rFonts w:ascii="Times New Roman" w:hAnsi="Times New Roman" w:cs="Times New Roman"/>
        </w:rPr>
      </w:pPr>
    </w:p>
    <w:p w14:paraId="6FE5CB4D" w14:textId="77777777" w:rsidR="00065E56" w:rsidRDefault="00065E56" w:rsidP="00065E56">
      <w:pPr>
        <w:jc w:val="center"/>
        <w:rPr>
          <w:rFonts w:ascii="Times New Roman" w:hAnsi="Times New Roman" w:cs="Times New Roman"/>
        </w:rPr>
      </w:pPr>
    </w:p>
    <w:p w14:paraId="5DB53AF0" w14:textId="77777777" w:rsidR="00065E56" w:rsidRDefault="00065E56" w:rsidP="00065E56">
      <w:pPr>
        <w:jc w:val="center"/>
        <w:rPr>
          <w:rFonts w:ascii="Times New Roman" w:hAnsi="Times New Roman" w:cs="Times New Roman"/>
        </w:rPr>
      </w:pPr>
    </w:p>
    <w:p w14:paraId="0CA2EDAB" w14:textId="77777777" w:rsidR="00065E56" w:rsidRDefault="00065E56" w:rsidP="00065E56">
      <w:pPr>
        <w:jc w:val="center"/>
        <w:rPr>
          <w:rFonts w:ascii="Times New Roman" w:hAnsi="Times New Roman" w:cs="Times New Roman"/>
        </w:rPr>
      </w:pPr>
    </w:p>
    <w:p w14:paraId="618482D9" w14:textId="77777777" w:rsidR="00065E56" w:rsidRDefault="00065E56" w:rsidP="00065E56">
      <w:pPr>
        <w:jc w:val="center"/>
        <w:rPr>
          <w:rFonts w:ascii="Times New Roman" w:hAnsi="Times New Roman" w:cs="Times New Roman"/>
        </w:rPr>
      </w:pPr>
    </w:p>
    <w:p w14:paraId="339CB4D8" w14:textId="77777777" w:rsidR="00065E56" w:rsidRDefault="00065E56" w:rsidP="00065E56">
      <w:pPr>
        <w:jc w:val="center"/>
        <w:rPr>
          <w:rFonts w:ascii="Times New Roman" w:hAnsi="Times New Roman" w:cs="Times New Roman"/>
        </w:rPr>
      </w:pPr>
      <w:r>
        <w:rPr>
          <w:rFonts w:ascii="Times New Roman" w:hAnsi="Times New Roman" w:cs="Times New Roman"/>
        </w:rPr>
        <w:t>Appendix F</w:t>
      </w:r>
    </w:p>
    <w:p w14:paraId="1DD29F88" w14:textId="77777777" w:rsidR="00065E56" w:rsidRDefault="00065E56" w:rsidP="00065E56">
      <w:pPr>
        <w:jc w:val="center"/>
        <w:rPr>
          <w:rFonts w:ascii="Times New Roman" w:hAnsi="Times New Roman" w:cs="Times New Roman"/>
        </w:rPr>
      </w:pPr>
    </w:p>
    <w:p w14:paraId="343EEED0" w14:textId="77777777" w:rsidR="00065E56" w:rsidRDefault="00065E56" w:rsidP="00065E56">
      <w:pPr>
        <w:jc w:val="center"/>
        <w:rPr>
          <w:rFonts w:ascii="Times New Roman" w:hAnsi="Times New Roman" w:cs="Times New Roman"/>
        </w:rPr>
      </w:pPr>
      <w:r>
        <w:rPr>
          <w:rFonts w:ascii="Times New Roman" w:hAnsi="Times New Roman" w:cs="Times New Roman"/>
        </w:rPr>
        <w:t>Unabridged Clinical Anatomy Survey Results</w:t>
      </w:r>
    </w:p>
    <w:p w14:paraId="6D5C6332" w14:textId="77777777" w:rsidR="00065E56" w:rsidRDefault="00065E56" w:rsidP="00065E56">
      <w:pPr>
        <w:jc w:val="center"/>
        <w:rPr>
          <w:rFonts w:ascii="Times New Roman" w:hAnsi="Times New Roman" w:cs="Times New Roman"/>
        </w:rPr>
      </w:pPr>
    </w:p>
    <w:p w14:paraId="0C5679DE" w14:textId="77777777" w:rsidR="00065E56" w:rsidRDefault="00065E56" w:rsidP="00065E56">
      <w:pPr>
        <w:jc w:val="center"/>
        <w:rPr>
          <w:rFonts w:ascii="Times New Roman" w:hAnsi="Times New Roman" w:cs="Times New Roman"/>
        </w:rPr>
      </w:pPr>
    </w:p>
    <w:p w14:paraId="6C8DE122" w14:textId="77777777" w:rsidR="00065E56" w:rsidRDefault="00065E56" w:rsidP="00065E56">
      <w:pPr>
        <w:jc w:val="center"/>
        <w:rPr>
          <w:rFonts w:ascii="Times New Roman" w:hAnsi="Times New Roman" w:cs="Times New Roman"/>
        </w:rPr>
      </w:pPr>
    </w:p>
    <w:p w14:paraId="1A02CAFE" w14:textId="77777777" w:rsidR="00065E56" w:rsidRDefault="00065E56" w:rsidP="00065E56">
      <w:pPr>
        <w:jc w:val="center"/>
        <w:rPr>
          <w:rFonts w:ascii="Times New Roman" w:hAnsi="Times New Roman" w:cs="Times New Roman"/>
        </w:rPr>
      </w:pPr>
    </w:p>
    <w:p w14:paraId="78322CA4" w14:textId="77777777" w:rsidR="00065E56" w:rsidRDefault="00065E56" w:rsidP="00065E56">
      <w:pPr>
        <w:jc w:val="center"/>
        <w:rPr>
          <w:rFonts w:ascii="Times New Roman" w:hAnsi="Times New Roman" w:cs="Times New Roman"/>
        </w:rPr>
      </w:pPr>
    </w:p>
    <w:p w14:paraId="37E77C86" w14:textId="77777777" w:rsidR="00065E56" w:rsidRDefault="00065E56" w:rsidP="00065E56">
      <w:pPr>
        <w:jc w:val="center"/>
        <w:rPr>
          <w:rFonts w:ascii="Times New Roman" w:hAnsi="Times New Roman" w:cs="Times New Roman"/>
        </w:rPr>
      </w:pPr>
    </w:p>
    <w:p w14:paraId="46A0FEB7" w14:textId="77777777" w:rsidR="00065E56" w:rsidRDefault="00065E56" w:rsidP="00065E56">
      <w:pPr>
        <w:jc w:val="center"/>
        <w:rPr>
          <w:rFonts w:ascii="Times New Roman" w:hAnsi="Times New Roman" w:cs="Times New Roman"/>
        </w:rPr>
      </w:pPr>
    </w:p>
    <w:p w14:paraId="29588ABF" w14:textId="77777777" w:rsidR="00065E56" w:rsidRDefault="00065E56" w:rsidP="00065E56">
      <w:pPr>
        <w:jc w:val="center"/>
        <w:rPr>
          <w:rFonts w:ascii="Times New Roman" w:hAnsi="Times New Roman" w:cs="Times New Roman"/>
        </w:rPr>
      </w:pPr>
    </w:p>
    <w:p w14:paraId="44CF9A2D" w14:textId="77777777" w:rsidR="00065E56" w:rsidRDefault="00065E56" w:rsidP="00065E56">
      <w:pPr>
        <w:jc w:val="center"/>
        <w:rPr>
          <w:rFonts w:ascii="Times New Roman" w:hAnsi="Times New Roman" w:cs="Times New Roman"/>
        </w:rPr>
      </w:pPr>
    </w:p>
    <w:p w14:paraId="6B5A938D" w14:textId="77777777" w:rsidR="00065E56" w:rsidRDefault="00065E56" w:rsidP="00065E56">
      <w:pPr>
        <w:jc w:val="center"/>
        <w:rPr>
          <w:rFonts w:ascii="Times New Roman" w:hAnsi="Times New Roman" w:cs="Times New Roman"/>
        </w:rPr>
      </w:pPr>
    </w:p>
    <w:p w14:paraId="0CDB74F2" w14:textId="77777777" w:rsidR="00065E56" w:rsidRDefault="00065E56" w:rsidP="00065E56">
      <w:pPr>
        <w:jc w:val="center"/>
        <w:rPr>
          <w:rFonts w:ascii="Times New Roman" w:hAnsi="Times New Roman" w:cs="Times New Roman"/>
        </w:rPr>
      </w:pPr>
    </w:p>
    <w:p w14:paraId="5A2230F8" w14:textId="77777777" w:rsidR="00065E56" w:rsidRDefault="00065E56" w:rsidP="00065E56">
      <w:pPr>
        <w:jc w:val="center"/>
        <w:rPr>
          <w:rFonts w:ascii="Times New Roman" w:hAnsi="Times New Roman" w:cs="Times New Roman"/>
        </w:rPr>
      </w:pPr>
    </w:p>
    <w:p w14:paraId="6CBD77C0" w14:textId="77777777" w:rsidR="00065E56" w:rsidRDefault="00065E56" w:rsidP="00065E56">
      <w:pPr>
        <w:jc w:val="center"/>
        <w:rPr>
          <w:rFonts w:ascii="Times New Roman" w:hAnsi="Times New Roman" w:cs="Times New Roman"/>
        </w:rPr>
      </w:pPr>
    </w:p>
    <w:p w14:paraId="3BA802E7" w14:textId="77777777" w:rsidR="00065E56" w:rsidRDefault="00065E56" w:rsidP="00065E56">
      <w:pPr>
        <w:jc w:val="center"/>
        <w:rPr>
          <w:rFonts w:ascii="Times New Roman" w:hAnsi="Times New Roman" w:cs="Times New Roman"/>
        </w:rPr>
      </w:pPr>
    </w:p>
    <w:p w14:paraId="37841F07" w14:textId="77777777" w:rsidR="00065E56" w:rsidRDefault="00065E56" w:rsidP="00065E56">
      <w:pPr>
        <w:jc w:val="center"/>
        <w:rPr>
          <w:rFonts w:ascii="Times New Roman" w:hAnsi="Times New Roman" w:cs="Times New Roman"/>
        </w:rPr>
      </w:pPr>
    </w:p>
    <w:p w14:paraId="62A7117A" w14:textId="77777777" w:rsidR="00065E56" w:rsidRDefault="00065E56" w:rsidP="00065E56">
      <w:pPr>
        <w:jc w:val="center"/>
        <w:rPr>
          <w:rFonts w:ascii="Times New Roman" w:hAnsi="Times New Roman" w:cs="Times New Roman"/>
        </w:rPr>
      </w:pPr>
    </w:p>
    <w:p w14:paraId="3E566F87" w14:textId="77777777" w:rsidR="00065E56" w:rsidRDefault="00065E56" w:rsidP="00065E56">
      <w:pPr>
        <w:jc w:val="center"/>
        <w:rPr>
          <w:rFonts w:ascii="Times New Roman" w:hAnsi="Times New Roman" w:cs="Times New Roman"/>
        </w:rPr>
      </w:pPr>
    </w:p>
    <w:p w14:paraId="150171B3" w14:textId="77777777" w:rsidR="00065E56" w:rsidRDefault="00065E56" w:rsidP="00065E56">
      <w:pPr>
        <w:jc w:val="center"/>
        <w:rPr>
          <w:rFonts w:ascii="Times New Roman" w:hAnsi="Times New Roman" w:cs="Times New Roman"/>
        </w:rPr>
      </w:pPr>
    </w:p>
    <w:p w14:paraId="7373A9D4" w14:textId="77777777" w:rsidR="00065E56" w:rsidRDefault="00065E56" w:rsidP="00065E56">
      <w:pPr>
        <w:jc w:val="center"/>
        <w:rPr>
          <w:rFonts w:ascii="Times New Roman" w:hAnsi="Times New Roman" w:cs="Times New Roman"/>
        </w:rPr>
      </w:pPr>
    </w:p>
    <w:p w14:paraId="374726FF" w14:textId="77777777" w:rsidR="00065E56" w:rsidRDefault="00065E56" w:rsidP="00065E56">
      <w:pPr>
        <w:jc w:val="center"/>
        <w:rPr>
          <w:rFonts w:ascii="Times New Roman" w:hAnsi="Times New Roman" w:cs="Times New Roman"/>
        </w:rPr>
      </w:pPr>
    </w:p>
    <w:p w14:paraId="3FAFDD94" w14:textId="77777777" w:rsidR="00065E56" w:rsidRDefault="00065E56" w:rsidP="00065E56">
      <w:pPr>
        <w:jc w:val="center"/>
        <w:rPr>
          <w:rFonts w:ascii="Times New Roman" w:hAnsi="Times New Roman" w:cs="Times New Roman"/>
        </w:rPr>
      </w:pPr>
    </w:p>
    <w:tbl>
      <w:tblPr>
        <w:tblW w:w="7800" w:type="dxa"/>
        <w:tblLook w:val="04A0" w:firstRow="1" w:lastRow="0" w:firstColumn="1" w:lastColumn="0" w:noHBand="0" w:noVBand="1"/>
      </w:tblPr>
      <w:tblGrid>
        <w:gridCol w:w="1363"/>
        <w:gridCol w:w="1300"/>
        <w:gridCol w:w="1300"/>
        <w:gridCol w:w="1300"/>
        <w:gridCol w:w="1300"/>
        <w:gridCol w:w="1237"/>
      </w:tblGrid>
      <w:tr w:rsidR="00065E56" w:rsidRPr="003224C1" w14:paraId="61E355F9" w14:textId="77777777" w:rsidTr="001C607A">
        <w:trPr>
          <w:trHeight w:val="600"/>
        </w:trPr>
        <w:tc>
          <w:tcPr>
            <w:tcW w:w="7800" w:type="dxa"/>
            <w:gridSpan w:val="6"/>
            <w:tcBorders>
              <w:top w:val="nil"/>
              <w:left w:val="nil"/>
              <w:bottom w:val="nil"/>
              <w:right w:val="nil"/>
            </w:tcBorders>
            <w:shd w:val="clear" w:color="auto" w:fill="auto"/>
            <w:noWrap/>
            <w:vAlign w:val="bottom"/>
            <w:hideMark/>
          </w:tcPr>
          <w:p w14:paraId="58D4418B" w14:textId="77777777" w:rsidR="00065E56" w:rsidRPr="003224C1" w:rsidRDefault="00065E56" w:rsidP="001C607A">
            <w:pPr>
              <w:rPr>
                <w:rFonts w:ascii="Calibri" w:eastAsia="Times New Roman" w:hAnsi="Calibri" w:cs="Calibri"/>
                <w:color w:val="000000"/>
                <w:sz w:val="44"/>
                <w:szCs w:val="44"/>
              </w:rPr>
            </w:pPr>
            <w:r w:rsidRPr="003224C1">
              <w:rPr>
                <w:rFonts w:ascii="Calibri" w:eastAsia="Times New Roman" w:hAnsi="Calibri" w:cs="Calibri"/>
                <w:color w:val="000000"/>
                <w:sz w:val="44"/>
                <w:szCs w:val="44"/>
              </w:rPr>
              <w:t xml:space="preserve">Clinical Anatomy Online Learning Survey </w:t>
            </w:r>
          </w:p>
        </w:tc>
      </w:tr>
      <w:tr w:rsidR="00065E56" w:rsidRPr="003224C1" w14:paraId="512BE04E" w14:textId="77777777" w:rsidTr="001C607A">
        <w:trPr>
          <w:trHeight w:val="320"/>
        </w:trPr>
        <w:tc>
          <w:tcPr>
            <w:tcW w:w="1363" w:type="dxa"/>
            <w:tcBorders>
              <w:top w:val="nil"/>
              <w:left w:val="nil"/>
              <w:bottom w:val="nil"/>
              <w:right w:val="nil"/>
            </w:tcBorders>
            <w:shd w:val="clear" w:color="000000" w:fill="E7E6E6"/>
            <w:vAlign w:val="bottom"/>
            <w:hideMark/>
          </w:tcPr>
          <w:p w14:paraId="6966218C" w14:textId="77777777" w:rsidR="00065E56" w:rsidRPr="003224C1" w:rsidRDefault="00065E56" w:rsidP="001C607A">
            <w:pPr>
              <w:rPr>
                <w:rFonts w:ascii="Calibri" w:eastAsia="Times New Roman" w:hAnsi="Calibri" w:cs="Calibri"/>
                <w:color w:val="000000"/>
              </w:rPr>
            </w:pPr>
            <w:r w:rsidRPr="003224C1">
              <w:rPr>
                <w:rFonts w:ascii="Calibri" w:eastAsia="Times New Roman" w:hAnsi="Calibri" w:cs="Calibri"/>
                <w:color w:val="000000"/>
              </w:rPr>
              <w:t> </w:t>
            </w:r>
          </w:p>
        </w:tc>
        <w:tc>
          <w:tcPr>
            <w:tcW w:w="3900" w:type="dxa"/>
            <w:gridSpan w:val="3"/>
            <w:tcBorders>
              <w:top w:val="single" w:sz="8" w:space="0" w:color="auto"/>
              <w:left w:val="single" w:sz="8" w:space="0" w:color="auto"/>
              <w:bottom w:val="nil"/>
              <w:right w:val="single" w:sz="8" w:space="0" w:color="000000"/>
            </w:tcBorders>
            <w:shd w:val="clear" w:color="000000" w:fill="E7E6E6"/>
            <w:vAlign w:val="bottom"/>
            <w:hideMark/>
          </w:tcPr>
          <w:p w14:paraId="0E21EDE0" w14:textId="77777777" w:rsidR="00065E56" w:rsidRPr="003224C1" w:rsidRDefault="00065E56" w:rsidP="001C607A">
            <w:pPr>
              <w:rPr>
                <w:rFonts w:ascii="Calibri" w:eastAsia="Times New Roman" w:hAnsi="Calibri" w:cs="Calibri"/>
                <w:color w:val="000000"/>
              </w:rPr>
            </w:pPr>
            <w:r w:rsidRPr="003224C1">
              <w:rPr>
                <w:rFonts w:ascii="Calibri" w:eastAsia="Times New Roman" w:hAnsi="Calibri" w:cs="Calibri"/>
                <w:color w:val="000000"/>
              </w:rPr>
              <w:t>Undergraduate Anatomy Status</w:t>
            </w:r>
          </w:p>
        </w:tc>
        <w:tc>
          <w:tcPr>
            <w:tcW w:w="2537" w:type="dxa"/>
            <w:gridSpan w:val="2"/>
            <w:tcBorders>
              <w:top w:val="single" w:sz="8" w:space="0" w:color="auto"/>
              <w:left w:val="nil"/>
              <w:bottom w:val="nil"/>
              <w:right w:val="single" w:sz="8" w:space="0" w:color="000000"/>
            </w:tcBorders>
            <w:shd w:val="clear" w:color="000000" w:fill="E7E6E6"/>
            <w:vAlign w:val="bottom"/>
            <w:hideMark/>
          </w:tcPr>
          <w:p w14:paraId="46AF6113" w14:textId="77777777" w:rsidR="00065E56" w:rsidRPr="003224C1" w:rsidRDefault="00065E56" w:rsidP="001C607A">
            <w:pPr>
              <w:rPr>
                <w:rFonts w:ascii="Calibri" w:eastAsia="Times New Roman" w:hAnsi="Calibri" w:cs="Calibri"/>
                <w:color w:val="000000"/>
              </w:rPr>
            </w:pPr>
            <w:r w:rsidRPr="003224C1">
              <w:rPr>
                <w:rFonts w:ascii="Calibri" w:eastAsia="Times New Roman" w:hAnsi="Calibri" w:cs="Calibri"/>
                <w:color w:val="000000"/>
              </w:rPr>
              <w:t>Dissection enhanced interest in applying</w:t>
            </w:r>
          </w:p>
        </w:tc>
      </w:tr>
      <w:tr w:rsidR="00065E56" w:rsidRPr="003224C1" w14:paraId="77E953D4" w14:textId="77777777" w:rsidTr="001C607A">
        <w:trPr>
          <w:trHeight w:val="1040"/>
        </w:trPr>
        <w:tc>
          <w:tcPr>
            <w:tcW w:w="1363" w:type="dxa"/>
            <w:tcBorders>
              <w:top w:val="nil"/>
              <w:left w:val="nil"/>
              <w:bottom w:val="nil"/>
              <w:right w:val="nil"/>
            </w:tcBorders>
            <w:shd w:val="clear" w:color="000000" w:fill="E7E6E6"/>
            <w:vAlign w:val="bottom"/>
            <w:hideMark/>
          </w:tcPr>
          <w:p w14:paraId="1B48F857" w14:textId="77777777" w:rsidR="00065E56" w:rsidRPr="003224C1" w:rsidRDefault="00065E56" w:rsidP="001C607A">
            <w:pPr>
              <w:rPr>
                <w:rFonts w:ascii="Calibri" w:eastAsia="Times New Roman" w:hAnsi="Calibri" w:cs="Calibri"/>
                <w:color w:val="000000"/>
              </w:rPr>
            </w:pPr>
            <w:r w:rsidRPr="003224C1">
              <w:rPr>
                <w:rFonts w:ascii="Calibri" w:eastAsia="Times New Roman" w:hAnsi="Calibri" w:cs="Calibri"/>
                <w:color w:val="000000"/>
              </w:rPr>
              <w:t>Program</w:t>
            </w:r>
          </w:p>
        </w:tc>
        <w:tc>
          <w:tcPr>
            <w:tcW w:w="1300" w:type="dxa"/>
            <w:tcBorders>
              <w:top w:val="nil"/>
              <w:left w:val="single" w:sz="8" w:space="0" w:color="auto"/>
              <w:bottom w:val="single" w:sz="8" w:space="0" w:color="auto"/>
              <w:right w:val="nil"/>
            </w:tcBorders>
            <w:shd w:val="clear" w:color="000000" w:fill="E7E6E6"/>
            <w:vAlign w:val="bottom"/>
            <w:hideMark/>
          </w:tcPr>
          <w:p w14:paraId="596BD993" w14:textId="77777777" w:rsidR="00065E56" w:rsidRPr="003224C1" w:rsidRDefault="00065E56" w:rsidP="001C607A">
            <w:pPr>
              <w:jc w:val="center"/>
              <w:rPr>
                <w:rFonts w:ascii="Calibri" w:eastAsia="Times New Roman" w:hAnsi="Calibri" w:cs="Calibri"/>
                <w:color w:val="000000"/>
              </w:rPr>
            </w:pPr>
            <w:r w:rsidRPr="003224C1">
              <w:rPr>
                <w:rFonts w:ascii="Calibri" w:eastAsia="Times New Roman" w:hAnsi="Calibri" w:cs="Calibri"/>
                <w:color w:val="000000"/>
              </w:rPr>
              <w:t>cadaveric dissection</w:t>
            </w:r>
          </w:p>
        </w:tc>
        <w:tc>
          <w:tcPr>
            <w:tcW w:w="1300" w:type="dxa"/>
            <w:tcBorders>
              <w:top w:val="nil"/>
              <w:left w:val="nil"/>
              <w:bottom w:val="single" w:sz="8" w:space="0" w:color="auto"/>
              <w:right w:val="nil"/>
            </w:tcBorders>
            <w:shd w:val="clear" w:color="000000" w:fill="E7E6E6"/>
            <w:vAlign w:val="bottom"/>
            <w:hideMark/>
          </w:tcPr>
          <w:p w14:paraId="1986D08B" w14:textId="77777777" w:rsidR="00065E56" w:rsidRPr="003224C1" w:rsidRDefault="00065E56" w:rsidP="001C607A">
            <w:pPr>
              <w:jc w:val="center"/>
              <w:rPr>
                <w:rFonts w:ascii="Calibri" w:eastAsia="Times New Roman" w:hAnsi="Calibri" w:cs="Calibri"/>
                <w:color w:val="000000"/>
              </w:rPr>
            </w:pPr>
            <w:r w:rsidRPr="003224C1">
              <w:rPr>
                <w:rFonts w:ascii="Calibri" w:eastAsia="Times New Roman" w:hAnsi="Calibri" w:cs="Calibri"/>
                <w:color w:val="000000"/>
              </w:rPr>
              <w:t>no cadaveric dissection</w:t>
            </w:r>
          </w:p>
        </w:tc>
        <w:tc>
          <w:tcPr>
            <w:tcW w:w="1300" w:type="dxa"/>
            <w:tcBorders>
              <w:top w:val="nil"/>
              <w:left w:val="nil"/>
              <w:bottom w:val="single" w:sz="8" w:space="0" w:color="auto"/>
              <w:right w:val="single" w:sz="8" w:space="0" w:color="auto"/>
            </w:tcBorders>
            <w:shd w:val="clear" w:color="000000" w:fill="E7E6E6"/>
            <w:vAlign w:val="bottom"/>
            <w:hideMark/>
          </w:tcPr>
          <w:p w14:paraId="63FB2CCD" w14:textId="77777777" w:rsidR="00065E56" w:rsidRPr="003224C1" w:rsidRDefault="00065E56" w:rsidP="001C607A">
            <w:pPr>
              <w:jc w:val="center"/>
              <w:rPr>
                <w:rFonts w:ascii="Calibri" w:eastAsia="Times New Roman" w:hAnsi="Calibri" w:cs="Calibri"/>
                <w:color w:val="000000"/>
              </w:rPr>
            </w:pPr>
            <w:r w:rsidRPr="003224C1">
              <w:rPr>
                <w:rFonts w:ascii="Calibri" w:eastAsia="Times New Roman" w:hAnsi="Calibri" w:cs="Calibri"/>
                <w:color w:val="000000"/>
              </w:rPr>
              <w:t>none</w:t>
            </w:r>
          </w:p>
        </w:tc>
        <w:tc>
          <w:tcPr>
            <w:tcW w:w="1300" w:type="dxa"/>
            <w:tcBorders>
              <w:top w:val="nil"/>
              <w:left w:val="nil"/>
              <w:bottom w:val="single" w:sz="8" w:space="0" w:color="auto"/>
              <w:right w:val="nil"/>
            </w:tcBorders>
            <w:shd w:val="clear" w:color="000000" w:fill="E7E6E6"/>
            <w:vAlign w:val="bottom"/>
            <w:hideMark/>
          </w:tcPr>
          <w:p w14:paraId="35F2992D" w14:textId="77777777" w:rsidR="00065E56" w:rsidRPr="003224C1" w:rsidRDefault="00065E56" w:rsidP="001C607A">
            <w:pPr>
              <w:jc w:val="center"/>
              <w:rPr>
                <w:rFonts w:ascii="Calibri" w:eastAsia="Times New Roman" w:hAnsi="Calibri" w:cs="Calibri"/>
                <w:color w:val="000000"/>
              </w:rPr>
            </w:pPr>
            <w:r w:rsidRPr="003224C1">
              <w:rPr>
                <w:rFonts w:ascii="Calibri" w:eastAsia="Times New Roman" w:hAnsi="Calibri" w:cs="Calibri"/>
                <w:color w:val="000000"/>
              </w:rPr>
              <w:t>yes</w:t>
            </w:r>
          </w:p>
        </w:tc>
        <w:tc>
          <w:tcPr>
            <w:tcW w:w="1237" w:type="dxa"/>
            <w:tcBorders>
              <w:top w:val="nil"/>
              <w:left w:val="nil"/>
              <w:bottom w:val="single" w:sz="8" w:space="0" w:color="auto"/>
              <w:right w:val="single" w:sz="8" w:space="0" w:color="auto"/>
            </w:tcBorders>
            <w:shd w:val="clear" w:color="000000" w:fill="E7E6E6"/>
            <w:vAlign w:val="bottom"/>
            <w:hideMark/>
          </w:tcPr>
          <w:p w14:paraId="36EB31FC" w14:textId="77777777" w:rsidR="00065E56" w:rsidRPr="003224C1" w:rsidRDefault="00065E56" w:rsidP="001C607A">
            <w:pPr>
              <w:jc w:val="center"/>
              <w:rPr>
                <w:rFonts w:ascii="Calibri" w:eastAsia="Times New Roman" w:hAnsi="Calibri" w:cs="Calibri"/>
                <w:color w:val="000000"/>
              </w:rPr>
            </w:pPr>
            <w:r w:rsidRPr="003224C1">
              <w:rPr>
                <w:rFonts w:ascii="Calibri" w:eastAsia="Times New Roman" w:hAnsi="Calibri" w:cs="Calibri"/>
                <w:color w:val="000000"/>
              </w:rPr>
              <w:t>no</w:t>
            </w:r>
          </w:p>
        </w:tc>
      </w:tr>
      <w:tr w:rsidR="00065E56" w:rsidRPr="003224C1" w14:paraId="39A8CF78" w14:textId="77777777" w:rsidTr="001C607A">
        <w:trPr>
          <w:trHeight w:val="320"/>
        </w:trPr>
        <w:tc>
          <w:tcPr>
            <w:tcW w:w="1363" w:type="dxa"/>
            <w:tcBorders>
              <w:top w:val="nil"/>
              <w:left w:val="nil"/>
              <w:bottom w:val="nil"/>
              <w:right w:val="nil"/>
            </w:tcBorders>
            <w:shd w:val="clear" w:color="auto" w:fill="auto"/>
            <w:noWrap/>
            <w:vAlign w:val="bottom"/>
            <w:hideMark/>
          </w:tcPr>
          <w:p w14:paraId="4D41F090" w14:textId="77777777" w:rsidR="00065E56" w:rsidRPr="003224C1" w:rsidRDefault="00065E56" w:rsidP="001C607A">
            <w:pPr>
              <w:rPr>
                <w:rFonts w:ascii="Calibri" w:eastAsia="Times New Roman" w:hAnsi="Calibri" w:cs="Calibri"/>
                <w:color w:val="000000"/>
              </w:rPr>
            </w:pPr>
            <w:r w:rsidRPr="003224C1">
              <w:rPr>
                <w:rFonts w:ascii="Calibri" w:eastAsia="Times New Roman" w:hAnsi="Calibri" w:cs="Calibri"/>
                <w:color w:val="000000"/>
              </w:rPr>
              <w:t>Dental (n=24)</w:t>
            </w:r>
          </w:p>
        </w:tc>
        <w:tc>
          <w:tcPr>
            <w:tcW w:w="1300" w:type="dxa"/>
            <w:tcBorders>
              <w:top w:val="nil"/>
              <w:left w:val="nil"/>
              <w:bottom w:val="nil"/>
              <w:right w:val="nil"/>
            </w:tcBorders>
            <w:shd w:val="clear" w:color="auto" w:fill="auto"/>
            <w:noWrap/>
            <w:vAlign w:val="bottom"/>
            <w:hideMark/>
          </w:tcPr>
          <w:p w14:paraId="75B6AA96" w14:textId="77777777" w:rsidR="00065E56" w:rsidRPr="003224C1" w:rsidRDefault="00065E56" w:rsidP="001C607A">
            <w:pPr>
              <w:jc w:val="center"/>
              <w:rPr>
                <w:rFonts w:ascii="Calibri" w:eastAsia="Times New Roman" w:hAnsi="Calibri" w:cs="Calibri"/>
                <w:color w:val="000000"/>
              </w:rPr>
            </w:pPr>
            <w:r w:rsidRPr="003224C1">
              <w:rPr>
                <w:rFonts w:ascii="Calibri" w:eastAsia="Times New Roman" w:hAnsi="Calibri" w:cs="Calibri"/>
                <w:color w:val="000000"/>
              </w:rPr>
              <w:t>6</w:t>
            </w:r>
          </w:p>
        </w:tc>
        <w:tc>
          <w:tcPr>
            <w:tcW w:w="1300" w:type="dxa"/>
            <w:tcBorders>
              <w:top w:val="nil"/>
              <w:left w:val="nil"/>
              <w:bottom w:val="nil"/>
              <w:right w:val="nil"/>
            </w:tcBorders>
            <w:shd w:val="clear" w:color="auto" w:fill="auto"/>
            <w:noWrap/>
            <w:vAlign w:val="bottom"/>
            <w:hideMark/>
          </w:tcPr>
          <w:p w14:paraId="7BBB3A5E" w14:textId="77777777" w:rsidR="00065E56" w:rsidRPr="003224C1" w:rsidRDefault="00065E56" w:rsidP="001C607A">
            <w:pPr>
              <w:jc w:val="center"/>
              <w:rPr>
                <w:rFonts w:ascii="Calibri" w:eastAsia="Times New Roman" w:hAnsi="Calibri" w:cs="Calibri"/>
                <w:color w:val="000000"/>
              </w:rPr>
            </w:pPr>
            <w:r w:rsidRPr="003224C1">
              <w:rPr>
                <w:rFonts w:ascii="Calibri" w:eastAsia="Times New Roman" w:hAnsi="Calibri" w:cs="Calibri"/>
                <w:color w:val="000000"/>
              </w:rPr>
              <w:t>11</w:t>
            </w:r>
          </w:p>
        </w:tc>
        <w:tc>
          <w:tcPr>
            <w:tcW w:w="1300" w:type="dxa"/>
            <w:tcBorders>
              <w:top w:val="nil"/>
              <w:left w:val="nil"/>
              <w:bottom w:val="nil"/>
              <w:right w:val="nil"/>
            </w:tcBorders>
            <w:shd w:val="clear" w:color="auto" w:fill="auto"/>
            <w:noWrap/>
            <w:vAlign w:val="bottom"/>
            <w:hideMark/>
          </w:tcPr>
          <w:p w14:paraId="58BB2E58" w14:textId="77777777" w:rsidR="00065E56" w:rsidRPr="003224C1" w:rsidRDefault="00065E56" w:rsidP="001C607A">
            <w:pPr>
              <w:jc w:val="center"/>
              <w:rPr>
                <w:rFonts w:ascii="Calibri" w:eastAsia="Times New Roman" w:hAnsi="Calibri" w:cs="Calibri"/>
                <w:color w:val="000000"/>
              </w:rPr>
            </w:pPr>
            <w:r w:rsidRPr="003224C1">
              <w:rPr>
                <w:rFonts w:ascii="Calibri" w:eastAsia="Times New Roman" w:hAnsi="Calibri" w:cs="Calibri"/>
                <w:color w:val="000000"/>
              </w:rPr>
              <w:t>7</w:t>
            </w:r>
          </w:p>
        </w:tc>
        <w:tc>
          <w:tcPr>
            <w:tcW w:w="1300" w:type="dxa"/>
            <w:tcBorders>
              <w:top w:val="nil"/>
              <w:left w:val="nil"/>
              <w:bottom w:val="nil"/>
              <w:right w:val="nil"/>
            </w:tcBorders>
            <w:shd w:val="clear" w:color="auto" w:fill="auto"/>
            <w:noWrap/>
            <w:vAlign w:val="bottom"/>
            <w:hideMark/>
          </w:tcPr>
          <w:p w14:paraId="1FEDCC19" w14:textId="77777777" w:rsidR="00065E56" w:rsidRPr="003224C1" w:rsidRDefault="00065E56" w:rsidP="001C607A">
            <w:pPr>
              <w:jc w:val="center"/>
              <w:rPr>
                <w:rFonts w:ascii="Calibri" w:eastAsia="Times New Roman" w:hAnsi="Calibri" w:cs="Calibri"/>
                <w:color w:val="000000"/>
              </w:rPr>
            </w:pPr>
            <w:r w:rsidRPr="003224C1">
              <w:rPr>
                <w:rFonts w:ascii="Calibri" w:eastAsia="Times New Roman" w:hAnsi="Calibri" w:cs="Calibri"/>
                <w:color w:val="000000"/>
              </w:rPr>
              <w:t>10</w:t>
            </w:r>
          </w:p>
        </w:tc>
        <w:tc>
          <w:tcPr>
            <w:tcW w:w="1237" w:type="dxa"/>
            <w:tcBorders>
              <w:top w:val="nil"/>
              <w:left w:val="nil"/>
              <w:bottom w:val="nil"/>
              <w:right w:val="nil"/>
            </w:tcBorders>
            <w:shd w:val="clear" w:color="auto" w:fill="auto"/>
            <w:noWrap/>
            <w:vAlign w:val="bottom"/>
            <w:hideMark/>
          </w:tcPr>
          <w:p w14:paraId="00BBA4AA" w14:textId="77777777" w:rsidR="00065E56" w:rsidRPr="003224C1" w:rsidRDefault="00065E56" w:rsidP="001C607A">
            <w:pPr>
              <w:jc w:val="center"/>
              <w:rPr>
                <w:rFonts w:ascii="Calibri" w:eastAsia="Times New Roman" w:hAnsi="Calibri" w:cs="Calibri"/>
                <w:color w:val="000000"/>
              </w:rPr>
            </w:pPr>
            <w:r w:rsidRPr="003224C1">
              <w:rPr>
                <w:rFonts w:ascii="Calibri" w:eastAsia="Times New Roman" w:hAnsi="Calibri" w:cs="Calibri"/>
                <w:color w:val="000000"/>
              </w:rPr>
              <w:t>14</w:t>
            </w:r>
          </w:p>
        </w:tc>
      </w:tr>
      <w:tr w:rsidR="00065E56" w:rsidRPr="003224C1" w14:paraId="5D29DF67" w14:textId="77777777" w:rsidTr="001C607A">
        <w:trPr>
          <w:trHeight w:val="720"/>
        </w:trPr>
        <w:tc>
          <w:tcPr>
            <w:tcW w:w="1363" w:type="dxa"/>
            <w:tcBorders>
              <w:top w:val="nil"/>
              <w:left w:val="nil"/>
              <w:bottom w:val="nil"/>
              <w:right w:val="nil"/>
            </w:tcBorders>
            <w:shd w:val="clear" w:color="auto" w:fill="auto"/>
            <w:noWrap/>
            <w:vAlign w:val="bottom"/>
            <w:hideMark/>
          </w:tcPr>
          <w:p w14:paraId="1C2C13E7" w14:textId="77777777" w:rsidR="00065E56" w:rsidRPr="003224C1" w:rsidRDefault="00065E56" w:rsidP="001C607A">
            <w:pPr>
              <w:rPr>
                <w:rFonts w:ascii="Calibri" w:eastAsia="Times New Roman" w:hAnsi="Calibri" w:cs="Calibri"/>
                <w:color w:val="000000"/>
              </w:rPr>
            </w:pPr>
            <w:r w:rsidRPr="003224C1">
              <w:rPr>
                <w:rFonts w:ascii="Calibri" w:eastAsia="Times New Roman" w:hAnsi="Calibri" w:cs="Calibri"/>
                <w:color w:val="000000"/>
              </w:rPr>
              <w:t>PA (n=36)</w:t>
            </w:r>
          </w:p>
        </w:tc>
        <w:tc>
          <w:tcPr>
            <w:tcW w:w="1300" w:type="dxa"/>
            <w:tcBorders>
              <w:top w:val="nil"/>
              <w:left w:val="nil"/>
              <w:bottom w:val="nil"/>
              <w:right w:val="nil"/>
            </w:tcBorders>
            <w:shd w:val="clear" w:color="auto" w:fill="auto"/>
            <w:noWrap/>
            <w:vAlign w:val="bottom"/>
            <w:hideMark/>
          </w:tcPr>
          <w:p w14:paraId="620433AC" w14:textId="77777777" w:rsidR="00065E56" w:rsidRPr="003224C1" w:rsidRDefault="00065E56" w:rsidP="001C607A">
            <w:pPr>
              <w:jc w:val="center"/>
              <w:rPr>
                <w:rFonts w:ascii="Calibri" w:eastAsia="Times New Roman" w:hAnsi="Calibri" w:cs="Calibri"/>
                <w:color w:val="000000"/>
              </w:rPr>
            </w:pPr>
            <w:r w:rsidRPr="003224C1">
              <w:rPr>
                <w:rFonts w:ascii="Calibri" w:eastAsia="Times New Roman" w:hAnsi="Calibri" w:cs="Calibri"/>
                <w:color w:val="000000"/>
              </w:rPr>
              <w:t>19</w:t>
            </w:r>
          </w:p>
        </w:tc>
        <w:tc>
          <w:tcPr>
            <w:tcW w:w="1300" w:type="dxa"/>
            <w:tcBorders>
              <w:top w:val="nil"/>
              <w:left w:val="nil"/>
              <w:bottom w:val="nil"/>
              <w:right w:val="nil"/>
            </w:tcBorders>
            <w:shd w:val="clear" w:color="auto" w:fill="auto"/>
            <w:noWrap/>
            <w:vAlign w:val="bottom"/>
            <w:hideMark/>
          </w:tcPr>
          <w:p w14:paraId="563F3482" w14:textId="77777777" w:rsidR="00065E56" w:rsidRPr="003224C1" w:rsidRDefault="00065E56" w:rsidP="001C607A">
            <w:pPr>
              <w:jc w:val="center"/>
              <w:rPr>
                <w:rFonts w:ascii="Calibri" w:eastAsia="Times New Roman" w:hAnsi="Calibri" w:cs="Calibri"/>
                <w:color w:val="000000"/>
              </w:rPr>
            </w:pPr>
            <w:r w:rsidRPr="003224C1">
              <w:rPr>
                <w:rFonts w:ascii="Calibri" w:eastAsia="Times New Roman" w:hAnsi="Calibri" w:cs="Calibri"/>
                <w:color w:val="000000"/>
              </w:rPr>
              <w:t>17</w:t>
            </w:r>
          </w:p>
        </w:tc>
        <w:tc>
          <w:tcPr>
            <w:tcW w:w="1300" w:type="dxa"/>
            <w:tcBorders>
              <w:top w:val="nil"/>
              <w:left w:val="nil"/>
              <w:bottom w:val="nil"/>
              <w:right w:val="nil"/>
            </w:tcBorders>
            <w:shd w:val="clear" w:color="auto" w:fill="auto"/>
            <w:noWrap/>
            <w:vAlign w:val="bottom"/>
            <w:hideMark/>
          </w:tcPr>
          <w:p w14:paraId="51CE5610" w14:textId="77777777" w:rsidR="00065E56" w:rsidRPr="003224C1" w:rsidRDefault="00065E56" w:rsidP="001C607A">
            <w:pPr>
              <w:jc w:val="center"/>
              <w:rPr>
                <w:rFonts w:ascii="Calibri" w:eastAsia="Times New Roman" w:hAnsi="Calibri" w:cs="Calibri"/>
                <w:color w:val="000000"/>
              </w:rPr>
            </w:pPr>
            <w:r w:rsidRPr="003224C1">
              <w:rPr>
                <w:rFonts w:ascii="Calibri" w:eastAsia="Times New Roman" w:hAnsi="Calibri" w:cs="Calibri"/>
                <w:color w:val="000000"/>
              </w:rPr>
              <w:t>0</w:t>
            </w:r>
          </w:p>
        </w:tc>
        <w:tc>
          <w:tcPr>
            <w:tcW w:w="1300" w:type="dxa"/>
            <w:tcBorders>
              <w:top w:val="nil"/>
              <w:left w:val="nil"/>
              <w:bottom w:val="nil"/>
              <w:right w:val="nil"/>
            </w:tcBorders>
            <w:shd w:val="clear" w:color="auto" w:fill="auto"/>
            <w:noWrap/>
            <w:vAlign w:val="bottom"/>
            <w:hideMark/>
          </w:tcPr>
          <w:p w14:paraId="73C880CC" w14:textId="77777777" w:rsidR="00065E56" w:rsidRPr="003224C1" w:rsidRDefault="00065E56" w:rsidP="001C607A">
            <w:pPr>
              <w:jc w:val="center"/>
              <w:rPr>
                <w:rFonts w:ascii="Calibri" w:eastAsia="Times New Roman" w:hAnsi="Calibri" w:cs="Calibri"/>
                <w:color w:val="000000"/>
              </w:rPr>
            </w:pPr>
            <w:r w:rsidRPr="003224C1">
              <w:rPr>
                <w:rFonts w:ascii="Calibri" w:eastAsia="Times New Roman" w:hAnsi="Calibri" w:cs="Calibri"/>
                <w:color w:val="000000"/>
              </w:rPr>
              <w:t>29</w:t>
            </w:r>
          </w:p>
        </w:tc>
        <w:tc>
          <w:tcPr>
            <w:tcW w:w="1237" w:type="dxa"/>
            <w:tcBorders>
              <w:top w:val="nil"/>
              <w:left w:val="nil"/>
              <w:bottom w:val="nil"/>
              <w:right w:val="nil"/>
            </w:tcBorders>
            <w:shd w:val="clear" w:color="auto" w:fill="auto"/>
            <w:noWrap/>
            <w:vAlign w:val="bottom"/>
            <w:hideMark/>
          </w:tcPr>
          <w:p w14:paraId="6E01FBE8" w14:textId="77777777" w:rsidR="00065E56" w:rsidRPr="003224C1" w:rsidRDefault="00065E56" w:rsidP="001C607A">
            <w:pPr>
              <w:jc w:val="center"/>
              <w:rPr>
                <w:rFonts w:ascii="Calibri" w:eastAsia="Times New Roman" w:hAnsi="Calibri" w:cs="Calibri"/>
                <w:color w:val="000000"/>
              </w:rPr>
            </w:pPr>
            <w:r w:rsidRPr="003224C1">
              <w:rPr>
                <w:rFonts w:ascii="Calibri" w:eastAsia="Times New Roman" w:hAnsi="Calibri" w:cs="Calibri"/>
                <w:color w:val="000000"/>
              </w:rPr>
              <w:t>6</w:t>
            </w:r>
          </w:p>
        </w:tc>
      </w:tr>
    </w:tbl>
    <w:p w14:paraId="2A6C5074" w14:textId="77777777" w:rsidR="00065E56" w:rsidRDefault="00065E56" w:rsidP="00065E56">
      <w:pPr>
        <w:rPr>
          <w:rFonts w:ascii="Times New Roman" w:hAnsi="Times New Roman" w:cs="Times New Roman"/>
        </w:rPr>
      </w:pPr>
    </w:p>
    <w:tbl>
      <w:tblPr>
        <w:tblW w:w="7800" w:type="dxa"/>
        <w:tblLook w:val="04A0" w:firstRow="1" w:lastRow="0" w:firstColumn="1" w:lastColumn="0" w:noHBand="0" w:noVBand="1"/>
      </w:tblPr>
      <w:tblGrid>
        <w:gridCol w:w="1300"/>
        <w:gridCol w:w="1300"/>
        <w:gridCol w:w="1300"/>
        <w:gridCol w:w="1300"/>
        <w:gridCol w:w="1300"/>
        <w:gridCol w:w="1300"/>
      </w:tblGrid>
      <w:tr w:rsidR="00065E56" w:rsidRPr="0099459C" w14:paraId="67CE5092" w14:textId="77777777" w:rsidTr="001C607A">
        <w:trPr>
          <w:trHeight w:val="500"/>
        </w:trPr>
        <w:tc>
          <w:tcPr>
            <w:tcW w:w="7800" w:type="dxa"/>
            <w:gridSpan w:val="6"/>
            <w:tcBorders>
              <w:top w:val="nil"/>
              <w:left w:val="nil"/>
              <w:bottom w:val="nil"/>
              <w:right w:val="nil"/>
            </w:tcBorders>
            <w:shd w:val="clear" w:color="auto" w:fill="auto"/>
            <w:noWrap/>
            <w:vAlign w:val="bottom"/>
            <w:hideMark/>
          </w:tcPr>
          <w:p w14:paraId="18574A69" w14:textId="77777777" w:rsidR="00065E56" w:rsidRPr="0099459C" w:rsidRDefault="00065E56" w:rsidP="001C607A">
            <w:pPr>
              <w:rPr>
                <w:rFonts w:ascii="Calibri" w:eastAsia="Times New Roman" w:hAnsi="Calibri" w:cs="Calibri"/>
                <w:color w:val="000000"/>
                <w:sz w:val="36"/>
                <w:szCs w:val="36"/>
              </w:rPr>
            </w:pPr>
            <w:r w:rsidRPr="0099459C">
              <w:rPr>
                <w:rFonts w:ascii="Calibri" w:eastAsia="Times New Roman" w:hAnsi="Calibri" w:cs="Calibri"/>
                <w:color w:val="000000"/>
                <w:sz w:val="36"/>
                <w:szCs w:val="36"/>
              </w:rPr>
              <w:t>Clinical Anatomy Online Learning Survey Question 6</w:t>
            </w:r>
          </w:p>
        </w:tc>
      </w:tr>
      <w:tr w:rsidR="00065E56" w:rsidRPr="0099459C" w14:paraId="550EFEE3" w14:textId="77777777" w:rsidTr="001C607A">
        <w:trPr>
          <w:trHeight w:val="320"/>
        </w:trPr>
        <w:tc>
          <w:tcPr>
            <w:tcW w:w="2600" w:type="dxa"/>
            <w:gridSpan w:val="2"/>
            <w:tcBorders>
              <w:top w:val="single" w:sz="8" w:space="0" w:color="auto"/>
              <w:left w:val="single" w:sz="8" w:space="0" w:color="auto"/>
              <w:bottom w:val="nil"/>
              <w:right w:val="nil"/>
            </w:tcBorders>
            <w:shd w:val="clear" w:color="000000" w:fill="D9D9D9"/>
            <w:noWrap/>
            <w:vAlign w:val="bottom"/>
            <w:hideMark/>
          </w:tcPr>
          <w:p w14:paraId="70F5D43E" w14:textId="77777777" w:rsidR="00065E56" w:rsidRPr="0099459C" w:rsidRDefault="00065E56" w:rsidP="001C607A">
            <w:pPr>
              <w:rPr>
                <w:rFonts w:ascii="Calibri" w:eastAsia="Times New Roman" w:hAnsi="Calibri" w:cs="Calibri"/>
                <w:color w:val="000000"/>
              </w:rPr>
            </w:pPr>
            <w:r w:rsidRPr="0099459C">
              <w:rPr>
                <w:rFonts w:ascii="Calibri" w:eastAsia="Times New Roman" w:hAnsi="Calibri" w:cs="Calibri"/>
                <w:color w:val="000000"/>
              </w:rPr>
              <w:t>Q6 Statement 1</w:t>
            </w:r>
          </w:p>
        </w:tc>
        <w:tc>
          <w:tcPr>
            <w:tcW w:w="1300" w:type="dxa"/>
            <w:tcBorders>
              <w:top w:val="single" w:sz="8" w:space="0" w:color="auto"/>
              <w:left w:val="nil"/>
              <w:bottom w:val="nil"/>
              <w:right w:val="nil"/>
            </w:tcBorders>
            <w:shd w:val="clear" w:color="000000" w:fill="D9D9D9"/>
            <w:noWrap/>
            <w:vAlign w:val="bottom"/>
            <w:hideMark/>
          </w:tcPr>
          <w:p w14:paraId="21DC3B3F" w14:textId="77777777" w:rsidR="00065E56" w:rsidRPr="0099459C" w:rsidRDefault="00065E56" w:rsidP="001C607A">
            <w:pPr>
              <w:rPr>
                <w:rFonts w:ascii="Calibri" w:eastAsia="Times New Roman" w:hAnsi="Calibri" w:cs="Calibri"/>
                <w:color w:val="000000"/>
              </w:rPr>
            </w:pPr>
            <w:r w:rsidRPr="0099459C">
              <w:rPr>
                <w:rFonts w:ascii="Calibri" w:eastAsia="Times New Roman" w:hAnsi="Calibri" w:cs="Calibri"/>
                <w:color w:val="000000"/>
              </w:rPr>
              <w:t> </w:t>
            </w:r>
          </w:p>
        </w:tc>
        <w:tc>
          <w:tcPr>
            <w:tcW w:w="1300" w:type="dxa"/>
            <w:tcBorders>
              <w:top w:val="single" w:sz="8" w:space="0" w:color="auto"/>
              <w:left w:val="nil"/>
              <w:bottom w:val="nil"/>
              <w:right w:val="nil"/>
            </w:tcBorders>
            <w:shd w:val="clear" w:color="000000" w:fill="D9D9D9"/>
            <w:noWrap/>
            <w:vAlign w:val="bottom"/>
            <w:hideMark/>
          </w:tcPr>
          <w:p w14:paraId="18D9A8F2" w14:textId="77777777" w:rsidR="00065E56" w:rsidRPr="0099459C" w:rsidRDefault="00065E56" w:rsidP="001C607A">
            <w:pPr>
              <w:rPr>
                <w:rFonts w:ascii="Calibri" w:eastAsia="Times New Roman" w:hAnsi="Calibri" w:cs="Calibri"/>
                <w:color w:val="000000"/>
              </w:rPr>
            </w:pPr>
            <w:r w:rsidRPr="0099459C">
              <w:rPr>
                <w:rFonts w:ascii="Calibri" w:eastAsia="Times New Roman" w:hAnsi="Calibri" w:cs="Calibri"/>
                <w:color w:val="000000"/>
              </w:rPr>
              <w:t> </w:t>
            </w:r>
          </w:p>
        </w:tc>
        <w:tc>
          <w:tcPr>
            <w:tcW w:w="1300" w:type="dxa"/>
            <w:tcBorders>
              <w:top w:val="single" w:sz="8" w:space="0" w:color="auto"/>
              <w:left w:val="nil"/>
              <w:bottom w:val="nil"/>
              <w:right w:val="nil"/>
            </w:tcBorders>
            <w:shd w:val="clear" w:color="000000" w:fill="D9D9D9"/>
            <w:noWrap/>
            <w:vAlign w:val="bottom"/>
            <w:hideMark/>
          </w:tcPr>
          <w:p w14:paraId="71330335" w14:textId="77777777" w:rsidR="00065E56" w:rsidRPr="0099459C" w:rsidRDefault="00065E56" w:rsidP="001C607A">
            <w:pPr>
              <w:rPr>
                <w:rFonts w:ascii="Calibri" w:eastAsia="Times New Roman" w:hAnsi="Calibri" w:cs="Calibri"/>
                <w:color w:val="000000"/>
              </w:rPr>
            </w:pPr>
            <w:r w:rsidRPr="0099459C">
              <w:rPr>
                <w:rFonts w:ascii="Calibri" w:eastAsia="Times New Roman" w:hAnsi="Calibri" w:cs="Calibri"/>
                <w:color w:val="000000"/>
              </w:rPr>
              <w:t> </w:t>
            </w:r>
          </w:p>
        </w:tc>
        <w:tc>
          <w:tcPr>
            <w:tcW w:w="1300" w:type="dxa"/>
            <w:tcBorders>
              <w:top w:val="single" w:sz="8" w:space="0" w:color="auto"/>
              <w:left w:val="nil"/>
              <w:bottom w:val="nil"/>
              <w:right w:val="single" w:sz="8" w:space="0" w:color="auto"/>
            </w:tcBorders>
            <w:shd w:val="clear" w:color="000000" w:fill="D9D9D9"/>
            <w:noWrap/>
            <w:vAlign w:val="bottom"/>
            <w:hideMark/>
          </w:tcPr>
          <w:p w14:paraId="4D0F0A67" w14:textId="77777777" w:rsidR="00065E56" w:rsidRPr="0099459C" w:rsidRDefault="00065E56" w:rsidP="001C607A">
            <w:pPr>
              <w:rPr>
                <w:rFonts w:ascii="Calibri" w:eastAsia="Times New Roman" w:hAnsi="Calibri" w:cs="Calibri"/>
                <w:color w:val="000000"/>
              </w:rPr>
            </w:pPr>
            <w:r w:rsidRPr="0099459C">
              <w:rPr>
                <w:rFonts w:ascii="Calibri" w:eastAsia="Times New Roman" w:hAnsi="Calibri" w:cs="Calibri"/>
                <w:color w:val="000000"/>
              </w:rPr>
              <w:t> </w:t>
            </w:r>
          </w:p>
        </w:tc>
      </w:tr>
      <w:tr w:rsidR="00065E56" w:rsidRPr="0099459C" w14:paraId="4E895D0C" w14:textId="77777777" w:rsidTr="001C607A">
        <w:trPr>
          <w:trHeight w:val="340"/>
        </w:trPr>
        <w:tc>
          <w:tcPr>
            <w:tcW w:w="7800" w:type="dxa"/>
            <w:gridSpan w:val="6"/>
            <w:tcBorders>
              <w:top w:val="nil"/>
              <w:left w:val="single" w:sz="8" w:space="0" w:color="auto"/>
              <w:bottom w:val="single" w:sz="8" w:space="0" w:color="auto"/>
              <w:right w:val="single" w:sz="8" w:space="0" w:color="000000"/>
            </w:tcBorders>
            <w:shd w:val="clear" w:color="000000" w:fill="D9D9D9"/>
            <w:noWrap/>
            <w:vAlign w:val="bottom"/>
            <w:hideMark/>
          </w:tcPr>
          <w:p w14:paraId="3B5532C4" w14:textId="77777777" w:rsidR="00065E56" w:rsidRPr="0099459C" w:rsidRDefault="00065E56" w:rsidP="001C607A">
            <w:pPr>
              <w:rPr>
                <w:rFonts w:ascii="Calibri" w:eastAsia="Times New Roman" w:hAnsi="Calibri" w:cs="Calibri"/>
                <w:color w:val="000000"/>
              </w:rPr>
            </w:pPr>
            <w:r w:rsidRPr="0099459C">
              <w:rPr>
                <w:rFonts w:ascii="Calibri" w:eastAsia="Times New Roman" w:hAnsi="Calibri" w:cs="Calibri"/>
                <w:color w:val="000000"/>
              </w:rPr>
              <w:t xml:space="preserve"> My anatomical knowledge is adequate for where I am in my program.</w:t>
            </w:r>
          </w:p>
        </w:tc>
      </w:tr>
      <w:tr w:rsidR="00065E56" w:rsidRPr="0099459C" w14:paraId="045FA88A" w14:textId="77777777" w:rsidTr="001C607A">
        <w:trPr>
          <w:trHeight w:val="680"/>
        </w:trPr>
        <w:tc>
          <w:tcPr>
            <w:tcW w:w="1300" w:type="dxa"/>
            <w:tcBorders>
              <w:top w:val="nil"/>
              <w:left w:val="nil"/>
              <w:bottom w:val="nil"/>
              <w:right w:val="nil"/>
            </w:tcBorders>
            <w:shd w:val="clear" w:color="000000" w:fill="D9D9D9"/>
            <w:vAlign w:val="bottom"/>
            <w:hideMark/>
          </w:tcPr>
          <w:p w14:paraId="06C37905" w14:textId="77777777" w:rsidR="00065E56" w:rsidRPr="0099459C" w:rsidRDefault="00065E56" w:rsidP="001C607A">
            <w:pPr>
              <w:rPr>
                <w:rFonts w:ascii="Calibri" w:eastAsia="Times New Roman" w:hAnsi="Calibri" w:cs="Calibri"/>
                <w:color w:val="000000"/>
              </w:rPr>
            </w:pPr>
            <w:r w:rsidRPr="0099459C">
              <w:rPr>
                <w:rFonts w:ascii="Calibri" w:eastAsia="Times New Roman" w:hAnsi="Calibri" w:cs="Calibri"/>
                <w:color w:val="000000"/>
              </w:rPr>
              <w:t>Program</w:t>
            </w:r>
          </w:p>
        </w:tc>
        <w:tc>
          <w:tcPr>
            <w:tcW w:w="1300" w:type="dxa"/>
            <w:tcBorders>
              <w:top w:val="nil"/>
              <w:left w:val="nil"/>
              <w:bottom w:val="nil"/>
              <w:right w:val="nil"/>
            </w:tcBorders>
            <w:shd w:val="clear" w:color="000000" w:fill="D9D9D9"/>
            <w:vAlign w:val="bottom"/>
            <w:hideMark/>
          </w:tcPr>
          <w:p w14:paraId="14065843" w14:textId="77777777" w:rsidR="00065E56" w:rsidRPr="0099459C" w:rsidRDefault="00065E56" w:rsidP="001C607A">
            <w:pPr>
              <w:jc w:val="center"/>
              <w:rPr>
                <w:rFonts w:ascii="Calibri" w:eastAsia="Times New Roman" w:hAnsi="Calibri" w:cs="Calibri"/>
                <w:color w:val="000000"/>
              </w:rPr>
            </w:pPr>
            <w:r w:rsidRPr="0099459C">
              <w:rPr>
                <w:rFonts w:ascii="Calibri" w:eastAsia="Times New Roman" w:hAnsi="Calibri" w:cs="Calibri"/>
                <w:color w:val="000000"/>
              </w:rPr>
              <w:t>Very true for me</w:t>
            </w:r>
          </w:p>
        </w:tc>
        <w:tc>
          <w:tcPr>
            <w:tcW w:w="1300" w:type="dxa"/>
            <w:tcBorders>
              <w:top w:val="nil"/>
              <w:left w:val="nil"/>
              <w:bottom w:val="nil"/>
              <w:right w:val="nil"/>
            </w:tcBorders>
            <w:shd w:val="clear" w:color="000000" w:fill="D9D9D9"/>
            <w:vAlign w:val="bottom"/>
            <w:hideMark/>
          </w:tcPr>
          <w:p w14:paraId="5274B298" w14:textId="77777777" w:rsidR="00065E56" w:rsidRPr="0099459C" w:rsidRDefault="00065E56" w:rsidP="001C607A">
            <w:pPr>
              <w:jc w:val="center"/>
              <w:rPr>
                <w:rFonts w:ascii="Calibri" w:eastAsia="Times New Roman" w:hAnsi="Calibri" w:cs="Calibri"/>
                <w:color w:val="000000"/>
              </w:rPr>
            </w:pPr>
            <w:r w:rsidRPr="0099459C">
              <w:rPr>
                <w:rFonts w:ascii="Calibri" w:eastAsia="Times New Roman" w:hAnsi="Calibri" w:cs="Calibri"/>
                <w:color w:val="000000"/>
              </w:rPr>
              <w:t>fairly true for me</w:t>
            </w:r>
          </w:p>
        </w:tc>
        <w:tc>
          <w:tcPr>
            <w:tcW w:w="1300" w:type="dxa"/>
            <w:tcBorders>
              <w:top w:val="nil"/>
              <w:left w:val="nil"/>
              <w:bottom w:val="nil"/>
              <w:right w:val="nil"/>
            </w:tcBorders>
            <w:shd w:val="clear" w:color="000000" w:fill="D9D9D9"/>
            <w:vAlign w:val="bottom"/>
            <w:hideMark/>
          </w:tcPr>
          <w:p w14:paraId="61F44A28" w14:textId="77777777" w:rsidR="00065E56" w:rsidRPr="0099459C" w:rsidRDefault="00065E56" w:rsidP="001C607A">
            <w:pPr>
              <w:jc w:val="center"/>
              <w:rPr>
                <w:rFonts w:ascii="Calibri" w:eastAsia="Times New Roman" w:hAnsi="Calibri" w:cs="Calibri"/>
                <w:color w:val="000000"/>
              </w:rPr>
            </w:pPr>
            <w:r w:rsidRPr="0099459C">
              <w:rPr>
                <w:rFonts w:ascii="Calibri" w:eastAsia="Times New Roman" w:hAnsi="Calibri" w:cs="Calibri"/>
                <w:color w:val="000000"/>
              </w:rPr>
              <w:t>somewhat true for me</w:t>
            </w:r>
          </w:p>
        </w:tc>
        <w:tc>
          <w:tcPr>
            <w:tcW w:w="1300" w:type="dxa"/>
            <w:tcBorders>
              <w:top w:val="nil"/>
              <w:left w:val="nil"/>
              <w:bottom w:val="nil"/>
              <w:right w:val="nil"/>
            </w:tcBorders>
            <w:shd w:val="clear" w:color="000000" w:fill="D9D9D9"/>
            <w:vAlign w:val="bottom"/>
            <w:hideMark/>
          </w:tcPr>
          <w:p w14:paraId="73CDD1AC" w14:textId="77777777" w:rsidR="00065E56" w:rsidRPr="0099459C" w:rsidRDefault="00065E56" w:rsidP="001C607A">
            <w:pPr>
              <w:jc w:val="center"/>
              <w:rPr>
                <w:rFonts w:ascii="Calibri" w:eastAsia="Times New Roman" w:hAnsi="Calibri" w:cs="Calibri"/>
                <w:color w:val="000000"/>
              </w:rPr>
            </w:pPr>
            <w:r w:rsidRPr="0099459C">
              <w:rPr>
                <w:rFonts w:ascii="Calibri" w:eastAsia="Times New Roman" w:hAnsi="Calibri" w:cs="Calibri"/>
                <w:color w:val="000000"/>
              </w:rPr>
              <w:t>not very true for me</w:t>
            </w:r>
          </w:p>
        </w:tc>
        <w:tc>
          <w:tcPr>
            <w:tcW w:w="1300" w:type="dxa"/>
            <w:tcBorders>
              <w:top w:val="nil"/>
              <w:left w:val="nil"/>
              <w:bottom w:val="nil"/>
              <w:right w:val="nil"/>
            </w:tcBorders>
            <w:shd w:val="clear" w:color="000000" w:fill="D9D9D9"/>
            <w:vAlign w:val="bottom"/>
            <w:hideMark/>
          </w:tcPr>
          <w:p w14:paraId="39F197F7" w14:textId="77777777" w:rsidR="00065E56" w:rsidRPr="0099459C" w:rsidRDefault="00065E56" w:rsidP="001C607A">
            <w:pPr>
              <w:jc w:val="center"/>
              <w:rPr>
                <w:rFonts w:ascii="Calibri" w:eastAsia="Times New Roman" w:hAnsi="Calibri" w:cs="Calibri"/>
                <w:color w:val="000000"/>
              </w:rPr>
            </w:pPr>
            <w:r w:rsidRPr="0099459C">
              <w:rPr>
                <w:rFonts w:ascii="Calibri" w:eastAsia="Times New Roman" w:hAnsi="Calibri" w:cs="Calibri"/>
                <w:color w:val="000000"/>
              </w:rPr>
              <w:t>not at all true for me</w:t>
            </w:r>
          </w:p>
        </w:tc>
      </w:tr>
      <w:tr w:rsidR="00065E56" w:rsidRPr="0099459C" w14:paraId="19EB3BBB" w14:textId="77777777" w:rsidTr="001C607A">
        <w:trPr>
          <w:trHeight w:val="680"/>
        </w:trPr>
        <w:tc>
          <w:tcPr>
            <w:tcW w:w="1300" w:type="dxa"/>
            <w:tcBorders>
              <w:top w:val="nil"/>
              <w:left w:val="nil"/>
              <w:bottom w:val="nil"/>
              <w:right w:val="nil"/>
            </w:tcBorders>
            <w:shd w:val="clear" w:color="000000" w:fill="BFBFBF"/>
            <w:vAlign w:val="bottom"/>
            <w:hideMark/>
          </w:tcPr>
          <w:p w14:paraId="64D16662" w14:textId="77777777" w:rsidR="00065E56" w:rsidRPr="0099459C" w:rsidRDefault="00065E56" w:rsidP="001C607A">
            <w:pPr>
              <w:rPr>
                <w:rFonts w:ascii="Calibri" w:eastAsia="Times New Roman" w:hAnsi="Calibri" w:cs="Calibri"/>
                <w:color w:val="000000"/>
              </w:rPr>
            </w:pPr>
            <w:r w:rsidRPr="0099459C">
              <w:rPr>
                <w:rFonts w:ascii="Calibri" w:eastAsia="Times New Roman" w:hAnsi="Calibri" w:cs="Calibri"/>
                <w:color w:val="000000"/>
              </w:rPr>
              <w:t>Total (n=60)</w:t>
            </w:r>
          </w:p>
        </w:tc>
        <w:tc>
          <w:tcPr>
            <w:tcW w:w="1300" w:type="dxa"/>
            <w:tcBorders>
              <w:top w:val="nil"/>
              <w:left w:val="nil"/>
              <w:bottom w:val="nil"/>
              <w:right w:val="nil"/>
            </w:tcBorders>
            <w:shd w:val="clear" w:color="000000" w:fill="BFBFBF"/>
            <w:noWrap/>
            <w:vAlign w:val="bottom"/>
            <w:hideMark/>
          </w:tcPr>
          <w:p w14:paraId="5051BCE7" w14:textId="77777777" w:rsidR="00065E56" w:rsidRPr="0099459C" w:rsidRDefault="00065E56" w:rsidP="001C607A">
            <w:pPr>
              <w:jc w:val="center"/>
              <w:rPr>
                <w:rFonts w:ascii="Calibri" w:eastAsia="Times New Roman" w:hAnsi="Calibri" w:cs="Calibri"/>
                <w:color w:val="000000"/>
              </w:rPr>
            </w:pPr>
            <w:r w:rsidRPr="0099459C">
              <w:rPr>
                <w:rFonts w:ascii="Calibri" w:eastAsia="Times New Roman" w:hAnsi="Calibri" w:cs="Calibri"/>
                <w:color w:val="000000"/>
              </w:rPr>
              <w:t>20 (34%)</w:t>
            </w:r>
          </w:p>
        </w:tc>
        <w:tc>
          <w:tcPr>
            <w:tcW w:w="1300" w:type="dxa"/>
            <w:tcBorders>
              <w:top w:val="nil"/>
              <w:left w:val="nil"/>
              <w:bottom w:val="nil"/>
              <w:right w:val="nil"/>
            </w:tcBorders>
            <w:shd w:val="clear" w:color="000000" w:fill="BFBFBF"/>
            <w:noWrap/>
            <w:vAlign w:val="bottom"/>
            <w:hideMark/>
          </w:tcPr>
          <w:p w14:paraId="6AC8DB0F" w14:textId="77777777" w:rsidR="00065E56" w:rsidRPr="0099459C" w:rsidRDefault="00065E56" w:rsidP="001C607A">
            <w:pPr>
              <w:jc w:val="center"/>
              <w:rPr>
                <w:rFonts w:ascii="Calibri" w:eastAsia="Times New Roman" w:hAnsi="Calibri" w:cs="Calibri"/>
                <w:color w:val="000000"/>
              </w:rPr>
            </w:pPr>
            <w:r w:rsidRPr="0099459C">
              <w:rPr>
                <w:rFonts w:ascii="Calibri" w:eastAsia="Times New Roman" w:hAnsi="Calibri" w:cs="Calibri"/>
                <w:color w:val="000000"/>
              </w:rPr>
              <w:t>23 (38%)</w:t>
            </w:r>
          </w:p>
        </w:tc>
        <w:tc>
          <w:tcPr>
            <w:tcW w:w="1300" w:type="dxa"/>
            <w:tcBorders>
              <w:top w:val="nil"/>
              <w:left w:val="nil"/>
              <w:bottom w:val="nil"/>
              <w:right w:val="nil"/>
            </w:tcBorders>
            <w:shd w:val="clear" w:color="000000" w:fill="BFBFBF"/>
            <w:noWrap/>
            <w:vAlign w:val="bottom"/>
            <w:hideMark/>
          </w:tcPr>
          <w:p w14:paraId="3688B2EE" w14:textId="77777777" w:rsidR="00065E56" w:rsidRPr="0099459C" w:rsidRDefault="00065E56" w:rsidP="001C607A">
            <w:pPr>
              <w:jc w:val="center"/>
              <w:rPr>
                <w:rFonts w:ascii="Calibri" w:eastAsia="Times New Roman" w:hAnsi="Calibri" w:cs="Calibri"/>
                <w:color w:val="000000"/>
              </w:rPr>
            </w:pPr>
            <w:r w:rsidRPr="0099459C">
              <w:rPr>
                <w:rFonts w:ascii="Calibri" w:eastAsia="Times New Roman" w:hAnsi="Calibri" w:cs="Calibri"/>
                <w:color w:val="000000"/>
              </w:rPr>
              <w:t>12 (20%)</w:t>
            </w:r>
          </w:p>
        </w:tc>
        <w:tc>
          <w:tcPr>
            <w:tcW w:w="1300" w:type="dxa"/>
            <w:tcBorders>
              <w:top w:val="nil"/>
              <w:left w:val="nil"/>
              <w:bottom w:val="nil"/>
              <w:right w:val="nil"/>
            </w:tcBorders>
            <w:shd w:val="clear" w:color="000000" w:fill="BFBFBF"/>
            <w:noWrap/>
            <w:vAlign w:val="bottom"/>
            <w:hideMark/>
          </w:tcPr>
          <w:p w14:paraId="35451E44" w14:textId="77777777" w:rsidR="00065E56" w:rsidRPr="0099459C" w:rsidRDefault="00065E56" w:rsidP="001C607A">
            <w:pPr>
              <w:jc w:val="center"/>
              <w:rPr>
                <w:rFonts w:ascii="Calibri" w:eastAsia="Times New Roman" w:hAnsi="Calibri" w:cs="Calibri"/>
                <w:color w:val="000000"/>
              </w:rPr>
            </w:pPr>
            <w:r w:rsidRPr="0099459C">
              <w:rPr>
                <w:rFonts w:ascii="Calibri" w:eastAsia="Times New Roman" w:hAnsi="Calibri" w:cs="Calibri"/>
                <w:color w:val="000000"/>
              </w:rPr>
              <w:t>5 (8%)</w:t>
            </w:r>
          </w:p>
        </w:tc>
        <w:tc>
          <w:tcPr>
            <w:tcW w:w="1300" w:type="dxa"/>
            <w:tcBorders>
              <w:top w:val="nil"/>
              <w:left w:val="nil"/>
              <w:bottom w:val="nil"/>
              <w:right w:val="nil"/>
            </w:tcBorders>
            <w:shd w:val="clear" w:color="000000" w:fill="BFBFBF"/>
            <w:noWrap/>
            <w:vAlign w:val="bottom"/>
            <w:hideMark/>
          </w:tcPr>
          <w:p w14:paraId="37A6ED52" w14:textId="77777777" w:rsidR="00065E56" w:rsidRPr="0099459C" w:rsidRDefault="00065E56" w:rsidP="001C607A">
            <w:pPr>
              <w:jc w:val="center"/>
              <w:rPr>
                <w:rFonts w:ascii="Calibri" w:eastAsia="Times New Roman" w:hAnsi="Calibri" w:cs="Calibri"/>
                <w:color w:val="000000"/>
              </w:rPr>
            </w:pPr>
            <w:r w:rsidRPr="0099459C">
              <w:rPr>
                <w:rFonts w:ascii="Calibri" w:eastAsia="Times New Roman" w:hAnsi="Calibri" w:cs="Calibri"/>
                <w:color w:val="000000"/>
              </w:rPr>
              <w:t>0 (0%)</w:t>
            </w:r>
          </w:p>
        </w:tc>
      </w:tr>
      <w:tr w:rsidR="00065E56" w:rsidRPr="0099459C" w14:paraId="2D5691E8" w14:textId="77777777" w:rsidTr="001C607A">
        <w:trPr>
          <w:trHeight w:val="680"/>
        </w:trPr>
        <w:tc>
          <w:tcPr>
            <w:tcW w:w="1300" w:type="dxa"/>
            <w:tcBorders>
              <w:top w:val="nil"/>
              <w:left w:val="nil"/>
              <w:bottom w:val="nil"/>
              <w:right w:val="nil"/>
            </w:tcBorders>
            <w:shd w:val="clear" w:color="000000" w:fill="F2F2F2"/>
            <w:vAlign w:val="bottom"/>
            <w:hideMark/>
          </w:tcPr>
          <w:p w14:paraId="705F3FB6" w14:textId="77777777" w:rsidR="00065E56" w:rsidRPr="0099459C" w:rsidRDefault="00065E56" w:rsidP="001C607A">
            <w:pPr>
              <w:rPr>
                <w:rFonts w:ascii="Calibri" w:eastAsia="Times New Roman" w:hAnsi="Calibri" w:cs="Calibri"/>
                <w:color w:val="000000"/>
              </w:rPr>
            </w:pPr>
            <w:r w:rsidRPr="0099459C">
              <w:rPr>
                <w:rFonts w:ascii="Calibri" w:eastAsia="Times New Roman" w:hAnsi="Calibri" w:cs="Calibri"/>
                <w:color w:val="000000"/>
              </w:rPr>
              <w:t>Dental (n=24)</w:t>
            </w:r>
          </w:p>
        </w:tc>
        <w:tc>
          <w:tcPr>
            <w:tcW w:w="1300" w:type="dxa"/>
            <w:tcBorders>
              <w:top w:val="nil"/>
              <w:left w:val="nil"/>
              <w:bottom w:val="nil"/>
              <w:right w:val="nil"/>
            </w:tcBorders>
            <w:shd w:val="clear" w:color="000000" w:fill="F2F2F2"/>
            <w:noWrap/>
            <w:vAlign w:val="bottom"/>
            <w:hideMark/>
          </w:tcPr>
          <w:p w14:paraId="111C0D99" w14:textId="77777777" w:rsidR="00065E56" w:rsidRPr="0099459C" w:rsidRDefault="00065E56" w:rsidP="001C607A">
            <w:pPr>
              <w:jc w:val="center"/>
              <w:rPr>
                <w:rFonts w:ascii="Calibri" w:eastAsia="Times New Roman" w:hAnsi="Calibri" w:cs="Calibri"/>
                <w:color w:val="000000"/>
              </w:rPr>
            </w:pPr>
            <w:r w:rsidRPr="0099459C">
              <w:rPr>
                <w:rFonts w:ascii="Calibri" w:eastAsia="Times New Roman" w:hAnsi="Calibri" w:cs="Calibri"/>
                <w:color w:val="000000"/>
              </w:rPr>
              <w:t>8 (33%)</w:t>
            </w:r>
          </w:p>
        </w:tc>
        <w:tc>
          <w:tcPr>
            <w:tcW w:w="1300" w:type="dxa"/>
            <w:tcBorders>
              <w:top w:val="nil"/>
              <w:left w:val="nil"/>
              <w:bottom w:val="nil"/>
              <w:right w:val="nil"/>
            </w:tcBorders>
            <w:shd w:val="clear" w:color="000000" w:fill="F2F2F2"/>
            <w:noWrap/>
            <w:vAlign w:val="bottom"/>
            <w:hideMark/>
          </w:tcPr>
          <w:p w14:paraId="7C427062" w14:textId="77777777" w:rsidR="00065E56" w:rsidRPr="0099459C" w:rsidRDefault="00065E56" w:rsidP="001C607A">
            <w:pPr>
              <w:jc w:val="center"/>
              <w:rPr>
                <w:rFonts w:ascii="Calibri" w:eastAsia="Times New Roman" w:hAnsi="Calibri" w:cs="Calibri"/>
                <w:color w:val="000000"/>
              </w:rPr>
            </w:pPr>
            <w:r w:rsidRPr="0099459C">
              <w:rPr>
                <w:rFonts w:ascii="Calibri" w:eastAsia="Times New Roman" w:hAnsi="Calibri" w:cs="Calibri"/>
                <w:color w:val="000000"/>
              </w:rPr>
              <w:t>8 (33%)</w:t>
            </w:r>
          </w:p>
        </w:tc>
        <w:tc>
          <w:tcPr>
            <w:tcW w:w="1300" w:type="dxa"/>
            <w:tcBorders>
              <w:top w:val="nil"/>
              <w:left w:val="nil"/>
              <w:bottom w:val="nil"/>
              <w:right w:val="nil"/>
            </w:tcBorders>
            <w:shd w:val="clear" w:color="000000" w:fill="F2F2F2"/>
            <w:noWrap/>
            <w:vAlign w:val="bottom"/>
            <w:hideMark/>
          </w:tcPr>
          <w:p w14:paraId="1BDE5C96" w14:textId="77777777" w:rsidR="00065E56" w:rsidRPr="0099459C" w:rsidRDefault="00065E56" w:rsidP="001C607A">
            <w:pPr>
              <w:jc w:val="center"/>
              <w:rPr>
                <w:rFonts w:ascii="Calibri" w:eastAsia="Times New Roman" w:hAnsi="Calibri" w:cs="Calibri"/>
                <w:color w:val="000000"/>
              </w:rPr>
            </w:pPr>
            <w:r w:rsidRPr="0099459C">
              <w:rPr>
                <w:rFonts w:ascii="Calibri" w:eastAsia="Times New Roman" w:hAnsi="Calibri" w:cs="Calibri"/>
                <w:color w:val="000000"/>
              </w:rPr>
              <w:t>5 (21%)</w:t>
            </w:r>
          </w:p>
        </w:tc>
        <w:tc>
          <w:tcPr>
            <w:tcW w:w="1300" w:type="dxa"/>
            <w:tcBorders>
              <w:top w:val="nil"/>
              <w:left w:val="nil"/>
              <w:bottom w:val="nil"/>
              <w:right w:val="nil"/>
            </w:tcBorders>
            <w:shd w:val="clear" w:color="000000" w:fill="F2F2F2"/>
            <w:noWrap/>
            <w:vAlign w:val="bottom"/>
            <w:hideMark/>
          </w:tcPr>
          <w:p w14:paraId="3C929912" w14:textId="77777777" w:rsidR="00065E56" w:rsidRPr="0099459C" w:rsidRDefault="00065E56" w:rsidP="001C607A">
            <w:pPr>
              <w:jc w:val="center"/>
              <w:rPr>
                <w:rFonts w:ascii="Calibri" w:eastAsia="Times New Roman" w:hAnsi="Calibri" w:cs="Calibri"/>
                <w:color w:val="000000"/>
              </w:rPr>
            </w:pPr>
            <w:r w:rsidRPr="0099459C">
              <w:rPr>
                <w:rFonts w:ascii="Calibri" w:eastAsia="Times New Roman" w:hAnsi="Calibri" w:cs="Calibri"/>
                <w:color w:val="000000"/>
              </w:rPr>
              <w:t>3 (13%)</w:t>
            </w:r>
          </w:p>
        </w:tc>
        <w:tc>
          <w:tcPr>
            <w:tcW w:w="1300" w:type="dxa"/>
            <w:tcBorders>
              <w:top w:val="nil"/>
              <w:left w:val="nil"/>
              <w:bottom w:val="nil"/>
              <w:right w:val="nil"/>
            </w:tcBorders>
            <w:shd w:val="clear" w:color="000000" w:fill="F2F2F2"/>
            <w:noWrap/>
            <w:vAlign w:val="bottom"/>
            <w:hideMark/>
          </w:tcPr>
          <w:p w14:paraId="5F071251" w14:textId="77777777" w:rsidR="00065E56" w:rsidRPr="0099459C" w:rsidRDefault="00065E56" w:rsidP="001C607A">
            <w:pPr>
              <w:jc w:val="center"/>
              <w:rPr>
                <w:rFonts w:ascii="Calibri" w:eastAsia="Times New Roman" w:hAnsi="Calibri" w:cs="Calibri"/>
                <w:color w:val="000000"/>
              </w:rPr>
            </w:pPr>
            <w:r w:rsidRPr="0099459C">
              <w:rPr>
                <w:rFonts w:ascii="Calibri" w:eastAsia="Times New Roman" w:hAnsi="Calibri" w:cs="Calibri"/>
                <w:color w:val="000000"/>
              </w:rPr>
              <w:t>0 (0%)</w:t>
            </w:r>
          </w:p>
        </w:tc>
      </w:tr>
      <w:tr w:rsidR="00065E56" w:rsidRPr="0099459C" w14:paraId="751A046E" w14:textId="77777777" w:rsidTr="001C607A">
        <w:trPr>
          <w:trHeight w:val="1020"/>
        </w:trPr>
        <w:tc>
          <w:tcPr>
            <w:tcW w:w="1300" w:type="dxa"/>
            <w:tcBorders>
              <w:top w:val="nil"/>
              <w:left w:val="nil"/>
              <w:bottom w:val="nil"/>
              <w:right w:val="nil"/>
            </w:tcBorders>
            <w:shd w:val="clear" w:color="auto" w:fill="auto"/>
            <w:vAlign w:val="bottom"/>
            <w:hideMark/>
          </w:tcPr>
          <w:p w14:paraId="6D283B02" w14:textId="77777777" w:rsidR="00065E56" w:rsidRPr="0099459C" w:rsidRDefault="00065E56" w:rsidP="001C607A">
            <w:pPr>
              <w:rPr>
                <w:rFonts w:ascii="Calibri" w:eastAsia="Times New Roman" w:hAnsi="Calibri" w:cs="Calibri"/>
                <w:color w:val="000000"/>
              </w:rPr>
            </w:pPr>
            <w:r w:rsidRPr="0099459C">
              <w:rPr>
                <w:rFonts w:ascii="Calibri" w:eastAsia="Times New Roman" w:hAnsi="Calibri" w:cs="Calibri"/>
                <w:color w:val="000000"/>
              </w:rPr>
              <w:t xml:space="preserve">Dental -no </w:t>
            </w:r>
            <w:proofErr w:type="spellStart"/>
            <w:r w:rsidRPr="0099459C">
              <w:rPr>
                <w:rFonts w:ascii="Calibri" w:eastAsia="Times New Roman" w:hAnsi="Calibri" w:cs="Calibri"/>
                <w:color w:val="000000"/>
              </w:rPr>
              <w:t>undgrad</w:t>
            </w:r>
            <w:proofErr w:type="spellEnd"/>
            <w:r w:rsidRPr="0099459C">
              <w:rPr>
                <w:rFonts w:ascii="Calibri" w:eastAsia="Times New Roman" w:hAnsi="Calibri" w:cs="Calibri"/>
                <w:color w:val="000000"/>
              </w:rPr>
              <w:t xml:space="preserve"> anatomy</w:t>
            </w:r>
          </w:p>
        </w:tc>
        <w:tc>
          <w:tcPr>
            <w:tcW w:w="1300" w:type="dxa"/>
            <w:tcBorders>
              <w:top w:val="nil"/>
              <w:left w:val="nil"/>
              <w:bottom w:val="nil"/>
              <w:right w:val="nil"/>
            </w:tcBorders>
            <w:shd w:val="clear" w:color="auto" w:fill="auto"/>
            <w:noWrap/>
            <w:vAlign w:val="bottom"/>
            <w:hideMark/>
          </w:tcPr>
          <w:p w14:paraId="3B6CB1BD" w14:textId="77777777" w:rsidR="00065E56" w:rsidRPr="0099459C" w:rsidRDefault="00065E56" w:rsidP="001C607A">
            <w:pPr>
              <w:jc w:val="center"/>
              <w:rPr>
                <w:rFonts w:ascii="Calibri" w:eastAsia="Times New Roman" w:hAnsi="Calibri" w:cs="Calibri"/>
                <w:color w:val="000000"/>
              </w:rPr>
            </w:pPr>
            <w:r w:rsidRPr="0099459C">
              <w:rPr>
                <w:rFonts w:ascii="Calibri" w:eastAsia="Times New Roman" w:hAnsi="Calibri" w:cs="Calibri"/>
                <w:color w:val="000000"/>
              </w:rPr>
              <w:t>2</w:t>
            </w:r>
          </w:p>
        </w:tc>
        <w:tc>
          <w:tcPr>
            <w:tcW w:w="1300" w:type="dxa"/>
            <w:tcBorders>
              <w:top w:val="nil"/>
              <w:left w:val="nil"/>
              <w:bottom w:val="nil"/>
              <w:right w:val="nil"/>
            </w:tcBorders>
            <w:shd w:val="clear" w:color="auto" w:fill="auto"/>
            <w:noWrap/>
            <w:vAlign w:val="bottom"/>
            <w:hideMark/>
          </w:tcPr>
          <w:p w14:paraId="53EB7CCC" w14:textId="77777777" w:rsidR="00065E56" w:rsidRPr="0099459C" w:rsidRDefault="00065E56" w:rsidP="001C607A">
            <w:pPr>
              <w:jc w:val="center"/>
              <w:rPr>
                <w:rFonts w:ascii="Calibri" w:eastAsia="Times New Roman" w:hAnsi="Calibri" w:cs="Calibri"/>
                <w:color w:val="000000"/>
              </w:rPr>
            </w:pPr>
            <w:r w:rsidRPr="0099459C">
              <w:rPr>
                <w:rFonts w:ascii="Calibri" w:eastAsia="Times New Roman" w:hAnsi="Calibri" w:cs="Calibri"/>
                <w:color w:val="000000"/>
              </w:rPr>
              <w:t>3</w:t>
            </w:r>
          </w:p>
        </w:tc>
        <w:tc>
          <w:tcPr>
            <w:tcW w:w="1300" w:type="dxa"/>
            <w:tcBorders>
              <w:top w:val="nil"/>
              <w:left w:val="nil"/>
              <w:bottom w:val="nil"/>
              <w:right w:val="nil"/>
            </w:tcBorders>
            <w:shd w:val="clear" w:color="auto" w:fill="auto"/>
            <w:noWrap/>
            <w:vAlign w:val="bottom"/>
            <w:hideMark/>
          </w:tcPr>
          <w:p w14:paraId="0C1F6F7C" w14:textId="77777777" w:rsidR="00065E56" w:rsidRPr="0099459C" w:rsidRDefault="00065E56" w:rsidP="001C607A">
            <w:pPr>
              <w:jc w:val="center"/>
              <w:rPr>
                <w:rFonts w:ascii="Calibri" w:eastAsia="Times New Roman" w:hAnsi="Calibri" w:cs="Calibri"/>
                <w:color w:val="000000"/>
              </w:rPr>
            </w:pPr>
            <w:r w:rsidRPr="0099459C">
              <w:rPr>
                <w:rFonts w:ascii="Calibri" w:eastAsia="Times New Roman" w:hAnsi="Calibri" w:cs="Calibri"/>
                <w:color w:val="000000"/>
              </w:rPr>
              <w:t>1</w:t>
            </w:r>
          </w:p>
        </w:tc>
        <w:tc>
          <w:tcPr>
            <w:tcW w:w="1300" w:type="dxa"/>
            <w:tcBorders>
              <w:top w:val="nil"/>
              <w:left w:val="nil"/>
              <w:bottom w:val="nil"/>
              <w:right w:val="nil"/>
            </w:tcBorders>
            <w:shd w:val="clear" w:color="auto" w:fill="auto"/>
            <w:noWrap/>
            <w:vAlign w:val="bottom"/>
            <w:hideMark/>
          </w:tcPr>
          <w:p w14:paraId="2D04A591" w14:textId="77777777" w:rsidR="00065E56" w:rsidRPr="0099459C" w:rsidRDefault="00065E56" w:rsidP="001C607A">
            <w:pPr>
              <w:jc w:val="center"/>
              <w:rPr>
                <w:rFonts w:ascii="Calibri" w:eastAsia="Times New Roman" w:hAnsi="Calibri" w:cs="Calibri"/>
                <w:color w:val="000000"/>
              </w:rPr>
            </w:pPr>
            <w:r w:rsidRPr="0099459C">
              <w:rPr>
                <w:rFonts w:ascii="Calibri" w:eastAsia="Times New Roman" w:hAnsi="Calibri" w:cs="Calibri"/>
                <w:color w:val="000000"/>
              </w:rPr>
              <w:t>1</w:t>
            </w:r>
          </w:p>
        </w:tc>
        <w:tc>
          <w:tcPr>
            <w:tcW w:w="1300" w:type="dxa"/>
            <w:tcBorders>
              <w:top w:val="nil"/>
              <w:left w:val="nil"/>
              <w:bottom w:val="nil"/>
              <w:right w:val="nil"/>
            </w:tcBorders>
            <w:shd w:val="clear" w:color="auto" w:fill="auto"/>
            <w:noWrap/>
            <w:vAlign w:val="bottom"/>
            <w:hideMark/>
          </w:tcPr>
          <w:p w14:paraId="26506406" w14:textId="77777777" w:rsidR="00065E56" w:rsidRPr="0099459C" w:rsidRDefault="00065E56" w:rsidP="001C607A">
            <w:pPr>
              <w:jc w:val="center"/>
              <w:rPr>
                <w:rFonts w:ascii="Calibri" w:eastAsia="Times New Roman" w:hAnsi="Calibri" w:cs="Calibri"/>
                <w:color w:val="000000"/>
              </w:rPr>
            </w:pPr>
            <w:r w:rsidRPr="0099459C">
              <w:rPr>
                <w:rFonts w:ascii="Calibri" w:eastAsia="Times New Roman" w:hAnsi="Calibri" w:cs="Calibri"/>
                <w:color w:val="000000"/>
              </w:rPr>
              <w:t>0</w:t>
            </w:r>
          </w:p>
        </w:tc>
      </w:tr>
      <w:tr w:rsidR="00065E56" w:rsidRPr="0099459C" w14:paraId="5CA1E113" w14:textId="77777777" w:rsidTr="001C607A">
        <w:trPr>
          <w:trHeight w:val="1020"/>
        </w:trPr>
        <w:tc>
          <w:tcPr>
            <w:tcW w:w="1300" w:type="dxa"/>
            <w:tcBorders>
              <w:top w:val="nil"/>
              <w:left w:val="nil"/>
              <w:bottom w:val="nil"/>
              <w:right w:val="nil"/>
            </w:tcBorders>
            <w:shd w:val="clear" w:color="auto" w:fill="auto"/>
            <w:vAlign w:val="bottom"/>
            <w:hideMark/>
          </w:tcPr>
          <w:p w14:paraId="0228F064" w14:textId="77777777" w:rsidR="00065E56" w:rsidRPr="0099459C" w:rsidRDefault="00065E56" w:rsidP="001C607A">
            <w:pPr>
              <w:rPr>
                <w:rFonts w:ascii="Calibri" w:eastAsia="Times New Roman" w:hAnsi="Calibri" w:cs="Calibri"/>
                <w:color w:val="000000"/>
              </w:rPr>
            </w:pPr>
            <w:r w:rsidRPr="0099459C">
              <w:rPr>
                <w:rFonts w:ascii="Calibri" w:eastAsia="Times New Roman" w:hAnsi="Calibri" w:cs="Calibri"/>
                <w:color w:val="000000"/>
              </w:rPr>
              <w:t>Dental -yes undergrad anatomy</w:t>
            </w:r>
          </w:p>
        </w:tc>
        <w:tc>
          <w:tcPr>
            <w:tcW w:w="1300" w:type="dxa"/>
            <w:tcBorders>
              <w:top w:val="nil"/>
              <w:left w:val="nil"/>
              <w:bottom w:val="nil"/>
              <w:right w:val="nil"/>
            </w:tcBorders>
            <w:shd w:val="clear" w:color="auto" w:fill="auto"/>
            <w:noWrap/>
            <w:vAlign w:val="bottom"/>
            <w:hideMark/>
          </w:tcPr>
          <w:p w14:paraId="779AECB0" w14:textId="77777777" w:rsidR="00065E56" w:rsidRPr="0099459C" w:rsidRDefault="00065E56" w:rsidP="001C607A">
            <w:pPr>
              <w:jc w:val="center"/>
              <w:rPr>
                <w:rFonts w:ascii="Calibri" w:eastAsia="Times New Roman" w:hAnsi="Calibri" w:cs="Calibri"/>
                <w:color w:val="000000"/>
              </w:rPr>
            </w:pPr>
            <w:r w:rsidRPr="0099459C">
              <w:rPr>
                <w:rFonts w:ascii="Calibri" w:eastAsia="Times New Roman" w:hAnsi="Calibri" w:cs="Calibri"/>
                <w:color w:val="000000"/>
              </w:rPr>
              <w:t>6</w:t>
            </w:r>
          </w:p>
        </w:tc>
        <w:tc>
          <w:tcPr>
            <w:tcW w:w="1300" w:type="dxa"/>
            <w:tcBorders>
              <w:top w:val="nil"/>
              <w:left w:val="nil"/>
              <w:bottom w:val="nil"/>
              <w:right w:val="nil"/>
            </w:tcBorders>
            <w:shd w:val="clear" w:color="auto" w:fill="auto"/>
            <w:noWrap/>
            <w:vAlign w:val="bottom"/>
            <w:hideMark/>
          </w:tcPr>
          <w:p w14:paraId="0D771D45" w14:textId="77777777" w:rsidR="00065E56" w:rsidRPr="0099459C" w:rsidRDefault="00065E56" w:rsidP="001C607A">
            <w:pPr>
              <w:jc w:val="center"/>
              <w:rPr>
                <w:rFonts w:ascii="Calibri" w:eastAsia="Times New Roman" w:hAnsi="Calibri" w:cs="Calibri"/>
                <w:color w:val="000000"/>
              </w:rPr>
            </w:pPr>
            <w:r w:rsidRPr="0099459C">
              <w:rPr>
                <w:rFonts w:ascii="Calibri" w:eastAsia="Times New Roman" w:hAnsi="Calibri" w:cs="Calibri"/>
                <w:color w:val="000000"/>
              </w:rPr>
              <w:t>5</w:t>
            </w:r>
          </w:p>
        </w:tc>
        <w:tc>
          <w:tcPr>
            <w:tcW w:w="1300" w:type="dxa"/>
            <w:tcBorders>
              <w:top w:val="nil"/>
              <w:left w:val="nil"/>
              <w:bottom w:val="nil"/>
              <w:right w:val="nil"/>
            </w:tcBorders>
            <w:shd w:val="clear" w:color="auto" w:fill="auto"/>
            <w:noWrap/>
            <w:vAlign w:val="bottom"/>
            <w:hideMark/>
          </w:tcPr>
          <w:p w14:paraId="2DAA97E4" w14:textId="77777777" w:rsidR="00065E56" w:rsidRPr="0099459C" w:rsidRDefault="00065E56" w:rsidP="001C607A">
            <w:pPr>
              <w:jc w:val="center"/>
              <w:rPr>
                <w:rFonts w:ascii="Calibri" w:eastAsia="Times New Roman" w:hAnsi="Calibri" w:cs="Calibri"/>
                <w:color w:val="000000"/>
              </w:rPr>
            </w:pPr>
            <w:r w:rsidRPr="0099459C">
              <w:rPr>
                <w:rFonts w:ascii="Calibri" w:eastAsia="Times New Roman" w:hAnsi="Calibri" w:cs="Calibri"/>
                <w:color w:val="000000"/>
              </w:rPr>
              <w:t>4</w:t>
            </w:r>
          </w:p>
        </w:tc>
        <w:tc>
          <w:tcPr>
            <w:tcW w:w="1300" w:type="dxa"/>
            <w:tcBorders>
              <w:top w:val="nil"/>
              <w:left w:val="nil"/>
              <w:bottom w:val="nil"/>
              <w:right w:val="nil"/>
            </w:tcBorders>
            <w:shd w:val="clear" w:color="auto" w:fill="auto"/>
            <w:noWrap/>
            <w:vAlign w:val="bottom"/>
            <w:hideMark/>
          </w:tcPr>
          <w:p w14:paraId="0491C5AC" w14:textId="77777777" w:rsidR="00065E56" w:rsidRPr="0099459C" w:rsidRDefault="00065E56" w:rsidP="001C607A">
            <w:pPr>
              <w:jc w:val="center"/>
              <w:rPr>
                <w:rFonts w:ascii="Calibri" w:eastAsia="Times New Roman" w:hAnsi="Calibri" w:cs="Calibri"/>
                <w:color w:val="000000"/>
              </w:rPr>
            </w:pPr>
            <w:r w:rsidRPr="0099459C">
              <w:rPr>
                <w:rFonts w:ascii="Calibri" w:eastAsia="Times New Roman" w:hAnsi="Calibri" w:cs="Calibri"/>
                <w:color w:val="000000"/>
              </w:rPr>
              <w:t>2</w:t>
            </w:r>
          </w:p>
        </w:tc>
        <w:tc>
          <w:tcPr>
            <w:tcW w:w="1300" w:type="dxa"/>
            <w:tcBorders>
              <w:top w:val="nil"/>
              <w:left w:val="nil"/>
              <w:bottom w:val="nil"/>
              <w:right w:val="nil"/>
            </w:tcBorders>
            <w:shd w:val="clear" w:color="auto" w:fill="auto"/>
            <w:noWrap/>
            <w:vAlign w:val="bottom"/>
            <w:hideMark/>
          </w:tcPr>
          <w:p w14:paraId="675901AB" w14:textId="77777777" w:rsidR="00065E56" w:rsidRPr="0099459C" w:rsidRDefault="00065E56" w:rsidP="001C607A">
            <w:pPr>
              <w:jc w:val="center"/>
              <w:rPr>
                <w:rFonts w:ascii="Calibri" w:eastAsia="Times New Roman" w:hAnsi="Calibri" w:cs="Calibri"/>
                <w:color w:val="000000"/>
              </w:rPr>
            </w:pPr>
            <w:r w:rsidRPr="0099459C">
              <w:rPr>
                <w:rFonts w:ascii="Calibri" w:eastAsia="Times New Roman" w:hAnsi="Calibri" w:cs="Calibri"/>
                <w:color w:val="000000"/>
              </w:rPr>
              <w:t>0</w:t>
            </w:r>
          </w:p>
        </w:tc>
      </w:tr>
      <w:tr w:rsidR="00065E56" w:rsidRPr="0099459C" w14:paraId="5AD0EA34" w14:textId="77777777" w:rsidTr="001C607A">
        <w:trPr>
          <w:trHeight w:val="360"/>
        </w:trPr>
        <w:tc>
          <w:tcPr>
            <w:tcW w:w="1300" w:type="dxa"/>
            <w:tcBorders>
              <w:top w:val="nil"/>
              <w:left w:val="nil"/>
              <w:bottom w:val="nil"/>
              <w:right w:val="nil"/>
            </w:tcBorders>
            <w:shd w:val="clear" w:color="000000" w:fill="F2F2F2"/>
            <w:vAlign w:val="bottom"/>
            <w:hideMark/>
          </w:tcPr>
          <w:p w14:paraId="49447B94" w14:textId="77777777" w:rsidR="00065E56" w:rsidRPr="0099459C" w:rsidRDefault="00065E56" w:rsidP="001C607A">
            <w:pPr>
              <w:rPr>
                <w:rFonts w:ascii="Calibri" w:eastAsia="Times New Roman" w:hAnsi="Calibri" w:cs="Calibri"/>
                <w:color w:val="000000"/>
              </w:rPr>
            </w:pPr>
            <w:r w:rsidRPr="0099459C">
              <w:rPr>
                <w:rFonts w:ascii="Calibri" w:eastAsia="Times New Roman" w:hAnsi="Calibri" w:cs="Calibri"/>
                <w:color w:val="000000"/>
              </w:rPr>
              <w:t>PA (n=36)</w:t>
            </w:r>
          </w:p>
        </w:tc>
        <w:tc>
          <w:tcPr>
            <w:tcW w:w="1300" w:type="dxa"/>
            <w:tcBorders>
              <w:top w:val="nil"/>
              <w:left w:val="nil"/>
              <w:bottom w:val="nil"/>
              <w:right w:val="nil"/>
            </w:tcBorders>
            <w:shd w:val="clear" w:color="000000" w:fill="F2F2F2"/>
            <w:noWrap/>
            <w:vAlign w:val="bottom"/>
            <w:hideMark/>
          </w:tcPr>
          <w:p w14:paraId="6345C943" w14:textId="77777777" w:rsidR="00065E56" w:rsidRPr="0099459C" w:rsidRDefault="00065E56" w:rsidP="001C607A">
            <w:pPr>
              <w:jc w:val="center"/>
              <w:rPr>
                <w:rFonts w:ascii="Calibri" w:eastAsia="Times New Roman" w:hAnsi="Calibri" w:cs="Calibri"/>
                <w:color w:val="000000"/>
              </w:rPr>
            </w:pPr>
            <w:r w:rsidRPr="0099459C">
              <w:rPr>
                <w:rFonts w:ascii="Calibri" w:eastAsia="Times New Roman" w:hAnsi="Calibri" w:cs="Calibri"/>
                <w:color w:val="000000"/>
              </w:rPr>
              <w:t>12 (33%)</w:t>
            </w:r>
          </w:p>
        </w:tc>
        <w:tc>
          <w:tcPr>
            <w:tcW w:w="1300" w:type="dxa"/>
            <w:tcBorders>
              <w:top w:val="nil"/>
              <w:left w:val="nil"/>
              <w:bottom w:val="nil"/>
              <w:right w:val="nil"/>
            </w:tcBorders>
            <w:shd w:val="clear" w:color="000000" w:fill="F2F2F2"/>
            <w:noWrap/>
            <w:vAlign w:val="bottom"/>
            <w:hideMark/>
          </w:tcPr>
          <w:p w14:paraId="0746E9C8" w14:textId="77777777" w:rsidR="00065E56" w:rsidRPr="0099459C" w:rsidRDefault="00065E56" w:rsidP="001C607A">
            <w:pPr>
              <w:jc w:val="center"/>
              <w:rPr>
                <w:rFonts w:ascii="Calibri" w:eastAsia="Times New Roman" w:hAnsi="Calibri" w:cs="Calibri"/>
                <w:color w:val="000000"/>
              </w:rPr>
            </w:pPr>
            <w:r w:rsidRPr="0099459C">
              <w:rPr>
                <w:rFonts w:ascii="Calibri" w:eastAsia="Times New Roman" w:hAnsi="Calibri" w:cs="Calibri"/>
                <w:color w:val="000000"/>
              </w:rPr>
              <w:t>15 (42%)</w:t>
            </w:r>
          </w:p>
        </w:tc>
        <w:tc>
          <w:tcPr>
            <w:tcW w:w="1300" w:type="dxa"/>
            <w:tcBorders>
              <w:top w:val="nil"/>
              <w:left w:val="nil"/>
              <w:bottom w:val="nil"/>
              <w:right w:val="nil"/>
            </w:tcBorders>
            <w:shd w:val="clear" w:color="000000" w:fill="F2F2F2"/>
            <w:noWrap/>
            <w:vAlign w:val="bottom"/>
            <w:hideMark/>
          </w:tcPr>
          <w:p w14:paraId="46835A59" w14:textId="77777777" w:rsidR="00065E56" w:rsidRPr="0099459C" w:rsidRDefault="00065E56" w:rsidP="001C607A">
            <w:pPr>
              <w:jc w:val="center"/>
              <w:rPr>
                <w:rFonts w:ascii="Calibri" w:eastAsia="Times New Roman" w:hAnsi="Calibri" w:cs="Calibri"/>
                <w:color w:val="000000"/>
              </w:rPr>
            </w:pPr>
            <w:r w:rsidRPr="0099459C">
              <w:rPr>
                <w:rFonts w:ascii="Calibri" w:eastAsia="Times New Roman" w:hAnsi="Calibri" w:cs="Calibri"/>
                <w:color w:val="000000"/>
              </w:rPr>
              <w:t>7 (19%)</w:t>
            </w:r>
          </w:p>
        </w:tc>
        <w:tc>
          <w:tcPr>
            <w:tcW w:w="1300" w:type="dxa"/>
            <w:tcBorders>
              <w:top w:val="nil"/>
              <w:left w:val="nil"/>
              <w:bottom w:val="nil"/>
              <w:right w:val="nil"/>
            </w:tcBorders>
            <w:shd w:val="clear" w:color="000000" w:fill="F2F2F2"/>
            <w:noWrap/>
            <w:vAlign w:val="bottom"/>
            <w:hideMark/>
          </w:tcPr>
          <w:p w14:paraId="382DE71E" w14:textId="77777777" w:rsidR="00065E56" w:rsidRPr="0099459C" w:rsidRDefault="00065E56" w:rsidP="001C607A">
            <w:pPr>
              <w:jc w:val="center"/>
              <w:rPr>
                <w:rFonts w:ascii="Calibri" w:eastAsia="Times New Roman" w:hAnsi="Calibri" w:cs="Calibri"/>
                <w:color w:val="000000"/>
              </w:rPr>
            </w:pPr>
            <w:r w:rsidRPr="0099459C">
              <w:rPr>
                <w:rFonts w:ascii="Calibri" w:eastAsia="Times New Roman" w:hAnsi="Calibri" w:cs="Calibri"/>
                <w:color w:val="000000"/>
              </w:rPr>
              <w:t>2 (6%)</w:t>
            </w:r>
          </w:p>
        </w:tc>
        <w:tc>
          <w:tcPr>
            <w:tcW w:w="1300" w:type="dxa"/>
            <w:tcBorders>
              <w:top w:val="nil"/>
              <w:left w:val="nil"/>
              <w:bottom w:val="nil"/>
              <w:right w:val="nil"/>
            </w:tcBorders>
            <w:shd w:val="clear" w:color="000000" w:fill="F2F2F2"/>
            <w:noWrap/>
            <w:vAlign w:val="bottom"/>
            <w:hideMark/>
          </w:tcPr>
          <w:p w14:paraId="54083B1F" w14:textId="77777777" w:rsidR="00065E56" w:rsidRPr="0099459C" w:rsidRDefault="00065E56" w:rsidP="001C607A">
            <w:pPr>
              <w:jc w:val="center"/>
              <w:rPr>
                <w:rFonts w:ascii="Calibri" w:eastAsia="Times New Roman" w:hAnsi="Calibri" w:cs="Calibri"/>
                <w:color w:val="000000"/>
              </w:rPr>
            </w:pPr>
            <w:r w:rsidRPr="0099459C">
              <w:rPr>
                <w:rFonts w:ascii="Calibri" w:eastAsia="Times New Roman" w:hAnsi="Calibri" w:cs="Calibri"/>
                <w:color w:val="000000"/>
              </w:rPr>
              <w:t>0 (0%)</w:t>
            </w:r>
          </w:p>
        </w:tc>
      </w:tr>
      <w:tr w:rsidR="00065E56" w:rsidRPr="0099459C" w14:paraId="3E5E9B8A" w14:textId="77777777" w:rsidTr="001C607A">
        <w:trPr>
          <w:trHeight w:val="680"/>
        </w:trPr>
        <w:tc>
          <w:tcPr>
            <w:tcW w:w="1300" w:type="dxa"/>
            <w:tcBorders>
              <w:top w:val="nil"/>
              <w:left w:val="nil"/>
              <w:bottom w:val="nil"/>
              <w:right w:val="nil"/>
            </w:tcBorders>
            <w:shd w:val="clear" w:color="auto" w:fill="auto"/>
            <w:vAlign w:val="bottom"/>
            <w:hideMark/>
          </w:tcPr>
          <w:p w14:paraId="1BB5B3D8" w14:textId="77777777" w:rsidR="00065E56" w:rsidRPr="0099459C" w:rsidRDefault="00065E56" w:rsidP="001C607A">
            <w:pPr>
              <w:rPr>
                <w:rFonts w:ascii="Calibri" w:eastAsia="Times New Roman" w:hAnsi="Calibri" w:cs="Calibri"/>
                <w:color w:val="000000"/>
              </w:rPr>
            </w:pPr>
            <w:r w:rsidRPr="0099459C">
              <w:rPr>
                <w:rFonts w:ascii="Calibri" w:eastAsia="Times New Roman" w:hAnsi="Calibri" w:cs="Calibri"/>
                <w:color w:val="000000"/>
              </w:rPr>
              <w:t>PA -no cadaver</w:t>
            </w:r>
          </w:p>
        </w:tc>
        <w:tc>
          <w:tcPr>
            <w:tcW w:w="1300" w:type="dxa"/>
            <w:tcBorders>
              <w:top w:val="nil"/>
              <w:left w:val="nil"/>
              <w:bottom w:val="nil"/>
              <w:right w:val="nil"/>
            </w:tcBorders>
            <w:shd w:val="clear" w:color="auto" w:fill="auto"/>
            <w:noWrap/>
            <w:vAlign w:val="bottom"/>
            <w:hideMark/>
          </w:tcPr>
          <w:p w14:paraId="24C12EFA" w14:textId="77777777" w:rsidR="00065E56" w:rsidRPr="0099459C" w:rsidRDefault="00065E56" w:rsidP="001C607A">
            <w:pPr>
              <w:jc w:val="center"/>
              <w:rPr>
                <w:rFonts w:ascii="Calibri" w:eastAsia="Times New Roman" w:hAnsi="Calibri" w:cs="Calibri"/>
                <w:color w:val="000000"/>
              </w:rPr>
            </w:pPr>
            <w:r w:rsidRPr="0099459C">
              <w:rPr>
                <w:rFonts w:ascii="Calibri" w:eastAsia="Times New Roman" w:hAnsi="Calibri" w:cs="Calibri"/>
                <w:color w:val="000000"/>
              </w:rPr>
              <w:t>6</w:t>
            </w:r>
          </w:p>
        </w:tc>
        <w:tc>
          <w:tcPr>
            <w:tcW w:w="1300" w:type="dxa"/>
            <w:tcBorders>
              <w:top w:val="nil"/>
              <w:left w:val="nil"/>
              <w:bottom w:val="nil"/>
              <w:right w:val="nil"/>
            </w:tcBorders>
            <w:shd w:val="clear" w:color="auto" w:fill="auto"/>
            <w:noWrap/>
            <w:vAlign w:val="bottom"/>
            <w:hideMark/>
          </w:tcPr>
          <w:p w14:paraId="2233E791" w14:textId="77777777" w:rsidR="00065E56" w:rsidRPr="0099459C" w:rsidRDefault="00065E56" w:rsidP="001C607A">
            <w:pPr>
              <w:jc w:val="center"/>
              <w:rPr>
                <w:rFonts w:ascii="Calibri" w:eastAsia="Times New Roman" w:hAnsi="Calibri" w:cs="Calibri"/>
                <w:color w:val="000000"/>
              </w:rPr>
            </w:pPr>
            <w:r w:rsidRPr="0099459C">
              <w:rPr>
                <w:rFonts w:ascii="Calibri" w:eastAsia="Times New Roman" w:hAnsi="Calibri" w:cs="Calibri"/>
                <w:color w:val="000000"/>
              </w:rPr>
              <w:t>6</w:t>
            </w:r>
          </w:p>
        </w:tc>
        <w:tc>
          <w:tcPr>
            <w:tcW w:w="1300" w:type="dxa"/>
            <w:tcBorders>
              <w:top w:val="nil"/>
              <w:left w:val="nil"/>
              <w:bottom w:val="nil"/>
              <w:right w:val="nil"/>
            </w:tcBorders>
            <w:shd w:val="clear" w:color="auto" w:fill="auto"/>
            <w:noWrap/>
            <w:vAlign w:val="bottom"/>
            <w:hideMark/>
          </w:tcPr>
          <w:p w14:paraId="3C4768BD" w14:textId="77777777" w:rsidR="00065E56" w:rsidRPr="0099459C" w:rsidRDefault="00065E56" w:rsidP="001C607A">
            <w:pPr>
              <w:jc w:val="center"/>
              <w:rPr>
                <w:rFonts w:ascii="Calibri" w:eastAsia="Times New Roman" w:hAnsi="Calibri" w:cs="Calibri"/>
                <w:color w:val="000000"/>
              </w:rPr>
            </w:pPr>
            <w:r w:rsidRPr="0099459C">
              <w:rPr>
                <w:rFonts w:ascii="Calibri" w:eastAsia="Times New Roman" w:hAnsi="Calibri" w:cs="Calibri"/>
                <w:color w:val="000000"/>
              </w:rPr>
              <w:t>3</w:t>
            </w:r>
          </w:p>
        </w:tc>
        <w:tc>
          <w:tcPr>
            <w:tcW w:w="1300" w:type="dxa"/>
            <w:tcBorders>
              <w:top w:val="nil"/>
              <w:left w:val="nil"/>
              <w:bottom w:val="nil"/>
              <w:right w:val="nil"/>
            </w:tcBorders>
            <w:shd w:val="clear" w:color="auto" w:fill="auto"/>
            <w:noWrap/>
            <w:vAlign w:val="bottom"/>
            <w:hideMark/>
          </w:tcPr>
          <w:p w14:paraId="1A89E3F1" w14:textId="77777777" w:rsidR="00065E56" w:rsidRPr="0099459C" w:rsidRDefault="00065E56" w:rsidP="001C607A">
            <w:pPr>
              <w:jc w:val="center"/>
              <w:rPr>
                <w:rFonts w:ascii="Calibri" w:eastAsia="Times New Roman" w:hAnsi="Calibri" w:cs="Calibri"/>
                <w:color w:val="000000"/>
              </w:rPr>
            </w:pPr>
            <w:r w:rsidRPr="0099459C">
              <w:rPr>
                <w:rFonts w:ascii="Calibri" w:eastAsia="Times New Roman" w:hAnsi="Calibri" w:cs="Calibri"/>
                <w:color w:val="000000"/>
              </w:rPr>
              <w:t>2</w:t>
            </w:r>
          </w:p>
        </w:tc>
        <w:tc>
          <w:tcPr>
            <w:tcW w:w="1300" w:type="dxa"/>
            <w:tcBorders>
              <w:top w:val="nil"/>
              <w:left w:val="nil"/>
              <w:bottom w:val="nil"/>
              <w:right w:val="nil"/>
            </w:tcBorders>
            <w:shd w:val="clear" w:color="auto" w:fill="auto"/>
            <w:noWrap/>
            <w:vAlign w:val="bottom"/>
            <w:hideMark/>
          </w:tcPr>
          <w:p w14:paraId="36FA60C1" w14:textId="77777777" w:rsidR="00065E56" w:rsidRPr="0099459C" w:rsidRDefault="00065E56" w:rsidP="001C607A">
            <w:pPr>
              <w:jc w:val="center"/>
              <w:rPr>
                <w:rFonts w:ascii="Calibri" w:eastAsia="Times New Roman" w:hAnsi="Calibri" w:cs="Calibri"/>
                <w:color w:val="000000"/>
              </w:rPr>
            </w:pPr>
            <w:r w:rsidRPr="0099459C">
              <w:rPr>
                <w:rFonts w:ascii="Calibri" w:eastAsia="Times New Roman" w:hAnsi="Calibri" w:cs="Calibri"/>
                <w:color w:val="000000"/>
              </w:rPr>
              <w:t>0</w:t>
            </w:r>
          </w:p>
        </w:tc>
      </w:tr>
      <w:tr w:rsidR="00065E56" w:rsidRPr="0099459C" w14:paraId="7967321B" w14:textId="77777777" w:rsidTr="001C607A">
        <w:trPr>
          <w:trHeight w:val="700"/>
        </w:trPr>
        <w:tc>
          <w:tcPr>
            <w:tcW w:w="1300" w:type="dxa"/>
            <w:tcBorders>
              <w:top w:val="nil"/>
              <w:left w:val="nil"/>
              <w:bottom w:val="nil"/>
              <w:right w:val="nil"/>
            </w:tcBorders>
            <w:shd w:val="clear" w:color="auto" w:fill="auto"/>
            <w:vAlign w:val="bottom"/>
            <w:hideMark/>
          </w:tcPr>
          <w:p w14:paraId="4E81C54A" w14:textId="77777777" w:rsidR="00065E56" w:rsidRPr="0099459C" w:rsidRDefault="00065E56" w:rsidP="001C607A">
            <w:pPr>
              <w:rPr>
                <w:rFonts w:ascii="Calibri" w:eastAsia="Times New Roman" w:hAnsi="Calibri" w:cs="Calibri"/>
                <w:color w:val="000000"/>
              </w:rPr>
            </w:pPr>
            <w:r w:rsidRPr="0099459C">
              <w:rPr>
                <w:rFonts w:ascii="Calibri" w:eastAsia="Times New Roman" w:hAnsi="Calibri" w:cs="Calibri"/>
                <w:color w:val="000000"/>
              </w:rPr>
              <w:t>PA-yes cadaver</w:t>
            </w:r>
          </w:p>
        </w:tc>
        <w:tc>
          <w:tcPr>
            <w:tcW w:w="1300" w:type="dxa"/>
            <w:tcBorders>
              <w:top w:val="nil"/>
              <w:left w:val="nil"/>
              <w:bottom w:val="nil"/>
              <w:right w:val="nil"/>
            </w:tcBorders>
            <w:shd w:val="clear" w:color="auto" w:fill="auto"/>
            <w:noWrap/>
            <w:vAlign w:val="bottom"/>
            <w:hideMark/>
          </w:tcPr>
          <w:p w14:paraId="637A7EA6" w14:textId="77777777" w:rsidR="00065E56" w:rsidRPr="0099459C" w:rsidRDefault="00065E56" w:rsidP="001C607A">
            <w:pPr>
              <w:jc w:val="center"/>
              <w:rPr>
                <w:rFonts w:ascii="Calibri" w:eastAsia="Times New Roman" w:hAnsi="Calibri" w:cs="Calibri"/>
                <w:color w:val="000000"/>
              </w:rPr>
            </w:pPr>
            <w:r w:rsidRPr="0099459C">
              <w:rPr>
                <w:rFonts w:ascii="Calibri" w:eastAsia="Times New Roman" w:hAnsi="Calibri" w:cs="Calibri"/>
                <w:color w:val="000000"/>
              </w:rPr>
              <w:t>6</w:t>
            </w:r>
          </w:p>
        </w:tc>
        <w:tc>
          <w:tcPr>
            <w:tcW w:w="1300" w:type="dxa"/>
            <w:tcBorders>
              <w:top w:val="nil"/>
              <w:left w:val="nil"/>
              <w:bottom w:val="nil"/>
              <w:right w:val="nil"/>
            </w:tcBorders>
            <w:shd w:val="clear" w:color="auto" w:fill="auto"/>
            <w:noWrap/>
            <w:vAlign w:val="bottom"/>
            <w:hideMark/>
          </w:tcPr>
          <w:p w14:paraId="6D598D2E" w14:textId="77777777" w:rsidR="00065E56" w:rsidRPr="0099459C" w:rsidRDefault="00065E56" w:rsidP="001C607A">
            <w:pPr>
              <w:jc w:val="center"/>
              <w:rPr>
                <w:rFonts w:ascii="Calibri" w:eastAsia="Times New Roman" w:hAnsi="Calibri" w:cs="Calibri"/>
                <w:color w:val="000000"/>
              </w:rPr>
            </w:pPr>
            <w:r w:rsidRPr="0099459C">
              <w:rPr>
                <w:rFonts w:ascii="Calibri" w:eastAsia="Times New Roman" w:hAnsi="Calibri" w:cs="Calibri"/>
                <w:color w:val="000000"/>
              </w:rPr>
              <w:t>9</w:t>
            </w:r>
          </w:p>
        </w:tc>
        <w:tc>
          <w:tcPr>
            <w:tcW w:w="1300" w:type="dxa"/>
            <w:tcBorders>
              <w:top w:val="nil"/>
              <w:left w:val="nil"/>
              <w:bottom w:val="nil"/>
              <w:right w:val="nil"/>
            </w:tcBorders>
            <w:shd w:val="clear" w:color="auto" w:fill="auto"/>
            <w:noWrap/>
            <w:vAlign w:val="bottom"/>
            <w:hideMark/>
          </w:tcPr>
          <w:p w14:paraId="1F8A069D" w14:textId="77777777" w:rsidR="00065E56" w:rsidRPr="0099459C" w:rsidRDefault="00065E56" w:rsidP="001C607A">
            <w:pPr>
              <w:jc w:val="center"/>
              <w:rPr>
                <w:rFonts w:ascii="Calibri" w:eastAsia="Times New Roman" w:hAnsi="Calibri" w:cs="Calibri"/>
                <w:color w:val="000000"/>
              </w:rPr>
            </w:pPr>
            <w:r w:rsidRPr="0099459C">
              <w:rPr>
                <w:rFonts w:ascii="Calibri" w:eastAsia="Times New Roman" w:hAnsi="Calibri" w:cs="Calibri"/>
                <w:color w:val="000000"/>
              </w:rPr>
              <w:t>4</w:t>
            </w:r>
          </w:p>
        </w:tc>
        <w:tc>
          <w:tcPr>
            <w:tcW w:w="1300" w:type="dxa"/>
            <w:tcBorders>
              <w:top w:val="nil"/>
              <w:left w:val="nil"/>
              <w:bottom w:val="nil"/>
              <w:right w:val="nil"/>
            </w:tcBorders>
            <w:shd w:val="clear" w:color="auto" w:fill="auto"/>
            <w:noWrap/>
            <w:vAlign w:val="bottom"/>
            <w:hideMark/>
          </w:tcPr>
          <w:p w14:paraId="0D2C73E7" w14:textId="77777777" w:rsidR="00065E56" w:rsidRPr="0099459C" w:rsidRDefault="00065E56" w:rsidP="001C607A">
            <w:pPr>
              <w:jc w:val="center"/>
              <w:rPr>
                <w:rFonts w:ascii="Calibri" w:eastAsia="Times New Roman" w:hAnsi="Calibri" w:cs="Calibri"/>
                <w:color w:val="000000"/>
              </w:rPr>
            </w:pPr>
            <w:r w:rsidRPr="0099459C">
              <w:rPr>
                <w:rFonts w:ascii="Calibri" w:eastAsia="Times New Roman" w:hAnsi="Calibri" w:cs="Calibri"/>
                <w:color w:val="000000"/>
              </w:rPr>
              <w:t>0</w:t>
            </w:r>
          </w:p>
        </w:tc>
        <w:tc>
          <w:tcPr>
            <w:tcW w:w="1300" w:type="dxa"/>
            <w:tcBorders>
              <w:top w:val="nil"/>
              <w:left w:val="nil"/>
              <w:bottom w:val="nil"/>
              <w:right w:val="nil"/>
            </w:tcBorders>
            <w:shd w:val="clear" w:color="auto" w:fill="auto"/>
            <w:noWrap/>
            <w:vAlign w:val="bottom"/>
            <w:hideMark/>
          </w:tcPr>
          <w:p w14:paraId="7D67279A" w14:textId="77777777" w:rsidR="00065E56" w:rsidRPr="0099459C" w:rsidRDefault="00065E56" w:rsidP="001C607A">
            <w:pPr>
              <w:jc w:val="center"/>
              <w:rPr>
                <w:rFonts w:ascii="Calibri" w:eastAsia="Times New Roman" w:hAnsi="Calibri" w:cs="Calibri"/>
                <w:color w:val="000000"/>
              </w:rPr>
            </w:pPr>
            <w:r w:rsidRPr="0099459C">
              <w:rPr>
                <w:rFonts w:ascii="Calibri" w:eastAsia="Times New Roman" w:hAnsi="Calibri" w:cs="Calibri"/>
                <w:color w:val="000000"/>
              </w:rPr>
              <w:t>0</w:t>
            </w:r>
          </w:p>
        </w:tc>
      </w:tr>
    </w:tbl>
    <w:p w14:paraId="06FA3D0F" w14:textId="77777777" w:rsidR="00065E56" w:rsidRDefault="00065E56" w:rsidP="00065E56">
      <w:pPr>
        <w:rPr>
          <w:rFonts w:ascii="Times New Roman" w:hAnsi="Times New Roman" w:cs="Times New Roman"/>
        </w:rPr>
      </w:pPr>
    </w:p>
    <w:p w14:paraId="490516AE" w14:textId="77777777" w:rsidR="00065E56" w:rsidRDefault="00065E56" w:rsidP="00065E56">
      <w:pPr>
        <w:rPr>
          <w:rFonts w:ascii="Times New Roman" w:hAnsi="Times New Roman" w:cs="Times New Roman"/>
        </w:rPr>
      </w:pPr>
    </w:p>
    <w:p w14:paraId="6343EDD2" w14:textId="77777777" w:rsidR="00065E56" w:rsidRDefault="00065E56" w:rsidP="00065E56">
      <w:pPr>
        <w:rPr>
          <w:rFonts w:ascii="Times New Roman" w:hAnsi="Times New Roman" w:cs="Times New Roman"/>
        </w:rPr>
      </w:pPr>
    </w:p>
    <w:p w14:paraId="40077E9C" w14:textId="77777777" w:rsidR="00065E56" w:rsidRDefault="00065E56" w:rsidP="00065E56">
      <w:pPr>
        <w:rPr>
          <w:rFonts w:ascii="Times New Roman" w:hAnsi="Times New Roman" w:cs="Times New Roman"/>
        </w:rPr>
      </w:pPr>
    </w:p>
    <w:p w14:paraId="7A910108" w14:textId="77777777" w:rsidR="00065E56" w:rsidRDefault="00065E56" w:rsidP="00065E56">
      <w:pPr>
        <w:rPr>
          <w:rFonts w:ascii="Times New Roman" w:hAnsi="Times New Roman" w:cs="Times New Roman"/>
        </w:rPr>
      </w:pPr>
    </w:p>
    <w:p w14:paraId="27E1925C" w14:textId="77777777" w:rsidR="00065E56" w:rsidRDefault="00065E56" w:rsidP="00065E56">
      <w:pPr>
        <w:rPr>
          <w:rFonts w:ascii="Times New Roman" w:hAnsi="Times New Roman" w:cs="Times New Roman"/>
        </w:rPr>
      </w:pPr>
    </w:p>
    <w:p w14:paraId="13B8900B" w14:textId="77777777" w:rsidR="00065E56" w:rsidRDefault="00695F3E" w:rsidP="00065E56">
      <w:pPr>
        <w:rPr>
          <w:rFonts w:ascii="Times New Roman" w:hAnsi="Times New Roman" w:cs="Times New Roman"/>
        </w:rPr>
      </w:pPr>
      <w:r>
        <w:rPr>
          <w:rFonts w:ascii="Times New Roman" w:hAnsi="Times New Roman" w:cs="Times New Roman"/>
          <w:noProof/>
        </w:rPr>
        <w:object w:dxaOrig="7820" w:dyaOrig="12000" w14:anchorId="192A7112">
          <v:shape id="_x0000_i1029" type="#_x0000_t75" alt="" style="width:389.7pt;height:600pt;mso-width-percent:0;mso-height-percent:0;mso-width-percent:0;mso-height-percent:0" o:ole="">
            <v:imagedata r:id="rId36" o:title=""/>
          </v:shape>
          <o:OLEObject Type="Embed" ProgID="Excel.Sheet.12" ShapeID="_x0000_i1029" DrawAspect="Content" ObjectID="_1681813817" r:id="rId37"/>
        </w:object>
      </w:r>
    </w:p>
    <w:p w14:paraId="2A7AA773" w14:textId="77777777" w:rsidR="00065E56" w:rsidRDefault="00065E56" w:rsidP="00065E56">
      <w:pPr>
        <w:rPr>
          <w:rFonts w:ascii="Times New Roman" w:hAnsi="Times New Roman" w:cs="Times New Roman"/>
        </w:rPr>
      </w:pPr>
    </w:p>
    <w:p w14:paraId="3E76BC1F" w14:textId="77777777" w:rsidR="00065E56" w:rsidRDefault="00065E56" w:rsidP="00065E56">
      <w:pPr>
        <w:rPr>
          <w:rFonts w:ascii="Times New Roman" w:hAnsi="Times New Roman" w:cs="Times New Roman"/>
        </w:rPr>
      </w:pPr>
    </w:p>
    <w:p w14:paraId="6C1BC6D4" w14:textId="77777777" w:rsidR="00065E56" w:rsidRDefault="00065E56" w:rsidP="00065E56">
      <w:pPr>
        <w:rPr>
          <w:rFonts w:ascii="Times New Roman" w:hAnsi="Times New Roman" w:cs="Times New Roman"/>
        </w:rPr>
      </w:pPr>
    </w:p>
    <w:p w14:paraId="00A79D7E" w14:textId="77777777" w:rsidR="00065E56" w:rsidRDefault="00695F3E" w:rsidP="00065E56">
      <w:pPr>
        <w:rPr>
          <w:rFonts w:ascii="Times New Roman" w:hAnsi="Times New Roman" w:cs="Times New Roman"/>
        </w:rPr>
      </w:pPr>
      <w:r>
        <w:rPr>
          <w:rFonts w:ascii="Times New Roman" w:hAnsi="Times New Roman" w:cs="Times New Roman"/>
          <w:noProof/>
        </w:rPr>
        <w:object w:dxaOrig="7820" w:dyaOrig="11560" w14:anchorId="18D23C23">
          <v:shape id="_x0000_i1028" type="#_x0000_t75" alt="" style="width:389.7pt;height:577.9pt;mso-width-percent:0;mso-height-percent:0;mso-width-percent:0;mso-height-percent:0" o:ole="">
            <v:imagedata r:id="rId38" o:title=""/>
          </v:shape>
          <o:OLEObject Type="Embed" ProgID="Excel.Sheet.12" ShapeID="_x0000_i1028" DrawAspect="Content" ObjectID="_1681813818" r:id="rId39"/>
        </w:object>
      </w:r>
    </w:p>
    <w:p w14:paraId="3951A299" w14:textId="77777777" w:rsidR="00065E56" w:rsidRDefault="00065E56" w:rsidP="00065E56">
      <w:pPr>
        <w:rPr>
          <w:rFonts w:ascii="Times New Roman" w:hAnsi="Times New Roman" w:cs="Times New Roman"/>
        </w:rPr>
      </w:pPr>
    </w:p>
    <w:p w14:paraId="0BD7876D" w14:textId="77777777" w:rsidR="00065E56" w:rsidRDefault="00065E56" w:rsidP="00065E56">
      <w:pPr>
        <w:rPr>
          <w:rFonts w:ascii="Times New Roman" w:hAnsi="Times New Roman" w:cs="Times New Roman"/>
        </w:rPr>
      </w:pPr>
    </w:p>
    <w:p w14:paraId="6673163F" w14:textId="77777777" w:rsidR="00065E56" w:rsidRDefault="00065E56" w:rsidP="00065E56">
      <w:pPr>
        <w:rPr>
          <w:rFonts w:ascii="Times New Roman" w:hAnsi="Times New Roman" w:cs="Times New Roman"/>
        </w:rPr>
      </w:pPr>
    </w:p>
    <w:p w14:paraId="68294AD2" w14:textId="77777777" w:rsidR="00065E56" w:rsidRDefault="00065E56" w:rsidP="00065E56">
      <w:pPr>
        <w:rPr>
          <w:rFonts w:ascii="Times New Roman" w:hAnsi="Times New Roman" w:cs="Times New Roman"/>
        </w:rPr>
      </w:pPr>
    </w:p>
    <w:p w14:paraId="0D698DDB" w14:textId="77777777" w:rsidR="00065E56" w:rsidRDefault="00695F3E" w:rsidP="00065E56">
      <w:pPr>
        <w:rPr>
          <w:rFonts w:ascii="Times New Roman" w:hAnsi="Times New Roman" w:cs="Times New Roman"/>
        </w:rPr>
      </w:pPr>
      <w:r>
        <w:rPr>
          <w:rFonts w:ascii="Times New Roman" w:hAnsi="Times New Roman" w:cs="Times New Roman"/>
          <w:noProof/>
        </w:rPr>
        <w:object w:dxaOrig="7820" w:dyaOrig="13520" w14:anchorId="174D8F46">
          <v:shape id="_x0000_i1027" type="#_x0000_t75" alt="" style="width:389.7pt;height:675.8pt;mso-width-percent:0;mso-height-percent:0;mso-width-percent:0;mso-height-percent:0" o:ole="">
            <v:imagedata r:id="rId40" o:title=""/>
          </v:shape>
          <o:OLEObject Type="Embed" ProgID="Excel.Sheet.12" ShapeID="_x0000_i1027" DrawAspect="Content" ObjectID="_1681813819" r:id="rId41"/>
        </w:object>
      </w:r>
    </w:p>
    <w:p w14:paraId="2573BCEA" w14:textId="77777777" w:rsidR="00065E56" w:rsidRDefault="00695F3E" w:rsidP="00065E56">
      <w:pPr>
        <w:rPr>
          <w:rFonts w:ascii="Times New Roman" w:hAnsi="Times New Roman" w:cs="Times New Roman"/>
        </w:rPr>
      </w:pPr>
      <w:r>
        <w:rPr>
          <w:rFonts w:ascii="Times New Roman" w:hAnsi="Times New Roman" w:cs="Times New Roman"/>
          <w:noProof/>
        </w:rPr>
        <w:object w:dxaOrig="7820" w:dyaOrig="13620" w14:anchorId="2D213798">
          <v:shape id="_x0000_i1026" type="#_x0000_t75" alt="" style="width:389.7pt;height:680.85pt;mso-width-percent:0;mso-height-percent:0;mso-width-percent:0;mso-height-percent:0" o:ole="">
            <v:imagedata r:id="rId42" o:title=""/>
          </v:shape>
          <o:OLEObject Type="Embed" ProgID="Excel.Sheet.12" ShapeID="_x0000_i1026" DrawAspect="Content" ObjectID="_1681813820" r:id="rId43"/>
        </w:object>
      </w:r>
    </w:p>
    <w:tbl>
      <w:tblPr>
        <w:tblW w:w="9102" w:type="dxa"/>
        <w:tblLook w:val="04A0" w:firstRow="1" w:lastRow="0" w:firstColumn="1" w:lastColumn="0" w:noHBand="0" w:noVBand="1"/>
      </w:tblPr>
      <w:tblGrid>
        <w:gridCol w:w="3202"/>
        <w:gridCol w:w="2493"/>
        <w:gridCol w:w="2493"/>
        <w:gridCol w:w="271"/>
        <w:gridCol w:w="271"/>
        <w:gridCol w:w="271"/>
        <w:gridCol w:w="222"/>
      </w:tblGrid>
      <w:tr w:rsidR="00065E56" w:rsidRPr="0099459C" w14:paraId="30983295" w14:textId="77777777" w:rsidTr="001C607A">
        <w:trPr>
          <w:trHeight w:val="480"/>
        </w:trPr>
        <w:tc>
          <w:tcPr>
            <w:tcW w:w="9102" w:type="dxa"/>
            <w:gridSpan w:val="7"/>
            <w:tcBorders>
              <w:top w:val="nil"/>
              <w:left w:val="nil"/>
              <w:bottom w:val="nil"/>
              <w:right w:val="nil"/>
            </w:tcBorders>
            <w:shd w:val="clear" w:color="auto" w:fill="auto"/>
            <w:noWrap/>
            <w:vAlign w:val="bottom"/>
            <w:hideMark/>
          </w:tcPr>
          <w:p w14:paraId="642312E1" w14:textId="77777777" w:rsidR="00065E56" w:rsidRPr="0099459C" w:rsidRDefault="00065E56" w:rsidP="001C607A">
            <w:pPr>
              <w:rPr>
                <w:rFonts w:ascii="Calibri" w:eastAsia="Times New Roman" w:hAnsi="Calibri" w:cs="Calibri"/>
                <w:color w:val="000000"/>
                <w:sz w:val="34"/>
                <w:szCs w:val="34"/>
              </w:rPr>
            </w:pPr>
            <w:r w:rsidRPr="0099459C">
              <w:rPr>
                <w:rFonts w:ascii="Calibri" w:eastAsia="Times New Roman" w:hAnsi="Calibri" w:cs="Calibri"/>
                <w:color w:val="000000"/>
                <w:sz w:val="34"/>
                <w:szCs w:val="34"/>
              </w:rPr>
              <w:lastRenderedPageBreak/>
              <w:t>Clinical Anatomy Online Learning Survey Question 8 &amp; 9</w:t>
            </w:r>
          </w:p>
        </w:tc>
      </w:tr>
      <w:tr w:rsidR="00065E56" w:rsidRPr="0099459C" w14:paraId="157567CF" w14:textId="77777777" w:rsidTr="001C607A">
        <w:trPr>
          <w:trHeight w:val="340"/>
        </w:trPr>
        <w:tc>
          <w:tcPr>
            <w:tcW w:w="3298" w:type="dxa"/>
            <w:tcBorders>
              <w:top w:val="single" w:sz="8" w:space="0" w:color="auto"/>
              <w:left w:val="single" w:sz="8" w:space="0" w:color="auto"/>
              <w:bottom w:val="nil"/>
              <w:right w:val="nil"/>
            </w:tcBorders>
            <w:shd w:val="clear" w:color="000000" w:fill="D9D9D9"/>
            <w:vAlign w:val="bottom"/>
            <w:hideMark/>
          </w:tcPr>
          <w:p w14:paraId="59D946BC" w14:textId="77777777" w:rsidR="00065E56" w:rsidRPr="0099459C" w:rsidRDefault="00065E56" w:rsidP="001C607A">
            <w:pPr>
              <w:rPr>
                <w:rFonts w:ascii="Calibri" w:eastAsia="Times New Roman" w:hAnsi="Calibri" w:cs="Calibri"/>
                <w:color w:val="000000"/>
              </w:rPr>
            </w:pPr>
            <w:r w:rsidRPr="0099459C">
              <w:rPr>
                <w:rFonts w:ascii="Calibri" w:eastAsia="Times New Roman" w:hAnsi="Calibri" w:cs="Calibri"/>
                <w:color w:val="000000"/>
              </w:rPr>
              <w:t>Q8</w:t>
            </w:r>
          </w:p>
        </w:tc>
        <w:tc>
          <w:tcPr>
            <w:tcW w:w="2493" w:type="dxa"/>
            <w:tcBorders>
              <w:top w:val="single" w:sz="8" w:space="0" w:color="auto"/>
              <w:left w:val="nil"/>
              <w:bottom w:val="nil"/>
              <w:right w:val="nil"/>
            </w:tcBorders>
            <w:shd w:val="clear" w:color="000000" w:fill="D9D9D9"/>
            <w:noWrap/>
            <w:vAlign w:val="bottom"/>
            <w:hideMark/>
          </w:tcPr>
          <w:p w14:paraId="7F7B7482" w14:textId="77777777" w:rsidR="00065E56" w:rsidRPr="0099459C" w:rsidRDefault="00065E56" w:rsidP="001C607A">
            <w:pPr>
              <w:jc w:val="center"/>
              <w:rPr>
                <w:rFonts w:ascii="Calibri" w:eastAsia="Times New Roman" w:hAnsi="Calibri" w:cs="Calibri"/>
                <w:color w:val="000000"/>
              </w:rPr>
            </w:pPr>
            <w:r w:rsidRPr="0099459C">
              <w:rPr>
                <w:rFonts w:ascii="Calibri" w:eastAsia="Times New Roman" w:hAnsi="Calibri" w:cs="Calibri"/>
                <w:color w:val="000000"/>
              </w:rPr>
              <w:t> </w:t>
            </w:r>
          </w:p>
        </w:tc>
        <w:tc>
          <w:tcPr>
            <w:tcW w:w="2493" w:type="dxa"/>
            <w:tcBorders>
              <w:top w:val="single" w:sz="8" w:space="0" w:color="auto"/>
              <w:left w:val="nil"/>
              <w:bottom w:val="nil"/>
              <w:right w:val="nil"/>
            </w:tcBorders>
            <w:shd w:val="clear" w:color="000000" w:fill="D9D9D9"/>
            <w:noWrap/>
            <w:vAlign w:val="bottom"/>
            <w:hideMark/>
          </w:tcPr>
          <w:p w14:paraId="3E3193BE" w14:textId="77777777" w:rsidR="00065E56" w:rsidRPr="0099459C" w:rsidRDefault="00065E56" w:rsidP="001C607A">
            <w:pPr>
              <w:jc w:val="center"/>
              <w:rPr>
                <w:rFonts w:ascii="Calibri" w:eastAsia="Times New Roman" w:hAnsi="Calibri" w:cs="Calibri"/>
                <w:color w:val="000000"/>
              </w:rPr>
            </w:pPr>
            <w:r w:rsidRPr="0099459C">
              <w:rPr>
                <w:rFonts w:ascii="Calibri" w:eastAsia="Times New Roman" w:hAnsi="Calibri" w:cs="Calibri"/>
                <w:color w:val="000000"/>
              </w:rPr>
              <w:t> </w:t>
            </w:r>
          </w:p>
        </w:tc>
        <w:tc>
          <w:tcPr>
            <w:tcW w:w="239" w:type="dxa"/>
            <w:tcBorders>
              <w:top w:val="single" w:sz="8" w:space="0" w:color="auto"/>
              <w:left w:val="nil"/>
              <w:bottom w:val="nil"/>
              <w:right w:val="nil"/>
            </w:tcBorders>
            <w:shd w:val="clear" w:color="000000" w:fill="D9D9D9"/>
            <w:noWrap/>
            <w:vAlign w:val="bottom"/>
            <w:hideMark/>
          </w:tcPr>
          <w:p w14:paraId="0EFDA4E3" w14:textId="77777777" w:rsidR="00065E56" w:rsidRPr="0099459C" w:rsidRDefault="00065E56" w:rsidP="001C607A">
            <w:pPr>
              <w:jc w:val="center"/>
              <w:rPr>
                <w:rFonts w:ascii="Calibri" w:eastAsia="Times New Roman" w:hAnsi="Calibri" w:cs="Calibri"/>
                <w:color w:val="000000"/>
              </w:rPr>
            </w:pPr>
            <w:r w:rsidRPr="0099459C">
              <w:rPr>
                <w:rFonts w:ascii="Calibri" w:eastAsia="Times New Roman" w:hAnsi="Calibri" w:cs="Calibri"/>
                <w:color w:val="000000"/>
              </w:rPr>
              <w:t> </w:t>
            </w:r>
          </w:p>
        </w:tc>
        <w:tc>
          <w:tcPr>
            <w:tcW w:w="239" w:type="dxa"/>
            <w:tcBorders>
              <w:top w:val="single" w:sz="8" w:space="0" w:color="auto"/>
              <w:left w:val="nil"/>
              <w:bottom w:val="nil"/>
              <w:right w:val="nil"/>
            </w:tcBorders>
            <w:shd w:val="clear" w:color="000000" w:fill="D9D9D9"/>
            <w:noWrap/>
            <w:vAlign w:val="bottom"/>
            <w:hideMark/>
          </w:tcPr>
          <w:p w14:paraId="33AB492B" w14:textId="77777777" w:rsidR="00065E56" w:rsidRPr="0099459C" w:rsidRDefault="00065E56" w:rsidP="001C607A">
            <w:pPr>
              <w:jc w:val="center"/>
              <w:rPr>
                <w:rFonts w:ascii="Calibri" w:eastAsia="Times New Roman" w:hAnsi="Calibri" w:cs="Calibri"/>
                <w:color w:val="000000"/>
              </w:rPr>
            </w:pPr>
            <w:r w:rsidRPr="0099459C">
              <w:rPr>
                <w:rFonts w:ascii="Calibri" w:eastAsia="Times New Roman" w:hAnsi="Calibri" w:cs="Calibri"/>
                <w:color w:val="000000"/>
              </w:rPr>
              <w:t> </w:t>
            </w:r>
          </w:p>
        </w:tc>
        <w:tc>
          <w:tcPr>
            <w:tcW w:w="239" w:type="dxa"/>
            <w:tcBorders>
              <w:top w:val="single" w:sz="8" w:space="0" w:color="auto"/>
              <w:left w:val="nil"/>
              <w:bottom w:val="nil"/>
              <w:right w:val="single" w:sz="8" w:space="0" w:color="auto"/>
            </w:tcBorders>
            <w:shd w:val="clear" w:color="000000" w:fill="D9D9D9"/>
            <w:noWrap/>
            <w:vAlign w:val="bottom"/>
            <w:hideMark/>
          </w:tcPr>
          <w:p w14:paraId="4D22D302" w14:textId="77777777" w:rsidR="00065E56" w:rsidRPr="0099459C" w:rsidRDefault="00065E56" w:rsidP="001C607A">
            <w:pPr>
              <w:jc w:val="center"/>
              <w:rPr>
                <w:rFonts w:ascii="Calibri" w:eastAsia="Times New Roman" w:hAnsi="Calibri" w:cs="Calibri"/>
                <w:color w:val="000000"/>
              </w:rPr>
            </w:pPr>
            <w:r w:rsidRPr="0099459C">
              <w:rPr>
                <w:rFonts w:ascii="Calibri" w:eastAsia="Times New Roman" w:hAnsi="Calibri" w:cs="Calibri"/>
                <w:color w:val="000000"/>
              </w:rPr>
              <w:t> </w:t>
            </w:r>
          </w:p>
        </w:tc>
        <w:tc>
          <w:tcPr>
            <w:tcW w:w="101" w:type="dxa"/>
            <w:tcBorders>
              <w:top w:val="nil"/>
              <w:left w:val="nil"/>
              <w:bottom w:val="nil"/>
              <w:right w:val="nil"/>
            </w:tcBorders>
            <w:shd w:val="clear" w:color="auto" w:fill="auto"/>
            <w:noWrap/>
            <w:vAlign w:val="bottom"/>
            <w:hideMark/>
          </w:tcPr>
          <w:p w14:paraId="4C05CC24" w14:textId="77777777" w:rsidR="00065E56" w:rsidRPr="0099459C" w:rsidRDefault="00065E56" w:rsidP="001C607A">
            <w:pPr>
              <w:jc w:val="center"/>
              <w:rPr>
                <w:rFonts w:ascii="Calibri" w:eastAsia="Times New Roman" w:hAnsi="Calibri" w:cs="Calibri"/>
                <w:color w:val="000000"/>
              </w:rPr>
            </w:pPr>
          </w:p>
        </w:tc>
      </w:tr>
      <w:tr w:rsidR="00065E56" w:rsidRPr="0099459C" w14:paraId="1B767D12" w14:textId="77777777" w:rsidTr="001C607A">
        <w:trPr>
          <w:trHeight w:val="340"/>
        </w:trPr>
        <w:tc>
          <w:tcPr>
            <w:tcW w:w="9001" w:type="dxa"/>
            <w:gridSpan w:val="6"/>
            <w:tcBorders>
              <w:top w:val="nil"/>
              <w:left w:val="single" w:sz="8" w:space="0" w:color="auto"/>
              <w:bottom w:val="single" w:sz="8" w:space="0" w:color="auto"/>
              <w:right w:val="single" w:sz="8" w:space="0" w:color="000000"/>
            </w:tcBorders>
            <w:shd w:val="clear" w:color="000000" w:fill="D9D9D9"/>
            <w:noWrap/>
            <w:vAlign w:val="bottom"/>
            <w:hideMark/>
          </w:tcPr>
          <w:p w14:paraId="541C24CC" w14:textId="77777777" w:rsidR="00065E56" w:rsidRPr="0099459C" w:rsidRDefault="00065E56" w:rsidP="001C607A">
            <w:pPr>
              <w:rPr>
                <w:rFonts w:ascii="Calibri" w:eastAsia="Times New Roman" w:hAnsi="Calibri" w:cs="Calibri"/>
                <w:color w:val="000000"/>
              </w:rPr>
            </w:pPr>
            <w:r w:rsidRPr="0099459C">
              <w:rPr>
                <w:rFonts w:ascii="Calibri" w:eastAsia="Times New Roman" w:hAnsi="Calibri" w:cs="Calibri"/>
                <w:color w:val="000000"/>
              </w:rPr>
              <w:t>I bought my own model(s) for this course.</w:t>
            </w:r>
          </w:p>
        </w:tc>
        <w:tc>
          <w:tcPr>
            <w:tcW w:w="101" w:type="dxa"/>
            <w:tcBorders>
              <w:top w:val="nil"/>
              <w:left w:val="nil"/>
              <w:bottom w:val="nil"/>
              <w:right w:val="nil"/>
            </w:tcBorders>
            <w:shd w:val="clear" w:color="auto" w:fill="auto"/>
            <w:noWrap/>
            <w:vAlign w:val="bottom"/>
            <w:hideMark/>
          </w:tcPr>
          <w:p w14:paraId="56BC9394" w14:textId="77777777" w:rsidR="00065E56" w:rsidRPr="0099459C" w:rsidRDefault="00065E56" w:rsidP="001C607A">
            <w:pPr>
              <w:rPr>
                <w:rFonts w:ascii="Calibri" w:eastAsia="Times New Roman" w:hAnsi="Calibri" w:cs="Calibri"/>
                <w:color w:val="000000"/>
              </w:rPr>
            </w:pPr>
          </w:p>
        </w:tc>
      </w:tr>
      <w:tr w:rsidR="00065E56" w:rsidRPr="0099459C" w14:paraId="37C55AE3" w14:textId="77777777" w:rsidTr="001C607A">
        <w:trPr>
          <w:trHeight w:val="340"/>
        </w:trPr>
        <w:tc>
          <w:tcPr>
            <w:tcW w:w="3298" w:type="dxa"/>
            <w:tcBorders>
              <w:top w:val="nil"/>
              <w:left w:val="nil"/>
              <w:bottom w:val="nil"/>
              <w:right w:val="nil"/>
            </w:tcBorders>
            <w:shd w:val="clear" w:color="000000" w:fill="D9D9D9"/>
            <w:vAlign w:val="bottom"/>
            <w:hideMark/>
          </w:tcPr>
          <w:p w14:paraId="2BA8C906" w14:textId="77777777" w:rsidR="00065E56" w:rsidRPr="0099459C" w:rsidRDefault="00065E56" w:rsidP="001C607A">
            <w:pPr>
              <w:rPr>
                <w:rFonts w:ascii="Calibri" w:eastAsia="Times New Roman" w:hAnsi="Calibri" w:cs="Calibri"/>
                <w:color w:val="000000"/>
              </w:rPr>
            </w:pPr>
            <w:r w:rsidRPr="0099459C">
              <w:rPr>
                <w:rFonts w:ascii="Calibri" w:eastAsia="Times New Roman" w:hAnsi="Calibri" w:cs="Calibri"/>
                <w:color w:val="000000"/>
              </w:rPr>
              <w:t>Program</w:t>
            </w:r>
          </w:p>
        </w:tc>
        <w:tc>
          <w:tcPr>
            <w:tcW w:w="2493" w:type="dxa"/>
            <w:tcBorders>
              <w:top w:val="nil"/>
              <w:left w:val="nil"/>
              <w:bottom w:val="nil"/>
              <w:right w:val="nil"/>
            </w:tcBorders>
            <w:shd w:val="clear" w:color="000000" w:fill="D9D9D9"/>
            <w:noWrap/>
            <w:vAlign w:val="bottom"/>
            <w:hideMark/>
          </w:tcPr>
          <w:p w14:paraId="0534A87A" w14:textId="77777777" w:rsidR="00065E56" w:rsidRPr="0099459C" w:rsidRDefault="00065E56" w:rsidP="001C607A">
            <w:pPr>
              <w:jc w:val="center"/>
              <w:rPr>
                <w:rFonts w:ascii="Calibri" w:eastAsia="Times New Roman" w:hAnsi="Calibri" w:cs="Calibri"/>
                <w:color w:val="000000"/>
              </w:rPr>
            </w:pPr>
            <w:r w:rsidRPr="0099459C">
              <w:rPr>
                <w:rFonts w:ascii="Calibri" w:eastAsia="Times New Roman" w:hAnsi="Calibri" w:cs="Calibri"/>
                <w:color w:val="000000"/>
              </w:rPr>
              <w:t xml:space="preserve">Yes </w:t>
            </w:r>
          </w:p>
        </w:tc>
        <w:tc>
          <w:tcPr>
            <w:tcW w:w="2493" w:type="dxa"/>
            <w:tcBorders>
              <w:top w:val="nil"/>
              <w:left w:val="nil"/>
              <w:bottom w:val="nil"/>
              <w:right w:val="nil"/>
            </w:tcBorders>
            <w:shd w:val="clear" w:color="000000" w:fill="D9D9D9"/>
            <w:noWrap/>
            <w:vAlign w:val="bottom"/>
            <w:hideMark/>
          </w:tcPr>
          <w:p w14:paraId="502FF3C3" w14:textId="77777777" w:rsidR="00065E56" w:rsidRPr="0099459C" w:rsidRDefault="00065E56" w:rsidP="001C607A">
            <w:pPr>
              <w:jc w:val="center"/>
              <w:rPr>
                <w:rFonts w:ascii="Calibri" w:eastAsia="Times New Roman" w:hAnsi="Calibri" w:cs="Calibri"/>
                <w:color w:val="000000"/>
              </w:rPr>
            </w:pPr>
            <w:r w:rsidRPr="0099459C">
              <w:rPr>
                <w:rFonts w:ascii="Calibri" w:eastAsia="Times New Roman" w:hAnsi="Calibri" w:cs="Calibri"/>
                <w:color w:val="000000"/>
              </w:rPr>
              <w:t>No</w:t>
            </w:r>
          </w:p>
        </w:tc>
        <w:tc>
          <w:tcPr>
            <w:tcW w:w="239" w:type="dxa"/>
            <w:tcBorders>
              <w:top w:val="nil"/>
              <w:left w:val="nil"/>
              <w:bottom w:val="nil"/>
              <w:right w:val="nil"/>
            </w:tcBorders>
            <w:shd w:val="clear" w:color="000000" w:fill="D9D9D9"/>
            <w:noWrap/>
            <w:vAlign w:val="bottom"/>
            <w:hideMark/>
          </w:tcPr>
          <w:p w14:paraId="5AA75675" w14:textId="77777777" w:rsidR="00065E56" w:rsidRPr="0099459C" w:rsidRDefault="00065E56" w:rsidP="001C607A">
            <w:pPr>
              <w:jc w:val="center"/>
              <w:rPr>
                <w:rFonts w:ascii="Calibri" w:eastAsia="Times New Roman" w:hAnsi="Calibri" w:cs="Calibri"/>
                <w:color w:val="000000"/>
              </w:rPr>
            </w:pPr>
            <w:r w:rsidRPr="0099459C">
              <w:rPr>
                <w:rFonts w:ascii="Calibri" w:eastAsia="Times New Roman" w:hAnsi="Calibri" w:cs="Calibri"/>
                <w:color w:val="000000"/>
              </w:rPr>
              <w:t> </w:t>
            </w:r>
          </w:p>
        </w:tc>
        <w:tc>
          <w:tcPr>
            <w:tcW w:w="239" w:type="dxa"/>
            <w:tcBorders>
              <w:top w:val="nil"/>
              <w:left w:val="nil"/>
              <w:bottom w:val="nil"/>
              <w:right w:val="nil"/>
            </w:tcBorders>
            <w:shd w:val="clear" w:color="000000" w:fill="D9D9D9"/>
            <w:noWrap/>
            <w:vAlign w:val="bottom"/>
            <w:hideMark/>
          </w:tcPr>
          <w:p w14:paraId="60AC9F71" w14:textId="77777777" w:rsidR="00065E56" w:rsidRPr="0099459C" w:rsidRDefault="00065E56" w:rsidP="001C607A">
            <w:pPr>
              <w:jc w:val="center"/>
              <w:rPr>
                <w:rFonts w:ascii="Calibri" w:eastAsia="Times New Roman" w:hAnsi="Calibri" w:cs="Calibri"/>
                <w:color w:val="000000"/>
              </w:rPr>
            </w:pPr>
            <w:r w:rsidRPr="0099459C">
              <w:rPr>
                <w:rFonts w:ascii="Calibri" w:eastAsia="Times New Roman" w:hAnsi="Calibri" w:cs="Calibri"/>
                <w:color w:val="000000"/>
              </w:rPr>
              <w:t> </w:t>
            </w:r>
          </w:p>
        </w:tc>
        <w:tc>
          <w:tcPr>
            <w:tcW w:w="239" w:type="dxa"/>
            <w:tcBorders>
              <w:top w:val="nil"/>
              <w:left w:val="nil"/>
              <w:bottom w:val="nil"/>
              <w:right w:val="nil"/>
            </w:tcBorders>
            <w:shd w:val="clear" w:color="000000" w:fill="D9D9D9"/>
            <w:noWrap/>
            <w:vAlign w:val="bottom"/>
            <w:hideMark/>
          </w:tcPr>
          <w:p w14:paraId="596DA331" w14:textId="77777777" w:rsidR="00065E56" w:rsidRPr="0099459C" w:rsidRDefault="00065E56" w:rsidP="001C607A">
            <w:pPr>
              <w:jc w:val="center"/>
              <w:rPr>
                <w:rFonts w:ascii="Calibri" w:eastAsia="Times New Roman" w:hAnsi="Calibri" w:cs="Calibri"/>
                <w:color w:val="000000"/>
              </w:rPr>
            </w:pPr>
            <w:r w:rsidRPr="0099459C">
              <w:rPr>
                <w:rFonts w:ascii="Calibri" w:eastAsia="Times New Roman" w:hAnsi="Calibri" w:cs="Calibri"/>
                <w:color w:val="000000"/>
              </w:rPr>
              <w:t> </w:t>
            </w:r>
          </w:p>
        </w:tc>
        <w:tc>
          <w:tcPr>
            <w:tcW w:w="101" w:type="dxa"/>
            <w:tcBorders>
              <w:top w:val="nil"/>
              <w:left w:val="nil"/>
              <w:bottom w:val="nil"/>
              <w:right w:val="nil"/>
            </w:tcBorders>
            <w:shd w:val="clear" w:color="auto" w:fill="auto"/>
            <w:noWrap/>
            <w:vAlign w:val="bottom"/>
            <w:hideMark/>
          </w:tcPr>
          <w:p w14:paraId="5E1A7347" w14:textId="77777777" w:rsidR="00065E56" w:rsidRPr="0099459C" w:rsidRDefault="00065E56" w:rsidP="001C607A">
            <w:pPr>
              <w:jc w:val="center"/>
              <w:rPr>
                <w:rFonts w:ascii="Calibri" w:eastAsia="Times New Roman" w:hAnsi="Calibri" w:cs="Calibri"/>
                <w:color w:val="000000"/>
              </w:rPr>
            </w:pPr>
          </w:p>
        </w:tc>
      </w:tr>
      <w:tr w:rsidR="00065E56" w:rsidRPr="0099459C" w14:paraId="311C3857" w14:textId="77777777" w:rsidTr="001C607A">
        <w:trPr>
          <w:trHeight w:val="680"/>
        </w:trPr>
        <w:tc>
          <w:tcPr>
            <w:tcW w:w="3298" w:type="dxa"/>
            <w:tcBorders>
              <w:top w:val="nil"/>
              <w:left w:val="nil"/>
              <w:bottom w:val="nil"/>
              <w:right w:val="nil"/>
            </w:tcBorders>
            <w:shd w:val="clear" w:color="000000" w:fill="BFBFBF"/>
            <w:vAlign w:val="bottom"/>
            <w:hideMark/>
          </w:tcPr>
          <w:p w14:paraId="293C861E" w14:textId="77777777" w:rsidR="00065E56" w:rsidRPr="0099459C" w:rsidRDefault="00065E56" w:rsidP="001C607A">
            <w:pPr>
              <w:rPr>
                <w:rFonts w:ascii="Calibri" w:eastAsia="Times New Roman" w:hAnsi="Calibri" w:cs="Calibri"/>
                <w:color w:val="000000"/>
              </w:rPr>
            </w:pPr>
            <w:r w:rsidRPr="0099459C">
              <w:rPr>
                <w:rFonts w:ascii="Calibri" w:eastAsia="Times New Roman" w:hAnsi="Calibri" w:cs="Calibri"/>
                <w:color w:val="000000"/>
              </w:rPr>
              <w:t>Total (n=60)</w:t>
            </w:r>
          </w:p>
        </w:tc>
        <w:tc>
          <w:tcPr>
            <w:tcW w:w="2493" w:type="dxa"/>
            <w:tcBorders>
              <w:top w:val="nil"/>
              <w:left w:val="nil"/>
              <w:bottom w:val="nil"/>
              <w:right w:val="nil"/>
            </w:tcBorders>
            <w:shd w:val="clear" w:color="000000" w:fill="BFBFBF"/>
            <w:noWrap/>
            <w:vAlign w:val="bottom"/>
            <w:hideMark/>
          </w:tcPr>
          <w:p w14:paraId="11F1E399" w14:textId="77777777" w:rsidR="00065E56" w:rsidRPr="0099459C" w:rsidRDefault="00065E56" w:rsidP="001C607A">
            <w:pPr>
              <w:jc w:val="center"/>
              <w:rPr>
                <w:rFonts w:ascii="Calibri" w:eastAsia="Times New Roman" w:hAnsi="Calibri" w:cs="Calibri"/>
                <w:color w:val="000000"/>
              </w:rPr>
            </w:pPr>
            <w:r w:rsidRPr="0099459C">
              <w:rPr>
                <w:rFonts w:ascii="Calibri" w:eastAsia="Times New Roman" w:hAnsi="Calibri" w:cs="Calibri"/>
                <w:color w:val="000000"/>
              </w:rPr>
              <w:t>15 (25%)</w:t>
            </w:r>
          </w:p>
        </w:tc>
        <w:tc>
          <w:tcPr>
            <w:tcW w:w="2493" w:type="dxa"/>
            <w:tcBorders>
              <w:top w:val="nil"/>
              <w:left w:val="nil"/>
              <w:bottom w:val="nil"/>
              <w:right w:val="nil"/>
            </w:tcBorders>
            <w:shd w:val="clear" w:color="000000" w:fill="BFBFBF"/>
            <w:noWrap/>
            <w:vAlign w:val="bottom"/>
            <w:hideMark/>
          </w:tcPr>
          <w:p w14:paraId="07B52EFD" w14:textId="77777777" w:rsidR="00065E56" w:rsidRPr="0099459C" w:rsidRDefault="00065E56" w:rsidP="001C607A">
            <w:pPr>
              <w:jc w:val="center"/>
              <w:rPr>
                <w:rFonts w:ascii="Calibri" w:eastAsia="Times New Roman" w:hAnsi="Calibri" w:cs="Calibri"/>
                <w:color w:val="000000"/>
              </w:rPr>
            </w:pPr>
            <w:r w:rsidRPr="0099459C">
              <w:rPr>
                <w:rFonts w:ascii="Calibri" w:eastAsia="Times New Roman" w:hAnsi="Calibri" w:cs="Calibri"/>
                <w:color w:val="000000"/>
              </w:rPr>
              <w:t>45 (75%)</w:t>
            </w:r>
          </w:p>
        </w:tc>
        <w:tc>
          <w:tcPr>
            <w:tcW w:w="239" w:type="dxa"/>
            <w:tcBorders>
              <w:top w:val="nil"/>
              <w:left w:val="nil"/>
              <w:bottom w:val="nil"/>
              <w:right w:val="nil"/>
            </w:tcBorders>
            <w:shd w:val="clear" w:color="000000" w:fill="BFBFBF"/>
            <w:noWrap/>
            <w:vAlign w:val="bottom"/>
            <w:hideMark/>
          </w:tcPr>
          <w:p w14:paraId="4CD8618C" w14:textId="77777777" w:rsidR="00065E56" w:rsidRPr="0099459C" w:rsidRDefault="00065E56" w:rsidP="001C607A">
            <w:pPr>
              <w:jc w:val="center"/>
              <w:rPr>
                <w:rFonts w:ascii="Calibri" w:eastAsia="Times New Roman" w:hAnsi="Calibri" w:cs="Calibri"/>
                <w:color w:val="000000"/>
              </w:rPr>
            </w:pPr>
            <w:r w:rsidRPr="0099459C">
              <w:rPr>
                <w:rFonts w:ascii="Calibri" w:eastAsia="Times New Roman" w:hAnsi="Calibri" w:cs="Calibri"/>
                <w:color w:val="000000"/>
              </w:rPr>
              <w:t> </w:t>
            </w:r>
          </w:p>
        </w:tc>
        <w:tc>
          <w:tcPr>
            <w:tcW w:w="239" w:type="dxa"/>
            <w:tcBorders>
              <w:top w:val="nil"/>
              <w:left w:val="nil"/>
              <w:bottom w:val="nil"/>
              <w:right w:val="nil"/>
            </w:tcBorders>
            <w:shd w:val="clear" w:color="000000" w:fill="BFBFBF"/>
            <w:noWrap/>
            <w:vAlign w:val="bottom"/>
            <w:hideMark/>
          </w:tcPr>
          <w:p w14:paraId="24231632" w14:textId="77777777" w:rsidR="00065E56" w:rsidRPr="0099459C" w:rsidRDefault="00065E56" w:rsidP="001C607A">
            <w:pPr>
              <w:jc w:val="center"/>
              <w:rPr>
                <w:rFonts w:ascii="Calibri" w:eastAsia="Times New Roman" w:hAnsi="Calibri" w:cs="Calibri"/>
                <w:color w:val="000000"/>
              </w:rPr>
            </w:pPr>
            <w:r w:rsidRPr="0099459C">
              <w:rPr>
                <w:rFonts w:ascii="Calibri" w:eastAsia="Times New Roman" w:hAnsi="Calibri" w:cs="Calibri"/>
                <w:color w:val="000000"/>
              </w:rPr>
              <w:t> </w:t>
            </w:r>
          </w:p>
        </w:tc>
        <w:tc>
          <w:tcPr>
            <w:tcW w:w="239" w:type="dxa"/>
            <w:tcBorders>
              <w:top w:val="nil"/>
              <w:left w:val="nil"/>
              <w:bottom w:val="nil"/>
              <w:right w:val="nil"/>
            </w:tcBorders>
            <w:shd w:val="clear" w:color="000000" w:fill="BFBFBF"/>
            <w:noWrap/>
            <w:vAlign w:val="bottom"/>
            <w:hideMark/>
          </w:tcPr>
          <w:p w14:paraId="711749F0" w14:textId="77777777" w:rsidR="00065E56" w:rsidRPr="0099459C" w:rsidRDefault="00065E56" w:rsidP="001C607A">
            <w:pPr>
              <w:jc w:val="center"/>
              <w:rPr>
                <w:rFonts w:ascii="Calibri" w:eastAsia="Times New Roman" w:hAnsi="Calibri" w:cs="Calibri"/>
                <w:color w:val="000000"/>
              </w:rPr>
            </w:pPr>
            <w:r w:rsidRPr="0099459C">
              <w:rPr>
                <w:rFonts w:ascii="Calibri" w:eastAsia="Times New Roman" w:hAnsi="Calibri" w:cs="Calibri"/>
                <w:color w:val="000000"/>
              </w:rPr>
              <w:t> </w:t>
            </w:r>
          </w:p>
        </w:tc>
        <w:tc>
          <w:tcPr>
            <w:tcW w:w="101" w:type="dxa"/>
            <w:tcBorders>
              <w:top w:val="nil"/>
              <w:left w:val="nil"/>
              <w:bottom w:val="nil"/>
              <w:right w:val="nil"/>
            </w:tcBorders>
            <w:shd w:val="clear" w:color="auto" w:fill="auto"/>
            <w:noWrap/>
            <w:vAlign w:val="bottom"/>
            <w:hideMark/>
          </w:tcPr>
          <w:p w14:paraId="257C6ADC" w14:textId="77777777" w:rsidR="00065E56" w:rsidRPr="0099459C" w:rsidRDefault="00065E56" w:rsidP="001C607A">
            <w:pPr>
              <w:jc w:val="center"/>
              <w:rPr>
                <w:rFonts w:ascii="Calibri" w:eastAsia="Times New Roman" w:hAnsi="Calibri" w:cs="Calibri"/>
                <w:color w:val="000000"/>
              </w:rPr>
            </w:pPr>
          </w:p>
        </w:tc>
      </w:tr>
      <w:tr w:rsidR="00065E56" w:rsidRPr="0099459C" w14:paraId="2BC41ECC" w14:textId="77777777" w:rsidTr="001C607A">
        <w:trPr>
          <w:trHeight w:val="680"/>
        </w:trPr>
        <w:tc>
          <w:tcPr>
            <w:tcW w:w="3298" w:type="dxa"/>
            <w:tcBorders>
              <w:top w:val="nil"/>
              <w:left w:val="nil"/>
              <w:bottom w:val="nil"/>
              <w:right w:val="nil"/>
            </w:tcBorders>
            <w:shd w:val="clear" w:color="000000" w:fill="F2F2F2"/>
            <w:vAlign w:val="bottom"/>
            <w:hideMark/>
          </w:tcPr>
          <w:p w14:paraId="22AA20D9" w14:textId="77777777" w:rsidR="00065E56" w:rsidRPr="0099459C" w:rsidRDefault="00065E56" w:rsidP="001C607A">
            <w:pPr>
              <w:rPr>
                <w:rFonts w:ascii="Calibri" w:eastAsia="Times New Roman" w:hAnsi="Calibri" w:cs="Calibri"/>
                <w:color w:val="000000"/>
              </w:rPr>
            </w:pPr>
            <w:r w:rsidRPr="0099459C">
              <w:rPr>
                <w:rFonts w:ascii="Calibri" w:eastAsia="Times New Roman" w:hAnsi="Calibri" w:cs="Calibri"/>
                <w:color w:val="000000"/>
              </w:rPr>
              <w:t>Dental (n=24)</w:t>
            </w:r>
          </w:p>
        </w:tc>
        <w:tc>
          <w:tcPr>
            <w:tcW w:w="2493" w:type="dxa"/>
            <w:tcBorders>
              <w:top w:val="nil"/>
              <w:left w:val="nil"/>
              <w:bottom w:val="nil"/>
              <w:right w:val="nil"/>
            </w:tcBorders>
            <w:shd w:val="clear" w:color="000000" w:fill="F2F2F2"/>
            <w:noWrap/>
            <w:vAlign w:val="bottom"/>
            <w:hideMark/>
          </w:tcPr>
          <w:p w14:paraId="73BAE3FE" w14:textId="77777777" w:rsidR="00065E56" w:rsidRPr="0099459C" w:rsidRDefault="00065E56" w:rsidP="001C607A">
            <w:pPr>
              <w:jc w:val="center"/>
              <w:rPr>
                <w:rFonts w:ascii="Calibri" w:eastAsia="Times New Roman" w:hAnsi="Calibri" w:cs="Calibri"/>
                <w:color w:val="000000"/>
              </w:rPr>
            </w:pPr>
            <w:r w:rsidRPr="0099459C">
              <w:rPr>
                <w:rFonts w:ascii="Calibri" w:eastAsia="Times New Roman" w:hAnsi="Calibri" w:cs="Calibri"/>
                <w:color w:val="000000"/>
              </w:rPr>
              <w:t>6 (25%)</w:t>
            </w:r>
          </w:p>
        </w:tc>
        <w:tc>
          <w:tcPr>
            <w:tcW w:w="2493" w:type="dxa"/>
            <w:tcBorders>
              <w:top w:val="nil"/>
              <w:left w:val="nil"/>
              <w:bottom w:val="nil"/>
              <w:right w:val="nil"/>
            </w:tcBorders>
            <w:shd w:val="clear" w:color="000000" w:fill="F2F2F2"/>
            <w:noWrap/>
            <w:vAlign w:val="bottom"/>
            <w:hideMark/>
          </w:tcPr>
          <w:p w14:paraId="63C98C32" w14:textId="77777777" w:rsidR="00065E56" w:rsidRPr="0099459C" w:rsidRDefault="00065E56" w:rsidP="001C607A">
            <w:pPr>
              <w:jc w:val="center"/>
              <w:rPr>
                <w:rFonts w:ascii="Calibri" w:eastAsia="Times New Roman" w:hAnsi="Calibri" w:cs="Calibri"/>
                <w:color w:val="000000"/>
              </w:rPr>
            </w:pPr>
            <w:r w:rsidRPr="0099459C">
              <w:rPr>
                <w:rFonts w:ascii="Calibri" w:eastAsia="Times New Roman" w:hAnsi="Calibri" w:cs="Calibri"/>
                <w:color w:val="000000"/>
              </w:rPr>
              <w:t>18 (75%)</w:t>
            </w:r>
          </w:p>
        </w:tc>
        <w:tc>
          <w:tcPr>
            <w:tcW w:w="239" w:type="dxa"/>
            <w:tcBorders>
              <w:top w:val="nil"/>
              <w:left w:val="nil"/>
              <w:bottom w:val="nil"/>
              <w:right w:val="nil"/>
            </w:tcBorders>
            <w:shd w:val="clear" w:color="000000" w:fill="F2F2F2"/>
            <w:noWrap/>
            <w:vAlign w:val="bottom"/>
            <w:hideMark/>
          </w:tcPr>
          <w:p w14:paraId="46143CFF" w14:textId="77777777" w:rsidR="00065E56" w:rsidRPr="0099459C" w:rsidRDefault="00065E56" w:rsidP="001C607A">
            <w:pPr>
              <w:jc w:val="center"/>
              <w:rPr>
                <w:rFonts w:ascii="Calibri" w:eastAsia="Times New Roman" w:hAnsi="Calibri" w:cs="Calibri"/>
                <w:color w:val="000000"/>
              </w:rPr>
            </w:pPr>
            <w:r w:rsidRPr="0099459C">
              <w:rPr>
                <w:rFonts w:ascii="Calibri" w:eastAsia="Times New Roman" w:hAnsi="Calibri" w:cs="Calibri"/>
                <w:color w:val="000000"/>
              </w:rPr>
              <w:t> </w:t>
            </w:r>
          </w:p>
        </w:tc>
        <w:tc>
          <w:tcPr>
            <w:tcW w:w="239" w:type="dxa"/>
            <w:tcBorders>
              <w:top w:val="nil"/>
              <w:left w:val="nil"/>
              <w:bottom w:val="nil"/>
              <w:right w:val="nil"/>
            </w:tcBorders>
            <w:shd w:val="clear" w:color="000000" w:fill="F2F2F2"/>
            <w:noWrap/>
            <w:vAlign w:val="bottom"/>
            <w:hideMark/>
          </w:tcPr>
          <w:p w14:paraId="1174CC85" w14:textId="77777777" w:rsidR="00065E56" w:rsidRPr="0099459C" w:rsidRDefault="00065E56" w:rsidP="001C607A">
            <w:pPr>
              <w:jc w:val="center"/>
              <w:rPr>
                <w:rFonts w:ascii="Calibri" w:eastAsia="Times New Roman" w:hAnsi="Calibri" w:cs="Calibri"/>
                <w:color w:val="000000"/>
              </w:rPr>
            </w:pPr>
            <w:r w:rsidRPr="0099459C">
              <w:rPr>
                <w:rFonts w:ascii="Calibri" w:eastAsia="Times New Roman" w:hAnsi="Calibri" w:cs="Calibri"/>
                <w:color w:val="000000"/>
              </w:rPr>
              <w:t> </w:t>
            </w:r>
          </w:p>
        </w:tc>
        <w:tc>
          <w:tcPr>
            <w:tcW w:w="239" w:type="dxa"/>
            <w:tcBorders>
              <w:top w:val="nil"/>
              <w:left w:val="nil"/>
              <w:bottom w:val="nil"/>
              <w:right w:val="nil"/>
            </w:tcBorders>
            <w:shd w:val="clear" w:color="000000" w:fill="F2F2F2"/>
            <w:noWrap/>
            <w:vAlign w:val="bottom"/>
            <w:hideMark/>
          </w:tcPr>
          <w:p w14:paraId="48D6C18A" w14:textId="77777777" w:rsidR="00065E56" w:rsidRPr="0099459C" w:rsidRDefault="00065E56" w:rsidP="001C607A">
            <w:pPr>
              <w:jc w:val="center"/>
              <w:rPr>
                <w:rFonts w:ascii="Calibri" w:eastAsia="Times New Roman" w:hAnsi="Calibri" w:cs="Calibri"/>
                <w:color w:val="000000"/>
              </w:rPr>
            </w:pPr>
            <w:r w:rsidRPr="0099459C">
              <w:rPr>
                <w:rFonts w:ascii="Calibri" w:eastAsia="Times New Roman" w:hAnsi="Calibri" w:cs="Calibri"/>
                <w:color w:val="000000"/>
              </w:rPr>
              <w:t> </w:t>
            </w:r>
          </w:p>
        </w:tc>
        <w:tc>
          <w:tcPr>
            <w:tcW w:w="101" w:type="dxa"/>
            <w:tcBorders>
              <w:top w:val="nil"/>
              <w:left w:val="nil"/>
              <w:bottom w:val="nil"/>
              <w:right w:val="nil"/>
            </w:tcBorders>
            <w:shd w:val="clear" w:color="auto" w:fill="auto"/>
            <w:noWrap/>
            <w:vAlign w:val="bottom"/>
            <w:hideMark/>
          </w:tcPr>
          <w:p w14:paraId="71CB9FF3" w14:textId="77777777" w:rsidR="00065E56" w:rsidRPr="0099459C" w:rsidRDefault="00065E56" w:rsidP="001C607A">
            <w:pPr>
              <w:jc w:val="center"/>
              <w:rPr>
                <w:rFonts w:ascii="Calibri" w:eastAsia="Times New Roman" w:hAnsi="Calibri" w:cs="Calibri"/>
                <w:color w:val="000000"/>
              </w:rPr>
            </w:pPr>
          </w:p>
        </w:tc>
      </w:tr>
      <w:tr w:rsidR="00065E56" w:rsidRPr="0099459C" w14:paraId="5A1EBAD9" w14:textId="77777777" w:rsidTr="001C607A">
        <w:trPr>
          <w:trHeight w:val="1020"/>
        </w:trPr>
        <w:tc>
          <w:tcPr>
            <w:tcW w:w="3298" w:type="dxa"/>
            <w:tcBorders>
              <w:top w:val="nil"/>
              <w:left w:val="nil"/>
              <w:bottom w:val="nil"/>
              <w:right w:val="nil"/>
            </w:tcBorders>
            <w:shd w:val="clear" w:color="auto" w:fill="auto"/>
            <w:vAlign w:val="bottom"/>
            <w:hideMark/>
          </w:tcPr>
          <w:p w14:paraId="1DDE32C8" w14:textId="77777777" w:rsidR="00065E56" w:rsidRPr="0099459C" w:rsidRDefault="00065E56" w:rsidP="001C607A">
            <w:pPr>
              <w:rPr>
                <w:rFonts w:ascii="Calibri" w:eastAsia="Times New Roman" w:hAnsi="Calibri" w:cs="Calibri"/>
                <w:color w:val="000000"/>
              </w:rPr>
            </w:pPr>
            <w:r w:rsidRPr="0099459C">
              <w:rPr>
                <w:rFonts w:ascii="Calibri" w:eastAsia="Times New Roman" w:hAnsi="Calibri" w:cs="Calibri"/>
                <w:color w:val="000000"/>
              </w:rPr>
              <w:t xml:space="preserve">Dental -no </w:t>
            </w:r>
            <w:proofErr w:type="spellStart"/>
            <w:r w:rsidRPr="0099459C">
              <w:rPr>
                <w:rFonts w:ascii="Calibri" w:eastAsia="Times New Roman" w:hAnsi="Calibri" w:cs="Calibri"/>
                <w:color w:val="000000"/>
              </w:rPr>
              <w:t>undgrad</w:t>
            </w:r>
            <w:proofErr w:type="spellEnd"/>
            <w:r w:rsidRPr="0099459C">
              <w:rPr>
                <w:rFonts w:ascii="Calibri" w:eastAsia="Times New Roman" w:hAnsi="Calibri" w:cs="Calibri"/>
                <w:color w:val="000000"/>
              </w:rPr>
              <w:t xml:space="preserve"> anatomy</w:t>
            </w:r>
          </w:p>
        </w:tc>
        <w:tc>
          <w:tcPr>
            <w:tcW w:w="2493" w:type="dxa"/>
            <w:tcBorders>
              <w:top w:val="nil"/>
              <w:left w:val="nil"/>
              <w:bottom w:val="nil"/>
              <w:right w:val="nil"/>
            </w:tcBorders>
            <w:shd w:val="clear" w:color="auto" w:fill="auto"/>
            <w:noWrap/>
            <w:vAlign w:val="bottom"/>
            <w:hideMark/>
          </w:tcPr>
          <w:p w14:paraId="704EDEBF" w14:textId="77777777" w:rsidR="00065E56" w:rsidRPr="0099459C" w:rsidRDefault="00065E56" w:rsidP="001C607A">
            <w:pPr>
              <w:jc w:val="center"/>
              <w:rPr>
                <w:rFonts w:ascii="Calibri" w:eastAsia="Times New Roman" w:hAnsi="Calibri" w:cs="Calibri"/>
                <w:color w:val="000000"/>
              </w:rPr>
            </w:pPr>
            <w:r w:rsidRPr="0099459C">
              <w:rPr>
                <w:rFonts w:ascii="Calibri" w:eastAsia="Times New Roman" w:hAnsi="Calibri" w:cs="Calibri"/>
                <w:color w:val="000000"/>
              </w:rPr>
              <w:t>1 (14%)</w:t>
            </w:r>
          </w:p>
        </w:tc>
        <w:tc>
          <w:tcPr>
            <w:tcW w:w="2493" w:type="dxa"/>
            <w:tcBorders>
              <w:top w:val="nil"/>
              <w:left w:val="nil"/>
              <w:bottom w:val="nil"/>
              <w:right w:val="nil"/>
            </w:tcBorders>
            <w:shd w:val="clear" w:color="auto" w:fill="auto"/>
            <w:noWrap/>
            <w:vAlign w:val="bottom"/>
            <w:hideMark/>
          </w:tcPr>
          <w:p w14:paraId="1CC43927" w14:textId="77777777" w:rsidR="00065E56" w:rsidRPr="0099459C" w:rsidRDefault="00065E56" w:rsidP="001C607A">
            <w:pPr>
              <w:jc w:val="center"/>
              <w:rPr>
                <w:rFonts w:ascii="Calibri" w:eastAsia="Times New Roman" w:hAnsi="Calibri" w:cs="Calibri"/>
                <w:color w:val="000000"/>
              </w:rPr>
            </w:pPr>
            <w:r w:rsidRPr="0099459C">
              <w:rPr>
                <w:rFonts w:ascii="Calibri" w:eastAsia="Times New Roman" w:hAnsi="Calibri" w:cs="Calibri"/>
                <w:color w:val="000000"/>
              </w:rPr>
              <w:t>6 (86%)</w:t>
            </w:r>
          </w:p>
        </w:tc>
        <w:tc>
          <w:tcPr>
            <w:tcW w:w="239" w:type="dxa"/>
            <w:tcBorders>
              <w:top w:val="nil"/>
              <w:left w:val="nil"/>
              <w:bottom w:val="nil"/>
              <w:right w:val="nil"/>
            </w:tcBorders>
            <w:shd w:val="clear" w:color="auto" w:fill="auto"/>
            <w:noWrap/>
            <w:vAlign w:val="bottom"/>
            <w:hideMark/>
          </w:tcPr>
          <w:p w14:paraId="2ED15912" w14:textId="77777777" w:rsidR="00065E56" w:rsidRPr="0099459C" w:rsidRDefault="00065E56" w:rsidP="001C607A">
            <w:pPr>
              <w:jc w:val="center"/>
              <w:rPr>
                <w:rFonts w:ascii="Calibri" w:eastAsia="Times New Roman" w:hAnsi="Calibri" w:cs="Calibri"/>
                <w:color w:val="000000"/>
              </w:rPr>
            </w:pPr>
          </w:p>
        </w:tc>
        <w:tc>
          <w:tcPr>
            <w:tcW w:w="239" w:type="dxa"/>
            <w:tcBorders>
              <w:top w:val="nil"/>
              <w:left w:val="nil"/>
              <w:bottom w:val="nil"/>
              <w:right w:val="nil"/>
            </w:tcBorders>
            <w:shd w:val="clear" w:color="auto" w:fill="auto"/>
            <w:noWrap/>
            <w:vAlign w:val="bottom"/>
            <w:hideMark/>
          </w:tcPr>
          <w:p w14:paraId="3052E174" w14:textId="77777777" w:rsidR="00065E56" w:rsidRPr="0099459C" w:rsidRDefault="00065E56" w:rsidP="001C607A">
            <w:pPr>
              <w:jc w:val="center"/>
              <w:rPr>
                <w:rFonts w:ascii="Times New Roman" w:eastAsia="Times New Roman" w:hAnsi="Times New Roman" w:cs="Times New Roman"/>
                <w:sz w:val="20"/>
                <w:szCs w:val="20"/>
              </w:rPr>
            </w:pPr>
          </w:p>
        </w:tc>
        <w:tc>
          <w:tcPr>
            <w:tcW w:w="239" w:type="dxa"/>
            <w:tcBorders>
              <w:top w:val="nil"/>
              <w:left w:val="nil"/>
              <w:bottom w:val="nil"/>
              <w:right w:val="nil"/>
            </w:tcBorders>
            <w:shd w:val="clear" w:color="auto" w:fill="auto"/>
            <w:noWrap/>
            <w:vAlign w:val="bottom"/>
            <w:hideMark/>
          </w:tcPr>
          <w:p w14:paraId="769FF7C7" w14:textId="77777777" w:rsidR="00065E56" w:rsidRPr="0099459C" w:rsidRDefault="00065E56" w:rsidP="001C607A">
            <w:pPr>
              <w:jc w:val="center"/>
              <w:rPr>
                <w:rFonts w:ascii="Times New Roman" w:eastAsia="Times New Roman" w:hAnsi="Times New Roman" w:cs="Times New Roman"/>
                <w:sz w:val="20"/>
                <w:szCs w:val="20"/>
              </w:rPr>
            </w:pPr>
          </w:p>
        </w:tc>
        <w:tc>
          <w:tcPr>
            <w:tcW w:w="101" w:type="dxa"/>
            <w:tcBorders>
              <w:top w:val="nil"/>
              <w:left w:val="nil"/>
              <w:bottom w:val="nil"/>
              <w:right w:val="nil"/>
            </w:tcBorders>
            <w:shd w:val="clear" w:color="auto" w:fill="auto"/>
            <w:noWrap/>
            <w:vAlign w:val="bottom"/>
            <w:hideMark/>
          </w:tcPr>
          <w:p w14:paraId="71F188EC" w14:textId="77777777" w:rsidR="00065E56" w:rsidRPr="0099459C" w:rsidRDefault="00065E56" w:rsidP="001C607A">
            <w:pPr>
              <w:jc w:val="center"/>
              <w:rPr>
                <w:rFonts w:ascii="Times New Roman" w:eastAsia="Times New Roman" w:hAnsi="Times New Roman" w:cs="Times New Roman"/>
                <w:sz w:val="20"/>
                <w:szCs w:val="20"/>
              </w:rPr>
            </w:pPr>
          </w:p>
        </w:tc>
      </w:tr>
      <w:tr w:rsidR="00065E56" w:rsidRPr="0099459C" w14:paraId="2ED36A94" w14:textId="77777777" w:rsidTr="001C607A">
        <w:trPr>
          <w:trHeight w:val="1020"/>
        </w:trPr>
        <w:tc>
          <w:tcPr>
            <w:tcW w:w="3298" w:type="dxa"/>
            <w:tcBorders>
              <w:top w:val="nil"/>
              <w:left w:val="nil"/>
              <w:bottom w:val="nil"/>
              <w:right w:val="nil"/>
            </w:tcBorders>
            <w:shd w:val="clear" w:color="auto" w:fill="auto"/>
            <w:vAlign w:val="bottom"/>
            <w:hideMark/>
          </w:tcPr>
          <w:p w14:paraId="67F2ED13" w14:textId="77777777" w:rsidR="00065E56" w:rsidRPr="0099459C" w:rsidRDefault="00065E56" w:rsidP="001C607A">
            <w:pPr>
              <w:rPr>
                <w:rFonts w:ascii="Calibri" w:eastAsia="Times New Roman" w:hAnsi="Calibri" w:cs="Calibri"/>
                <w:color w:val="000000"/>
              </w:rPr>
            </w:pPr>
            <w:r w:rsidRPr="0099459C">
              <w:rPr>
                <w:rFonts w:ascii="Calibri" w:eastAsia="Times New Roman" w:hAnsi="Calibri" w:cs="Calibri"/>
                <w:color w:val="000000"/>
              </w:rPr>
              <w:t>Dental -yes undergrad anatomy</w:t>
            </w:r>
          </w:p>
        </w:tc>
        <w:tc>
          <w:tcPr>
            <w:tcW w:w="2493" w:type="dxa"/>
            <w:tcBorders>
              <w:top w:val="nil"/>
              <w:left w:val="nil"/>
              <w:bottom w:val="nil"/>
              <w:right w:val="nil"/>
            </w:tcBorders>
            <w:shd w:val="clear" w:color="auto" w:fill="auto"/>
            <w:noWrap/>
            <w:vAlign w:val="bottom"/>
            <w:hideMark/>
          </w:tcPr>
          <w:p w14:paraId="6D7DCE5D" w14:textId="77777777" w:rsidR="00065E56" w:rsidRPr="0099459C" w:rsidRDefault="00065E56" w:rsidP="001C607A">
            <w:pPr>
              <w:jc w:val="center"/>
              <w:rPr>
                <w:rFonts w:ascii="Calibri" w:eastAsia="Times New Roman" w:hAnsi="Calibri" w:cs="Calibri"/>
                <w:color w:val="000000"/>
              </w:rPr>
            </w:pPr>
            <w:r w:rsidRPr="0099459C">
              <w:rPr>
                <w:rFonts w:ascii="Calibri" w:eastAsia="Times New Roman" w:hAnsi="Calibri" w:cs="Calibri"/>
                <w:color w:val="000000"/>
              </w:rPr>
              <w:t>5 (29%)</w:t>
            </w:r>
          </w:p>
        </w:tc>
        <w:tc>
          <w:tcPr>
            <w:tcW w:w="2493" w:type="dxa"/>
            <w:tcBorders>
              <w:top w:val="nil"/>
              <w:left w:val="nil"/>
              <w:bottom w:val="nil"/>
              <w:right w:val="nil"/>
            </w:tcBorders>
            <w:shd w:val="clear" w:color="auto" w:fill="auto"/>
            <w:noWrap/>
            <w:vAlign w:val="bottom"/>
            <w:hideMark/>
          </w:tcPr>
          <w:p w14:paraId="0E62A52C" w14:textId="77777777" w:rsidR="00065E56" w:rsidRPr="0099459C" w:rsidRDefault="00065E56" w:rsidP="001C607A">
            <w:pPr>
              <w:jc w:val="center"/>
              <w:rPr>
                <w:rFonts w:ascii="Calibri" w:eastAsia="Times New Roman" w:hAnsi="Calibri" w:cs="Calibri"/>
                <w:color w:val="000000"/>
              </w:rPr>
            </w:pPr>
            <w:r w:rsidRPr="0099459C">
              <w:rPr>
                <w:rFonts w:ascii="Calibri" w:eastAsia="Times New Roman" w:hAnsi="Calibri" w:cs="Calibri"/>
                <w:color w:val="000000"/>
              </w:rPr>
              <w:t>12 (71%)</w:t>
            </w:r>
          </w:p>
        </w:tc>
        <w:tc>
          <w:tcPr>
            <w:tcW w:w="239" w:type="dxa"/>
            <w:tcBorders>
              <w:top w:val="nil"/>
              <w:left w:val="nil"/>
              <w:bottom w:val="nil"/>
              <w:right w:val="nil"/>
            </w:tcBorders>
            <w:shd w:val="clear" w:color="auto" w:fill="auto"/>
            <w:noWrap/>
            <w:vAlign w:val="bottom"/>
            <w:hideMark/>
          </w:tcPr>
          <w:p w14:paraId="7967454C" w14:textId="77777777" w:rsidR="00065E56" w:rsidRPr="0099459C" w:rsidRDefault="00065E56" w:rsidP="001C607A">
            <w:pPr>
              <w:jc w:val="center"/>
              <w:rPr>
                <w:rFonts w:ascii="Calibri" w:eastAsia="Times New Roman" w:hAnsi="Calibri" w:cs="Calibri"/>
                <w:color w:val="000000"/>
              </w:rPr>
            </w:pPr>
          </w:p>
        </w:tc>
        <w:tc>
          <w:tcPr>
            <w:tcW w:w="239" w:type="dxa"/>
            <w:tcBorders>
              <w:top w:val="nil"/>
              <w:left w:val="nil"/>
              <w:bottom w:val="nil"/>
              <w:right w:val="nil"/>
            </w:tcBorders>
            <w:shd w:val="clear" w:color="auto" w:fill="auto"/>
            <w:noWrap/>
            <w:vAlign w:val="bottom"/>
            <w:hideMark/>
          </w:tcPr>
          <w:p w14:paraId="09DA7D48" w14:textId="77777777" w:rsidR="00065E56" w:rsidRPr="0099459C" w:rsidRDefault="00065E56" w:rsidP="001C607A">
            <w:pPr>
              <w:jc w:val="center"/>
              <w:rPr>
                <w:rFonts w:ascii="Times New Roman" w:eastAsia="Times New Roman" w:hAnsi="Times New Roman" w:cs="Times New Roman"/>
                <w:sz w:val="20"/>
                <w:szCs w:val="20"/>
              </w:rPr>
            </w:pPr>
          </w:p>
        </w:tc>
        <w:tc>
          <w:tcPr>
            <w:tcW w:w="239" w:type="dxa"/>
            <w:tcBorders>
              <w:top w:val="nil"/>
              <w:left w:val="nil"/>
              <w:bottom w:val="nil"/>
              <w:right w:val="nil"/>
            </w:tcBorders>
            <w:shd w:val="clear" w:color="auto" w:fill="auto"/>
            <w:noWrap/>
            <w:vAlign w:val="bottom"/>
            <w:hideMark/>
          </w:tcPr>
          <w:p w14:paraId="1E04F29F" w14:textId="77777777" w:rsidR="00065E56" w:rsidRPr="0099459C" w:rsidRDefault="00065E56" w:rsidP="001C607A">
            <w:pPr>
              <w:jc w:val="center"/>
              <w:rPr>
                <w:rFonts w:ascii="Times New Roman" w:eastAsia="Times New Roman" w:hAnsi="Times New Roman" w:cs="Times New Roman"/>
                <w:sz w:val="20"/>
                <w:szCs w:val="20"/>
              </w:rPr>
            </w:pPr>
          </w:p>
        </w:tc>
        <w:tc>
          <w:tcPr>
            <w:tcW w:w="101" w:type="dxa"/>
            <w:tcBorders>
              <w:top w:val="nil"/>
              <w:left w:val="nil"/>
              <w:bottom w:val="nil"/>
              <w:right w:val="nil"/>
            </w:tcBorders>
            <w:shd w:val="clear" w:color="auto" w:fill="auto"/>
            <w:noWrap/>
            <w:vAlign w:val="bottom"/>
            <w:hideMark/>
          </w:tcPr>
          <w:p w14:paraId="3EDC91D5" w14:textId="77777777" w:rsidR="00065E56" w:rsidRPr="0099459C" w:rsidRDefault="00065E56" w:rsidP="001C607A">
            <w:pPr>
              <w:jc w:val="center"/>
              <w:rPr>
                <w:rFonts w:ascii="Times New Roman" w:eastAsia="Times New Roman" w:hAnsi="Times New Roman" w:cs="Times New Roman"/>
                <w:sz w:val="20"/>
                <w:szCs w:val="20"/>
              </w:rPr>
            </w:pPr>
          </w:p>
        </w:tc>
      </w:tr>
      <w:tr w:rsidR="00065E56" w:rsidRPr="0099459C" w14:paraId="4888D702" w14:textId="77777777" w:rsidTr="001C607A">
        <w:trPr>
          <w:trHeight w:val="340"/>
        </w:trPr>
        <w:tc>
          <w:tcPr>
            <w:tcW w:w="3298" w:type="dxa"/>
            <w:tcBorders>
              <w:top w:val="nil"/>
              <w:left w:val="nil"/>
              <w:bottom w:val="nil"/>
              <w:right w:val="nil"/>
            </w:tcBorders>
            <w:shd w:val="clear" w:color="000000" w:fill="F2F2F2"/>
            <w:vAlign w:val="bottom"/>
            <w:hideMark/>
          </w:tcPr>
          <w:p w14:paraId="7FAC6D34" w14:textId="77777777" w:rsidR="00065E56" w:rsidRPr="0099459C" w:rsidRDefault="00065E56" w:rsidP="001C607A">
            <w:pPr>
              <w:rPr>
                <w:rFonts w:ascii="Calibri" w:eastAsia="Times New Roman" w:hAnsi="Calibri" w:cs="Calibri"/>
                <w:color w:val="000000"/>
              </w:rPr>
            </w:pPr>
            <w:r w:rsidRPr="0099459C">
              <w:rPr>
                <w:rFonts w:ascii="Calibri" w:eastAsia="Times New Roman" w:hAnsi="Calibri" w:cs="Calibri"/>
                <w:color w:val="000000"/>
              </w:rPr>
              <w:t>PA (n=36)</w:t>
            </w:r>
          </w:p>
        </w:tc>
        <w:tc>
          <w:tcPr>
            <w:tcW w:w="2493" w:type="dxa"/>
            <w:tcBorders>
              <w:top w:val="nil"/>
              <w:left w:val="nil"/>
              <w:bottom w:val="nil"/>
              <w:right w:val="nil"/>
            </w:tcBorders>
            <w:shd w:val="clear" w:color="000000" w:fill="F2F2F2"/>
            <w:noWrap/>
            <w:vAlign w:val="bottom"/>
            <w:hideMark/>
          </w:tcPr>
          <w:p w14:paraId="14E661FF" w14:textId="77777777" w:rsidR="00065E56" w:rsidRPr="0099459C" w:rsidRDefault="00065E56" w:rsidP="001C607A">
            <w:pPr>
              <w:jc w:val="center"/>
              <w:rPr>
                <w:rFonts w:ascii="Calibri" w:eastAsia="Times New Roman" w:hAnsi="Calibri" w:cs="Calibri"/>
                <w:color w:val="000000"/>
              </w:rPr>
            </w:pPr>
            <w:r w:rsidRPr="0099459C">
              <w:rPr>
                <w:rFonts w:ascii="Calibri" w:eastAsia="Times New Roman" w:hAnsi="Calibri" w:cs="Calibri"/>
                <w:color w:val="000000"/>
              </w:rPr>
              <w:t>9 (25%)</w:t>
            </w:r>
          </w:p>
        </w:tc>
        <w:tc>
          <w:tcPr>
            <w:tcW w:w="2493" w:type="dxa"/>
            <w:tcBorders>
              <w:top w:val="nil"/>
              <w:left w:val="nil"/>
              <w:bottom w:val="nil"/>
              <w:right w:val="nil"/>
            </w:tcBorders>
            <w:shd w:val="clear" w:color="000000" w:fill="F2F2F2"/>
            <w:noWrap/>
            <w:vAlign w:val="bottom"/>
            <w:hideMark/>
          </w:tcPr>
          <w:p w14:paraId="654A4216" w14:textId="77777777" w:rsidR="00065E56" w:rsidRPr="0099459C" w:rsidRDefault="00065E56" w:rsidP="001C607A">
            <w:pPr>
              <w:jc w:val="center"/>
              <w:rPr>
                <w:rFonts w:ascii="Calibri" w:eastAsia="Times New Roman" w:hAnsi="Calibri" w:cs="Calibri"/>
                <w:color w:val="000000"/>
              </w:rPr>
            </w:pPr>
            <w:r w:rsidRPr="0099459C">
              <w:rPr>
                <w:rFonts w:ascii="Calibri" w:eastAsia="Times New Roman" w:hAnsi="Calibri" w:cs="Calibri"/>
                <w:color w:val="000000"/>
              </w:rPr>
              <w:t>27 (75%)</w:t>
            </w:r>
          </w:p>
        </w:tc>
        <w:tc>
          <w:tcPr>
            <w:tcW w:w="239" w:type="dxa"/>
            <w:tcBorders>
              <w:top w:val="nil"/>
              <w:left w:val="nil"/>
              <w:bottom w:val="nil"/>
              <w:right w:val="nil"/>
            </w:tcBorders>
            <w:shd w:val="clear" w:color="000000" w:fill="F2F2F2"/>
            <w:noWrap/>
            <w:vAlign w:val="bottom"/>
            <w:hideMark/>
          </w:tcPr>
          <w:p w14:paraId="6CD626A6" w14:textId="77777777" w:rsidR="00065E56" w:rsidRPr="0099459C" w:rsidRDefault="00065E56" w:rsidP="001C607A">
            <w:pPr>
              <w:jc w:val="center"/>
              <w:rPr>
                <w:rFonts w:ascii="Calibri" w:eastAsia="Times New Roman" w:hAnsi="Calibri" w:cs="Calibri"/>
                <w:color w:val="000000"/>
              </w:rPr>
            </w:pPr>
            <w:r w:rsidRPr="0099459C">
              <w:rPr>
                <w:rFonts w:ascii="Calibri" w:eastAsia="Times New Roman" w:hAnsi="Calibri" w:cs="Calibri"/>
                <w:color w:val="000000"/>
              </w:rPr>
              <w:t> </w:t>
            </w:r>
          </w:p>
        </w:tc>
        <w:tc>
          <w:tcPr>
            <w:tcW w:w="239" w:type="dxa"/>
            <w:tcBorders>
              <w:top w:val="nil"/>
              <w:left w:val="nil"/>
              <w:bottom w:val="nil"/>
              <w:right w:val="nil"/>
            </w:tcBorders>
            <w:shd w:val="clear" w:color="000000" w:fill="F2F2F2"/>
            <w:noWrap/>
            <w:vAlign w:val="bottom"/>
            <w:hideMark/>
          </w:tcPr>
          <w:p w14:paraId="6E959448" w14:textId="77777777" w:rsidR="00065E56" w:rsidRPr="0099459C" w:rsidRDefault="00065E56" w:rsidP="001C607A">
            <w:pPr>
              <w:jc w:val="center"/>
              <w:rPr>
                <w:rFonts w:ascii="Calibri" w:eastAsia="Times New Roman" w:hAnsi="Calibri" w:cs="Calibri"/>
                <w:color w:val="000000"/>
              </w:rPr>
            </w:pPr>
            <w:r w:rsidRPr="0099459C">
              <w:rPr>
                <w:rFonts w:ascii="Calibri" w:eastAsia="Times New Roman" w:hAnsi="Calibri" w:cs="Calibri"/>
                <w:color w:val="000000"/>
              </w:rPr>
              <w:t> </w:t>
            </w:r>
          </w:p>
        </w:tc>
        <w:tc>
          <w:tcPr>
            <w:tcW w:w="239" w:type="dxa"/>
            <w:tcBorders>
              <w:top w:val="nil"/>
              <w:left w:val="nil"/>
              <w:bottom w:val="nil"/>
              <w:right w:val="nil"/>
            </w:tcBorders>
            <w:shd w:val="clear" w:color="000000" w:fill="F2F2F2"/>
            <w:noWrap/>
            <w:vAlign w:val="bottom"/>
            <w:hideMark/>
          </w:tcPr>
          <w:p w14:paraId="7B66703C" w14:textId="77777777" w:rsidR="00065E56" w:rsidRPr="0099459C" w:rsidRDefault="00065E56" w:rsidP="001C607A">
            <w:pPr>
              <w:jc w:val="center"/>
              <w:rPr>
                <w:rFonts w:ascii="Calibri" w:eastAsia="Times New Roman" w:hAnsi="Calibri" w:cs="Calibri"/>
                <w:color w:val="000000"/>
              </w:rPr>
            </w:pPr>
            <w:r w:rsidRPr="0099459C">
              <w:rPr>
                <w:rFonts w:ascii="Calibri" w:eastAsia="Times New Roman" w:hAnsi="Calibri" w:cs="Calibri"/>
                <w:color w:val="000000"/>
              </w:rPr>
              <w:t> </w:t>
            </w:r>
          </w:p>
        </w:tc>
        <w:tc>
          <w:tcPr>
            <w:tcW w:w="101" w:type="dxa"/>
            <w:tcBorders>
              <w:top w:val="nil"/>
              <w:left w:val="nil"/>
              <w:bottom w:val="nil"/>
              <w:right w:val="nil"/>
            </w:tcBorders>
            <w:shd w:val="clear" w:color="auto" w:fill="auto"/>
            <w:noWrap/>
            <w:vAlign w:val="bottom"/>
            <w:hideMark/>
          </w:tcPr>
          <w:p w14:paraId="23ECA529" w14:textId="77777777" w:rsidR="00065E56" w:rsidRPr="0099459C" w:rsidRDefault="00065E56" w:rsidP="001C607A">
            <w:pPr>
              <w:jc w:val="center"/>
              <w:rPr>
                <w:rFonts w:ascii="Calibri" w:eastAsia="Times New Roman" w:hAnsi="Calibri" w:cs="Calibri"/>
                <w:color w:val="000000"/>
              </w:rPr>
            </w:pPr>
          </w:p>
        </w:tc>
      </w:tr>
      <w:tr w:rsidR="00065E56" w:rsidRPr="0099459C" w14:paraId="4B0ED03F" w14:textId="77777777" w:rsidTr="001C607A">
        <w:trPr>
          <w:trHeight w:val="680"/>
        </w:trPr>
        <w:tc>
          <w:tcPr>
            <w:tcW w:w="3298" w:type="dxa"/>
            <w:tcBorders>
              <w:top w:val="nil"/>
              <w:left w:val="nil"/>
              <w:bottom w:val="nil"/>
              <w:right w:val="nil"/>
            </w:tcBorders>
            <w:shd w:val="clear" w:color="auto" w:fill="auto"/>
            <w:vAlign w:val="bottom"/>
            <w:hideMark/>
          </w:tcPr>
          <w:p w14:paraId="44AD3BA5" w14:textId="77777777" w:rsidR="00065E56" w:rsidRPr="0099459C" w:rsidRDefault="00065E56" w:rsidP="001C607A">
            <w:pPr>
              <w:rPr>
                <w:rFonts w:ascii="Calibri" w:eastAsia="Times New Roman" w:hAnsi="Calibri" w:cs="Calibri"/>
                <w:color w:val="000000"/>
              </w:rPr>
            </w:pPr>
            <w:r w:rsidRPr="0099459C">
              <w:rPr>
                <w:rFonts w:ascii="Calibri" w:eastAsia="Times New Roman" w:hAnsi="Calibri" w:cs="Calibri"/>
                <w:color w:val="000000"/>
              </w:rPr>
              <w:t>PA -no cadaver</w:t>
            </w:r>
          </w:p>
        </w:tc>
        <w:tc>
          <w:tcPr>
            <w:tcW w:w="2493" w:type="dxa"/>
            <w:tcBorders>
              <w:top w:val="nil"/>
              <w:left w:val="nil"/>
              <w:bottom w:val="nil"/>
              <w:right w:val="nil"/>
            </w:tcBorders>
            <w:shd w:val="clear" w:color="auto" w:fill="auto"/>
            <w:noWrap/>
            <w:vAlign w:val="bottom"/>
            <w:hideMark/>
          </w:tcPr>
          <w:p w14:paraId="44D61390" w14:textId="77777777" w:rsidR="00065E56" w:rsidRPr="0099459C" w:rsidRDefault="00065E56" w:rsidP="001C607A">
            <w:pPr>
              <w:jc w:val="center"/>
              <w:rPr>
                <w:rFonts w:ascii="Calibri" w:eastAsia="Times New Roman" w:hAnsi="Calibri" w:cs="Calibri"/>
                <w:color w:val="000000"/>
              </w:rPr>
            </w:pPr>
            <w:r w:rsidRPr="0099459C">
              <w:rPr>
                <w:rFonts w:ascii="Calibri" w:eastAsia="Times New Roman" w:hAnsi="Calibri" w:cs="Calibri"/>
                <w:color w:val="000000"/>
              </w:rPr>
              <w:t>3 (18%)</w:t>
            </w:r>
          </w:p>
        </w:tc>
        <w:tc>
          <w:tcPr>
            <w:tcW w:w="2493" w:type="dxa"/>
            <w:tcBorders>
              <w:top w:val="nil"/>
              <w:left w:val="nil"/>
              <w:bottom w:val="nil"/>
              <w:right w:val="nil"/>
            </w:tcBorders>
            <w:shd w:val="clear" w:color="auto" w:fill="auto"/>
            <w:noWrap/>
            <w:vAlign w:val="bottom"/>
            <w:hideMark/>
          </w:tcPr>
          <w:p w14:paraId="63B9675B" w14:textId="77777777" w:rsidR="00065E56" w:rsidRPr="0099459C" w:rsidRDefault="00065E56" w:rsidP="001C607A">
            <w:pPr>
              <w:jc w:val="center"/>
              <w:rPr>
                <w:rFonts w:ascii="Calibri" w:eastAsia="Times New Roman" w:hAnsi="Calibri" w:cs="Calibri"/>
                <w:color w:val="000000"/>
              </w:rPr>
            </w:pPr>
            <w:r w:rsidRPr="0099459C">
              <w:rPr>
                <w:rFonts w:ascii="Calibri" w:eastAsia="Times New Roman" w:hAnsi="Calibri" w:cs="Calibri"/>
                <w:color w:val="000000"/>
              </w:rPr>
              <w:t>14 (82%)</w:t>
            </w:r>
          </w:p>
        </w:tc>
        <w:tc>
          <w:tcPr>
            <w:tcW w:w="239" w:type="dxa"/>
            <w:tcBorders>
              <w:top w:val="nil"/>
              <w:left w:val="nil"/>
              <w:bottom w:val="nil"/>
              <w:right w:val="nil"/>
            </w:tcBorders>
            <w:shd w:val="clear" w:color="auto" w:fill="auto"/>
            <w:noWrap/>
            <w:vAlign w:val="bottom"/>
            <w:hideMark/>
          </w:tcPr>
          <w:p w14:paraId="5ABF0B6A" w14:textId="77777777" w:rsidR="00065E56" w:rsidRPr="0099459C" w:rsidRDefault="00065E56" w:rsidP="001C607A">
            <w:pPr>
              <w:jc w:val="center"/>
              <w:rPr>
                <w:rFonts w:ascii="Calibri" w:eastAsia="Times New Roman" w:hAnsi="Calibri" w:cs="Calibri"/>
                <w:color w:val="000000"/>
              </w:rPr>
            </w:pPr>
          </w:p>
        </w:tc>
        <w:tc>
          <w:tcPr>
            <w:tcW w:w="239" w:type="dxa"/>
            <w:tcBorders>
              <w:top w:val="nil"/>
              <w:left w:val="nil"/>
              <w:bottom w:val="nil"/>
              <w:right w:val="nil"/>
            </w:tcBorders>
            <w:shd w:val="clear" w:color="auto" w:fill="auto"/>
            <w:noWrap/>
            <w:vAlign w:val="bottom"/>
            <w:hideMark/>
          </w:tcPr>
          <w:p w14:paraId="6E25B6EC" w14:textId="77777777" w:rsidR="00065E56" w:rsidRPr="0099459C" w:rsidRDefault="00065E56" w:rsidP="001C607A">
            <w:pPr>
              <w:jc w:val="center"/>
              <w:rPr>
                <w:rFonts w:ascii="Times New Roman" w:eastAsia="Times New Roman" w:hAnsi="Times New Roman" w:cs="Times New Roman"/>
                <w:sz w:val="20"/>
                <w:szCs w:val="20"/>
              </w:rPr>
            </w:pPr>
          </w:p>
        </w:tc>
        <w:tc>
          <w:tcPr>
            <w:tcW w:w="239" w:type="dxa"/>
            <w:tcBorders>
              <w:top w:val="nil"/>
              <w:left w:val="nil"/>
              <w:bottom w:val="nil"/>
              <w:right w:val="nil"/>
            </w:tcBorders>
            <w:shd w:val="clear" w:color="auto" w:fill="auto"/>
            <w:noWrap/>
            <w:vAlign w:val="bottom"/>
            <w:hideMark/>
          </w:tcPr>
          <w:p w14:paraId="37E77EA3" w14:textId="77777777" w:rsidR="00065E56" w:rsidRPr="0099459C" w:rsidRDefault="00065E56" w:rsidP="001C607A">
            <w:pPr>
              <w:jc w:val="center"/>
              <w:rPr>
                <w:rFonts w:ascii="Times New Roman" w:eastAsia="Times New Roman" w:hAnsi="Times New Roman" w:cs="Times New Roman"/>
                <w:sz w:val="20"/>
                <w:szCs w:val="20"/>
              </w:rPr>
            </w:pPr>
          </w:p>
        </w:tc>
        <w:tc>
          <w:tcPr>
            <w:tcW w:w="101" w:type="dxa"/>
            <w:tcBorders>
              <w:top w:val="nil"/>
              <w:left w:val="nil"/>
              <w:bottom w:val="nil"/>
              <w:right w:val="nil"/>
            </w:tcBorders>
            <w:shd w:val="clear" w:color="auto" w:fill="auto"/>
            <w:noWrap/>
            <w:vAlign w:val="bottom"/>
            <w:hideMark/>
          </w:tcPr>
          <w:p w14:paraId="46F1F347" w14:textId="77777777" w:rsidR="00065E56" w:rsidRPr="0099459C" w:rsidRDefault="00065E56" w:rsidP="001C607A">
            <w:pPr>
              <w:jc w:val="center"/>
              <w:rPr>
                <w:rFonts w:ascii="Times New Roman" w:eastAsia="Times New Roman" w:hAnsi="Times New Roman" w:cs="Times New Roman"/>
                <w:sz w:val="20"/>
                <w:szCs w:val="20"/>
              </w:rPr>
            </w:pPr>
          </w:p>
        </w:tc>
      </w:tr>
      <w:tr w:rsidR="00065E56" w:rsidRPr="0099459C" w14:paraId="47AD4B44" w14:textId="77777777" w:rsidTr="001C607A">
        <w:trPr>
          <w:trHeight w:val="700"/>
        </w:trPr>
        <w:tc>
          <w:tcPr>
            <w:tcW w:w="3298" w:type="dxa"/>
            <w:tcBorders>
              <w:top w:val="nil"/>
              <w:left w:val="nil"/>
              <w:bottom w:val="nil"/>
              <w:right w:val="nil"/>
            </w:tcBorders>
            <w:shd w:val="clear" w:color="auto" w:fill="auto"/>
            <w:vAlign w:val="bottom"/>
            <w:hideMark/>
          </w:tcPr>
          <w:p w14:paraId="1257D87B" w14:textId="77777777" w:rsidR="00065E56" w:rsidRPr="0099459C" w:rsidRDefault="00065E56" w:rsidP="001C607A">
            <w:pPr>
              <w:rPr>
                <w:rFonts w:ascii="Calibri" w:eastAsia="Times New Roman" w:hAnsi="Calibri" w:cs="Calibri"/>
                <w:color w:val="000000"/>
              </w:rPr>
            </w:pPr>
            <w:r w:rsidRPr="0099459C">
              <w:rPr>
                <w:rFonts w:ascii="Calibri" w:eastAsia="Times New Roman" w:hAnsi="Calibri" w:cs="Calibri"/>
                <w:color w:val="000000"/>
              </w:rPr>
              <w:t>PA-yes cadaver</w:t>
            </w:r>
          </w:p>
        </w:tc>
        <w:tc>
          <w:tcPr>
            <w:tcW w:w="2493" w:type="dxa"/>
            <w:tcBorders>
              <w:top w:val="nil"/>
              <w:left w:val="nil"/>
              <w:bottom w:val="nil"/>
              <w:right w:val="nil"/>
            </w:tcBorders>
            <w:shd w:val="clear" w:color="auto" w:fill="auto"/>
            <w:noWrap/>
            <w:vAlign w:val="bottom"/>
            <w:hideMark/>
          </w:tcPr>
          <w:p w14:paraId="4F18A71F" w14:textId="77777777" w:rsidR="00065E56" w:rsidRPr="0099459C" w:rsidRDefault="00065E56" w:rsidP="001C607A">
            <w:pPr>
              <w:jc w:val="center"/>
              <w:rPr>
                <w:rFonts w:ascii="Calibri" w:eastAsia="Times New Roman" w:hAnsi="Calibri" w:cs="Calibri"/>
                <w:color w:val="000000"/>
              </w:rPr>
            </w:pPr>
            <w:r w:rsidRPr="0099459C">
              <w:rPr>
                <w:rFonts w:ascii="Calibri" w:eastAsia="Times New Roman" w:hAnsi="Calibri" w:cs="Calibri"/>
                <w:color w:val="000000"/>
              </w:rPr>
              <w:t>6 (32%)</w:t>
            </w:r>
          </w:p>
        </w:tc>
        <w:tc>
          <w:tcPr>
            <w:tcW w:w="2493" w:type="dxa"/>
            <w:tcBorders>
              <w:top w:val="nil"/>
              <w:left w:val="nil"/>
              <w:bottom w:val="nil"/>
              <w:right w:val="nil"/>
            </w:tcBorders>
            <w:shd w:val="clear" w:color="auto" w:fill="auto"/>
            <w:noWrap/>
            <w:vAlign w:val="bottom"/>
            <w:hideMark/>
          </w:tcPr>
          <w:p w14:paraId="7FD03230" w14:textId="77777777" w:rsidR="00065E56" w:rsidRPr="0099459C" w:rsidRDefault="00065E56" w:rsidP="001C607A">
            <w:pPr>
              <w:jc w:val="center"/>
              <w:rPr>
                <w:rFonts w:ascii="Calibri" w:eastAsia="Times New Roman" w:hAnsi="Calibri" w:cs="Calibri"/>
                <w:color w:val="000000"/>
              </w:rPr>
            </w:pPr>
            <w:r w:rsidRPr="0099459C">
              <w:rPr>
                <w:rFonts w:ascii="Calibri" w:eastAsia="Times New Roman" w:hAnsi="Calibri" w:cs="Calibri"/>
                <w:color w:val="000000"/>
              </w:rPr>
              <w:t>13 (68%)</w:t>
            </w:r>
          </w:p>
        </w:tc>
        <w:tc>
          <w:tcPr>
            <w:tcW w:w="239" w:type="dxa"/>
            <w:tcBorders>
              <w:top w:val="nil"/>
              <w:left w:val="nil"/>
              <w:bottom w:val="nil"/>
              <w:right w:val="nil"/>
            </w:tcBorders>
            <w:shd w:val="clear" w:color="auto" w:fill="auto"/>
            <w:noWrap/>
            <w:vAlign w:val="bottom"/>
            <w:hideMark/>
          </w:tcPr>
          <w:p w14:paraId="71226B26" w14:textId="77777777" w:rsidR="00065E56" w:rsidRPr="0099459C" w:rsidRDefault="00065E56" w:rsidP="001C607A">
            <w:pPr>
              <w:jc w:val="center"/>
              <w:rPr>
                <w:rFonts w:ascii="Calibri" w:eastAsia="Times New Roman" w:hAnsi="Calibri" w:cs="Calibri"/>
                <w:color w:val="000000"/>
              </w:rPr>
            </w:pPr>
          </w:p>
        </w:tc>
        <w:tc>
          <w:tcPr>
            <w:tcW w:w="239" w:type="dxa"/>
            <w:tcBorders>
              <w:top w:val="nil"/>
              <w:left w:val="nil"/>
              <w:bottom w:val="nil"/>
              <w:right w:val="nil"/>
            </w:tcBorders>
            <w:shd w:val="clear" w:color="auto" w:fill="auto"/>
            <w:noWrap/>
            <w:vAlign w:val="bottom"/>
            <w:hideMark/>
          </w:tcPr>
          <w:p w14:paraId="507579A1" w14:textId="77777777" w:rsidR="00065E56" w:rsidRPr="0099459C" w:rsidRDefault="00065E56" w:rsidP="001C607A">
            <w:pPr>
              <w:jc w:val="center"/>
              <w:rPr>
                <w:rFonts w:ascii="Times New Roman" w:eastAsia="Times New Roman" w:hAnsi="Times New Roman" w:cs="Times New Roman"/>
                <w:sz w:val="20"/>
                <w:szCs w:val="20"/>
              </w:rPr>
            </w:pPr>
          </w:p>
        </w:tc>
        <w:tc>
          <w:tcPr>
            <w:tcW w:w="239" w:type="dxa"/>
            <w:tcBorders>
              <w:top w:val="nil"/>
              <w:left w:val="nil"/>
              <w:bottom w:val="nil"/>
              <w:right w:val="nil"/>
            </w:tcBorders>
            <w:shd w:val="clear" w:color="auto" w:fill="auto"/>
            <w:noWrap/>
            <w:vAlign w:val="bottom"/>
            <w:hideMark/>
          </w:tcPr>
          <w:p w14:paraId="45C7F3D3" w14:textId="77777777" w:rsidR="00065E56" w:rsidRPr="0099459C" w:rsidRDefault="00065E56" w:rsidP="001C607A">
            <w:pPr>
              <w:jc w:val="center"/>
              <w:rPr>
                <w:rFonts w:ascii="Times New Roman" w:eastAsia="Times New Roman" w:hAnsi="Times New Roman" w:cs="Times New Roman"/>
                <w:sz w:val="20"/>
                <w:szCs w:val="20"/>
              </w:rPr>
            </w:pPr>
          </w:p>
        </w:tc>
        <w:tc>
          <w:tcPr>
            <w:tcW w:w="101" w:type="dxa"/>
            <w:tcBorders>
              <w:top w:val="nil"/>
              <w:left w:val="nil"/>
              <w:bottom w:val="nil"/>
              <w:right w:val="nil"/>
            </w:tcBorders>
            <w:shd w:val="clear" w:color="auto" w:fill="auto"/>
            <w:noWrap/>
            <w:vAlign w:val="bottom"/>
            <w:hideMark/>
          </w:tcPr>
          <w:p w14:paraId="22E1B36E" w14:textId="77777777" w:rsidR="00065E56" w:rsidRPr="0099459C" w:rsidRDefault="00065E56" w:rsidP="001C607A">
            <w:pPr>
              <w:jc w:val="center"/>
              <w:rPr>
                <w:rFonts w:ascii="Times New Roman" w:eastAsia="Times New Roman" w:hAnsi="Times New Roman" w:cs="Times New Roman"/>
                <w:sz w:val="20"/>
                <w:szCs w:val="20"/>
              </w:rPr>
            </w:pPr>
          </w:p>
        </w:tc>
      </w:tr>
      <w:tr w:rsidR="00065E56" w:rsidRPr="0099459C" w14:paraId="19BCEC88" w14:textId="77777777" w:rsidTr="001C607A">
        <w:trPr>
          <w:trHeight w:val="340"/>
        </w:trPr>
        <w:tc>
          <w:tcPr>
            <w:tcW w:w="3298" w:type="dxa"/>
            <w:tcBorders>
              <w:top w:val="single" w:sz="8" w:space="0" w:color="auto"/>
              <w:left w:val="single" w:sz="8" w:space="0" w:color="auto"/>
              <w:bottom w:val="nil"/>
              <w:right w:val="nil"/>
            </w:tcBorders>
            <w:shd w:val="clear" w:color="000000" w:fill="D9D9D9"/>
            <w:vAlign w:val="bottom"/>
            <w:hideMark/>
          </w:tcPr>
          <w:p w14:paraId="5E2D5468" w14:textId="77777777" w:rsidR="00065E56" w:rsidRPr="0099459C" w:rsidRDefault="00065E56" w:rsidP="001C607A">
            <w:pPr>
              <w:rPr>
                <w:rFonts w:ascii="Calibri" w:eastAsia="Times New Roman" w:hAnsi="Calibri" w:cs="Calibri"/>
                <w:color w:val="000000"/>
              </w:rPr>
            </w:pPr>
            <w:r w:rsidRPr="0099459C">
              <w:rPr>
                <w:rFonts w:ascii="Calibri" w:eastAsia="Times New Roman" w:hAnsi="Calibri" w:cs="Calibri"/>
                <w:color w:val="000000"/>
              </w:rPr>
              <w:t>Q9</w:t>
            </w:r>
          </w:p>
        </w:tc>
        <w:tc>
          <w:tcPr>
            <w:tcW w:w="2493" w:type="dxa"/>
            <w:tcBorders>
              <w:top w:val="single" w:sz="8" w:space="0" w:color="auto"/>
              <w:left w:val="nil"/>
              <w:bottom w:val="nil"/>
              <w:right w:val="nil"/>
            </w:tcBorders>
            <w:shd w:val="clear" w:color="000000" w:fill="D9D9D9"/>
            <w:noWrap/>
            <w:vAlign w:val="bottom"/>
            <w:hideMark/>
          </w:tcPr>
          <w:p w14:paraId="0C0BF86B" w14:textId="77777777" w:rsidR="00065E56" w:rsidRPr="0099459C" w:rsidRDefault="00065E56" w:rsidP="001C607A">
            <w:pPr>
              <w:jc w:val="center"/>
              <w:rPr>
                <w:rFonts w:ascii="Calibri" w:eastAsia="Times New Roman" w:hAnsi="Calibri" w:cs="Calibri"/>
                <w:color w:val="000000"/>
              </w:rPr>
            </w:pPr>
            <w:r w:rsidRPr="0099459C">
              <w:rPr>
                <w:rFonts w:ascii="Calibri" w:eastAsia="Times New Roman" w:hAnsi="Calibri" w:cs="Calibri"/>
                <w:color w:val="000000"/>
              </w:rPr>
              <w:t> </w:t>
            </w:r>
          </w:p>
        </w:tc>
        <w:tc>
          <w:tcPr>
            <w:tcW w:w="2493" w:type="dxa"/>
            <w:tcBorders>
              <w:top w:val="single" w:sz="8" w:space="0" w:color="auto"/>
              <w:left w:val="nil"/>
              <w:bottom w:val="nil"/>
              <w:right w:val="nil"/>
            </w:tcBorders>
            <w:shd w:val="clear" w:color="000000" w:fill="D9D9D9"/>
            <w:noWrap/>
            <w:vAlign w:val="bottom"/>
            <w:hideMark/>
          </w:tcPr>
          <w:p w14:paraId="4245E428" w14:textId="77777777" w:rsidR="00065E56" w:rsidRPr="0099459C" w:rsidRDefault="00065E56" w:rsidP="001C607A">
            <w:pPr>
              <w:jc w:val="center"/>
              <w:rPr>
                <w:rFonts w:ascii="Calibri" w:eastAsia="Times New Roman" w:hAnsi="Calibri" w:cs="Calibri"/>
                <w:color w:val="000000"/>
              </w:rPr>
            </w:pPr>
            <w:r w:rsidRPr="0099459C">
              <w:rPr>
                <w:rFonts w:ascii="Calibri" w:eastAsia="Times New Roman" w:hAnsi="Calibri" w:cs="Calibri"/>
                <w:color w:val="000000"/>
              </w:rPr>
              <w:t> </w:t>
            </w:r>
          </w:p>
        </w:tc>
        <w:tc>
          <w:tcPr>
            <w:tcW w:w="239" w:type="dxa"/>
            <w:tcBorders>
              <w:top w:val="single" w:sz="8" w:space="0" w:color="auto"/>
              <w:left w:val="nil"/>
              <w:bottom w:val="nil"/>
              <w:right w:val="nil"/>
            </w:tcBorders>
            <w:shd w:val="clear" w:color="000000" w:fill="D9D9D9"/>
            <w:noWrap/>
            <w:vAlign w:val="bottom"/>
            <w:hideMark/>
          </w:tcPr>
          <w:p w14:paraId="0E4EB0B8" w14:textId="77777777" w:rsidR="00065E56" w:rsidRPr="0099459C" w:rsidRDefault="00065E56" w:rsidP="001C607A">
            <w:pPr>
              <w:jc w:val="center"/>
              <w:rPr>
                <w:rFonts w:ascii="Calibri" w:eastAsia="Times New Roman" w:hAnsi="Calibri" w:cs="Calibri"/>
                <w:color w:val="000000"/>
              </w:rPr>
            </w:pPr>
            <w:r w:rsidRPr="0099459C">
              <w:rPr>
                <w:rFonts w:ascii="Calibri" w:eastAsia="Times New Roman" w:hAnsi="Calibri" w:cs="Calibri"/>
                <w:color w:val="000000"/>
              </w:rPr>
              <w:t> </w:t>
            </w:r>
          </w:p>
        </w:tc>
        <w:tc>
          <w:tcPr>
            <w:tcW w:w="239" w:type="dxa"/>
            <w:tcBorders>
              <w:top w:val="single" w:sz="8" w:space="0" w:color="auto"/>
              <w:left w:val="nil"/>
              <w:bottom w:val="nil"/>
              <w:right w:val="nil"/>
            </w:tcBorders>
            <w:shd w:val="clear" w:color="000000" w:fill="D9D9D9"/>
            <w:noWrap/>
            <w:vAlign w:val="bottom"/>
            <w:hideMark/>
          </w:tcPr>
          <w:p w14:paraId="7BDE42AE" w14:textId="77777777" w:rsidR="00065E56" w:rsidRPr="0099459C" w:rsidRDefault="00065E56" w:rsidP="001C607A">
            <w:pPr>
              <w:jc w:val="center"/>
              <w:rPr>
                <w:rFonts w:ascii="Calibri" w:eastAsia="Times New Roman" w:hAnsi="Calibri" w:cs="Calibri"/>
                <w:color w:val="000000"/>
              </w:rPr>
            </w:pPr>
            <w:r w:rsidRPr="0099459C">
              <w:rPr>
                <w:rFonts w:ascii="Calibri" w:eastAsia="Times New Roman" w:hAnsi="Calibri" w:cs="Calibri"/>
                <w:color w:val="000000"/>
              </w:rPr>
              <w:t> </w:t>
            </w:r>
          </w:p>
        </w:tc>
        <w:tc>
          <w:tcPr>
            <w:tcW w:w="239" w:type="dxa"/>
            <w:tcBorders>
              <w:top w:val="single" w:sz="8" w:space="0" w:color="auto"/>
              <w:left w:val="nil"/>
              <w:bottom w:val="nil"/>
              <w:right w:val="single" w:sz="8" w:space="0" w:color="auto"/>
            </w:tcBorders>
            <w:shd w:val="clear" w:color="000000" w:fill="D9D9D9"/>
            <w:noWrap/>
            <w:vAlign w:val="bottom"/>
            <w:hideMark/>
          </w:tcPr>
          <w:p w14:paraId="18B10420" w14:textId="77777777" w:rsidR="00065E56" w:rsidRPr="0099459C" w:rsidRDefault="00065E56" w:rsidP="001C607A">
            <w:pPr>
              <w:jc w:val="center"/>
              <w:rPr>
                <w:rFonts w:ascii="Calibri" w:eastAsia="Times New Roman" w:hAnsi="Calibri" w:cs="Calibri"/>
                <w:color w:val="000000"/>
              </w:rPr>
            </w:pPr>
            <w:r w:rsidRPr="0099459C">
              <w:rPr>
                <w:rFonts w:ascii="Calibri" w:eastAsia="Times New Roman" w:hAnsi="Calibri" w:cs="Calibri"/>
                <w:color w:val="000000"/>
              </w:rPr>
              <w:t> </w:t>
            </w:r>
          </w:p>
        </w:tc>
        <w:tc>
          <w:tcPr>
            <w:tcW w:w="101" w:type="dxa"/>
            <w:tcBorders>
              <w:top w:val="nil"/>
              <w:left w:val="nil"/>
              <w:bottom w:val="nil"/>
              <w:right w:val="nil"/>
            </w:tcBorders>
            <w:shd w:val="clear" w:color="auto" w:fill="auto"/>
            <w:noWrap/>
            <w:vAlign w:val="bottom"/>
            <w:hideMark/>
          </w:tcPr>
          <w:p w14:paraId="59F7FD4A" w14:textId="77777777" w:rsidR="00065E56" w:rsidRPr="0099459C" w:rsidRDefault="00065E56" w:rsidP="001C607A">
            <w:pPr>
              <w:jc w:val="center"/>
              <w:rPr>
                <w:rFonts w:ascii="Calibri" w:eastAsia="Times New Roman" w:hAnsi="Calibri" w:cs="Calibri"/>
                <w:color w:val="000000"/>
              </w:rPr>
            </w:pPr>
          </w:p>
        </w:tc>
      </w:tr>
      <w:tr w:rsidR="00065E56" w:rsidRPr="0099459C" w14:paraId="3C43A71C" w14:textId="77777777" w:rsidTr="001C607A">
        <w:trPr>
          <w:trHeight w:val="340"/>
        </w:trPr>
        <w:tc>
          <w:tcPr>
            <w:tcW w:w="9001" w:type="dxa"/>
            <w:gridSpan w:val="6"/>
            <w:tcBorders>
              <w:top w:val="nil"/>
              <w:left w:val="single" w:sz="8" w:space="0" w:color="auto"/>
              <w:bottom w:val="single" w:sz="8" w:space="0" w:color="auto"/>
              <w:right w:val="single" w:sz="8" w:space="0" w:color="000000"/>
            </w:tcBorders>
            <w:shd w:val="clear" w:color="000000" w:fill="D9D9D9"/>
            <w:noWrap/>
            <w:vAlign w:val="bottom"/>
            <w:hideMark/>
          </w:tcPr>
          <w:p w14:paraId="7FCADF6A" w14:textId="77777777" w:rsidR="00065E56" w:rsidRPr="0099459C" w:rsidRDefault="00065E56" w:rsidP="001C607A">
            <w:pPr>
              <w:rPr>
                <w:rFonts w:ascii="Calibri" w:eastAsia="Times New Roman" w:hAnsi="Calibri" w:cs="Calibri"/>
                <w:color w:val="000000"/>
              </w:rPr>
            </w:pPr>
            <w:r w:rsidRPr="0099459C">
              <w:rPr>
                <w:rFonts w:ascii="Calibri" w:eastAsia="Times New Roman" w:hAnsi="Calibri" w:cs="Calibri"/>
                <w:color w:val="000000"/>
              </w:rPr>
              <w:t>Models should be provided by the university for online laboratory courses.</w:t>
            </w:r>
          </w:p>
        </w:tc>
        <w:tc>
          <w:tcPr>
            <w:tcW w:w="101" w:type="dxa"/>
            <w:tcBorders>
              <w:top w:val="nil"/>
              <w:left w:val="nil"/>
              <w:bottom w:val="nil"/>
              <w:right w:val="nil"/>
            </w:tcBorders>
            <w:shd w:val="clear" w:color="auto" w:fill="auto"/>
            <w:noWrap/>
            <w:vAlign w:val="bottom"/>
            <w:hideMark/>
          </w:tcPr>
          <w:p w14:paraId="24E9E6B0" w14:textId="77777777" w:rsidR="00065E56" w:rsidRPr="0099459C" w:rsidRDefault="00065E56" w:rsidP="001C607A">
            <w:pPr>
              <w:rPr>
                <w:rFonts w:ascii="Calibri" w:eastAsia="Times New Roman" w:hAnsi="Calibri" w:cs="Calibri"/>
                <w:color w:val="000000"/>
              </w:rPr>
            </w:pPr>
          </w:p>
        </w:tc>
      </w:tr>
      <w:tr w:rsidR="00065E56" w:rsidRPr="0099459C" w14:paraId="1435D099" w14:textId="77777777" w:rsidTr="001C607A">
        <w:trPr>
          <w:trHeight w:val="340"/>
        </w:trPr>
        <w:tc>
          <w:tcPr>
            <w:tcW w:w="3298" w:type="dxa"/>
            <w:tcBorders>
              <w:top w:val="nil"/>
              <w:left w:val="nil"/>
              <w:bottom w:val="nil"/>
              <w:right w:val="nil"/>
            </w:tcBorders>
            <w:shd w:val="clear" w:color="000000" w:fill="D9D9D9"/>
            <w:vAlign w:val="bottom"/>
            <w:hideMark/>
          </w:tcPr>
          <w:p w14:paraId="0A6EA75B" w14:textId="77777777" w:rsidR="00065E56" w:rsidRPr="0099459C" w:rsidRDefault="00065E56" w:rsidP="001C607A">
            <w:pPr>
              <w:rPr>
                <w:rFonts w:ascii="Calibri" w:eastAsia="Times New Roman" w:hAnsi="Calibri" w:cs="Calibri"/>
                <w:color w:val="000000"/>
              </w:rPr>
            </w:pPr>
            <w:r w:rsidRPr="0099459C">
              <w:rPr>
                <w:rFonts w:ascii="Calibri" w:eastAsia="Times New Roman" w:hAnsi="Calibri" w:cs="Calibri"/>
                <w:color w:val="000000"/>
              </w:rPr>
              <w:t>Program</w:t>
            </w:r>
          </w:p>
        </w:tc>
        <w:tc>
          <w:tcPr>
            <w:tcW w:w="2493" w:type="dxa"/>
            <w:tcBorders>
              <w:top w:val="nil"/>
              <w:left w:val="nil"/>
              <w:bottom w:val="nil"/>
              <w:right w:val="nil"/>
            </w:tcBorders>
            <w:shd w:val="clear" w:color="000000" w:fill="D9D9D9"/>
            <w:noWrap/>
            <w:vAlign w:val="bottom"/>
            <w:hideMark/>
          </w:tcPr>
          <w:p w14:paraId="5216FACA" w14:textId="77777777" w:rsidR="00065E56" w:rsidRPr="0099459C" w:rsidRDefault="00065E56" w:rsidP="001C607A">
            <w:pPr>
              <w:jc w:val="center"/>
              <w:rPr>
                <w:rFonts w:ascii="Calibri" w:eastAsia="Times New Roman" w:hAnsi="Calibri" w:cs="Calibri"/>
                <w:color w:val="000000"/>
              </w:rPr>
            </w:pPr>
            <w:r w:rsidRPr="0099459C">
              <w:rPr>
                <w:rFonts w:ascii="Calibri" w:eastAsia="Times New Roman" w:hAnsi="Calibri" w:cs="Calibri"/>
                <w:color w:val="000000"/>
              </w:rPr>
              <w:t xml:space="preserve">Yes </w:t>
            </w:r>
          </w:p>
        </w:tc>
        <w:tc>
          <w:tcPr>
            <w:tcW w:w="2493" w:type="dxa"/>
            <w:tcBorders>
              <w:top w:val="nil"/>
              <w:left w:val="nil"/>
              <w:bottom w:val="nil"/>
              <w:right w:val="nil"/>
            </w:tcBorders>
            <w:shd w:val="clear" w:color="000000" w:fill="D9D9D9"/>
            <w:noWrap/>
            <w:vAlign w:val="bottom"/>
            <w:hideMark/>
          </w:tcPr>
          <w:p w14:paraId="56A00214" w14:textId="77777777" w:rsidR="00065E56" w:rsidRPr="0099459C" w:rsidRDefault="00065E56" w:rsidP="001C607A">
            <w:pPr>
              <w:jc w:val="center"/>
              <w:rPr>
                <w:rFonts w:ascii="Calibri" w:eastAsia="Times New Roman" w:hAnsi="Calibri" w:cs="Calibri"/>
                <w:color w:val="000000"/>
              </w:rPr>
            </w:pPr>
            <w:r w:rsidRPr="0099459C">
              <w:rPr>
                <w:rFonts w:ascii="Calibri" w:eastAsia="Times New Roman" w:hAnsi="Calibri" w:cs="Calibri"/>
                <w:color w:val="000000"/>
              </w:rPr>
              <w:t>No</w:t>
            </w:r>
          </w:p>
        </w:tc>
        <w:tc>
          <w:tcPr>
            <w:tcW w:w="239" w:type="dxa"/>
            <w:tcBorders>
              <w:top w:val="nil"/>
              <w:left w:val="nil"/>
              <w:bottom w:val="nil"/>
              <w:right w:val="nil"/>
            </w:tcBorders>
            <w:shd w:val="clear" w:color="000000" w:fill="D9D9D9"/>
            <w:noWrap/>
            <w:vAlign w:val="bottom"/>
            <w:hideMark/>
          </w:tcPr>
          <w:p w14:paraId="537CAC48" w14:textId="77777777" w:rsidR="00065E56" w:rsidRPr="0099459C" w:rsidRDefault="00065E56" w:rsidP="001C607A">
            <w:pPr>
              <w:jc w:val="center"/>
              <w:rPr>
                <w:rFonts w:ascii="Calibri" w:eastAsia="Times New Roman" w:hAnsi="Calibri" w:cs="Calibri"/>
                <w:color w:val="000000"/>
              </w:rPr>
            </w:pPr>
            <w:r w:rsidRPr="0099459C">
              <w:rPr>
                <w:rFonts w:ascii="Calibri" w:eastAsia="Times New Roman" w:hAnsi="Calibri" w:cs="Calibri"/>
                <w:color w:val="000000"/>
              </w:rPr>
              <w:t> </w:t>
            </w:r>
          </w:p>
        </w:tc>
        <w:tc>
          <w:tcPr>
            <w:tcW w:w="239" w:type="dxa"/>
            <w:tcBorders>
              <w:top w:val="nil"/>
              <w:left w:val="nil"/>
              <w:bottom w:val="nil"/>
              <w:right w:val="nil"/>
            </w:tcBorders>
            <w:shd w:val="clear" w:color="000000" w:fill="D9D9D9"/>
            <w:noWrap/>
            <w:vAlign w:val="bottom"/>
            <w:hideMark/>
          </w:tcPr>
          <w:p w14:paraId="70EA1906" w14:textId="77777777" w:rsidR="00065E56" w:rsidRPr="0099459C" w:rsidRDefault="00065E56" w:rsidP="001C607A">
            <w:pPr>
              <w:jc w:val="center"/>
              <w:rPr>
                <w:rFonts w:ascii="Calibri" w:eastAsia="Times New Roman" w:hAnsi="Calibri" w:cs="Calibri"/>
                <w:color w:val="000000"/>
              </w:rPr>
            </w:pPr>
            <w:r w:rsidRPr="0099459C">
              <w:rPr>
                <w:rFonts w:ascii="Calibri" w:eastAsia="Times New Roman" w:hAnsi="Calibri" w:cs="Calibri"/>
                <w:color w:val="000000"/>
              </w:rPr>
              <w:t> </w:t>
            </w:r>
          </w:p>
        </w:tc>
        <w:tc>
          <w:tcPr>
            <w:tcW w:w="239" w:type="dxa"/>
            <w:tcBorders>
              <w:top w:val="nil"/>
              <w:left w:val="nil"/>
              <w:bottom w:val="nil"/>
              <w:right w:val="nil"/>
            </w:tcBorders>
            <w:shd w:val="clear" w:color="000000" w:fill="D9D9D9"/>
            <w:noWrap/>
            <w:vAlign w:val="bottom"/>
            <w:hideMark/>
          </w:tcPr>
          <w:p w14:paraId="5FCEF756" w14:textId="77777777" w:rsidR="00065E56" w:rsidRPr="0099459C" w:rsidRDefault="00065E56" w:rsidP="001C607A">
            <w:pPr>
              <w:jc w:val="center"/>
              <w:rPr>
                <w:rFonts w:ascii="Calibri" w:eastAsia="Times New Roman" w:hAnsi="Calibri" w:cs="Calibri"/>
                <w:color w:val="000000"/>
              </w:rPr>
            </w:pPr>
            <w:r w:rsidRPr="0099459C">
              <w:rPr>
                <w:rFonts w:ascii="Calibri" w:eastAsia="Times New Roman" w:hAnsi="Calibri" w:cs="Calibri"/>
                <w:color w:val="000000"/>
              </w:rPr>
              <w:t> </w:t>
            </w:r>
          </w:p>
        </w:tc>
        <w:tc>
          <w:tcPr>
            <w:tcW w:w="101" w:type="dxa"/>
            <w:tcBorders>
              <w:top w:val="nil"/>
              <w:left w:val="nil"/>
              <w:bottom w:val="nil"/>
              <w:right w:val="nil"/>
            </w:tcBorders>
            <w:shd w:val="clear" w:color="auto" w:fill="auto"/>
            <w:noWrap/>
            <w:vAlign w:val="bottom"/>
            <w:hideMark/>
          </w:tcPr>
          <w:p w14:paraId="21F37756" w14:textId="77777777" w:rsidR="00065E56" w:rsidRPr="0099459C" w:rsidRDefault="00065E56" w:rsidP="001C607A">
            <w:pPr>
              <w:jc w:val="center"/>
              <w:rPr>
                <w:rFonts w:ascii="Calibri" w:eastAsia="Times New Roman" w:hAnsi="Calibri" w:cs="Calibri"/>
                <w:color w:val="000000"/>
              </w:rPr>
            </w:pPr>
          </w:p>
        </w:tc>
      </w:tr>
      <w:tr w:rsidR="00065E56" w:rsidRPr="0099459C" w14:paraId="6129F7FD" w14:textId="77777777" w:rsidTr="001C607A">
        <w:trPr>
          <w:trHeight w:val="340"/>
        </w:trPr>
        <w:tc>
          <w:tcPr>
            <w:tcW w:w="3298" w:type="dxa"/>
            <w:tcBorders>
              <w:top w:val="nil"/>
              <w:left w:val="nil"/>
              <w:bottom w:val="nil"/>
              <w:right w:val="nil"/>
            </w:tcBorders>
            <w:shd w:val="clear" w:color="000000" w:fill="BFBFBF"/>
            <w:vAlign w:val="bottom"/>
            <w:hideMark/>
          </w:tcPr>
          <w:p w14:paraId="6F903374" w14:textId="77777777" w:rsidR="00065E56" w:rsidRPr="0099459C" w:rsidRDefault="00065E56" w:rsidP="001C607A">
            <w:pPr>
              <w:rPr>
                <w:rFonts w:ascii="Calibri" w:eastAsia="Times New Roman" w:hAnsi="Calibri" w:cs="Calibri"/>
                <w:color w:val="000000"/>
              </w:rPr>
            </w:pPr>
            <w:r w:rsidRPr="0099459C">
              <w:rPr>
                <w:rFonts w:ascii="Calibri" w:eastAsia="Times New Roman" w:hAnsi="Calibri" w:cs="Calibri"/>
                <w:color w:val="000000"/>
              </w:rPr>
              <w:t>Total</w:t>
            </w:r>
          </w:p>
        </w:tc>
        <w:tc>
          <w:tcPr>
            <w:tcW w:w="2493" w:type="dxa"/>
            <w:tcBorders>
              <w:top w:val="nil"/>
              <w:left w:val="nil"/>
              <w:bottom w:val="nil"/>
              <w:right w:val="nil"/>
            </w:tcBorders>
            <w:shd w:val="clear" w:color="000000" w:fill="BFBFBF"/>
            <w:noWrap/>
            <w:vAlign w:val="bottom"/>
            <w:hideMark/>
          </w:tcPr>
          <w:p w14:paraId="0A12D9FC" w14:textId="77777777" w:rsidR="00065E56" w:rsidRPr="0099459C" w:rsidRDefault="00065E56" w:rsidP="001C607A">
            <w:pPr>
              <w:jc w:val="center"/>
              <w:rPr>
                <w:rFonts w:ascii="Calibri" w:eastAsia="Times New Roman" w:hAnsi="Calibri" w:cs="Calibri"/>
                <w:color w:val="000000"/>
              </w:rPr>
            </w:pPr>
            <w:r w:rsidRPr="0099459C">
              <w:rPr>
                <w:rFonts w:ascii="Calibri" w:eastAsia="Times New Roman" w:hAnsi="Calibri" w:cs="Calibri"/>
                <w:color w:val="000000"/>
              </w:rPr>
              <w:t>47 (78%)</w:t>
            </w:r>
          </w:p>
        </w:tc>
        <w:tc>
          <w:tcPr>
            <w:tcW w:w="2493" w:type="dxa"/>
            <w:tcBorders>
              <w:top w:val="nil"/>
              <w:left w:val="nil"/>
              <w:bottom w:val="nil"/>
              <w:right w:val="nil"/>
            </w:tcBorders>
            <w:shd w:val="clear" w:color="000000" w:fill="BFBFBF"/>
            <w:noWrap/>
            <w:vAlign w:val="bottom"/>
            <w:hideMark/>
          </w:tcPr>
          <w:p w14:paraId="1041614E" w14:textId="77777777" w:rsidR="00065E56" w:rsidRPr="0099459C" w:rsidRDefault="00065E56" w:rsidP="001C607A">
            <w:pPr>
              <w:jc w:val="center"/>
              <w:rPr>
                <w:rFonts w:ascii="Calibri" w:eastAsia="Times New Roman" w:hAnsi="Calibri" w:cs="Calibri"/>
                <w:color w:val="000000"/>
              </w:rPr>
            </w:pPr>
            <w:r w:rsidRPr="0099459C">
              <w:rPr>
                <w:rFonts w:ascii="Calibri" w:eastAsia="Times New Roman" w:hAnsi="Calibri" w:cs="Calibri"/>
                <w:color w:val="000000"/>
              </w:rPr>
              <w:t>13 (22%)</w:t>
            </w:r>
          </w:p>
        </w:tc>
        <w:tc>
          <w:tcPr>
            <w:tcW w:w="239" w:type="dxa"/>
            <w:tcBorders>
              <w:top w:val="nil"/>
              <w:left w:val="nil"/>
              <w:bottom w:val="nil"/>
              <w:right w:val="nil"/>
            </w:tcBorders>
            <w:shd w:val="clear" w:color="000000" w:fill="BFBFBF"/>
            <w:noWrap/>
            <w:vAlign w:val="bottom"/>
            <w:hideMark/>
          </w:tcPr>
          <w:p w14:paraId="373EAF20" w14:textId="77777777" w:rsidR="00065E56" w:rsidRPr="0099459C" w:rsidRDefault="00065E56" w:rsidP="001C607A">
            <w:pPr>
              <w:jc w:val="center"/>
              <w:rPr>
                <w:rFonts w:ascii="Calibri" w:eastAsia="Times New Roman" w:hAnsi="Calibri" w:cs="Calibri"/>
                <w:color w:val="000000"/>
              </w:rPr>
            </w:pPr>
            <w:r w:rsidRPr="0099459C">
              <w:rPr>
                <w:rFonts w:ascii="Calibri" w:eastAsia="Times New Roman" w:hAnsi="Calibri" w:cs="Calibri"/>
                <w:color w:val="000000"/>
              </w:rPr>
              <w:t> </w:t>
            </w:r>
          </w:p>
        </w:tc>
        <w:tc>
          <w:tcPr>
            <w:tcW w:w="239" w:type="dxa"/>
            <w:tcBorders>
              <w:top w:val="nil"/>
              <w:left w:val="nil"/>
              <w:bottom w:val="nil"/>
              <w:right w:val="nil"/>
            </w:tcBorders>
            <w:shd w:val="clear" w:color="000000" w:fill="BFBFBF"/>
            <w:noWrap/>
            <w:vAlign w:val="bottom"/>
            <w:hideMark/>
          </w:tcPr>
          <w:p w14:paraId="7AD12488" w14:textId="77777777" w:rsidR="00065E56" w:rsidRPr="0099459C" w:rsidRDefault="00065E56" w:rsidP="001C607A">
            <w:pPr>
              <w:jc w:val="center"/>
              <w:rPr>
                <w:rFonts w:ascii="Calibri" w:eastAsia="Times New Roman" w:hAnsi="Calibri" w:cs="Calibri"/>
                <w:color w:val="000000"/>
              </w:rPr>
            </w:pPr>
            <w:r w:rsidRPr="0099459C">
              <w:rPr>
                <w:rFonts w:ascii="Calibri" w:eastAsia="Times New Roman" w:hAnsi="Calibri" w:cs="Calibri"/>
                <w:color w:val="000000"/>
              </w:rPr>
              <w:t> </w:t>
            </w:r>
          </w:p>
        </w:tc>
        <w:tc>
          <w:tcPr>
            <w:tcW w:w="239" w:type="dxa"/>
            <w:tcBorders>
              <w:top w:val="nil"/>
              <w:left w:val="nil"/>
              <w:bottom w:val="nil"/>
              <w:right w:val="nil"/>
            </w:tcBorders>
            <w:shd w:val="clear" w:color="000000" w:fill="BFBFBF"/>
            <w:noWrap/>
            <w:vAlign w:val="bottom"/>
            <w:hideMark/>
          </w:tcPr>
          <w:p w14:paraId="4473614E" w14:textId="77777777" w:rsidR="00065E56" w:rsidRPr="0099459C" w:rsidRDefault="00065E56" w:rsidP="001C607A">
            <w:pPr>
              <w:jc w:val="center"/>
              <w:rPr>
                <w:rFonts w:ascii="Calibri" w:eastAsia="Times New Roman" w:hAnsi="Calibri" w:cs="Calibri"/>
                <w:color w:val="000000"/>
              </w:rPr>
            </w:pPr>
            <w:r w:rsidRPr="0099459C">
              <w:rPr>
                <w:rFonts w:ascii="Calibri" w:eastAsia="Times New Roman" w:hAnsi="Calibri" w:cs="Calibri"/>
                <w:color w:val="000000"/>
              </w:rPr>
              <w:t> </w:t>
            </w:r>
          </w:p>
        </w:tc>
        <w:tc>
          <w:tcPr>
            <w:tcW w:w="101" w:type="dxa"/>
            <w:tcBorders>
              <w:top w:val="nil"/>
              <w:left w:val="nil"/>
              <w:bottom w:val="nil"/>
              <w:right w:val="nil"/>
            </w:tcBorders>
            <w:shd w:val="clear" w:color="auto" w:fill="auto"/>
            <w:noWrap/>
            <w:vAlign w:val="bottom"/>
            <w:hideMark/>
          </w:tcPr>
          <w:p w14:paraId="1968B665" w14:textId="77777777" w:rsidR="00065E56" w:rsidRPr="0099459C" w:rsidRDefault="00065E56" w:rsidP="001C607A">
            <w:pPr>
              <w:jc w:val="center"/>
              <w:rPr>
                <w:rFonts w:ascii="Calibri" w:eastAsia="Times New Roman" w:hAnsi="Calibri" w:cs="Calibri"/>
                <w:color w:val="000000"/>
              </w:rPr>
            </w:pPr>
          </w:p>
        </w:tc>
      </w:tr>
      <w:tr w:rsidR="00065E56" w:rsidRPr="0099459C" w14:paraId="6884C34D" w14:textId="77777777" w:rsidTr="001C607A">
        <w:trPr>
          <w:trHeight w:val="340"/>
        </w:trPr>
        <w:tc>
          <w:tcPr>
            <w:tcW w:w="3298" w:type="dxa"/>
            <w:tcBorders>
              <w:top w:val="nil"/>
              <w:left w:val="nil"/>
              <w:bottom w:val="nil"/>
              <w:right w:val="nil"/>
            </w:tcBorders>
            <w:shd w:val="clear" w:color="000000" w:fill="F2F2F2"/>
            <w:vAlign w:val="bottom"/>
            <w:hideMark/>
          </w:tcPr>
          <w:p w14:paraId="221B80B3" w14:textId="77777777" w:rsidR="00065E56" w:rsidRPr="0099459C" w:rsidRDefault="00065E56" w:rsidP="001C607A">
            <w:pPr>
              <w:rPr>
                <w:rFonts w:ascii="Calibri" w:eastAsia="Times New Roman" w:hAnsi="Calibri" w:cs="Calibri"/>
                <w:color w:val="000000"/>
              </w:rPr>
            </w:pPr>
            <w:r w:rsidRPr="0099459C">
              <w:rPr>
                <w:rFonts w:ascii="Calibri" w:eastAsia="Times New Roman" w:hAnsi="Calibri" w:cs="Calibri"/>
                <w:color w:val="000000"/>
              </w:rPr>
              <w:t>Dental</w:t>
            </w:r>
          </w:p>
        </w:tc>
        <w:tc>
          <w:tcPr>
            <w:tcW w:w="2493" w:type="dxa"/>
            <w:tcBorders>
              <w:top w:val="nil"/>
              <w:left w:val="nil"/>
              <w:bottom w:val="nil"/>
              <w:right w:val="nil"/>
            </w:tcBorders>
            <w:shd w:val="clear" w:color="000000" w:fill="F2F2F2"/>
            <w:noWrap/>
            <w:vAlign w:val="bottom"/>
            <w:hideMark/>
          </w:tcPr>
          <w:p w14:paraId="14251A10" w14:textId="77777777" w:rsidR="00065E56" w:rsidRPr="0099459C" w:rsidRDefault="00065E56" w:rsidP="001C607A">
            <w:pPr>
              <w:jc w:val="center"/>
              <w:rPr>
                <w:rFonts w:ascii="Calibri" w:eastAsia="Times New Roman" w:hAnsi="Calibri" w:cs="Calibri"/>
                <w:color w:val="000000"/>
              </w:rPr>
            </w:pPr>
            <w:r w:rsidRPr="0099459C">
              <w:rPr>
                <w:rFonts w:ascii="Calibri" w:eastAsia="Times New Roman" w:hAnsi="Calibri" w:cs="Calibri"/>
                <w:color w:val="000000"/>
              </w:rPr>
              <w:t>19 (79%)</w:t>
            </w:r>
          </w:p>
        </w:tc>
        <w:tc>
          <w:tcPr>
            <w:tcW w:w="2493" w:type="dxa"/>
            <w:tcBorders>
              <w:top w:val="nil"/>
              <w:left w:val="nil"/>
              <w:bottom w:val="nil"/>
              <w:right w:val="nil"/>
            </w:tcBorders>
            <w:shd w:val="clear" w:color="000000" w:fill="F2F2F2"/>
            <w:noWrap/>
            <w:vAlign w:val="bottom"/>
            <w:hideMark/>
          </w:tcPr>
          <w:p w14:paraId="6E6592C7" w14:textId="77777777" w:rsidR="00065E56" w:rsidRPr="0099459C" w:rsidRDefault="00065E56" w:rsidP="001C607A">
            <w:pPr>
              <w:jc w:val="center"/>
              <w:rPr>
                <w:rFonts w:ascii="Calibri" w:eastAsia="Times New Roman" w:hAnsi="Calibri" w:cs="Calibri"/>
                <w:color w:val="000000"/>
              </w:rPr>
            </w:pPr>
            <w:r w:rsidRPr="0099459C">
              <w:rPr>
                <w:rFonts w:ascii="Calibri" w:eastAsia="Times New Roman" w:hAnsi="Calibri" w:cs="Calibri"/>
                <w:color w:val="000000"/>
              </w:rPr>
              <w:t>5 (21%)</w:t>
            </w:r>
          </w:p>
        </w:tc>
        <w:tc>
          <w:tcPr>
            <w:tcW w:w="239" w:type="dxa"/>
            <w:tcBorders>
              <w:top w:val="nil"/>
              <w:left w:val="nil"/>
              <w:bottom w:val="nil"/>
              <w:right w:val="nil"/>
            </w:tcBorders>
            <w:shd w:val="clear" w:color="000000" w:fill="F2F2F2"/>
            <w:noWrap/>
            <w:vAlign w:val="bottom"/>
            <w:hideMark/>
          </w:tcPr>
          <w:p w14:paraId="49BCDA9F" w14:textId="77777777" w:rsidR="00065E56" w:rsidRPr="0099459C" w:rsidRDefault="00065E56" w:rsidP="001C607A">
            <w:pPr>
              <w:jc w:val="center"/>
              <w:rPr>
                <w:rFonts w:ascii="Calibri" w:eastAsia="Times New Roman" w:hAnsi="Calibri" w:cs="Calibri"/>
                <w:color w:val="000000"/>
              </w:rPr>
            </w:pPr>
            <w:r w:rsidRPr="0099459C">
              <w:rPr>
                <w:rFonts w:ascii="Calibri" w:eastAsia="Times New Roman" w:hAnsi="Calibri" w:cs="Calibri"/>
                <w:color w:val="000000"/>
              </w:rPr>
              <w:t> </w:t>
            </w:r>
          </w:p>
        </w:tc>
        <w:tc>
          <w:tcPr>
            <w:tcW w:w="239" w:type="dxa"/>
            <w:tcBorders>
              <w:top w:val="nil"/>
              <w:left w:val="nil"/>
              <w:bottom w:val="nil"/>
              <w:right w:val="nil"/>
            </w:tcBorders>
            <w:shd w:val="clear" w:color="000000" w:fill="F2F2F2"/>
            <w:noWrap/>
            <w:vAlign w:val="bottom"/>
            <w:hideMark/>
          </w:tcPr>
          <w:p w14:paraId="6D1BE930" w14:textId="77777777" w:rsidR="00065E56" w:rsidRPr="0099459C" w:rsidRDefault="00065E56" w:rsidP="001C607A">
            <w:pPr>
              <w:jc w:val="center"/>
              <w:rPr>
                <w:rFonts w:ascii="Calibri" w:eastAsia="Times New Roman" w:hAnsi="Calibri" w:cs="Calibri"/>
                <w:color w:val="000000"/>
              </w:rPr>
            </w:pPr>
            <w:r w:rsidRPr="0099459C">
              <w:rPr>
                <w:rFonts w:ascii="Calibri" w:eastAsia="Times New Roman" w:hAnsi="Calibri" w:cs="Calibri"/>
                <w:color w:val="000000"/>
              </w:rPr>
              <w:t> </w:t>
            </w:r>
          </w:p>
        </w:tc>
        <w:tc>
          <w:tcPr>
            <w:tcW w:w="239" w:type="dxa"/>
            <w:tcBorders>
              <w:top w:val="nil"/>
              <w:left w:val="nil"/>
              <w:bottom w:val="nil"/>
              <w:right w:val="nil"/>
            </w:tcBorders>
            <w:shd w:val="clear" w:color="000000" w:fill="F2F2F2"/>
            <w:noWrap/>
            <w:vAlign w:val="bottom"/>
            <w:hideMark/>
          </w:tcPr>
          <w:p w14:paraId="62CDD810" w14:textId="77777777" w:rsidR="00065E56" w:rsidRPr="0099459C" w:rsidRDefault="00065E56" w:rsidP="001C607A">
            <w:pPr>
              <w:jc w:val="center"/>
              <w:rPr>
                <w:rFonts w:ascii="Calibri" w:eastAsia="Times New Roman" w:hAnsi="Calibri" w:cs="Calibri"/>
                <w:color w:val="000000"/>
              </w:rPr>
            </w:pPr>
            <w:r w:rsidRPr="0099459C">
              <w:rPr>
                <w:rFonts w:ascii="Calibri" w:eastAsia="Times New Roman" w:hAnsi="Calibri" w:cs="Calibri"/>
                <w:color w:val="000000"/>
              </w:rPr>
              <w:t> </w:t>
            </w:r>
          </w:p>
        </w:tc>
        <w:tc>
          <w:tcPr>
            <w:tcW w:w="101" w:type="dxa"/>
            <w:tcBorders>
              <w:top w:val="nil"/>
              <w:left w:val="nil"/>
              <w:bottom w:val="nil"/>
              <w:right w:val="nil"/>
            </w:tcBorders>
            <w:shd w:val="clear" w:color="auto" w:fill="auto"/>
            <w:noWrap/>
            <w:vAlign w:val="bottom"/>
            <w:hideMark/>
          </w:tcPr>
          <w:p w14:paraId="0DE6C0F2" w14:textId="77777777" w:rsidR="00065E56" w:rsidRPr="0099459C" w:rsidRDefault="00065E56" w:rsidP="001C607A">
            <w:pPr>
              <w:jc w:val="center"/>
              <w:rPr>
                <w:rFonts w:ascii="Calibri" w:eastAsia="Times New Roman" w:hAnsi="Calibri" w:cs="Calibri"/>
                <w:color w:val="000000"/>
              </w:rPr>
            </w:pPr>
          </w:p>
        </w:tc>
      </w:tr>
      <w:tr w:rsidR="00065E56" w:rsidRPr="0099459C" w14:paraId="18943E78" w14:textId="77777777" w:rsidTr="001C607A">
        <w:trPr>
          <w:trHeight w:val="1020"/>
        </w:trPr>
        <w:tc>
          <w:tcPr>
            <w:tcW w:w="3298" w:type="dxa"/>
            <w:tcBorders>
              <w:top w:val="nil"/>
              <w:left w:val="nil"/>
              <w:bottom w:val="nil"/>
              <w:right w:val="nil"/>
            </w:tcBorders>
            <w:shd w:val="clear" w:color="auto" w:fill="auto"/>
            <w:vAlign w:val="bottom"/>
            <w:hideMark/>
          </w:tcPr>
          <w:p w14:paraId="48455470" w14:textId="77777777" w:rsidR="00065E56" w:rsidRPr="0099459C" w:rsidRDefault="00065E56" w:rsidP="001C607A">
            <w:pPr>
              <w:rPr>
                <w:rFonts w:ascii="Calibri" w:eastAsia="Times New Roman" w:hAnsi="Calibri" w:cs="Calibri"/>
                <w:color w:val="000000"/>
              </w:rPr>
            </w:pPr>
            <w:r w:rsidRPr="0099459C">
              <w:rPr>
                <w:rFonts w:ascii="Calibri" w:eastAsia="Times New Roman" w:hAnsi="Calibri" w:cs="Calibri"/>
                <w:color w:val="000000"/>
              </w:rPr>
              <w:t xml:space="preserve">Dental -no </w:t>
            </w:r>
            <w:proofErr w:type="spellStart"/>
            <w:r w:rsidRPr="0099459C">
              <w:rPr>
                <w:rFonts w:ascii="Calibri" w:eastAsia="Times New Roman" w:hAnsi="Calibri" w:cs="Calibri"/>
                <w:color w:val="000000"/>
              </w:rPr>
              <w:t>undgrad</w:t>
            </w:r>
            <w:proofErr w:type="spellEnd"/>
            <w:r w:rsidRPr="0099459C">
              <w:rPr>
                <w:rFonts w:ascii="Calibri" w:eastAsia="Times New Roman" w:hAnsi="Calibri" w:cs="Calibri"/>
                <w:color w:val="000000"/>
              </w:rPr>
              <w:t xml:space="preserve"> anatomy</w:t>
            </w:r>
          </w:p>
        </w:tc>
        <w:tc>
          <w:tcPr>
            <w:tcW w:w="2493" w:type="dxa"/>
            <w:tcBorders>
              <w:top w:val="nil"/>
              <w:left w:val="nil"/>
              <w:bottom w:val="nil"/>
              <w:right w:val="nil"/>
            </w:tcBorders>
            <w:shd w:val="clear" w:color="auto" w:fill="auto"/>
            <w:noWrap/>
            <w:vAlign w:val="bottom"/>
            <w:hideMark/>
          </w:tcPr>
          <w:p w14:paraId="26C52302" w14:textId="77777777" w:rsidR="00065E56" w:rsidRPr="0099459C" w:rsidRDefault="00065E56" w:rsidP="001C607A">
            <w:pPr>
              <w:jc w:val="center"/>
              <w:rPr>
                <w:rFonts w:ascii="Calibri" w:eastAsia="Times New Roman" w:hAnsi="Calibri" w:cs="Calibri"/>
                <w:color w:val="000000"/>
              </w:rPr>
            </w:pPr>
            <w:r w:rsidRPr="0099459C">
              <w:rPr>
                <w:rFonts w:ascii="Calibri" w:eastAsia="Times New Roman" w:hAnsi="Calibri" w:cs="Calibri"/>
                <w:color w:val="000000"/>
              </w:rPr>
              <w:t>6</w:t>
            </w:r>
          </w:p>
        </w:tc>
        <w:tc>
          <w:tcPr>
            <w:tcW w:w="2493" w:type="dxa"/>
            <w:tcBorders>
              <w:top w:val="nil"/>
              <w:left w:val="nil"/>
              <w:bottom w:val="nil"/>
              <w:right w:val="nil"/>
            </w:tcBorders>
            <w:shd w:val="clear" w:color="auto" w:fill="auto"/>
            <w:noWrap/>
            <w:vAlign w:val="bottom"/>
            <w:hideMark/>
          </w:tcPr>
          <w:p w14:paraId="73DCC0CA" w14:textId="77777777" w:rsidR="00065E56" w:rsidRPr="0099459C" w:rsidRDefault="00065E56" w:rsidP="001C607A">
            <w:pPr>
              <w:jc w:val="center"/>
              <w:rPr>
                <w:rFonts w:ascii="Calibri" w:eastAsia="Times New Roman" w:hAnsi="Calibri" w:cs="Calibri"/>
                <w:color w:val="000000"/>
              </w:rPr>
            </w:pPr>
            <w:r w:rsidRPr="0099459C">
              <w:rPr>
                <w:rFonts w:ascii="Calibri" w:eastAsia="Times New Roman" w:hAnsi="Calibri" w:cs="Calibri"/>
                <w:color w:val="000000"/>
              </w:rPr>
              <w:t>1</w:t>
            </w:r>
          </w:p>
        </w:tc>
        <w:tc>
          <w:tcPr>
            <w:tcW w:w="239" w:type="dxa"/>
            <w:tcBorders>
              <w:top w:val="nil"/>
              <w:left w:val="nil"/>
              <w:bottom w:val="nil"/>
              <w:right w:val="nil"/>
            </w:tcBorders>
            <w:shd w:val="clear" w:color="auto" w:fill="auto"/>
            <w:noWrap/>
            <w:vAlign w:val="bottom"/>
            <w:hideMark/>
          </w:tcPr>
          <w:p w14:paraId="76DD0701" w14:textId="77777777" w:rsidR="00065E56" w:rsidRPr="0099459C" w:rsidRDefault="00065E56" w:rsidP="001C607A">
            <w:pPr>
              <w:jc w:val="center"/>
              <w:rPr>
                <w:rFonts w:ascii="Calibri" w:eastAsia="Times New Roman" w:hAnsi="Calibri" w:cs="Calibri"/>
                <w:color w:val="000000"/>
              </w:rPr>
            </w:pPr>
          </w:p>
        </w:tc>
        <w:tc>
          <w:tcPr>
            <w:tcW w:w="239" w:type="dxa"/>
            <w:tcBorders>
              <w:top w:val="nil"/>
              <w:left w:val="nil"/>
              <w:bottom w:val="nil"/>
              <w:right w:val="nil"/>
            </w:tcBorders>
            <w:shd w:val="clear" w:color="auto" w:fill="auto"/>
            <w:noWrap/>
            <w:vAlign w:val="bottom"/>
            <w:hideMark/>
          </w:tcPr>
          <w:p w14:paraId="1862BADC" w14:textId="77777777" w:rsidR="00065E56" w:rsidRPr="0099459C" w:rsidRDefault="00065E56" w:rsidP="001C607A">
            <w:pPr>
              <w:jc w:val="center"/>
              <w:rPr>
                <w:rFonts w:ascii="Times New Roman" w:eastAsia="Times New Roman" w:hAnsi="Times New Roman" w:cs="Times New Roman"/>
                <w:sz w:val="20"/>
                <w:szCs w:val="20"/>
              </w:rPr>
            </w:pPr>
          </w:p>
        </w:tc>
        <w:tc>
          <w:tcPr>
            <w:tcW w:w="239" w:type="dxa"/>
            <w:tcBorders>
              <w:top w:val="nil"/>
              <w:left w:val="nil"/>
              <w:bottom w:val="nil"/>
              <w:right w:val="nil"/>
            </w:tcBorders>
            <w:shd w:val="clear" w:color="auto" w:fill="auto"/>
            <w:noWrap/>
            <w:vAlign w:val="bottom"/>
            <w:hideMark/>
          </w:tcPr>
          <w:p w14:paraId="1EA74963" w14:textId="77777777" w:rsidR="00065E56" w:rsidRPr="0099459C" w:rsidRDefault="00065E56" w:rsidP="001C607A">
            <w:pPr>
              <w:jc w:val="center"/>
              <w:rPr>
                <w:rFonts w:ascii="Times New Roman" w:eastAsia="Times New Roman" w:hAnsi="Times New Roman" w:cs="Times New Roman"/>
                <w:sz w:val="20"/>
                <w:szCs w:val="20"/>
              </w:rPr>
            </w:pPr>
          </w:p>
        </w:tc>
        <w:tc>
          <w:tcPr>
            <w:tcW w:w="101" w:type="dxa"/>
            <w:tcBorders>
              <w:top w:val="nil"/>
              <w:left w:val="nil"/>
              <w:bottom w:val="nil"/>
              <w:right w:val="nil"/>
            </w:tcBorders>
            <w:shd w:val="clear" w:color="auto" w:fill="auto"/>
            <w:noWrap/>
            <w:vAlign w:val="bottom"/>
            <w:hideMark/>
          </w:tcPr>
          <w:p w14:paraId="12B72F0A" w14:textId="77777777" w:rsidR="00065E56" w:rsidRPr="0099459C" w:rsidRDefault="00065E56" w:rsidP="001C607A">
            <w:pPr>
              <w:jc w:val="center"/>
              <w:rPr>
                <w:rFonts w:ascii="Times New Roman" w:eastAsia="Times New Roman" w:hAnsi="Times New Roman" w:cs="Times New Roman"/>
                <w:sz w:val="20"/>
                <w:szCs w:val="20"/>
              </w:rPr>
            </w:pPr>
          </w:p>
        </w:tc>
      </w:tr>
      <w:tr w:rsidR="00065E56" w:rsidRPr="0099459C" w14:paraId="10773CDC" w14:textId="77777777" w:rsidTr="001C607A">
        <w:trPr>
          <w:trHeight w:val="1020"/>
        </w:trPr>
        <w:tc>
          <w:tcPr>
            <w:tcW w:w="3298" w:type="dxa"/>
            <w:tcBorders>
              <w:top w:val="nil"/>
              <w:left w:val="nil"/>
              <w:bottom w:val="nil"/>
              <w:right w:val="nil"/>
            </w:tcBorders>
            <w:shd w:val="clear" w:color="auto" w:fill="auto"/>
            <w:vAlign w:val="bottom"/>
            <w:hideMark/>
          </w:tcPr>
          <w:p w14:paraId="0A2D3F0A" w14:textId="77777777" w:rsidR="00065E56" w:rsidRPr="0099459C" w:rsidRDefault="00065E56" w:rsidP="001C607A">
            <w:pPr>
              <w:rPr>
                <w:rFonts w:ascii="Calibri" w:eastAsia="Times New Roman" w:hAnsi="Calibri" w:cs="Calibri"/>
                <w:color w:val="000000"/>
              </w:rPr>
            </w:pPr>
            <w:r w:rsidRPr="0099459C">
              <w:rPr>
                <w:rFonts w:ascii="Calibri" w:eastAsia="Times New Roman" w:hAnsi="Calibri" w:cs="Calibri"/>
                <w:color w:val="000000"/>
              </w:rPr>
              <w:t>Dental -yes undergrad anatomy</w:t>
            </w:r>
          </w:p>
        </w:tc>
        <w:tc>
          <w:tcPr>
            <w:tcW w:w="2493" w:type="dxa"/>
            <w:tcBorders>
              <w:top w:val="nil"/>
              <w:left w:val="nil"/>
              <w:bottom w:val="nil"/>
              <w:right w:val="nil"/>
            </w:tcBorders>
            <w:shd w:val="clear" w:color="auto" w:fill="auto"/>
            <w:noWrap/>
            <w:vAlign w:val="bottom"/>
            <w:hideMark/>
          </w:tcPr>
          <w:p w14:paraId="04D81404" w14:textId="77777777" w:rsidR="00065E56" w:rsidRPr="0099459C" w:rsidRDefault="00065E56" w:rsidP="001C607A">
            <w:pPr>
              <w:jc w:val="center"/>
              <w:rPr>
                <w:rFonts w:ascii="Calibri" w:eastAsia="Times New Roman" w:hAnsi="Calibri" w:cs="Calibri"/>
                <w:color w:val="000000"/>
              </w:rPr>
            </w:pPr>
            <w:r w:rsidRPr="0099459C">
              <w:rPr>
                <w:rFonts w:ascii="Calibri" w:eastAsia="Times New Roman" w:hAnsi="Calibri" w:cs="Calibri"/>
                <w:color w:val="000000"/>
              </w:rPr>
              <w:t>13</w:t>
            </w:r>
          </w:p>
        </w:tc>
        <w:tc>
          <w:tcPr>
            <w:tcW w:w="2493" w:type="dxa"/>
            <w:tcBorders>
              <w:top w:val="nil"/>
              <w:left w:val="nil"/>
              <w:bottom w:val="nil"/>
              <w:right w:val="nil"/>
            </w:tcBorders>
            <w:shd w:val="clear" w:color="auto" w:fill="auto"/>
            <w:noWrap/>
            <w:vAlign w:val="bottom"/>
            <w:hideMark/>
          </w:tcPr>
          <w:p w14:paraId="70848576" w14:textId="77777777" w:rsidR="00065E56" w:rsidRPr="0099459C" w:rsidRDefault="00065E56" w:rsidP="001C607A">
            <w:pPr>
              <w:jc w:val="center"/>
              <w:rPr>
                <w:rFonts w:ascii="Calibri" w:eastAsia="Times New Roman" w:hAnsi="Calibri" w:cs="Calibri"/>
                <w:color w:val="000000"/>
              </w:rPr>
            </w:pPr>
            <w:r w:rsidRPr="0099459C">
              <w:rPr>
                <w:rFonts w:ascii="Calibri" w:eastAsia="Times New Roman" w:hAnsi="Calibri" w:cs="Calibri"/>
                <w:color w:val="000000"/>
              </w:rPr>
              <w:t>4</w:t>
            </w:r>
          </w:p>
        </w:tc>
        <w:tc>
          <w:tcPr>
            <w:tcW w:w="239" w:type="dxa"/>
            <w:tcBorders>
              <w:top w:val="nil"/>
              <w:left w:val="nil"/>
              <w:bottom w:val="nil"/>
              <w:right w:val="nil"/>
            </w:tcBorders>
            <w:shd w:val="clear" w:color="auto" w:fill="auto"/>
            <w:noWrap/>
            <w:vAlign w:val="bottom"/>
            <w:hideMark/>
          </w:tcPr>
          <w:p w14:paraId="2700FFEC" w14:textId="77777777" w:rsidR="00065E56" w:rsidRPr="0099459C" w:rsidRDefault="00065E56" w:rsidP="001C607A">
            <w:pPr>
              <w:jc w:val="center"/>
              <w:rPr>
                <w:rFonts w:ascii="Calibri" w:eastAsia="Times New Roman" w:hAnsi="Calibri" w:cs="Calibri"/>
                <w:color w:val="000000"/>
              </w:rPr>
            </w:pPr>
          </w:p>
        </w:tc>
        <w:tc>
          <w:tcPr>
            <w:tcW w:w="239" w:type="dxa"/>
            <w:tcBorders>
              <w:top w:val="nil"/>
              <w:left w:val="nil"/>
              <w:bottom w:val="nil"/>
              <w:right w:val="nil"/>
            </w:tcBorders>
            <w:shd w:val="clear" w:color="auto" w:fill="auto"/>
            <w:noWrap/>
            <w:vAlign w:val="bottom"/>
            <w:hideMark/>
          </w:tcPr>
          <w:p w14:paraId="6C66C48B" w14:textId="77777777" w:rsidR="00065E56" w:rsidRPr="0099459C" w:rsidRDefault="00065E56" w:rsidP="001C607A">
            <w:pPr>
              <w:jc w:val="center"/>
              <w:rPr>
                <w:rFonts w:ascii="Times New Roman" w:eastAsia="Times New Roman" w:hAnsi="Times New Roman" w:cs="Times New Roman"/>
                <w:sz w:val="20"/>
                <w:szCs w:val="20"/>
              </w:rPr>
            </w:pPr>
          </w:p>
        </w:tc>
        <w:tc>
          <w:tcPr>
            <w:tcW w:w="239" w:type="dxa"/>
            <w:tcBorders>
              <w:top w:val="nil"/>
              <w:left w:val="nil"/>
              <w:bottom w:val="nil"/>
              <w:right w:val="nil"/>
            </w:tcBorders>
            <w:shd w:val="clear" w:color="auto" w:fill="auto"/>
            <w:noWrap/>
            <w:vAlign w:val="bottom"/>
            <w:hideMark/>
          </w:tcPr>
          <w:p w14:paraId="3D8EF119" w14:textId="77777777" w:rsidR="00065E56" w:rsidRPr="0099459C" w:rsidRDefault="00065E56" w:rsidP="001C607A">
            <w:pPr>
              <w:jc w:val="center"/>
              <w:rPr>
                <w:rFonts w:ascii="Times New Roman" w:eastAsia="Times New Roman" w:hAnsi="Times New Roman" w:cs="Times New Roman"/>
                <w:sz w:val="20"/>
                <w:szCs w:val="20"/>
              </w:rPr>
            </w:pPr>
          </w:p>
        </w:tc>
        <w:tc>
          <w:tcPr>
            <w:tcW w:w="101" w:type="dxa"/>
            <w:tcBorders>
              <w:top w:val="nil"/>
              <w:left w:val="nil"/>
              <w:bottom w:val="nil"/>
              <w:right w:val="nil"/>
            </w:tcBorders>
            <w:shd w:val="clear" w:color="auto" w:fill="auto"/>
            <w:noWrap/>
            <w:vAlign w:val="bottom"/>
            <w:hideMark/>
          </w:tcPr>
          <w:p w14:paraId="2FC41570" w14:textId="77777777" w:rsidR="00065E56" w:rsidRPr="0099459C" w:rsidRDefault="00065E56" w:rsidP="001C607A">
            <w:pPr>
              <w:jc w:val="center"/>
              <w:rPr>
                <w:rFonts w:ascii="Times New Roman" w:eastAsia="Times New Roman" w:hAnsi="Times New Roman" w:cs="Times New Roman"/>
                <w:sz w:val="20"/>
                <w:szCs w:val="20"/>
              </w:rPr>
            </w:pPr>
          </w:p>
        </w:tc>
      </w:tr>
      <w:tr w:rsidR="00065E56" w:rsidRPr="0099459C" w14:paraId="4B4A17B0" w14:textId="77777777" w:rsidTr="001C607A">
        <w:trPr>
          <w:trHeight w:val="340"/>
        </w:trPr>
        <w:tc>
          <w:tcPr>
            <w:tcW w:w="3298" w:type="dxa"/>
            <w:tcBorders>
              <w:top w:val="nil"/>
              <w:left w:val="nil"/>
              <w:bottom w:val="nil"/>
              <w:right w:val="nil"/>
            </w:tcBorders>
            <w:shd w:val="clear" w:color="000000" w:fill="F2F2F2"/>
            <w:vAlign w:val="bottom"/>
            <w:hideMark/>
          </w:tcPr>
          <w:p w14:paraId="49668F39" w14:textId="77777777" w:rsidR="00065E56" w:rsidRPr="0099459C" w:rsidRDefault="00065E56" w:rsidP="001C607A">
            <w:pPr>
              <w:rPr>
                <w:rFonts w:ascii="Calibri" w:eastAsia="Times New Roman" w:hAnsi="Calibri" w:cs="Calibri"/>
                <w:color w:val="000000"/>
              </w:rPr>
            </w:pPr>
            <w:r w:rsidRPr="0099459C">
              <w:rPr>
                <w:rFonts w:ascii="Calibri" w:eastAsia="Times New Roman" w:hAnsi="Calibri" w:cs="Calibri"/>
                <w:color w:val="000000"/>
              </w:rPr>
              <w:t>PA</w:t>
            </w:r>
          </w:p>
        </w:tc>
        <w:tc>
          <w:tcPr>
            <w:tcW w:w="2493" w:type="dxa"/>
            <w:tcBorders>
              <w:top w:val="nil"/>
              <w:left w:val="nil"/>
              <w:bottom w:val="nil"/>
              <w:right w:val="nil"/>
            </w:tcBorders>
            <w:shd w:val="clear" w:color="000000" w:fill="F2F2F2"/>
            <w:noWrap/>
            <w:vAlign w:val="bottom"/>
            <w:hideMark/>
          </w:tcPr>
          <w:p w14:paraId="7E916C99" w14:textId="77777777" w:rsidR="00065E56" w:rsidRPr="0099459C" w:rsidRDefault="00065E56" w:rsidP="001C607A">
            <w:pPr>
              <w:jc w:val="center"/>
              <w:rPr>
                <w:rFonts w:ascii="Calibri" w:eastAsia="Times New Roman" w:hAnsi="Calibri" w:cs="Calibri"/>
                <w:color w:val="000000"/>
              </w:rPr>
            </w:pPr>
            <w:r w:rsidRPr="0099459C">
              <w:rPr>
                <w:rFonts w:ascii="Calibri" w:eastAsia="Times New Roman" w:hAnsi="Calibri" w:cs="Calibri"/>
                <w:color w:val="000000"/>
              </w:rPr>
              <w:t>28 (78%)</w:t>
            </w:r>
          </w:p>
        </w:tc>
        <w:tc>
          <w:tcPr>
            <w:tcW w:w="2493" w:type="dxa"/>
            <w:tcBorders>
              <w:top w:val="nil"/>
              <w:left w:val="nil"/>
              <w:bottom w:val="nil"/>
              <w:right w:val="nil"/>
            </w:tcBorders>
            <w:shd w:val="clear" w:color="000000" w:fill="F2F2F2"/>
            <w:noWrap/>
            <w:vAlign w:val="bottom"/>
            <w:hideMark/>
          </w:tcPr>
          <w:p w14:paraId="2C002331" w14:textId="77777777" w:rsidR="00065E56" w:rsidRPr="0099459C" w:rsidRDefault="00065E56" w:rsidP="001C607A">
            <w:pPr>
              <w:jc w:val="center"/>
              <w:rPr>
                <w:rFonts w:ascii="Calibri" w:eastAsia="Times New Roman" w:hAnsi="Calibri" w:cs="Calibri"/>
                <w:color w:val="000000"/>
              </w:rPr>
            </w:pPr>
            <w:r w:rsidRPr="0099459C">
              <w:rPr>
                <w:rFonts w:ascii="Calibri" w:eastAsia="Times New Roman" w:hAnsi="Calibri" w:cs="Calibri"/>
                <w:color w:val="000000"/>
              </w:rPr>
              <w:t>8 (22%)</w:t>
            </w:r>
          </w:p>
        </w:tc>
        <w:tc>
          <w:tcPr>
            <w:tcW w:w="239" w:type="dxa"/>
            <w:tcBorders>
              <w:top w:val="nil"/>
              <w:left w:val="nil"/>
              <w:bottom w:val="nil"/>
              <w:right w:val="nil"/>
            </w:tcBorders>
            <w:shd w:val="clear" w:color="000000" w:fill="F2F2F2"/>
            <w:noWrap/>
            <w:vAlign w:val="bottom"/>
            <w:hideMark/>
          </w:tcPr>
          <w:p w14:paraId="1C52E126" w14:textId="77777777" w:rsidR="00065E56" w:rsidRPr="0099459C" w:rsidRDefault="00065E56" w:rsidP="001C607A">
            <w:pPr>
              <w:jc w:val="center"/>
              <w:rPr>
                <w:rFonts w:ascii="Calibri" w:eastAsia="Times New Roman" w:hAnsi="Calibri" w:cs="Calibri"/>
                <w:color w:val="000000"/>
              </w:rPr>
            </w:pPr>
            <w:r w:rsidRPr="0099459C">
              <w:rPr>
                <w:rFonts w:ascii="Calibri" w:eastAsia="Times New Roman" w:hAnsi="Calibri" w:cs="Calibri"/>
                <w:color w:val="000000"/>
              </w:rPr>
              <w:t> </w:t>
            </w:r>
          </w:p>
        </w:tc>
        <w:tc>
          <w:tcPr>
            <w:tcW w:w="239" w:type="dxa"/>
            <w:tcBorders>
              <w:top w:val="nil"/>
              <w:left w:val="nil"/>
              <w:bottom w:val="nil"/>
              <w:right w:val="nil"/>
            </w:tcBorders>
            <w:shd w:val="clear" w:color="000000" w:fill="F2F2F2"/>
            <w:noWrap/>
            <w:vAlign w:val="bottom"/>
            <w:hideMark/>
          </w:tcPr>
          <w:p w14:paraId="32943A2F" w14:textId="77777777" w:rsidR="00065E56" w:rsidRPr="0099459C" w:rsidRDefault="00065E56" w:rsidP="001C607A">
            <w:pPr>
              <w:jc w:val="center"/>
              <w:rPr>
                <w:rFonts w:ascii="Calibri" w:eastAsia="Times New Roman" w:hAnsi="Calibri" w:cs="Calibri"/>
                <w:color w:val="000000"/>
              </w:rPr>
            </w:pPr>
            <w:r w:rsidRPr="0099459C">
              <w:rPr>
                <w:rFonts w:ascii="Calibri" w:eastAsia="Times New Roman" w:hAnsi="Calibri" w:cs="Calibri"/>
                <w:color w:val="000000"/>
              </w:rPr>
              <w:t> </w:t>
            </w:r>
          </w:p>
        </w:tc>
        <w:tc>
          <w:tcPr>
            <w:tcW w:w="239" w:type="dxa"/>
            <w:tcBorders>
              <w:top w:val="nil"/>
              <w:left w:val="nil"/>
              <w:bottom w:val="nil"/>
              <w:right w:val="nil"/>
            </w:tcBorders>
            <w:shd w:val="clear" w:color="000000" w:fill="F2F2F2"/>
            <w:noWrap/>
            <w:vAlign w:val="bottom"/>
            <w:hideMark/>
          </w:tcPr>
          <w:p w14:paraId="7B88EC92" w14:textId="77777777" w:rsidR="00065E56" w:rsidRPr="0099459C" w:rsidRDefault="00065E56" w:rsidP="001C607A">
            <w:pPr>
              <w:jc w:val="center"/>
              <w:rPr>
                <w:rFonts w:ascii="Calibri" w:eastAsia="Times New Roman" w:hAnsi="Calibri" w:cs="Calibri"/>
                <w:color w:val="000000"/>
              </w:rPr>
            </w:pPr>
            <w:r w:rsidRPr="0099459C">
              <w:rPr>
                <w:rFonts w:ascii="Calibri" w:eastAsia="Times New Roman" w:hAnsi="Calibri" w:cs="Calibri"/>
                <w:color w:val="000000"/>
              </w:rPr>
              <w:t> </w:t>
            </w:r>
          </w:p>
        </w:tc>
        <w:tc>
          <w:tcPr>
            <w:tcW w:w="101" w:type="dxa"/>
            <w:tcBorders>
              <w:top w:val="nil"/>
              <w:left w:val="nil"/>
              <w:bottom w:val="nil"/>
              <w:right w:val="nil"/>
            </w:tcBorders>
            <w:shd w:val="clear" w:color="auto" w:fill="auto"/>
            <w:noWrap/>
            <w:vAlign w:val="bottom"/>
            <w:hideMark/>
          </w:tcPr>
          <w:p w14:paraId="4EE89287" w14:textId="77777777" w:rsidR="00065E56" w:rsidRPr="0099459C" w:rsidRDefault="00065E56" w:rsidP="001C607A">
            <w:pPr>
              <w:jc w:val="center"/>
              <w:rPr>
                <w:rFonts w:ascii="Calibri" w:eastAsia="Times New Roman" w:hAnsi="Calibri" w:cs="Calibri"/>
                <w:color w:val="000000"/>
              </w:rPr>
            </w:pPr>
          </w:p>
        </w:tc>
      </w:tr>
      <w:tr w:rsidR="00065E56" w:rsidRPr="0099459C" w14:paraId="001F60C4" w14:textId="77777777" w:rsidTr="001C607A">
        <w:trPr>
          <w:trHeight w:val="680"/>
        </w:trPr>
        <w:tc>
          <w:tcPr>
            <w:tcW w:w="3298" w:type="dxa"/>
            <w:tcBorders>
              <w:top w:val="nil"/>
              <w:left w:val="nil"/>
              <w:bottom w:val="nil"/>
              <w:right w:val="nil"/>
            </w:tcBorders>
            <w:shd w:val="clear" w:color="auto" w:fill="auto"/>
            <w:vAlign w:val="bottom"/>
            <w:hideMark/>
          </w:tcPr>
          <w:p w14:paraId="747BA230" w14:textId="77777777" w:rsidR="00065E56" w:rsidRPr="0099459C" w:rsidRDefault="00065E56" w:rsidP="001C607A">
            <w:pPr>
              <w:rPr>
                <w:rFonts w:ascii="Calibri" w:eastAsia="Times New Roman" w:hAnsi="Calibri" w:cs="Calibri"/>
                <w:color w:val="000000"/>
              </w:rPr>
            </w:pPr>
            <w:r w:rsidRPr="0099459C">
              <w:rPr>
                <w:rFonts w:ascii="Calibri" w:eastAsia="Times New Roman" w:hAnsi="Calibri" w:cs="Calibri"/>
                <w:color w:val="000000"/>
              </w:rPr>
              <w:t>PA -no cadaver</w:t>
            </w:r>
          </w:p>
        </w:tc>
        <w:tc>
          <w:tcPr>
            <w:tcW w:w="2493" w:type="dxa"/>
            <w:tcBorders>
              <w:top w:val="nil"/>
              <w:left w:val="nil"/>
              <w:bottom w:val="nil"/>
              <w:right w:val="nil"/>
            </w:tcBorders>
            <w:shd w:val="clear" w:color="auto" w:fill="auto"/>
            <w:noWrap/>
            <w:vAlign w:val="bottom"/>
            <w:hideMark/>
          </w:tcPr>
          <w:p w14:paraId="4609F0D1" w14:textId="77777777" w:rsidR="00065E56" w:rsidRPr="0099459C" w:rsidRDefault="00065E56" w:rsidP="001C607A">
            <w:pPr>
              <w:jc w:val="center"/>
              <w:rPr>
                <w:rFonts w:ascii="Calibri" w:eastAsia="Times New Roman" w:hAnsi="Calibri" w:cs="Calibri"/>
                <w:color w:val="000000"/>
              </w:rPr>
            </w:pPr>
            <w:r w:rsidRPr="0099459C">
              <w:rPr>
                <w:rFonts w:ascii="Calibri" w:eastAsia="Times New Roman" w:hAnsi="Calibri" w:cs="Calibri"/>
                <w:color w:val="000000"/>
              </w:rPr>
              <w:t>14</w:t>
            </w:r>
          </w:p>
        </w:tc>
        <w:tc>
          <w:tcPr>
            <w:tcW w:w="2493" w:type="dxa"/>
            <w:tcBorders>
              <w:top w:val="nil"/>
              <w:left w:val="nil"/>
              <w:bottom w:val="nil"/>
              <w:right w:val="nil"/>
            </w:tcBorders>
            <w:shd w:val="clear" w:color="auto" w:fill="auto"/>
            <w:noWrap/>
            <w:vAlign w:val="bottom"/>
            <w:hideMark/>
          </w:tcPr>
          <w:p w14:paraId="066852A1" w14:textId="77777777" w:rsidR="00065E56" w:rsidRPr="0099459C" w:rsidRDefault="00065E56" w:rsidP="001C607A">
            <w:pPr>
              <w:jc w:val="center"/>
              <w:rPr>
                <w:rFonts w:ascii="Calibri" w:eastAsia="Times New Roman" w:hAnsi="Calibri" w:cs="Calibri"/>
                <w:color w:val="000000"/>
              </w:rPr>
            </w:pPr>
            <w:r w:rsidRPr="0099459C">
              <w:rPr>
                <w:rFonts w:ascii="Calibri" w:eastAsia="Times New Roman" w:hAnsi="Calibri" w:cs="Calibri"/>
                <w:color w:val="000000"/>
              </w:rPr>
              <w:t>3</w:t>
            </w:r>
          </w:p>
        </w:tc>
        <w:tc>
          <w:tcPr>
            <w:tcW w:w="239" w:type="dxa"/>
            <w:tcBorders>
              <w:top w:val="nil"/>
              <w:left w:val="nil"/>
              <w:bottom w:val="nil"/>
              <w:right w:val="nil"/>
            </w:tcBorders>
            <w:shd w:val="clear" w:color="auto" w:fill="auto"/>
            <w:noWrap/>
            <w:vAlign w:val="bottom"/>
            <w:hideMark/>
          </w:tcPr>
          <w:p w14:paraId="6B368FA7" w14:textId="77777777" w:rsidR="00065E56" w:rsidRPr="0099459C" w:rsidRDefault="00065E56" w:rsidP="001C607A">
            <w:pPr>
              <w:jc w:val="center"/>
              <w:rPr>
                <w:rFonts w:ascii="Calibri" w:eastAsia="Times New Roman" w:hAnsi="Calibri" w:cs="Calibri"/>
                <w:color w:val="000000"/>
              </w:rPr>
            </w:pPr>
          </w:p>
        </w:tc>
        <w:tc>
          <w:tcPr>
            <w:tcW w:w="239" w:type="dxa"/>
            <w:tcBorders>
              <w:top w:val="nil"/>
              <w:left w:val="nil"/>
              <w:bottom w:val="nil"/>
              <w:right w:val="nil"/>
            </w:tcBorders>
            <w:shd w:val="clear" w:color="auto" w:fill="auto"/>
            <w:noWrap/>
            <w:vAlign w:val="bottom"/>
            <w:hideMark/>
          </w:tcPr>
          <w:p w14:paraId="2731D71B" w14:textId="77777777" w:rsidR="00065E56" w:rsidRPr="0099459C" w:rsidRDefault="00065E56" w:rsidP="001C607A">
            <w:pPr>
              <w:jc w:val="center"/>
              <w:rPr>
                <w:rFonts w:ascii="Times New Roman" w:eastAsia="Times New Roman" w:hAnsi="Times New Roman" w:cs="Times New Roman"/>
                <w:sz w:val="20"/>
                <w:szCs w:val="20"/>
              </w:rPr>
            </w:pPr>
          </w:p>
        </w:tc>
        <w:tc>
          <w:tcPr>
            <w:tcW w:w="239" w:type="dxa"/>
            <w:tcBorders>
              <w:top w:val="nil"/>
              <w:left w:val="nil"/>
              <w:bottom w:val="nil"/>
              <w:right w:val="nil"/>
            </w:tcBorders>
            <w:shd w:val="clear" w:color="auto" w:fill="auto"/>
            <w:noWrap/>
            <w:vAlign w:val="bottom"/>
            <w:hideMark/>
          </w:tcPr>
          <w:p w14:paraId="3E15EDC4" w14:textId="77777777" w:rsidR="00065E56" w:rsidRPr="0099459C" w:rsidRDefault="00065E56" w:rsidP="001C607A">
            <w:pPr>
              <w:jc w:val="center"/>
              <w:rPr>
                <w:rFonts w:ascii="Times New Roman" w:eastAsia="Times New Roman" w:hAnsi="Times New Roman" w:cs="Times New Roman"/>
                <w:sz w:val="20"/>
                <w:szCs w:val="20"/>
              </w:rPr>
            </w:pPr>
          </w:p>
        </w:tc>
        <w:tc>
          <w:tcPr>
            <w:tcW w:w="101" w:type="dxa"/>
            <w:tcBorders>
              <w:top w:val="nil"/>
              <w:left w:val="nil"/>
              <w:bottom w:val="nil"/>
              <w:right w:val="nil"/>
            </w:tcBorders>
            <w:shd w:val="clear" w:color="auto" w:fill="auto"/>
            <w:noWrap/>
            <w:vAlign w:val="bottom"/>
            <w:hideMark/>
          </w:tcPr>
          <w:p w14:paraId="6A4F5290" w14:textId="77777777" w:rsidR="00065E56" w:rsidRPr="0099459C" w:rsidRDefault="00065E56" w:rsidP="001C607A">
            <w:pPr>
              <w:jc w:val="center"/>
              <w:rPr>
                <w:rFonts w:ascii="Times New Roman" w:eastAsia="Times New Roman" w:hAnsi="Times New Roman" w:cs="Times New Roman"/>
                <w:sz w:val="20"/>
                <w:szCs w:val="20"/>
              </w:rPr>
            </w:pPr>
          </w:p>
        </w:tc>
      </w:tr>
      <w:tr w:rsidR="00065E56" w:rsidRPr="0099459C" w14:paraId="79009147" w14:textId="77777777" w:rsidTr="001C607A">
        <w:trPr>
          <w:trHeight w:val="680"/>
        </w:trPr>
        <w:tc>
          <w:tcPr>
            <w:tcW w:w="3298" w:type="dxa"/>
            <w:tcBorders>
              <w:top w:val="nil"/>
              <w:left w:val="nil"/>
              <w:bottom w:val="nil"/>
              <w:right w:val="nil"/>
            </w:tcBorders>
            <w:shd w:val="clear" w:color="auto" w:fill="auto"/>
            <w:vAlign w:val="bottom"/>
            <w:hideMark/>
          </w:tcPr>
          <w:p w14:paraId="4ECFFBBF" w14:textId="77777777" w:rsidR="00065E56" w:rsidRPr="0099459C" w:rsidRDefault="00065E56" w:rsidP="001C607A">
            <w:pPr>
              <w:rPr>
                <w:rFonts w:ascii="Calibri" w:eastAsia="Times New Roman" w:hAnsi="Calibri" w:cs="Calibri"/>
                <w:color w:val="000000"/>
              </w:rPr>
            </w:pPr>
            <w:r w:rsidRPr="0099459C">
              <w:rPr>
                <w:rFonts w:ascii="Calibri" w:eastAsia="Times New Roman" w:hAnsi="Calibri" w:cs="Calibri"/>
                <w:color w:val="000000"/>
              </w:rPr>
              <w:t>PA-yes cadaver</w:t>
            </w:r>
          </w:p>
        </w:tc>
        <w:tc>
          <w:tcPr>
            <w:tcW w:w="2493" w:type="dxa"/>
            <w:tcBorders>
              <w:top w:val="nil"/>
              <w:left w:val="nil"/>
              <w:bottom w:val="nil"/>
              <w:right w:val="nil"/>
            </w:tcBorders>
            <w:shd w:val="clear" w:color="auto" w:fill="auto"/>
            <w:noWrap/>
            <w:vAlign w:val="bottom"/>
            <w:hideMark/>
          </w:tcPr>
          <w:p w14:paraId="1BF99F3D" w14:textId="77777777" w:rsidR="00065E56" w:rsidRPr="0099459C" w:rsidRDefault="00065E56" w:rsidP="001C607A">
            <w:pPr>
              <w:jc w:val="center"/>
              <w:rPr>
                <w:rFonts w:ascii="Calibri" w:eastAsia="Times New Roman" w:hAnsi="Calibri" w:cs="Calibri"/>
                <w:color w:val="000000"/>
              </w:rPr>
            </w:pPr>
            <w:r w:rsidRPr="0099459C">
              <w:rPr>
                <w:rFonts w:ascii="Calibri" w:eastAsia="Times New Roman" w:hAnsi="Calibri" w:cs="Calibri"/>
                <w:color w:val="000000"/>
              </w:rPr>
              <w:t>14</w:t>
            </w:r>
          </w:p>
        </w:tc>
        <w:tc>
          <w:tcPr>
            <w:tcW w:w="2493" w:type="dxa"/>
            <w:tcBorders>
              <w:top w:val="nil"/>
              <w:left w:val="nil"/>
              <w:bottom w:val="nil"/>
              <w:right w:val="nil"/>
            </w:tcBorders>
            <w:shd w:val="clear" w:color="auto" w:fill="auto"/>
            <w:noWrap/>
            <w:vAlign w:val="bottom"/>
            <w:hideMark/>
          </w:tcPr>
          <w:p w14:paraId="525EA8A6" w14:textId="77777777" w:rsidR="00065E56" w:rsidRPr="0099459C" w:rsidRDefault="00065E56" w:rsidP="001C607A">
            <w:pPr>
              <w:jc w:val="center"/>
              <w:rPr>
                <w:rFonts w:ascii="Calibri" w:eastAsia="Times New Roman" w:hAnsi="Calibri" w:cs="Calibri"/>
                <w:color w:val="000000"/>
              </w:rPr>
            </w:pPr>
            <w:r w:rsidRPr="0099459C">
              <w:rPr>
                <w:rFonts w:ascii="Calibri" w:eastAsia="Times New Roman" w:hAnsi="Calibri" w:cs="Calibri"/>
                <w:color w:val="000000"/>
              </w:rPr>
              <w:t>5</w:t>
            </w:r>
          </w:p>
        </w:tc>
        <w:tc>
          <w:tcPr>
            <w:tcW w:w="239" w:type="dxa"/>
            <w:tcBorders>
              <w:top w:val="nil"/>
              <w:left w:val="nil"/>
              <w:bottom w:val="nil"/>
              <w:right w:val="nil"/>
            </w:tcBorders>
            <w:shd w:val="clear" w:color="auto" w:fill="auto"/>
            <w:noWrap/>
            <w:vAlign w:val="bottom"/>
            <w:hideMark/>
          </w:tcPr>
          <w:p w14:paraId="1478B8B5" w14:textId="77777777" w:rsidR="00065E56" w:rsidRPr="0099459C" w:rsidRDefault="00065E56" w:rsidP="001C607A">
            <w:pPr>
              <w:jc w:val="center"/>
              <w:rPr>
                <w:rFonts w:ascii="Calibri" w:eastAsia="Times New Roman" w:hAnsi="Calibri" w:cs="Calibri"/>
                <w:color w:val="000000"/>
              </w:rPr>
            </w:pPr>
          </w:p>
        </w:tc>
        <w:tc>
          <w:tcPr>
            <w:tcW w:w="239" w:type="dxa"/>
            <w:tcBorders>
              <w:top w:val="nil"/>
              <w:left w:val="nil"/>
              <w:bottom w:val="nil"/>
              <w:right w:val="nil"/>
            </w:tcBorders>
            <w:shd w:val="clear" w:color="auto" w:fill="auto"/>
            <w:noWrap/>
            <w:vAlign w:val="bottom"/>
            <w:hideMark/>
          </w:tcPr>
          <w:p w14:paraId="7652A768" w14:textId="77777777" w:rsidR="00065E56" w:rsidRPr="0099459C" w:rsidRDefault="00065E56" w:rsidP="001C607A">
            <w:pPr>
              <w:jc w:val="center"/>
              <w:rPr>
                <w:rFonts w:ascii="Times New Roman" w:eastAsia="Times New Roman" w:hAnsi="Times New Roman" w:cs="Times New Roman"/>
                <w:sz w:val="20"/>
                <w:szCs w:val="20"/>
              </w:rPr>
            </w:pPr>
          </w:p>
        </w:tc>
        <w:tc>
          <w:tcPr>
            <w:tcW w:w="239" w:type="dxa"/>
            <w:tcBorders>
              <w:top w:val="nil"/>
              <w:left w:val="nil"/>
              <w:bottom w:val="nil"/>
              <w:right w:val="nil"/>
            </w:tcBorders>
            <w:shd w:val="clear" w:color="auto" w:fill="auto"/>
            <w:noWrap/>
            <w:vAlign w:val="bottom"/>
            <w:hideMark/>
          </w:tcPr>
          <w:p w14:paraId="5BED2EB3" w14:textId="77777777" w:rsidR="00065E56" w:rsidRPr="0099459C" w:rsidRDefault="00065E56" w:rsidP="001C607A">
            <w:pPr>
              <w:jc w:val="center"/>
              <w:rPr>
                <w:rFonts w:ascii="Times New Roman" w:eastAsia="Times New Roman" w:hAnsi="Times New Roman" w:cs="Times New Roman"/>
                <w:sz w:val="20"/>
                <w:szCs w:val="20"/>
              </w:rPr>
            </w:pPr>
          </w:p>
        </w:tc>
        <w:tc>
          <w:tcPr>
            <w:tcW w:w="101" w:type="dxa"/>
            <w:tcBorders>
              <w:top w:val="nil"/>
              <w:left w:val="nil"/>
              <w:bottom w:val="nil"/>
              <w:right w:val="nil"/>
            </w:tcBorders>
            <w:shd w:val="clear" w:color="auto" w:fill="auto"/>
            <w:noWrap/>
            <w:vAlign w:val="bottom"/>
            <w:hideMark/>
          </w:tcPr>
          <w:p w14:paraId="352574DA" w14:textId="77777777" w:rsidR="00065E56" w:rsidRPr="0099459C" w:rsidRDefault="00065E56" w:rsidP="001C607A">
            <w:pPr>
              <w:jc w:val="center"/>
              <w:rPr>
                <w:rFonts w:ascii="Times New Roman" w:eastAsia="Times New Roman" w:hAnsi="Times New Roman" w:cs="Times New Roman"/>
                <w:sz w:val="20"/>
                <w:szCs w:val="20"/>
              </w:rPr>
            </w:pPr>
          </w:p>
        </w:tc>
      </w:tr>
    </w:tbl>
    <w:p w14:paraId="25D258F1" w14:textId="77777777" w:rsidR="00065E56" w:rsidRDefault="00065E56" w:rsidP="00065E56">
      <w:pPr>
        <w:rPr>
          <w:rFonts w:ascii="Times New Roman" w:hAnsi="Times New Roman" w:cs="Times New Roman"/>
        </w:rPr>
      </w:pPr>
    </w:p>
    <w:p w14:paraId="11AACAAE" w14:textId="77777777" w:rsidR="00065E56" w:rsidRDefault="00065E56" w:rsidP="00065E56">
      <w:pPr>
        <w:rPr>
          <w:rFonts w:ascii="Times New Roman" w:hAnsi="Times New Roman" w:cs="Times New Roman"/>
        </w:rPr>
      </w:pPr>
    </w:p>
    <w:p w14:paraId="602E205E" w14:textId="77777777" w:rsidR="00065E56" w:rsidRDefault="00695F3E" w:rsidP="00065E56">
      <w:pPr>
        <w:rPr>
          <w:rFonts w:ascii="Times New Roman" w:hAnsi="Times New Roman" w:cs="Times New Roman"/>
        </w:rPr>
      </w:pPr>
      <w:r>
        <w:rPr>
          <w:rFonts w:ascii="Times New Roman" w:hAnsi="Times New Roman" w:cs="Times New Roman"/>
          <w:noProof/>
        </w:rPr>
        <w:object w:dxaOrig="7820" w:dyaOrig="13480" w14:anchorId="08BC1D25">
          <v:shape id="_x0000_i1025" type="#_x0000_t75" alt="" style="width:389.7pt;height:673.9pt;mso-width-percent:0;mso-height-percent:0;mso-width-percent:0;mso-height-percent:0" o:ole="">
            <v:imagedata r:id="rId44" o:title=""/>
          </v:shape>
          <o:OLEObject Type="Embed" ProgID="Excel.Sheet.12" ShapeID="_x0000_i1025" DrawAspect="Content" ObjectID="_1681813821" r:id="rId45"/>
        </w:object>
      </w:r>
    </w:p>
    <w:tbl>
      <w:tblPr>
        <w:tblW w:w="7800" w:type="dxa"/>
        <w:tblLook w:val="04A0" w:firstRow="1" w:lastRow="0" w:firstColumn="1" w:lastColumn="0" w:noHBand="0" w:noVBand="1"/>
      </w:tblPr>
      <w:tblGrid>
        <w:gridCol w:w="1300"/>
        <w:gridCol w:w="1300"/>
        <w:gridCol w:w="1300"/>
        <w:gridCol w:w="1300"/>
        <w:gridCol w:w="1300"/>
        <w:gridCol w:w="1300"/>
      </w:tblGrid>
      <w:tr w:rsidR="00065E56" w:rsidRPr="009A481B" w14:paraId="16D4B04B" w14:textId="77777777" w:rsidTr="001C607A">
        <w:trPr>
          <w:trHeight w:val="320"/>
        </w:trPr>
        <w:tc>
          <w:tcPr>
            <w:tcW w:w="2600" w:type="dxa"/>
            <w:gridSpan w:val="2"/>
            <w:tcBorders>
              <w:top w:val="single" w:sz="8" w:space="0" w:color="auto"/>
              <w:left w:val="single" w:sz="8" w:space="0" w:color="auto"/>
              <w:bottom w:val="nil"/>
              <w:right w:val="nil"/>
            </w:tcBorders>
            <w:shd w:val="clear" w:color="000000" w:fill="D9D9D9"/>
            <w:noWrap/>
            <w:vAlign w:val="bottom"/>
            <w:hideMark/>
          </w:tcPr>
          <w:p w14:paraId="649CA7F6" w14:textId="77777777" w:rsidR="00065E56" w:rsidRPr="009A481B" w:rsidRDefault="00065E56" w:rsidP="001C607A">
            <w:pPr>
              <w:rPr>
                <w:rFonts w:ascii="Calibri" w:eastAsia="Times New Roman" w:hAnsi="Calibri" w:cs="Calibri"/>
                <w:color w:val="000000"/>
              </w:rPr>
            </w:pPr>
            <w:r w:rsidRPr="009A481B">
              <w:rPr>
                <w:rFonts w:ascii="Calibri" w:eastAsia="Times New Roman" w:hAnsi="Calibri" w:cs="Calibri"/>
                <w:color w:val="000000"/>
              </w:rPr>
              <w:lastRenderedPageBreak/>
              <w:t>Q10 Statement 3</w:t>
            </w:r>
          </w:p>
        </w:tc>
        <w:tc>
          <w:tcPr>
            <w:tcW w:w="1300" w:type="dxa"/>
            <w:tcBorders>
              <w:top w:val="single" w:sz="8" w:space="0" w:color="auto"/>
              <w:left w:val="nil"/>
              <w:bottom w:val="nil"/>
              <w:right w:val="nil"/>
            </w:tcBorders>
            <w:shd w:val="clear" w:color="000000" w:fill="D9D9D9"/>
            <w:noWrap/>
            <w:vAlign w:val="bottom"/>
            <w:hideMark/>
          </w:tcPr>
          <w:p w14:paraId="68E48532" w14:textId="77777777" w:rsidR="00065E56" w:rsidRPr="009A481B" w:rsidRDefault="00065E56" w:rsidP="001C607A">
            <w:pPr>
              <w:rPr>
                <w:rFonts w:ascii="Calibri" w:eastAsia="Times New Roman" w:hAnsi="Calibri" w:cs="Calibri"/>
                <w:color w:val="000000"/>
              </w:rPr>
            </w:pPr>
            <w:r w:rsidRPr="009A481B">
              <w:rPr>
                <w:rFonts w:ascii="Calibri" w:eastAsia="Times New Roman" w:hAnsi="Calibri" w:cs="Calibri"/>
                <w:color w:val="000000"/>
              </w:rPr>
              <w:t> </w:t>
            </w:r>
          </w:p>
        </w:tc>
        <w:tc>
          <w:tcPr>
            <w:tcW w:w="1300" w:type="dxa"/>
            <w:tcBorders>
              <w:top w:val="single" w:sz="8" w:space="0" w:color="auto"/>
              <w:left w:val="nil"/>
              <w:bottom w:val="nil"/>
              <w:right w:val="nil"/>
            </w:tcBorders>
            <w:shd w:val="clear" w:color="000000" w:fill="D9D9D9"/>
            <w:noWrap/>
            <w:vAlign w:val="bottom"/>
            <w:hideMark/>
          </w:tcPr>
          <w:p w14:paraId="21D6C088" w14:textId="77777777" w:rsidR="00065E56" w:rsidRPr="009A481B" w:rsidRDefault="00065E56" w:rsidP="001C607A">
            <w:pPr>
              <w:rPr>
                <w:rFonts w:ascii="Calibri" w:eastAsia="Times New Roman" w:hAnsi="Calibri" w:cs="Calibri"/>
                <w:color w:val="000000"/>
              </w:rPr>
            </w:pPr>
            <w:r w:rsidRPr="009A481B">
              <w:rPr>
                <w:rFonts w:ascii="Calibri" w:eastAsia="Times New Roman" w:hAnsi="Calibri" w:cs="Calibri"/>
                <w:color w:val="000000"/>
              </w:rPr>
              <w:t> </w:t>
            </w:r>
          </w:p>
        </w:tc>
        <w:tc>
          <w:tcPr>
            <w:tcW w:w="1300" w:type="dxa"/>
            <w:tcBorders>
              <w:top w:val="single" w:sz="8" w:space="0" w:color="auto"/>
              <w:left w:val="nil"/>
              <w:bottom w:val="nil"/>
              <w:right w:val="nil"/>
            </w:tcBorders>
            <w:shd w:val="clear" w:color="000000" w:fill="D9D9D9"/>
            <w:noWrap/>
            <w:vAlign w:val="bottom"/>
            <w:hideMark/>
          </w:tcPr>
          <w:p w14:paraId="46A4F46D" w14:textId="77777777" w:rsidR="00065E56" w:rsidRPr="009A481B" w:rsidRDefault="00065E56" w:rsidP="001C607A">
            <w:pPr>
              <w:rPr>
                <w:rFonts w:ascii="Calibri" w:eastAsia="Times New Roman" w:hAnsi="Calibri" w:cs="Calibri"/>
                <w:color w:val="000000"/>
              </w:rPr>
            </w:pPr>
            <w:r w:rsidRPr="009A481B">
              <w:rPr>
                <w:rFonts w:ascii="Calibri" w:eastAsia="Times New Roman" w:hAnsi="Calibri" w:cs="Calibri"/>
                <w:color w:val="000000"/>
              </w:rPr>
              <w:t> </w:t>
            </w:r>
          </w:p>
        </w:tc>
        <w:tc>
          <w:tcPr>
            <w:tcW w:w="1300" w:type="dxa"/>
            <w:tcBorders>
              <w:top w:val="single" w:sz="8" w:space="0" w:color="auto"/>
              <w:left w:val="nil"/>
              <w:bottom w:val="nil"/>
              <w:right w:val="single" w:sz="8" w:space="0" w:color="auto"/>
            </w:tcBorders>
            <w:shd w:val="clear" w:color="000000" w:fill="D9D9D9"/>
            <w:noWrap/>
            <w:vAlign w:val="bottom"/>
            <w:hideMark/>
          </w:tcPr>
          <w:p w14:paraId="4141DD54" w14:textId="77777777" w:rsidR="00065E56" w:rsidRPr="009A481B" w:rsidRDefault="00065E56" w:rsidP="001C607A">
            <w:pPr>
              <w:rPr>
                <w:rFonts w:ascii="Calibri" w:eastAsia="Times New Roman" w:hAnsi="Calibri" w:cs="Calibri"/>
                <w:color w:val="000000"/>
              </w:rPr>
            </w:pPr>
            <w:r w:rsidRPr="009A481B">
              <w:rPr>
                <w:rFonts w:ascii="Calibri" w:eastAsia="Times New Roman" w:hAnsi="Calibri" w:cs="Calibri"/>
                <w:color w:val="000000"/>
              </w:rPr>
              <w:t> </w:t>
            </w:r>
          </w:p>
        </w:tc>
      </w:tr>
      <w:tr w:rsidR="00065E56" w:rsidRPr="009A481B" w14:paraId="424F378E" w14:textId="77777777" w:rsidTr="001C607A">
        <w:trPr>
          <w:trHeight w:val="340"/>
        </w:trPr>
        <w:tc>
          <w:tcPr>
            <w:tcW w:w="7800" w:type="dxa"/>
            <w:gridSpan w:val="6"/>
            <w:tcBorders>
              <w:top w:val="nil"/>
              <w:left w:val="single" w:sz="8" w:space="0" w:color="auto"/>
              <w:bottom w:val="single" w:sz="8" w:space="0" w:color="auto"/>
              <w:right w:val="single" w:sz="8" w:space="0" w:color="000000"/>
            </w:tcBorders>
            <w:shd w:val="clear" w:color="000000" w:fill="D9D9D9"/>
            <w:noWrap/>
            <w:vAlign w:val="bottom"/>
            <w:hideMark/>
          </w:tcPr>
          <w:p w14:paraId="787BD960" w14:textId="77777777" w:rsidR="00065E56" w:rsidRPr="009A481B" w:rsidRDefault="00065E56" w:rsidP="001C607A">
            <w:pPr>
              <w:rPr>
                <w:rFonts w:ascii="Calibri" w:eastAsia="Times New Roman" w:hAnsi="Calibri" w:cs="Calibri"/>
                <w:color w:val="000000"/>
              </w:rPr>
            </w:pPr>
            <w:r w:rsidRPr="009A481B">
              <w:rPr>
                <w:rFonts w:ascii="Calibri" w:eastAsia="Times New Roman" w:hAnsi="Calibri" w:cs="Calibri"/>
                <w:color w:val="000000"/>
              </w:rPr>
              <w:t xml:space="preserve"> Regardless of my grade, I’m not sure how well I understand anatomy.</w:t>
            </w:r>
          </w:p>
        </w:tc>
      </w:tr>
      <w:tr w:rsidR="00065E56" w:rsidRPr="009A481B" w14:paraId="7A91E752" w14:textId="77777777" w:rsidTr="001C607A">
        <w:trPr>
          <w:trHeight w:val="680"/>
        </w:trPr>
        <w:tc>
          <w:tcPr>
            <w:tcW w:w="1300" w:type="dxa"/>
            <w:tcBorders>
              <w:top w:val="nil"/>
              <w:left w:val="nil"/>
              <w:bottom w:val="nil"/>
              <w:right w:val="nil"/>
            </w:tcBorders>
            <w:shd w:val="clear" w:color="000000" w:fill="D9D9D9"/>
            <w:vAlign w:val="bottom"/>
            <w:hideMark/>
          </w:tcPr>
          <w:p w14:paraId="741309D7" w14:textId="77777777" w:rsidR="00065E56" w:rsidRPr="009A481B" w:rsidRDefault="00065E56" w:rsidP="001C607A">
            <w:pPr>
              <w:rPr>
                <w:rFonts w:ascii="Calibri" w:eastAsia="Times New Roman" w:hAnsi="Calibri" w:cs="Calibri"/>
                <w:color w:val="000000"/>
              </w:rPr>
            </w:pPr>
            <w:r w:rsidRPr="009A481B">
              <w:rPr>
                <w:rFonts w:ascii="Calibri" w:eastAsia="Times New Roman" w:hAnsi="Calibri" w:cs="Calibri"/>
                <w:color w:val="000000"/>
              </w:rPr>
              <w:t>Program</w:t>
            </w:r>
          </w:p>
        </w:tc>
        <w:tc>
          <w:tcPr>
            <w:tcW w:w="1300" w:type="dxa"/>
            <w:tcBorders>
              <w:top w:val="nil"/>
              <w:left w:val="nil"/>
              <w:bottom w:val="nil"/>
              <w:right w:val="nil"/>
            </w:tcBorders>
            <w:shd w:val="clear" w:color="000000" w:fill="D9D9D9"/>
            <w:vAlign w:val="bottom"/>
            <w:hideMark/>
          </w:tcPr>
          <w:p w14:paraId="196D7358" w14:textId="77777777" w:rsidR="00065E56" w:rsidRPr="009A481B" w:rsidRDefault="00065E56" w:rsidP="001C607A">
            <w:pPr>
              <w:jc w:val="center"/>
              <w:rPr>
                <w:rFonts w:ascii="Calibri" w:eastAsia="Times New Roman" w:hAnsi="Calibri" w:cs="Calibri"/>
                <w:color w:val="000000"/>
              </w:rPr>
            </w:pPr>
            <w:r w:rsidRPr="009A481B">
              <w:rPr>
                <w:rFonts w:ascii="Calibri" w:eastAsia="Times New Roman" w:hAnsi="Calibri" w:cs="Calibri"/>
                <w:color w:val="000000"/>
              </w:rPr>
              <w:t>Very true for me</w:t>
            </w:r>
          </w:p>
        </w:tc>
        <w:tc>
          <w:tcPr>
            <w:tcW w:w="1300" w:type="dxa"/>
            <w:tcBorders>
              <w:top w:val="nil"/>
              <w:left w:val="nil"/>
              <w:bottom w:val="nil"/>
              <w:right w:val="nil"/>
            </w:tcBorders>
            <w:shd w:val="clear" w:color="000000" w:fill="D9D9D9"/>
            <w:vAlign w:val="bottom"/>
            <w:hideMark/>
          </w:tcPr>
          <w:p w14:paraId="16EEC2B9" w14:textId="77777777" w:rsidR="00065E56" w:rsidRPr="009A481B" w:rsidRDefault="00065E56" w:rsidP="001C607A">
            <w:pPr>
              <w:jc w:val="center"/>
              <w:rPr>
                <w:rFonts w:ascii="Calibri" w:eastAsia="Times New Roman" w:hAnsi="Calibri" w:cs="Calibri"/>
                <w:color w:val="000000"/>
              </w:rPr>
            </w:pPr>
            <w:r w:rsidRPr="009A481B">
              <w:rPr>
                <w:rFonts w:ascii="Calibri" w:eastAsia="Times New Roman" w:hAnsi="Calibri" w:cs="Calibri"/>
                <w:color w:val="000000"/>
              </w:rPr>
              <w:t>fairly true for me</w:t>
            </w:r>
          </w:p>
        </w:tc>
        <w:tc>
          <w:tcPr>
            <w:tcW w:w="1300" w:type="dxa"/>
            <w:tcBorders>
              <w:top w:val="nil"/>
              <w:left w:val="nil"/>
              <w:bottom w:val="nil"/>
              <w:right w:val="nil"/>
            </w:tcBorders>
            <w:shd w:val="clear" w:color="000000" w:fill="D9D9D9"/>
            <w:vAlign w:val="bottom"/>
            <w:hideMark/>
          </w:tcPr>
          <w:p w14:paraId="60B0FF2F" w14:textId="77777777" w:rsidR="00065E56" w:rsidRPr="009A481B" w:rsidRDefault="00065E56" w:rsidP="001C607A">
            <w:pPr>
              <w:jc w:val="center"/>
              <w:rPr>
                <w:rFonts w:ascii="Calibri" w:eastAsia="Times New Roman" w:hAnsi="Calibri" w:cs="Calibri"/>
                <w:color w:val="000000"/>
              </w:rPr>
            </w:pPr>
            <w:r w:rsidRPr="009A481B">
              <w:rPr>
                <w:rFonts w:ascii="Calibri" w:eastAsia="Times New Roman" w:hAnsi="Calibri" w:cs="Calibri"/>
                <w:color w:val="000000"/>
              </w:rPr>
              <w:t>somewhat true for me</w:t>
            </w:r>
          </w:p>
        </w:tc>
        <w:tc>
          <w:tcPr>
            <w:tcW w:w="1300" w:type="dxa"/>
            <w:tcBorders>
              <w:top w:val="nil"/>
              <w:left w:val="nil"/>
              <w:bottom w:val="nil"/>
              <w:right w:val="nil"/>
            </w:tcBorders>
            <w:shd w:val="clear" w:color="000000" w:fill="D9D9D9"/>
            <w:vAlign w:val="bottom"/>
            <w:hideMark/>
          </w:tcPr>
          <w:p w14:paraId="013A8EF6" w14:textId="77777777" w:rsidR="00065E56" w:rsidRPr="009A481B" w:rsidRDefault="00065E56" w:rsidP="001C607A">
            <w:pPr>
              <w:jc w:val="center"/>
              <w:rPr>
                <w:rFonts w:ascii="Calibri" w:eastAsia="Times New Roman" w:hAnsi="Calibri" w:cs="Calibri"/>
                <w:color w:val="000000"/>
              </w:rPr>
            </w:pPr>
            <w:r w:rsidRPr="009A481B">
              <w:rPr>
                <w:rFonts w:ascii="Calibri" w:eastAsia="Times New Roman" w:hAnsi="Calibri" w:cs="Calibri"/>
                <w:color w:val="000000"/>
              </w:rPr>
              <w:t>not very true for me</w:t>
            </w:r>
          </w:p>
        </w:tc>
        <w:tc>
          <w:tcPr>
            <w:tcW w:w="1300" w:type="dxa"/>
            <w:tcBorders>
              <w:top w:val="nil"/>
              <w:left w:val="nil"/>
              <w:bottom w:val="nil"/>
              <w:right w:val="nil"/>
            </w:tcBorders>
            <w:shd w:val="clear" w:color="000000" w:fill="D9D9D9"/>
            <w:vAlign w:val="bottom"/>
            <w:hideMark/>
          </w:tcPr>
          <w:p w14:paraId="3E8B2186" w14:textId="77777777" w:rsidR="00065E56" w:rsidRPr="009A481B" w:rsidRDefault="00065E56" w:rsidP="001C607A">
            <w:pPr>
              <w:jc w:val="center"/>
              <w:rPr>
                <w:rFonts w:ascii="Calibri" w:eastAsia="Times New Roman" w:hAnsi="Calibri" w:cs="Calibri"/>
                <w:color w:val="000000"/>
              </w:rPr>
            </w:pPr>
            <w:r w:rsidRPr="009A481B">
              <w:rPr>
                <w:rFonts w:ascii="Calibri" w:eastAsia="Times New Roman" w:hAnsi="Calibri" w:cs="Calibri"/>
                <w:color w:val="000000"/>
              </w:rPr>
              <w:t>not at all true for me</w:t>
            </w:r>
          </w:p>
        </w:tc>
      </w:tr>
      <w:tr w:rsidR="00065E56" w:rsidRPr="009A481B" w14:paraId="538B1A6E" w14:textId="77777777" w:rsidTr="001C607A">
        <w:trPr>
          <w:trHeight w:val="340"/>
        </w:trPr>
        <w:tc>
          <w:tcPr>
            <w:tcW w:w="1300" w:type="dxa"/>
            <w:tcBorders>
              <w:top w:val="nil"/>
              <w:left w:val="nil"/>
              <w:bottom w:val="nil"/>
              <w:right w:val="nil"/>
            </w:tcBorders>
            <w:shd w:val="clear" w:color="000000" w:fill="BFBFBF"/>
            <w:vAlign w:val="bottom"/>
            <w:hideMark/>
          </w:tcPr>
          <w:p w14:paraId="4A6431B2" w14:textId="77777777" w:rsidR="00065E56" w:rsidRPr="009A481B" w:rsidRDefault="00065E56" w:rsidP="001C607A">
            <w:pPr>
              <w:rPr>
                <w:rFonts w:ascii="Calibri" w:eastAsia="Times New Roman" w:hAnsi="Calibri" w:cs="Calibri"/>
                <w:color w:val="000000"/>
              </w:rPr>
            </w:pPr>
            <w:r w:rsidRPr="009A481B">
              <w:rPr>
                <w:rFonts w:ascii="Calibri" w:eastAsia="Times New Roman" w:hAnsi="Calibri" w:cs="Calibri"/>
                <w:color w:val="000000"/>
              </w:rPr>
              <w:t>Total</w:t>
            </w:r>
          </w:p>
        </w:tc>
        <w:tc>
          <w:tcPr>
            <w:tcW w:w="1300" w:type="dxa"/>
            <w:tcBorders>
              <w:top w:val="nil"/>
              <w:left w:val="nil"/>
              <w:bottom w:val="nil"/>
              <w:right w:val="nil"/>
            </w:tcBorders>
            <w:shd w:val="clear" w:color="000000" w:fill="BFBFBF"/>
            <w:noWrap/>
            <w:vAlign w:val="bottom"/>
            <w:hideMark/>
          </w:tcPr>
          <w:p w14:paraId="00D34BB7" w14:textId="77777777" w:rsidR="00065E56" w:rsidRPr="009A481B" w:rsidRDefault="00065E56" w:rsidP="001C607A">
            <w:pPr>
              <w:jc w:val="center"/>
              <w:rPr>
                <w:rFonts w:ascii="Calibri" w:eastAsia="Times New Roman" w:hAnsi="Calibri" w:cs="Calibri"/>
                <w:color w:val="000000"/>
              </w:rPr>
            </w:pPr>
            <w:r w:rsidRPr="009A481B">
              <w:rPr>
                <w:rFonts w:ascii="Calibri" w:eastAsia="Times New Roman" w:hAnsi="Calibri" w:cs="Calibri"/>
                <w:color w:val="000000"/>
              </w:rPr>
              <w:t>2 (3%)</w:t>
            </w:r>
          </w:p>
        </w:tc>
        <w:tc>
          <w:tcPr>
            <w:tcW w:w="1300" w:type="dxa"/>
            <w:tcBorders>
              <w:top w:val="nil"/>
              <w:left w:val="nil"/>
              <w:bottom w:val="nil"/>
              <w:right w:val="nil"/>
            </w:tcBorders>
            <w:shd w:val="clear" w:color="000000" w:fill="BFBFBF"/>
            <w:noWrap/>
            <w:vAlign w:val="bottom"/>
            <w:hideMark/>
          </w:tcPr>
          <w:p w14:paraId="450C5AFC" w14:textId="77777777" w:rsidR="00065E56" w:rsidRPr="009A481B" w:rsidRDefault="00065E56" w:rsidP="001C607A">
            <w:pPr>
              <w:jc w:val="center"/>
              <w:rPr>
                <w:rFonts w:ascii="Calibri" w:eastAsia="Times New Roman" w:hAnsi="Calibri" w:cs="Calibri"/>
                <w:color w:val="000000"/>
              </w:rPr>
            </w:pPr>
            <w:r w:rsidRPr="009A481B">
              <w:rPr>
                <w:rFonts w:ascii="Calibri" w:eastAsia="Times New Roman" w:hAnsi="Calibri" w:cs="Calibri"/>
                <w:color w:val="000000"/>
              </w:rPr>
              <w:t>5 (8%)</w:t>
            </w:r>
          </w:p>
        </w:tc>
        <w:tc>
          <w:tcPr>
            <w:tcW w:w="1300" w:type="dxa"/>
            <w:tcBorders>
              <w:top w:val="nil"/>
              <w:left w:val="nil"/>
              <w:bottom w:val="nil"/>
              <w:right w:val="nil"/>
            </w:tcBorders>
            <w:shd w:val="clear" w:color="000000" w:fill="BFBFBF"/>
            <w:noWrap/>
            <w:vAlign w:val="bottom"/>
            <w:hideMark/>
          </w:tcPr>
          <w:p w14:paraId="060B5589" w14:textId="77777777" w:rsidR="00065E56" w:rsidRPr="009A481B" w:rsidRDefault="00065E56" w:rsidP="001C607A">
            <w:pPr>
              <w:jc w:val="center"/>
              <w:rPr>
                <w:rFonts w:ascii="Calibri" w:eastAsia="Times New Roman" w:hAnsi="Calibri" w:cs="Calibri"/>
                <w:color w:val="000000"/>
              </w:rPr>
            </w:pPr>
            <w:r w:rsidRPr="009A481B">
              <w:rPr>
                <w:rFonts w:ascii="Calibri" w:eastAsia="Times New Roman" w:hAnsi="Calibri" w:cs="Calibri"/>
                <w:color w:val="000000"/>
              </w:rPr>
              <w:t>11 (18%)</w:t>
            </w:r>
          </w:p>
        </w:tc>
        <w:tc>
          <w:tcPr>
            <w:tcW w:w="1300" w:type="dxa"/>
            <w:tcBorders>
              <w:top w:val="nil"/>
              <w:left w:val="nil"/>
              <w:bottom w:val="nil"/>
              <w:right w:val="nil"/>
            </w:tcBorders>
            <w:shd w:val="clear" w:color="000000" w:fill="BFBFBF"/>
            <w:noWrap/>
            <w:vAlign w:val="bottom"/>
            <w:hideMark/>
          </w:tcPr>
          <w:p w14:paraId="7BDD1B7E" w14:textId="77777777" w:rsidR="00065E56" w:rsidRPr="009A481B" w:rsidRDefault="00065E56" w:rsidP="001C607A">
            <w:pPr>
              <w:jc w:val="center"/>
              <w:rPr>
                <w:rFonts w:ascii="Calibri" w:eastAsia="Times New Roman" w:hAnsi="Calibri" w:cs="Calibri"/>
                <w:color w:val="000000"/>
              </w:rPr>
            </w:pPr>
            <w:r w:rsidRPr="009A481B">
              <w:rPr>
                <w:rFonts w:ascii="Calibri" w:eastAsia="Times New Roman" w:hAnsi="Calibri" w:cs="Calibri"/>
                <w:color w:val="000000"/>
              </w:rPr>
              <w:t>32 (53%)</w:t>
            </w:r>
          </w:p>
        </w:tc>
        <w:tc>
          <w:tcPr>
            <w:tcW w:w="1300" w:type="dxa"/>
            <w:tcBorders>
              <w:top w:val="nil"/>
              <w:left w:val="nil"/>
              <w:bottom w:val="nil"/>
              <w:right w:val="nil"/>
            </w:tcBorders>
            <w:shd w:val="clear" w:color="000000" w:fill="BFBFBF"/>
            <w:noWrap/>
            <w:vAlign w:val="bottom"/>
            <w:hideMark/>
          </w:tcPr>
          <w:p w14:paraId="6C74AFD9" w14:textId="77777777" w:rsidR="00065E56" w:rsidRPr="009A481B" w:rsidRDefault="00065E56" w:rsidP="001C607A">
            <w:pPr>
              <w:jc w:val="center"/>
              <w:rPr>
                <w:rFonts w:ascii="Calibri" w:eastAsia="Times New Roman" w:hAnsi="Calibri" w:cs="Calibri"/>
                <w:color w:val="000000"/>
              </w:rPr>
            </w:pPr>
            <w:r w:rsidRPr="009A481B">
              <w:rPr>
                <w:rFonts w:ascii="Calibri" w:eastAsia="Times New Roman" w:hAnsi="Calibri" w:cs="Calibri"/>
                <w:color w:val="000000"/>
              </w:rPr>
              <w:t>5 (8%)</w:t>
            </w:r>
          </w:p>
        </w:tc>
      </w:tr>
      <w:tr w:rsidR="00065E56" w:rsidRPr="009A481B" w14:paraId="31BF52C6" w14:textId="77777777" w:rsidTr="001C607A">
        <w:trPr>
          <w:trHeight w:val="340"/>
        </w:trPr>
        <w:tc>
          <w:tcPr>
            <w:tcW w:w="1300" w:type="dxa"/>
            <w:tcBorders>
              <w:top w:val="nil"/>
              <w:left w:val="nil"/>
              <w:bottom w:val="nil"/>
              <w:right w:val="nil"/>
            </w:tcBorders>
            <w:shd w:val="clear" w:color="000000" w:fill="F2F2F2"/>
            <w:vAlign w:val="bottom"/>
            <w:hideMark/>
          </w:tcPr>
          <w:p w14:paraId="1A81DEE1" w14:textId="77777777" w:rsidR="00065E56" w:rsidRPr="009A481B" w:rsidRDefault="00065E56" w:rsidP="001C607A">
            <w:pPr>
              <w:rPr>
                <w:rFonts w:ascii="Calibri" w:eastAsia="Times New Roman" w:hAnsi="Calibri" w:cs="Calibri"/>
                <w:color w:val="000000"/>
              </w:rPr>
            </w:pPr>
            <w:r w:rsidRPr="009A481B">
              <w:rPr>
                <w:rFonts w:ascii="Calibri" w:eastAsia="Times New Roman" w:hAnsi="Calibri" w:cs="Calibri"/>
                <w:color w:val="000000"/>
              </w:rPr>
              <w:t>Dental</w:t>
            </w:r>
          </w:p>
        </w:tc>
        <w:tc>
          <w:tcPr>
            <w:tcW w:w="1300" w:type="dxa"/>
            <w:tcBorders>
              <w:top w:val="nil"/>
              <w:left w:val="nil"/>
              <w:bottom w:val="nil"/>
              <w:right w:val="nil"/>
            </w:tcBorders>
            <w:shd w:val="clear" w:color="000000" w:fill="F2F2F2"/>
            <w:noWrap/>
            <w:vAlign w:val="bottom"/>
            <w:hideMark/>
          </w:tcPr>
          <w:p w14:paraId="03502D51" w14:textId="77777777" w:rsidR="00065E56" w:rsidRPr="009A481B" w:rsidRDefault="00065E56" w:rsidP="001C607A">
            <w:pPr>
              <w:jc w:val="center"/>
              <w:rPr>
                <w:rFonts w:ascii="Calibri" w:eastAsia="Times New Roman" w:hAnsi="Calibri" w:cs="Calibri"/>
                <w:color w:val="000000"/>
              </w:rPr>
            </w:pPr>
            <w:r w:rsidRPr="009A481B">
              <w:rPr>
                <w:rFonts w:ascii="Calibri" w:eastAsia="Times New Roman" w:hAnsi="Calibri" w:cs="Calibri"/>
                <w:color w:val="000000"/>
              </w:rPr>
              <w:t>2 (8%)</w:t>
            </w:r>
          </w:p>
        </w:tc>
        <w:tc>
          <w:tcPr>
            <w:tcW w:w="1300" w:type="dxa"/>
            <w:tcBorders>
              <w:top w:val="nil"/>
              <w:left w:val="nil"/>
              <w:bottom w:val="nil"/>
              <w:right w:val="nil"/>
            </w:tcBorders>
            <w:shd w:val="clear" w:color="000000" w:fill="F2F2F2"/>
            <w:noWrap/>
            <w:vAlign w:val="bottom"/>
            <w:hideMark/>
          </w:tcPr>
          <w:p w14:paraId="35E72C28" w14:textId="77777777" w:rsidR="00065E56" w:rsidRPr="009A481B" w:rsidRDefault="00065E56" w:rsidP="001C607A">
            <w:pPr>
              <w:jc w:val="center"/>
              <w:rPr>
                <w:rFonts w:ascii="Calibri" w:eastAsia="Times New Roman" w:hAnsi="Calibri" w:cs="Calibri"/>
                <w:color w:val="000000"/>
              </w:rPr>
            </w:pPr>
            <w:r w:rsidRPr="009A481B">
              <w:rPr>
                <w:rFonts w:ascii="Calibri" w:eastAsia="Times New Roman" w:hAnsi="Calibri" w:cs="Calibri"/>
                <w:color w:val="000000"/>
              </w:rPr>
              <w:t>2 (8%)</w:t>
            </w:r>
          </w:p>
        </w:tc>
        <w:tc>
          <w:tcPr>
            <w:tcW w:w="1300" w:type="dxa"/>
            <w:tcBorders>
              <w:top w:val="nil"/>
              <w:left w:val="nil"/>
              <w:bottom w:val="nil"/>
              <w:right w:val="nil"/>
            </w:tcBorders>
            <w:shd w:val="clear" w:color="000000" w:fill="F2F2F2"/>
            <w:noWrap/>
            <w:vAlign w:val="bottom"/>
            <w:hideMark/>
          </w:tcPr>
          <w:p w14:paraId="0095C910" w14:textId="77777777" w:rsidR="00065E56" w:rsidRPr="009A481B" w:rsidRDefault="00065E56" w:rsidP="001C607A">
            <w:pPr>
              <w:jc w:val="center"/>
              <w:rPr>
                <w:rFonts w:ascii="Calibri" w:eastAsia="Times New Roman" w:hAnsi="Calibri" w:cs="Calibri"/>
                <w:color w:val="000000"/>
              </w:rPr>
            </w:pPr>
            <w:r w:rsidRPr="009A481B">
              <w:rPr>
                <w:rFonts w:ascii="Calibri" w:eastAsia="Times New Roman" w:hAnsi="Calibri" w:cs="Calibri"/>
                <w:color w:val="000000"/>
              </w:rPr>
              <w:t>5 (21%)</w:t>
            </w:r>
          </w:p>
        </w:tc>
        <w:tc>
          <w:tcPr>
            <w:tcW w:w="1300" w:type="dxa"/>
            <w:tcBorders>
              <w:top w:val="nil"/>
              <w:left w:val="nil"/>
              <w:bottom w:val="nil"/>
              <w:right w:val="nil"/>
            </w:tcBorders>
            <w:shd w:val="clear" w:color="000000" w:fill="F2F2F2"/>
            <w:noWrap/>
            <w:vAlign w:val="bottom"/>
            <w:hideMark/>
          </w:tcPr>
          <w:p w14:paraId="0D4F1CB8" w14:textId="77777777" w:rsidR="00065E56" w:rsidRPr="009A481B" w:rsidRDefault="00065E56" w:rsidP="001C607A">
            <w:pPr>
              <w:jc w:val="center"/>
              <w:rPr>
                <w:rFonts w:ascii="Calibri" w:eastAsia="Times New Roman" w:hAnsi="Calibri" w:cs="Calibri"/>
                <w:color w:val="000000"/>
              </w:rPr>
            </w:pPr>
            <w:r w:rsidRPr="009A481B">
              <w:rPr>
                <w:rFonts w:ascii="Calibri" w:eastAsia="Times New Roman" w:hAnsi="Calibri" w:cs="Calibri"/>
                <w:color w:val="000000"/>
              </w:rPr>
              <w:t>10 (42%)</w:t>
            </w:r>
          </w:p>
        </w:tc>
        <w:tc>
          <w:tcPr>
            <w:tcW w:w="1300" w:type="dxa"/>
            <w:tcBorders>
              <w:top w:val="nil"/>
              <w:left w:val="nil"/>
              <w:bottom w:val="nil"/>
              <w:right w:val="nil"/>
            </w:tcBorders>
            <w:shd w:val="clear" w:color="000000" w:fill="F2F2F2"/>
            <w:noWrap/>
            <w:vAlign w:val="bottom"/>
            <w:hideMark/>
          </w:tcPr>
          <w:p w14:paraId="2F0D7146" w14:textId="77777777" w:rsidR="00065E56" w:rsidRPr="009A481B" w:rsidRDefault="00065E56" w:rsidP="001C607A">
            <w:pPr>
              <w:jc w:val="center"/>
              <w:rPr>
                <w:rFonts w:ascii="Calibri" w:eastAsia="Times New Roman" w:hAnsi="Calibri" w:cs="Calibri"/>
                <w:color w:val="000000"/>
              </w:rPr>
            </w:pPr>
            <w:r w:rsidRPr="009A481B">
              <w:rPr>
                <w:rFonts w:ascii="Calibri" w:eastAsia="Times New Roman" w:hAnsi="Calibri" w:cs="Calibri"/>
                <w:color w:val="000000"/>
              </w:rPr>
              <w:t>5 (21%)</w:t>
            </w:r>
          </w:p>
        </w:tc>
      </w:tr>
      <w:tr w:rsidR="00065E56" w:rsidRPr="009A481B" w14:paraId="157B7468" w14:textId="77777777" w:rsidTr="001C607A">
        <w:trPr>
          <w:trHeight w:val="1020"/>
        </w:trPr>
        <w:tc>
          <w:tcPr>
            <w:tcW w:w="1300" w:type="dxa"/>
            <w:tcBorders>
              <w:top w:val="nil"/>
              <w:left w:val="nil"/>
              <w:bottom w:val="nil"/>
              <w:right w:val="nil"/>
            </w:tcBorders>
            <w:shd w:val="clear" w:color="auto" w:fill="auto"/>
            <w:vAlign w:val="bottom"/>
            <w:hideMark/>
          </w:tcPr>
          <w:p w14:paraId="13D74AF0" w14:textId="77777777" w:rsidR="00065E56" w:rsidRPr="009A481B" w:rsidRDefault="00065E56" w:rsidP="001C607A">
            <w:pPr>
              <w:rPr>
                <w:rFonts w:ascii="Calibri" w:eastAsia="Times New Roman" w:hAnsi="Calibri" w:cs="Calibri"/>
                <w:color w:val="000000"/>
              </w:rPr>
            </w:pPr>
            <w:r w:rsidRPr="009A481B">
              <w:rPr>
                <w:rFonts w:ascii="Calibri" w:eastAsia="Times New Roman" w:hAnsi="Calibri" w:cs="Calibri"/>
                <w:color w:val="000000"/>
              </w:rPr>
              <w:t xml:space="preserve">Dental -no </w:t>
            </w:r>
            <w:proofErr w:type="spellStart"/>
            <w:r w:rsidRPr="009A481B">
              <w:rPr>
                <w:rFonts w:ascii="Calibri" w:eastAsia="Times New Roman" w:hAnsi="Calibri" w:cs="Calibri"/>
                <w:color w:val="000000"/>
              </w:rPr>
              <w:t>undgrad</w:t>
            </w:r>
            <w:proofErr w:type="spellEnd"/>
            <w:r w:rsidRPr="009A481B">
              <w:rPr>
                <w:rFonts w:ascii="Calibri" w:eastAsia="Times New Roman" w:hAnsi="Calibri" w:cs="Calibri"/>
                <w:color w:val="000000"/>
              </w:rPr>
              <w:t xml:space="preserve"> anatomy</w:t>
            </w:r>
          </w:p>
        </w:tc>
        <w:tc>
          <w:tcPr>
            <w:tcW w:w="1300" w:type="dxa"/>
            <w:tcBorders>
              <w:top w:val="nil"/>
              <w:left w:val="nil"/>
              <w:bottom w:val="nil"/>
              <w:right w:val="nil"/>
            </w:tcBorders>
            <w:shd w:val="clear" w:color="auto" w:fill="auto"/>
            <w:noWrap/>
            <w:vAlign w:val="bottom"/>
            <w:hideMark/>
          </w:tcPr>
          <w:p w14:paraId="4562A294" w14:textId="77777777" w:rsidR="00065E56" w:rsidRPr="009A481B" w:rsidRDefault="00065E56" w:rsidP="001C607A">
            <w:pPr>
              <w:jc w:val="center"/>
              <w:rPr>
                <w:rFonts w:ascii="Calibri" w:eastAsia="Times New Roman" w:hAnsi="Calibri" w:cs="Calibri"/>
                <w:color w:val="000000"/>
              </w:rPr>
            </w:pPr>
            <w:r w:rsidRPr="009A481B">
              <w:rPr>
                <w:rFonts w:ascii="Calibri" w:eastAsia="Times New Roman" w:hAnsi="Calibri" w:cs="Calibri"/>
                <w:color w:val="000000"/>
              </w:rPr>
              <w:t>0</w:t>
            </w:r>
          </w:p>
        </w:tc>
        <w:tc>
          <w:tcPr>
            <w:tcW w:w="1300" w:type="dxa"/>
            <w:tcBorders>
              <w:top w:val="nil"/>
              <w:left w:val="nil"/>
              <w:bottom w:val="nil"/>
              <w:right w:val="nil"/>
            </w:tcBorders>
            <w:shd w:val="clear" w:color="auto" w:fill="auto"/>
            <w:noWrap/>
            <w:vAlign w:val="bottom"/>
            <w:hideMark/>
          </w:tcPr>
          <w:p w14:paraId="7403F199" w14:textId="77777777" w:rsidR="00065E56" w:rsidRPr="009A481B" w:rsidRDefault="00065E56" w:rsidP="001C607A">
            <w:pPr>
              <w:jc w:val="center"/>
              <w:rPr>
                <w:rFonts w:ascii="Calibri" w:eastAsia="Times New Roman" w:hAnsi="Calibri" w:cs="Calibri"/>
                <w:color w:val="000000"/>
              </w:rPr>
            </w:pPr>
            <w:r w:rsidRPr="009A481B">
              <w:rPr>
                <w:rFonts w:ascii="Calibri" w:eastAsia="Times New Roman" w:hAnsi="Calibri" w:cs="Calibri"/>
                <w:color w:val="000000"/>
              </w:rPr>
              <w:t>1</w:t>
            </w:r>
          </w:p>
        </w:tc>
        <w:tc>
          <w:tcPr>
            <w:tcW w:w="1300" w:type="dxa"/>
            <w:tcBorders>
              <w:top w:val="nil"/>
              <w:left w:val="nil"/>
              <w:bottom w:val="nil"/>
              <w:right w:val="nil"/>
            </w:tcBorders>
            <w:shd w:val="clear" w:color="auto" w:fill="auto"/>
            <w:noWrap/>
            <w:vAlign w:val="bottom"/>
            <w:hideMark/>
          </w:tcPr>
          <w:p w14:paraId="56587D68" w14:textId="77777777" w:rsidR="00065E56" w:rsidRPr="009A481B" w:rsidRDefault="00065E56" w:rsidP="001C607A">
            <w:pPr>
              <w:jc w:val="center"/>
              <w:rPr>
                <w:rFonts w:ascii="Calibri" w:eastAsia="Times New Roman" w:hAnsi="Calibri" w:cs="Calibri"/>
                <w:color w:val="000000"/>
              </w:rPr>
            </w:pPr>
            <w:r w:rsidRPr="009A481B">
              <w:rPr>
                <w:rFonts w:ascii="Calibri" w:eastAsia="Times New Roman" w:hAnsi="Calibri" w:cs="Calibri"/>
                <w:color w:val="000000"/>
              </w:rPr>
              <w:t>2</w:t>
            </w:r>
          </w:p>
        </w:tc>
        <w:tc>
          <w:tcPr>
            <w:tcW w:w="1300" w:type="dxa"/>
            <w:tcBorders>
              <w:top w:val="nil"/>
              <w:left w:val="nil"/>
              <w:bottom w:val="nil"/>
              <w:right w:val="nil"/>
            </w:tcBorders>
            <w:shd w:val="clear" w:color="auto" w:fill="auto"/>
            <w:noWrap/>
            <w:vAlign w:val="bottom"/>
            <w:hideMark/>
          </w:tcPr>
          <w:p w14:paraId="1BCFDE51" w14:textId="77777777" w:rsidR="00065E56" w:rsidRPr="009A481B" w:rsidRDefault="00065E56" w:rsidP="001C607A">
            <w:pPr>
              <w:jc w:val="center"/>
              <w:rPr>
                <w:rFonts w:ascii="Calibri" w:eastAsia="Times New Roman" w:hAnsi="Calibri" w:cs="Calibri"/>
                <w:color w:val="000000"/>
              </w:rPr>
            </w:pPr>
            <w:r w:rsidRPr="009A481B">
              <w:rPr>
                <w:rFonts w:ascii="Calibri" w:eastAsia="Times New Roman" w:hAnsi="Calibri" w:cs="Calibri"/>
                <w:color w:val="000000"/>
              </w:rPr>
              <w:t>3</w:t>
            </w:r>
          </w:p>
        </w:tc>
        <w:tc>
          <w:tcPr>
            <w:tcW w:w="1300" w:type="dxa"/>
            <w:tcBorders>
              <w:top w:val="nil"/>
              <w:left w:val="nil"/>
              <w:bottom w:val="nil"/>
              <w:right w:val="nil"/>
            </w:tcBorders>
            <w:shd w:val="clear" w:color="auto" w:fill="auto"/>
            <w:noWrap/>
            <w:vAlign w:val="bottom"/>
            <w:hideMark/>
          </w:tcPr>
          <w:p w14:paraId="1090939C" w14:textId="77777777" w:rsidR="00065E56" w:rsidRPr="009A481B" w:rsidRDefault="00065E56" w:rsidP="001C607A">
            <w:pPr>
              <w:jc w:val="center"/>
              <w:rPr>
                <w:rFonts w:ascii="Calibri" w:eastAsia="Times New Roman" w:hAnsi="Calibri" w:cs="Calibri"/>
                <w:color w:val="000000"/>
              </w:rPr>
            </w:pPr>
            <w:r w:rsidRPr="009A481B">
              <w:rPr>
                <w:rFonts w:ascii="Calibri" w:eastAsia="Times New Roman" w:hAnsi="Calibri" w:cs="Calibri"/>
                <w:color w:val="000000"/>
              </w:rPr>
              <w:t>1</w:t>
            </w:r>
          </w:p>
        </w:tc>
      </w:tr>
      <w:tr w:rsidR="00065E56" w:rsidRPr="009A481B" w14:paraId="7D8F3671" w14:textId="77777777" w:rsidTr="001C607A">
        <w:trPr>
          <w:trHeight w:val="1020"/>
        </w:trPr>
        <w:tc>
          <w:tcPr>
            <w:tcW w:w="1300" w:type="dxa"/>
            <w:tcBorders>
              <w:top w:val="nil"/>
              <w:left w:val="nil"/>
              <w:bottom w:val="nil"/>
              <w:right w:val="nil"/>
            </w:tcBorders>
            <w:shd w:val="clear" w:color="auto" w:fill="auto"/>
            <w:vAlign w:val="bottom"/>
            <w:hideMark/>
          </w:tcPr>
          <w:p w14:paraId="3C2D7E1E" w14:textId="77777777" w:rsidR="00065E56" w:rsidRPr="009A481B" w:rsidRDefault="00065E56" w:rsidP="001C607A">
            <w:pPr>
              <w:rPr>
                <w:rFonts w:ascii="Calibri" w:eastAsia="Times New Roman" w:hAnsi="Calibri" w:cs="Calibri"/>
                <w:color w:val="000000"/>
              </w:rPr>
            </w:pPr>
            <w:r w:rsidRPr="009A481B">
              <w:rPr>
                <w:rFonts w:ascii="Calibri" w:eastAsia="Times New Roman" w:hAnsi="Calibri" w:cs="Calibri"/>
                <w:color w:val="000000"/>
              </w:rPr>
              <w:t>Dental -yes undergrad anatomy</w:t>
            </w:r>
          </w:p>
        </w:tc>
        <w:tc>
          <w:tcPr>
            <w:tcW w:w="1300" w:type="dxa"/>
            <w:tcBorders>
              <w:top w:val="nil"/>
              <w:left w:val="nil"/>
              <w:bottom w:val="nil"/>
              <w:right w:val="nil"/>
            </w:tcBorders>
            <w:shd w:val="clear" w:color="auto" w:fill="auto"/>
            <w:noWrap/>
            <w:vAlign w:val="bottom"/>
            <w:hideMark/>
          </w:tcPr>
          <w:p w14:paraId="384C118D" w14:textId="77777777" w:rsidR="00065E56" w:rsidRPr="009A481B" w:rsidRDefault="00065E56" w:rsidP="001C607A">
            <w:pPr>
              <w:jc w:val="center"/>
              <w:rPr>
                <w:rFonts w:ascii="Calibri" w:eastAsia="Times New Roman" w:hAnsi="Calibri" w:cs="Calibri"/>
                <w:color w:val="000000"/>
              </w:rPr>
            </w:pPr>
            <w:r w:rsidRPr="009A481B">
              <w:rPr>
                <w:rFonts w:ascii="Calibri" w:eastAsia="Times New Roman" w:hAnsi="Calibri" w:cs="Calibri"/>
                <w:color w:val="000000"/>
              </w:rPr>
              <w:t>2</w:t>
            </w:r>
          </w:p>
        </w:tc>
        <w:tc>
          <w:tcPr>
            <w:tcW w:w="1300" w:type="dxa"/>
            <w:tcBorders>
              <w:top w:val="nil"/>
              <w:left w:val="nil"/>
              <w:bottom w:val="nil"/>
              <w:right w:val="nil"/>
            </w:tcBorders>
            <w:shd w:val="clear" w:color="auto" w:fill="auto"/>
            <w:noWrap/>
            <w:vAlign w:val="bottom"/>
            <w:hideMark/>
          </w:tcPr>
          <w:p w14:paraId="594A2118" w14:textId="77777777" w:rsidR="00065E56" w:rsidRPr="009A481B" w:rsidRDefault="00065E56" w:rsidP="001C607A">
            <w:pPr>
              <w:jc w:val="center"/>
              <w:rPr>
                <w:rFonts w:ascii="Calibri" w:eastAsia="Times New Roman" w:hAnsi="Calibri" w:cs="Calibri"/>
                <w:color w:val="000000"/>
              </w:rPr>
            </w:pPr>
            <w:r w:rsidRPr="009A481B">
              <w:rPr>
                <w:rFonts w:ascii="Calibri" w:eastAsia="Times New Roman" w:hAnsi="Calibri" w:cs="Calibri"/>
                <w:color w:val="000000"/>
              </w:rPr>
              <w:t>1</w:t>
            </w:r>
          </w:p>
        </w:tc>
        <w:tc>
          <w:tcPr>
            <w:tcW w:w="1300" w:type="dxa"/>
            <w:tcBorders>
              <w:top w:val="nil"/>
              <w:left w:val="nil"/>
              <w:bottom w:val="nil"/>
              <w:right w:val="nil"/>
            </w:tcBorders>
            <w:shd w:val="clear" w:color="auto" w:fill="auto"/>
            <w:noWrap/>
            <w:vAlign w:val="bottom"/>
            <w:hideMark/>
          </w:tcPr>
          <w:p w14:paraId="0BE46B84" w14:textId="77777777" w:rsidR="00065E56" w:rsidRPr="009A481B" w:rsidRDefault="00065E56" w:rsidP="001C607A">
            <w:pPr>
              <w:jc w:val="center"/>
              <w:rPr>
                <w:rFonts w:ascii="Calibri" w:eastAsia="Times New Roman" w:hAnsi="Calibri" w:cs="Calibri"/>
                <w:color w:val="000000"/>
              </w:rPr>
            </w:pPr>
            <w:r w:rsidRPr="009A481B">
              <w:rPr>
                <w:rFonts w:ascii="Calibri" w:eastAsia="Times New Roman" w:hAnsi="Calibri" w:cs="Calibri"/>
                <w:color w:val="000000"/>
              </w:rPr>
              <w:t>1</w:t>
            </w:r>
          </w:p>
        </w:tc>
        <w:tc>
          <w:tcPr>
            <w:tcW w:w="1300" w:type="dxa"/>
            <w:tcBorders>
              <w:top w:val="nil"/>
              <w:left w:val="nil"/>
              <w:bottom w:val="nil"/>
              <w:right w:val="nil"/>
            </w:tcBorders>
            <w:shd w:val="clear" w:color="auto" w:fill="auto"/>
            <w:noWrap/>
            <w:vAlign w:val="bottom"/>
            <w:hideMark/>
          </w:tcPr>
          <w:p w14:paraId="54FD599B" w14:textId="77777777" w:rsidR="00065E56" w:rsidRPr="009A481B" w:rsidRDefault="00065E56" w:rsidP="001C607A">
            <w:pPr>
              <w:jc w:val="center"/>
              <w:rPr>
                <w:rFonts w:ascii="Calibri" w:eastAsia="Times New Roman" w:hAnsi="Calibri" w:cs="Calibri"/>
                <w:color w:val="000000"/>
              </w:rPr>
            </w:pPr>
            <w:r w:rsidRPr="009A481B">
              <w:rPr>
                <w:rFonts w:ascii="Calibri" w:eastAsia="Times New Roman" w:hAnsi="Calibri" w:cs="Calibri"/>
                <w:color w:val="000000"/>
              </w:rPr>
              <w:t>7</w:t>
            </w:r>
          </w:p>
        </w:tc>
        <w:tc>
          <w:tcPr>
            <w:tcW w:w="1300" w:type="dxa"/>
            <w:tcBorders>
              <w:top w:val="nil"/>
              <w:left w:val="nil"/>
              <w:bottom w:val="nil"/>
              <w:right w:val="nil"/>
            </w:tcBorders>
            <w:shd w:val="clear" w:color="auto" w:fill="auto"/>
            <w:noWrap/>
            <w:vAlign w:val="bottom"/>
            <w:hideMark/>
          </w:tcPr>
          <w:p w14:paraId="1663610F" w14:textId="77777777" w:rsidR="00065E56" w:rsidRPr="009A481B" w:rsidRDefault="00065E56" w:rsidP="001C607A">
            <w:pPr>
              <w:jc w:val="center"/>
              <w:rPr>
                <w:rFonts w:ascii="Calibri" w:eastAsia="Times New Roman" w:hAnsi="Calibri" w:cs="Calibri"/>
                <w:color w:val="000000"/>
              </w:rPr>
            </w:pPr>
            <w:r w:rsidRPr="009A481B">
              <w:rPr>
                <w:rFonts w:ascii="Calibri" w:eastAsia="Times New Roman" w:hAnsi="Calibri" w:cs="Calibri"/>
                <w:color w:val="000000"/>
              </w:rPr>
              <w:t>4</w:t>
            </w:r>
          </w:p>
        </w:tc>
      </w:tr>
      <w:tr w:rsidR="00065E56" w:rsidRPr="009A481B" w14:paraId="16A06DA3" w14:textId="77777777" w:rsidTr="001C607A">
        <w:trPr>
          <w:trHeight w:val="340"/>
        </w:trPr>
        <w:tc>
          <w:tcPr>
            <w:tcW w:w="1300" w:type="dxa"/>
            <w:tcBorders>
              <w:top w:val="nil"/>
              <w:left w:val="nil"/>
              <w:bottom w:val="nil"/>
              <w:right w:val="nil"/>
            </w:tcBorders>
            <w:shd w:val="clear" w:color="000000" w:fill="F2F2F2"/>
            <w:vAlign w:val="bottom"/>
            <w:hideMark/>
          </w:tcPr>
          <w:p w14:paraId="7A287D84" w14:textId="77777777" w:rsidR="00065E56" w:rsidRPr="009A481B" w:rsidRDefault="00065E56" w:rsidP="001C607A">
            <w:pPr>
              <w:rPr>
                <w:rFonts w:ascii="Calibri" w:eastAsia="Times New Roman" w:hAnsi="Calibri" w:cs="Calibri"/>
                <w:color w:val="000000"/>
              </w:rPr>
            </w:pPr>
            <w:r w:rsidRPr="009A481B">
              <w:rPr>
                <w:rFonts w:ascii="Calibri" w:eastAsia="Times New Roman" w:hAnsi="Calibri" w:cs="Calibri"/>
                <w:color w:val="000000"/>
              </w:rPr>
              <w:t>PA</w:t>
            </w:r>
          </w:p>
        </w:tc>
        <w:tc>
          <w:tcPr>
            <w:tcW w:w="1300" w:type="dxa"/>
            <w:tcBorders>
              <w:top w:val="nil"/>
              <w:left w:val="nil"/>
              <w:bottom w:val="nil"/>
              <w:right w:val="nil"/>
            </w:tcBorders>
            <w:shd w:val="clear" w:color="000000" w:fill="F2F2F2"/>
            <w:noWrap/>
            <w:vAlign w:val="bottom"/>
            <w:hideMark/>
          </w:tcPr>
          <w:p w14:paraId="7E642384" w14:textId="77777777" w:rsidR="00065E56" w:rsidRPr="009A481B" w:rsidRDefault="00065E56" w:rsidP="001C607A">
            <w:pPr>
              <w:jc w:val="center"/>
              <w:rPr>
                <w:rFonts w:ascii="Calibri" w:eastAsia="Times New Roman" w:hAnsi="Calibri" w:cs="Calibri"/>
                <w:color w:val="000000"/>
              </w:rPr>
            </w:pPr>
            <w:r w:rsidRPr="009A481B">
              <w:rPr>
                <w:rFonts w:ascii="Calibri" w:eastAsia="Times New Roman" w:hAnsi="Calibri" w:cs="Calibri"/>
                <w:color w:val="000000"/>
              </w:rPr>
              <w:t>0 (0%)</w:t>
            </w:r>
          </w:p>
        </w:tc>
        <w:tc>
          <w:tcPr>
            <w:tcW w:w="1300" w:type="dxa"/>
            <w:tcBorders>
              <w:top w:val="nil"/>
              <w:left w:val="nil"/>
              <w:bottom w:val="nil"/>
              <w:right w:val="nil"/>
            </w:tcBorders>
            <w:shd w:val="clear" w:color="000000" w:fill="F2F2F2"/>
            <w:noWrap/>
            <w:vAlign w:val="bottom"/>
            <w:hideMark/>
          </w:tcPr>
          <w:p w14:paraId="62B374D0" w14:textId="77777777" w:rsidR="00065E56" w:rsidRPr="009A481B" w:rsidRDefault="00065E56" w:rsidP="001C607A">
            <w:pPr>
              <w:jc w:val="center"/>
              <w:rPr>
                <w:rFonts w:ascii="Calibri" w:eastAsia="Times New Roman" w:hAnsi="Calibri" w:cs="Calibri"/>
                <w:color w:val="000000"/>
              </w:rPr>
            </w:pPr>
            <w:r w:rsidRPr="009A481B">
              <w:rPr>
                <w:rFonts w:ascii="Calibri" w:eastAsia="Times New Roman" w:hAnsi="Calibri" w:cs="Calibri"/>
                <w:color w:val="000000"/>
              </w:rPr>
              <w:t>3 (8%)</w:t>
            </w:r>
          </w:p>
        </w:tc>
        <w:tc>
          <w:tcPr>
            <w:tcW w:w="1300" w:type="dxa"/>
            <w:tcBorders>
              <w:top w:val="nil"/>
              <w:left w:val="nil"/>
              <w:bottom w:val="nil"/>
              <w:right w:val="nil"/>
            </w:tcBorders>
            <w:shd w:val="clear" w:color="000000" w:fill="F2F2F2"/>
            <w:noWrap/>
            <w:vAlign w:val="bottom"/>
            <w:hideMark/>
          </w:tcPr>
          <w:p w14:paraId="19954521" w14:textId="77777777" w:rsidR="00065E56" w:rsidRPr="009A481B" w:rsidRDefault="00065E56" w:rsidP="001C607A">
            <w:pPr>
              <w:jc w:val="center"/>
              <w:rPr>
                <w:rFonts w:ascii="Calibri" w:eastAsia="Times New Roman" w:hAnsi="Calibri" w:cs="Calibri"/>
                <w:color w:val="000000"/>
              </w:rPr>
            </w:pPr>
            <w:r w:rsidRPr="009A481B">
              <w:rPr>
                <w:rFonts w:ascii="Calibri" w:eastAsia="Times New Roman" w:hAnsi="Calibri" w:cs="Calibri"/>
                <w:color w:val="000000"/>
              </w:rPr>
              <w:t>6 (17%)</w:t>
            </w:r>
          </w:p>
        </w:tc>
        <w:tc>
          <w:tcPr>
            <w:tcW w:w="1300" w:type="dxa"/>
            <w:tcBorders>
              <w:top w:val="nil"/>
              <w:left w:val="nil"/>
              <w:bottom w:val="nil"/>
              <w:right w:val="nil"/>
            </w:tcBorders>
            <w:shd w:val="clear" w:color="000000" w:fill="F2F2F2"/>
            <w:noWrap/>
            <w:vAlign w:val="bottom"/>
            <w:hideMark/>
          </w:tcPr>
          <w:p w14:paraId="0E89B63E" w14:textId="77777777" w:rsidR="00065E56" w:rsidRPr="009A481B" w:rsidRDefault="00065E56" w:rsidP="001C607A">
            <w:pPr>
              <w:jc w:val="center"/>
              <w:rPr>
                <w:rFonts w:ascii="Calibri" w:eastAsia="Times New Roman" w:hAnsi="Calibri" w:cs="Calibri"/>
                <w:color w:val="000000"/>
              </w:rPr>
            </w:pPr>
            <w:r w:rsidRPr="009A481B">
              <w:rPr>
                <w:rFonts w:ascii="Calibri" w:eastAsia="Times New Roman" w:hAnsi="Calibri" w:cs="Calibri"/>
                <w:color w:val="000000"/>
              </w:rPr>
              <w:t>22 (61%)</w:t>
            </w:r>
          </w:p>
        </w:tc>
        <w:tc>
          <w:tcPr>
            <w:tcW w:w="1300" w:type="dxa"/>
            <w:tcBorders>
              <w:top w:val="nil"/>
              <w:left w:val="nil"/>
              <w:bottom w:val="nil"/>
              <w:right w:val="nil"/>
            </w:tcBorders>
            <w:shd w:val="clear" w:color="000000" w:fill="F2F2F2"/>
            <w:noWrap/>
            <w:vAlign w:val="bottom"/>
            <w:hideMark/>
          </w:tcPr>
          <w:p w14:paraId="5421254A" w14:textId="77777777" w:rsidR="00065E56" w:rsidRPr="009A481B" w:rsidRDefault="00065E56" w:rsidP="001C607A">
            <w:pPr>
              <w:jc w:val="center"/>
              <w:rPr>
                <w:rFonts w:ascii="Calibri" w:eastAsia="Times New Roman" w:hAnsi="Calibri" w:cs="Calibri"/>
                <w:color w:val="000000"/>
              </w:rPr>
            </w:pPr>
            <w:r w:rsidRPr="009A481B">
              <w:rPr>
                <w:rFonts w:ascii="Calibri" w:eastAsia="Times New Roman" w:hAnsi="Calibri" w:cs="Calibri"/>
                <w:color w:val="000000"/>
              </w:rPr>
              <w:t>5 (14%)</w:t>
            </w:r>
          </w:p>
        </w:tc>
      </w:tr>
      <w:tr w:rsidR="00065E56" w:rsidRPr="009A481B" w14:paraId="4F7CAF5B" w14:textId="77777777" w:rsidTr="001C607A">
        <w:trPr>
          <w:trHeight w:val="680"/>
        </w:trPr>
        <w:tc>
          <w:tcPr>
            <w:tcW w:w="1300" w:type="dxa"/>
            <w:tcBorders>
              <w:top w:val="nil"/>
              <w:left w:val="nil"/>
              <w:bottom w:val="nil"/>
              <w:right w:val="nil"/>
            </w:tcBorders>
            <w:shd w:val="clear" w:color="auto" w:fill="auto"/>
            <w:vAlign w:val="bottom"/>
            <w:hideMark/>
          </w:tcPr>
          <w:p w14:paraId="239AD351" w14:textId="77777777" w:rsidR="00065E56" w:rsidRPr="009A481B" w:rsidRDefault="00065E56" w:rsidP="001C607A">
            <w:pPr>
              <w:rPr>
                <w:rFonts w:ascii="Calibri" w:eastAsia="Times New Roman" w:hAnsi="Calibri" w:cs="Calibri"/>
                <w:color w:val="000000"/>
              </w:rPr>
            </w:pPr>
            <w:r w:rsidRPr="009A481B">
              <w:rPr>
                <w:rFonts w:ascii="Calibri" w:eastAsia="Times New Roman" w:hAnsi="Calibri" w:cs="Calibri"/>
                <w:color w:val="000000"/>
              </w:rPr>
              <w:t>PA -no cadaver</w:t>
            </w:r>
          </w:p>
        </w:tc>
        <w:tc>
          <w:tcPr>
            <w:tcW w:w="1300" w:type="dxa"/>
            <w:tcBorders>
              <w:top w:val="nil"/>
              <w:left w:val="nil"/>
              <w:bottom w:val="nil"/>
              <w:right w:val="nil"/>
            </w:tcBorders>
            <w:shd w:val="clear" w:color="auto" w:fill="auto"/>
            <w:noWrap/>
            <w:vAlign w:val="bottom"/>
            <w:hideMark/>
          </w:tcPr>
          <w:p w14:paraId="05A9A0BF" w14:textId="77777777" w:rsidR="00065E56" w:rsidRPr="009A481B" w:rsidRDefault="00065E56" w:rsidP="001C607A">
            <w:pPr>
              <w:jc w:val="center"/>
              <w:rPr>
                <w:rFonts w:ascii="Calibri" w:eastAsia="Times New Roman" w:hAnsi="Calibri" w:cs="Calibri"/>
                <w:color w:val="000000"/>
              </w:rPr>
            </w:pPr>
            <w:r w:rsidRPr="009A481B">
              <w:rPr>
                <w:rFonts w:ascii="Calibri" w:eastAsia="Times New Roman" w:hAnsi="Calibri" w:cs="Calibri"/>
                <w:color w:val="000000"/>
              </w:rPr>
              <w:t>0</w:t>
            </w:r>
          </w:p>
        </w:tc>
        <w:tc>
          <w:tcPr>
            <w:tcW w:w="1300" w:type="dxa"/>
            <w:tcBorders>
              <w:top w:val="nil"/>
              <w:left w:val="nil"/>
              <w:bottom w:val="nil"/>
              <w:right w:val="nil"/>
            </w:tcBorders>
            <w:shd w:val="clear" w:color="auto" w:fill="auto"/>
            <w:noWrap/>
            <w:vAlign w:val="bottom"/>
            <w:hideMark/>
          </w:tcPr>
          <w:p w14:paraId="57887C74" w14:textId="77777777" w:rsidR="00065E56" w:rsidRPr="009A481B" w:rsidRDefault="00065E56" w:rsidP="001C607A">
            <w:pPr>
              <w:jc w:val="center"/>
              <w:rPr>
                <w:rFonts w:ascii="Calibri" w:eastAsia="Times New Roman" w:hAnsi="Calibri" w:cs="Calibri"/>
                <w:color w:val="000000"/>
              </w:rPr>
            </w:pPr>
            <w:r w:rsidRPr="009A481B">
              <w:rPr>
                <w:rFonts w:ascii="Calibri" w:eastAsia="Times New Roman" w:hAnsi="Calibri" w:cs="Calibri"/>
                <w:color w:val="000000"/>
              </w:rPr>
              <w:t>2</w:t>
            </w:r>
          </w:p>
        </w:tc>
        <w:tc>
          <w:tcPr>
            <w:tcW w:w="1300" w:type="dxa"/>
            <w:tcBorders>
              <w:top w:val="nil"/>
              <w:left w:val="nil"/>
              <w:bottom w:val="nil"/>
              <w:right w:val="nil"/>
            </w:tcBorders>
            <w:shd w:val="clear" w:color="auto" w:fill="auto"/>
            <w:noWrap/>
            <w:vAlign w:val="bottom"/>
            <w:hideMark/>
          </w:tcPr>
          <w:p w14:paraId="2A1B4968" w14:textId="77777777" w:rsidR="00065E56" w:rsidRPr="009A481B" w:rsidRDefault="00065E56" w:rsidP="001C607A">
            <w:pPr>
              <w:jc w:val="center"/>
              <w:rPr>
                <w:rFonts w:ascii="Calibri" w:eastAsia="Times New Roman" w:hAnsi="Calibri" w:cs="Calibri"/>
                <w:color w:val="000000"/>
              </w:rPr>
            </w:pPr>
            <w:r w:rsidRPr="009A481B">
              <w:rPr>
                <w:rFonts w:ascii="Calibri" w:eastAsia="Times New Roman" w:hAnsi="Calibri" w:cs="Calibri"/>
                <w:color w:val="000000"/>
              </w:rPr>
              <w:t>4</w:t>
            </w:r>
          </w:p>
        </w:tc>
        <w:tc>
          <w:tcPr>
            <w:tcW w:w="1300" w:type="dxa"/>
            <w:tcBorders>
              <w:top w:val="nil"/>
              <w:left w:val="nil"/>
              <w:bottom w:val="nil"/>
              <w:right w:val="nil"/>
            </w:tcBorders>
            <w:shd w:val="clear" w:color="auto" w:fill="auto"/>
            <w:noWrap/>
            <w:vAlign w:val="bottom"/>
            <w:hideMark/>
          </w:tcPr>
          <w:p w14:paraId="73DBD765" w14:textId="77777777" w:rsidR="00065E56" w:rsidRPr="009A481B" w:rsidRDefault="00065E56" w:rsidP="001C607A">
            <w:pPr>
              <w:jc w:val="center"/>
              <w:rPr>
                <w:rFonts w:ascii="Calibri" w:eastAsia="Times New Roman" w:hAnsi="Calibri" w:cs="Calibri"/>
                <w:color w:val="000000"/>
              </w:rPr>
            </w:pPr>
            <w:r w:rsidRPr="009A481B">
              <w:rPr>
                <w:rFonts w:ascii="Calibri" w:eastAsia="Times New Roman" w:hAnsi="Calibri" w:cs="Calibri"/>
                <w:color w:val="000000"/>
              </w:rPr>
              <w:t>11</w:t>
            </w:r>
          </w:p>
        </w:tc>
        <w:tc>
          <w:tcPr>
            <w:tcW w:w="1300" w:type="dxa"/>
            <w:tcBorders>
              <w:top w:val="nil"/>
              <w:left w:val="nil"/>
              <w:bottom w:val="nil"/>
              <w:right w:val="nil"/>
            </w:tcBorders>
            <w:shd w:val="clear" w:color="auto" w:fill="auto"/>
            <w:noWrap/>
            <w:vAlign w:val="bottom"/>
            <w:hideMark/>
          </w:tcPr>
          <w:p w14:paraId="53E33BDF" w14:textId="77777777" w:rsidR="00065E56" w:rsidRPr="009A481B" w:rsidRDefault="00065E56" w:rsidP="001C607A">
            <w:pPr>
              <w:jc w:val="center"/>
              <w:rPr>
                <w:rFonts w:ascii="Calibri" w:eastAsia="Times New Roman" w:hAnsi="Calibri" w:cs="Calibri"/>
                <w:color w:val="000000"/>
              </w:rPr>
            </w:pPr>
            <w:r w:rsidRPr="009A481B">
              <w:rPr>
                <w:rFonts w:ascii="Calibri" w:eastAsia="Times New Roman" w:hAnsi="Calibri" w:cs="Calibri"/>
                <w:color w:val="000000"/>
              </w:rPr>
              <w:t>1</w:t>
            </w:r>
          </w:p>
        </w:tc>
      </w:tr>
      <w:tr w:rsidR="00065E56" w:rsidRPr="009A481B" w14:paraId="20A26425" w14:textId="77777777" w:rsidTr="001C607A">
        <w:trPr>
          <w:trHeight w:val="700"/>
        </w:trPr>
        <w:tc>
          <w:tcPr>
            <w:tcW w:w="1300" w:type="dxa"/>
            <w:tcBorders>
              <w:top w:val="nil"/>
              <w:left w:val="nil"/>
              <w:bottom w:val="nil"/>
              <w:right w:val="nil"/>
            </w:tcBorders>
            <w:shd w:val="clear" w:color="auto" w:fill="auto"/>
            <w:vAlign w:val="bottom"/>
            <w:hideMark/>
          </w:tcPr>
          <w:p w14:paraId="7D600BA0" w14:textId="77777777" w:rsidR="00065E56" w:rsidRPr="009A481B" w:rsidRDefault="00065E56" w:rsidP="001C607A">
            <w:pPr>
              <w:rPr>
                <w:rFonts w:ascii="Calibri" w:eastAsia="Times New Roman" w:hAnsi="Calibri" w:cs="Calibri"/>
                <w:color w:val="000000"/>
              </w:rPr>
            </w:pPr>
            <w:r w:rsidRPr="009A481B">
              <w:rPr>
                <w:rFonts w:ascii="Calibri" w:eastAsia="Times New Roman" w:hAnsi="Calibri" w:cs="Calibri"/>
                <w:color w:val="000000"/>
              </w:rPr>
              <w:t>PA-yes cadaver</w:t>
            </w:r>
          </w:p>
        </w:tc>
        <w:tc>
          <w:tcPr>
            <w:tcW w:w="1300" w:type="dxa"/>
            <w:tcBorders>
              <w:top w:val="nil"/>
              <w:left w:val="nil"/>
              <w:bottom w:val="nil"/>
              <w:right w:val="nil"/>
            </w:tcBorders>
            <w:shd w:val="clear" w:color="auto" w:fill="auto"/>
            <w:noWrap/>
            <w:vAlign w:val="bottom"/>
            <w:hideMark/>
          </w:tcPr>
          <w:p w14:paraId="68AAE399" w14:textId="77777777" w:rsidR="00065E56" w:rsidRPr="009A481B" w:rsidRDefault="00065E56" w:rsidP="001C607A">
            <w:pPr>
              <w:jc w:val="center"/>
              <w:rPr>
                <w:rFonts w:ascii="Calibri" w:eastAsia="Times New Roman" w:hAnsi="Calibri" w:cs="Calibri"/>
                <w:color w:val="000000"/>
              </w:rPr>
            </w:pPr>
            <w:r w:rsidRPr="009A481B">
              <w:rPr>
                <w:rFonts w:ascii="Calibri" w:eastAsia="Times New Roman" w:hAnsi="Calibri" w:cs="Calibri"/>
                <w:color w:val="000000"/>
              </w:rPr>
              <w:t>0</w:t>
            </w:r>
          </w:p>
        </w:tc>
        <w:tc>
          <w:tcPr>
            <w:tcW w:w="1300" w:type="dxa"/>
            <w:tcBorders>
              <w:top w:val="nil"/>
              <w:left w:val="nil"/>
              <w:bottom w:val="nil"/>
              <w:right w:val="nil"/>
            </w:tcBorders>
            <w:shd w:val="clear" w:color="auto" w:fill="auto"/>
            <w:noWrap/>
            <w:vAlign w:val="bottom"/>
            <w:hideMark/>
          </w:tcPr>
          <w:p w14:paraId="7EEA42C3" w14:textId="77777777" w:rsidR="00065E56" w:rsidRPr="009A481B" w:rsidRDefault="00065E56" w:rsidP="001C607A">
            <w:pPr>
              <w:jc w:val="center"/>
              <w:rPr>
                <w:rFonts w:ascii="Calibri" w:eastAsia="Times New Roman" w:hAnsi="Calibri" w:cs="Calibri"/>
                <w:color w:val="000000"/>
              </w:rPr>
            </w:pPr>
            <w:r w:rsidRPr="009A481B">
              <w:rPr>
                <w:rFonts w:ascii="Calibri" w:eastAsia="Times New Roman" w:hAnsi="Calibri" w:cs="Calibri"/>
                <w:color w:val="000000"/>
              </w:rPr>
              <w:t>1</w:t>
            </w:r>
          </w:p>
        </w:tc>
        <w:tc>
          <w:tcPr>
            <w:tcW w:w="1300" w:type="dxa"/>
            <w:tcBorders>
              <w:top w:val="nil"/>
              <w:left w:val="nil"/>
              <w:bottom w:val="nil"/>
              <w:right w:val="nil"/>
            </w:tcBorders>
            <w:shd w:val="clear" w:color="auto" w:fill="auto"/>
            <w:noWrap/>
            <w:vAlign w:val="bottom"/>
            <w:hideMark/>
          </w:tcPr>
          <w:p w14:paraId="7C103F67" w14:textId="77777777" w:rsidR="00065E56" w:rsidRPr="009A481B" w:rsidRDefault="00065E56" w:rsidP="001C607A">
            <w:pPr>
              <w:jc w:val="center"/>
              <w:rPr>
                <w:rFonts w:ascii="Calibri" w:eastAsia="Times New Roman" w:hAnsi="Calibri" w:cs="Calibri"/>
                <w:color w:val="000000"/>
              </w:rPr>
            </w:pPr>
            <w:r w:rsidRPr="009A481B">
              <w:rPr>
                <w:rFonts w:ascii="Calibri" w:eastAsia="Times New Roman" w:hAnsi="Calibri" w:cs="Calibri"/>
                <w:color w:val="000000"/>
              </w:rPr>
              <w:t>2</w:t>
            </w:r>
          </w:p>
        </w:tc>
        <w:tc>
          <w:tcPr>
            <w:tcW w:w="1300" w:type="dxa"/>
            <w:tcBorders>
              <w:top w:val="nil"/>
              <w:left w:val="nil"/>
              <w:bottom w:val="nil"/>
              <w:right w:val="nil"/>
            </w:tcBorders>
            <w:shd w:val="clear" w:color="auto" w:fill="auto"/>
            <w:noWrap/>
            <w:vAlign w:val="bottom"/>
            <w:hideMark/>
          </w:tcPr>
          <w:p w14:paraId="165D4955" w14:textId="77777777" w:rsidR="00065E56" w:rsidRPr="009A481B" w:rsidRDefault="00065E56" w:rsidP="001C607A">
            <w:pPr>
              <w:jc w:val="center"/>
              <w:rPr>
                <w:rFonts w:ascii="Calibri" w:eastAsia="Times New Roman" w:hAnsi="Calibri" w:cs="Calibri"/>
                <w:color w:val="000000"/>
              </w:rPr>
            </w:pPr>
            <w:r w:rsidRPr="009A481B">
              <w:rPr>
                <w:rFonts w:ascii="Calibri" w:eastAsia="Times New Roman" w:hAnsi="Calibri" w:cs="Calibri"/>
                <w:color w:val="000000"/>
              </w:rPr>
              <w:t>11</w:t>
            </w:r>
          </w:p>
        </w:tc>
        <w:tc>
          <w:tcPr>
            <w:tcW w:w="1300" w:type="dxa"/>
            <w:tcBorders>
              <w:top w:val="nil"/>
              <w:left w:val="nil"/>
              <w:bottom w:val="nil"/>
              <w:right w:val="nil"/>
            </w:tcBorders>
            <w:shd w:val="clear" w:color="auto" w:fill="auto"/>
            <w:noWrap/>
            <w:vAlign w:val="bottom"/>
            <w:hideMark/>
          </w:tcPr>
          <w:p w14:paraId="13D2FF8C" w14:textId="77777777" w:rsidR="00065E56" w:rsidRPr="009A481B" w:rsidRDefault="00065E56" w:rsidP="001C607A">
            <w:pPr>
              <w:jc w:val="center"/>
              <w:rPr>
                <w:rFonts w:ascii="Calibri" w:eastAsia="Times New Roman" w:hAnsi="Calibri" w:cs="Calibri"/>
                <w:color w:val="000000"/>
              </w:rPr>
            </w:pPr>
            <w:r w:rsidRPr="009A481B">
              <w:rPr>
                <w:rFonts w:ascii="Calibri" w:eastAsia="Times New Roman" w:hAnsi="Calibri" w:cs="Calibri"/>
                <w:color w:val="000000"/>
              </w:rPr>
              <w:t>4</w:t>
            </w:r>
          </w:p>
        </w:tc>
      </w:tr>
      <w:tr w:rsidR="00065E56" w:rsidRPr="009A481B" w14:paraId="34C9407D" w14:textId="77777777" w:rsidTr="001C607A">
        <w:trPr>
          <w:trHeight w:val="320"/>
        </w:trPr>
        <w:tc>
          <w:tcPr>
            <w:tcW w:w="2600" w:type="dxa"/>
            <w:gridSpan w:val="2"/>
            <w:tcBorders>
              <w:top w:val="single" w:sz="8" w:space="0" w:color="auto"/>
              <w:left w:val="single" w:sz="8" w:space="0" w:color="auto"/>
              <w:bottom w:val="nil"/>
              <w:right w:val="nil"/>
            </w:tcBorders>
            <w:shd w:val="clear" w:color="000000" w:fill="D9D9D9"/>
            <w:noWrap/>
            <w:vAlign w:val="bottom"/>
            <w:hideMark/>
          </w:tcPr>
          <w:p w14:paraId="10E8A175" w14:textId="77777777" w:rsidR="00065E56" w:rsidRPr="009A481B" w:rsidRDefault="00065E56" w:rsidP="001C607A">
            <w:pPr>
              <w:rPr>
                <w:rFonts w:ascii="Calibri" w:eastAsia="Times New Roman" w:hAnsi="Calibri" w:cs="Calibri"/>
                <w:color w:val="000000"/>
              </w:rPr>
            </w:pPr>
            <w:r w:rsidRPr="009A481B">
              <w:rPr>
                <w:rFonts w:ascii="Calibri" w:eastAsia="Times New Roman" w:hAnsi="Calibri" w:cs="Calibri"/>
                <w:color w:val="000000"/>
              </w:rPr>
              <w:t>Q10 Statement 4</w:t>
            </w:r>
          </w:p>
        </w:tc>
        <w:tc>
          <w:tcPr>
            <w:tcW w:w="1300" w:type="dxa"/>
            <w:tcBorders>
              <w:top w:val="single" w:sz="8" w:space="0" w:color="auto"/>
              <w:left w:val="nil"/>
              <w:bottom w:val="nil"/>
              <w:right w:val="nil"/>
            </w:tcBorders>
            <w:shd w:val="clear" w:color="000000" w:fill="D9D9D9"/>
            <w:noWrap/>
            <w:vAlign w:val="bottom"/>
            <w:hideMark/>
          </w:tcPr>
          <w:p w14:paraId="4786B9F4" w14:textId="77777777" w:rsidR="00065E56" w:rsidRPr="009A481B" w:rsidRDefault="00065E56" w:rsidP="001C607A">
            <w:pPr>
              <w:rPr>
                <w:rFonts w:ascii="Calibri" w:eastAsia="Times New Roman" w:hAnsi="Calibri" w:cs="Calibri"/>
                <w:color w:val="000000"/>
              </w:rPr>
            </w:pPr>
            <w:r w:rsidRPr="009A481B">
              <w:rPr>
                <w:rFonts w:ascii="Calibri" w:eastAsia="Times New Roman" w:hAnsi="Calibri" w:cs="Calibri"/>
                <w:color w:val="000000"/>
              </w:rPr>
              <w:t> </w:t>
            </w:r>
          </w:p>
        </w:tc>
        <w:tc>
          <w:tcPr>
            <w:tcW w:w="1300" w:type="dxa"/>
            <w:tcBorders>
              <w:top w:val="single" w:sz="8" w:space="0" w:color="auto"/>
              <w:left w:val="nil"/>
              <w:bottom w:val="nil"/>
              <w:right w:val="nil"/>
            </w:tcBorders>
            <w:shd w:val="clear" w:color="000000" w:fill="D9D9D9"/>
            <w:noWrap/>
            <w:vAlign w:val="bottom"/>
            <w:hideMark/>
          </w:tcPr>
          <w:p w14:paraId="1698A52D" w14:textId="77777777" w:rsidR="00065E56" w:rsidRPr="009A481B" w:rsidRDefault="00065E56" w:rsidP="001C607A">
            <w:pPr>
              <w:rPr>
                <w:rFonts w:ascii="Calibri" w:eastAsia="Times New Roman" w:hAnsi="Calibri" w:cs="Calibri"/>
                <w:color w:val="000000"/>
              </w:rPr>
            </w:pPr>
            <w:r w:rsidRPr="009A481B">
              <w:rPr>
                <w:rFonts w:ascii="Calibri" w:eastAsia="Times New Roman" w:hAnsi="Calibri" w:cs="Calibri"/>
                <w:color w:val="000000"/>
              </w:rPr>
              <w:t> </w:t>
            </w:r>
          </w:p>
        </w:tc>
        <w:tc>
          <w:tcPr>
            <w:tcW w:w="1300" w:type="dxa"/>
            <w:tcBorders>
              <w:top w:val="single" w:sz="8" w:space="0" w:color="auto"/>
              <w:left w:val="nil"/>
              <w:bottom w:val="nil"/>
              <w:right w:val="nil"/>
            </w:tcBorders>
            <w:shd w:val="clear" w:color="000000" w:fill="D9D9D9"/>
            <w:noWrap/>
            <w:vAlign w:val="bottom"/>
            <w:hideMark/>
          </w:tcPr>
          <w:p w14:paraId="79057986" w14:textId="77777777" w:rsidR="00065E56" w:rsidRPr="009A481B" w:rsidRDefault="00065E56" w:rsidP="001C607A">
            <w:pPr>
              <w:rPr>
                <w:rFonts w:ascii="Calibri" w:eastAsia="Times New Roman" w:hAnsi="Calibri" w:cs="Calibri"/>
                <w:color w:val="000000"/>
              </w:rPr>
            </w:pPr>
            <w:r w:rsidRPr="009A481B">
              <w:rPr>
                <w:rFonts w:ascii="Calibri" w:eastAsia="Times New Roman" w:hAnsi="Calibri" w:cs="Calibri"/>
                <w:color w:val="000000"/>
              </w:rPr>
              <w:t> </w:t>
            </w:r>
          </w:p>
        </w:tc>
        <w:tc>
          <w:tcPr>
            <w:tcW w:w="1300" w:type="dxa"/>
            <w:tcBorders>
              <w:top w:val="single" w:sz="8" w:space="0" w:color="auto"/>
              <w:left w:val="nil"/>
              <w:bottom w:val="nil"/>
              <w:right w:val="single" w:sz="8" w:space="0" w:color="auto"/>
            </w:tcBorders>
            <w:shd w:val="clear" w:color="000000" w:fill="D9D9D9"/>
            <w:noWrap/>
            <w:vAlign w:val="bottom"/>
            <w:hideMark/>
          </w:tcPr>
          <w:p w14:paraId="62140323" w14:textId="77777777" w:rsidR="00065E56" w:rsidRPr="009A481B" w:rsidRDefault="00065E56" w:rsidP="001C607A">
            <w:pPr>
              <w:rPr>
                <w:rFonts w:ascii="Calibri" w:eastAsia="Times New Roman" w:hAnsi="Calibri" w:cs="Calibri"/>
                <w:color w:val="000000"/>
              </w:rPr>
            </w:pPr>
            <w:r w:rsidRPr="009A481B">
              <w:rPr>
                <w:rFonts w:ascii="Calibri" w:eastAsia="Times New Roman" w:hAnsi="Calibri" w:cs="Calibri"/>
                <w:color w:val="000000"/>
              </w:rPr>
              <w:t> </w:t>
            </w:r>
          </w:p>
        </w:tc>
      </w:tr>
      <w:tr w:rsidR="00065E56" w:rsidRPr="009A481B" w14:paraId="4EAAE733" w14:textId="77777777" w:rsidTr="001C607A">
        <w:trPr>
          <w:trHeight w:val="340"/>
        </w:trPr>
        <w:tc>
          <w:tcPr>
            <w:tcW w:w="6500" w:type="dxa"/>
            <w:gridSpan w:val="5"/>
            <w:tcBorders>
              <w:top w:val="nil"/>
              <w:left w:val="single" w:sz="8" w:space="0" w:color="auto"/>
              <w:bottom w:val="single" w:sz="8" w:space="0" w:color="auto"/>
              <w:right w:val="nil"/>
            </w:tcBorders>
            <w:shd w:val="clear" w:color="000000" w:fill="D9D9D9"/>
            <w:noWrap/>
            <w:vAlign w:val="bottom"/>
            <w:hideMark/>
          </w:tcPr>
          <w:p w14:paraId="27BBCF08" w14:textId="77777777" w:rsidR="00065E56" w:rsidRPr="009A481B" w:rsidRDefault="00065E56" w:rsidP="001C607A">
            <w:pPr>
              <w:rPr>
                <w:rFonts w:ascii="Calibri" w:eastAsia="Times New Roman" w:hAnsi="Calibri" w:cs="Calibri"/>
                <w:color w:val="000000"/>
              </w:rPr>
            </w:pPr>
            <w:r w:rsidRPr="009A481B">
              <w:rPr>
                <w:rFonts w:ascii="Calibri" w:eastAsia="Times New Roman" w:hAnsi="Calibri" w:cs="Calibri"/>
                <w:color w:val="000000"/>
              </w:rPr>
              <w:t xml:space="preserve"> I would like cadaveric review lab time in future classes.</w:t>
            </w:r>
          </w:p>
        </w:tc>
        <w:tc>
          <w:tcPr>
            <w:tcW w:w="1300" w:type="dxa"/>
            <w:tcBorders>
              <w:top w:val="nil"/>
              <w:left w:val="nil"/>
              <w:bottom w:val="single" w:sz="8" w:space="0" w:color="auto"/>
              <w:right w:val="single" w:sz="8" w:space="0" w:color="auto"/>
            </w:tcBorders>
            <w:shd w:val="clear" w:color="000000" w:fill="D9D9D9"/>
            <w:noWrap/>
            <w:vAlign w:val="bottom"/>
            <w:hideMark/>
          </w:tcPr>
          <w:p w14:paraId="6B0234A7" w14:textId="77777777" w:rsidR="00065E56" w:rsidRPr="009A481B" w:rsidRDefault="00065E56" w:rsidP="001C607A">
            <w:pPr>
              <w:rPr>
                <w:rFonts w:ascii="Calibri" w:eastAsia="Times New Roman" w:hAnsi="Calibri" w:cs="Calibri"/>
                <w:color w:val="000000"/>
              </w:rPr>
            </w:pPr>
            <w:r w:rsidRPr="009A481B">
              <w:rPr>
                <w:rFonts w:ascii="Calibri" w:eastAsia="Times New Roman" w:hAnsi="Calibri" w:cs="Calibri"/>
                <w:color w:val="000000"/>
              </w:rPr>
              <w:t> </w:t>
            </w:r>
          </w:p>
        </w:tc>
      </w:tr>
      <w:tr w:rsidR="00065E56" w:rsidRPr="009A481B" w14:paraId="4B19A9C6" w14:textId="77777777" w:rsidTr="001C607A">
        <w:trPr>
          <w:trHeight w:val="680"/>
        </w:trPr>
        <w:tc>
          <w:tcPr>
            <w:tcW w:w="1300" w:type="dxa"/>
            <w:tcBorders>
              <w:top w:val="nil"/>
              <w:left w:val="nil"/>
              <w:bottom w:val="nil"/>
              <w:right w:val="nil"/>
            </w:tcBorders>
            <w:shd w:val="clear" w:color="000000" w:fill="D9D9D9"/>
            <w:vAlign w:val="bottom"/>
            <w:hideMark/>
          </w:tcPr>
          <w:p w14:paraId="0D74652C" w14:textId="77777777" w:rsidR="00065E56" w:rsidRPr="009A481B" w:rsidRDefault="00065E56" w:rsidP="001C607A">
            <w:pPr>
              <w:rPr>
                <w:rFonts w:ascii="Calibri" w:eastAsia="Times New Roman" w:hAnsi="Calibri" w:cs="Calibri"/>
                <w:color w:val="000000"/>
              </w:rPr>
            </w:pPr>
            <w:r w:rsidRPr="009A481B">
              <w:rPr>
                <w:rFonts w:ascii="Calibri" w:eastAsia="Times New Roman" w:hAnsi="Calibri" w:cs="Calibri"/>
                <w:color w:val="000000"/>
              </w:rPr>
              <w:t>Program</w:t>
            </w:r>
          </w:p>
        </w:tc>
        <w:tc>
          <w:tcPr>
            <w:tcW w:w="1300" w:type="dxa"/>
            <w:tcBorders>
              <w:top w:val="nil"/>
              <w:left w:val="nil"/>
              <w:bottom w:val="nil"/>
              <w:right w:val="nil"/>
            </w:tcBorders>
            <w:shd w:val="clear" w:color="000000" w:fill="D9D9D9"/>
            <w:vAlign w:val="bottom"/>
            <w:hideMark/>
          </w:tcPr>
          <w:p w14:paraId="455A1410" w14:textId="77777777" w:rsidR="00065E56" w:rsidRPr="009A481B" w:rsidRDefault="00065E56" w:rsidP="001C607A">
            <w:pPr>
              <w:jc w:val="center"/>
              <w:rPr>
                <w:rFonts w:ascii="Calibri" w:eastAsia="Times New Roman" w:hAnsi="Calibri" w:cs="Calibri"/>
                <w:color w:val="000000"/>
              </w:rPr>
            </w:pPr>
            <w:r w:rsidRPr="009A481B">
              <w:rPr>
                <w:rFonts w:ascii="Calibri" w:eastAsia="Times New Roman" w:hAnsi="Calibri" w:cs="Calibri"/>
                <w:color w:val="000000"/>
              </w:rPr>
              <w:t>Very true for me</w:t>
            </w:r>
          </w:p>
        </w:tc>
        <w:tc>
          <w:tcPr>
            <w:tcW w:w="1300" w:type="dxa"/>
            <w:tcBorders>
              <w:top w:val="nil"/>
              <w:left w:val="nil"/>
              <w:bottom w:val="nil"/>
              <w:right w:val="nil"/>
            </w:tcBorders>
            <w:shd w:val="clear" w:color="000000" w:fill="D9D9D9"/>
            <w:vAlign w:val="bottom"/>
            <w:hideMark/>
          </w:tcPr>
          <w:p w14:paraId="2BC083CE" w14:textId="77777777" w:rsidR="00065E56" w:rsidRPr="009A481B" w:rsidRDefault="00065E56" w:rsidP="001C607A">
            <w:pPr>
              <w:jc w:val="center"/>
              <w:rPr>
                <w:rFonts w:ascii="Calibri" w:eastAsia="Times New Roman" w:hAnsi="Calibri" w:cs="Calibri"/>
                <w:color w:val="000000"/>
              </w:rPr>
            </w:pPr>
            <w:r w:rsidRPr="009A481B">
              <w:rPr>
                <w:rFonts w:ascii="Calibri" w:eastAsia="Times New Roman" w:hAnsi="Calibri" w:cs="Calibri"/>
                <w:color w:val="000000"/>
              </w:rPr>
              <w:t>fairly true for me</w:t>
            </w:r>
          </w:p>
        </w:tc>
        <w:tc>
          <w:tcPr>
            <w:tcW w:w="1300" w:type="dxa"/>
            <w:tcBorders>
              <w:top w:val="nil"/>
              <w:left w:val="nil"/>
              <w:bottom w:val="nil"/>
              <w:right w:val="nil"/>
            </w:tcBorders>
            <w:shd w:val="clear" w:color="000000" w:fill="D9D9D9"/>
            <w:vAlign w:val="bottom"/>
            <w:hideMark/>
          </w:tcPr>
          <w:p w14:paraId="138D2F16" w14:textId="77777777" w:rsidR="00065E56" w:rsidRPr="009A481B" w:rsidRDefault="00065E56" w:rsidP="001C607A">
            <w:pPr>
              <w:jc w:val="center"/>
              <w:rPr>
                <w:rFonts w:ascii="Calibri" w:eastAsia="Times New Roman" w:hAnsi="Calibri" w:cs="Calibri"/>
                <w:color w:val="000000"/>
              </w:rPr>
            </w:pPr>
            <w:r w:rsidRPr="009A481B">
              <w:rPr>
                <w:rFonts w:ascii="Calibri" w:eastAsia="Times New Roman" w:hAnsi="Calibri" w:cs="Calibri"/>
                <w:color w:val="000000"/>
              </w:rPr>
              <w:t>somewhat true for me</w:t>
            </w:r>
          </w:p>
        </w:tc>
        <w:tc>
          <w:tcPr>
            <w:tcW w:w="1300" w:type="dxa"/>
            <w:tcBorders>
              <w:top w:val="nil"/>
              <w:left w:val="nil"/>
              <w:bottom w:val="nil"/>
              <w:right w:val="nil"/>
            </w:tcBorders>
            <w:shd w:val="clear" w:color="000000" w:fill="D9D9D9"/>
            <w:vAlign w:val="bottom"/>
            <w:hideMark/>
          </w:tcPr>
          <w:p w14:paraId="2A5409C7" w14:textId="77777777" w:rsidR="00065E56" w:rsidRPr="009A481B" w:rsidRDefault="00065E56" w:rsidP="001C607A">
            <w:pPr>
              <w:jc w:val="center"/>
              <w:rPr>
                <w:rFonts w:ascii="Calibri" w:eastAsia="Times New Roman" w:hAnsi="Calibri" w:cs="Calibri"/>
                <w:color w:val="000000"/>
              </w:rPr>
            </w:pPr>
            <w:r w:rsidRPr="009A481B">
              <w:rPr>
                <w:rFonts w:ascii="Calibri" w:eastAsia="Times New Roman" w:hAnsi="Calibri" w:cs="Calibri"/>
                <w:color w:val="000000"/>
              </w:rPr>
              <w:t>not very true for me</w:t>
            </w:r>
          </w:p>
        </w:tc>
        <w:tc>
          <w:tcPr>
            <w:tcW w:w="1300" w:type="dxa"/>
            <w:tcBorders>
              <w:top w:val="nil"/>
              <w:left w:val="nil"/>
              <w:bottom w:val="nil"/>
              <w:right w:val="nil"/>
            </w:tcBorders>
            <w:shd w:val="clear" w:color="000000" w:fill="D9D9D9"/>
            <w:vAlign w:val="bottom"/>
            <w:hideMark/>
          </w:tcPr>
          <w:p w14:paraId="7507E644" w14:textId="77777777" w:rsidR="00065E56" w:rsidRPr="009A481B" w:rsidRDefault="00065E56" w:rsidP="001C607A">
            <w:pPr>
              <w:jc w:val="center"/>
              <w:rPr>
                <w:rFonts w:ascii="Calibri" w:eastAsia="Times New Roman" w:hAnsi="Calibri" w:cs="Calibri"/>
                <w:color w:val="000000"/>
              </w:rPr>
            </w:pPr>
            <w:r w:rsidRPr="009A481B">
              <w:rPr>
                <w:rFonts w:ascii="Calibri" w:eastAsia="Times New Roman" w:hAnsi="Calibri" w:cs="Calibri"/>
                <w:color w:val="000000"/>
              </w:rPr>
              <w:t>not at all true for me</w:t>
            </w:r>
          </w:p>
        </w:tc>
      </w:tr>
      <w:tr w:rsidR="00065E56" w:rsidRPr="009A481B" w14:paraId="3953860F" w14:textId="77777777" w:rsidTr="001C607A">
        <w:trPr>
          <w:trHeight w:val="340"/>
        </w:trPr>
        <w:tc>
          <w:tcPr>
            <w:tcW w:w="1300" w:type="dxa"/>
            <w:tcBorders>
              <w:top w:val="nil"/>
              <w:left w:val="nil"/>
              <w:bottom w:val="nil"/>
              <w:right w:val="nil"/>
            </w:tcBorders>
            <w:shd w:val="clear" w:color="000000" w:fill="BFBFBF"/>
            <w:vAlign w:val="bottom"/>
            <w:hideMark/>
          </w:tcPr>
          <w:p w14:paraId="32930080" w14:textId="77777777" w:rsidR="00065E56" w:rsidRPr="009A481B" w:rsidRDefault="00065E56" w:rsidP="001C607A">
            <w:pPr>
              <w:rPr>
                <w:rFonts w:ascii="Calibri" w:eastAsia="Times New Roman" w:hAnsi="Calibri" w:cs="Calibri"/>
                <w:color w:val="000000"/>
              </w:rPr>
            </w:pPr>
            <w:r w:rsidRPr="009A481B">
              <w:rPr>
                <w:rFonts w:ascii="Calibri" w:eastAsia="Times New Roman" w:hAnsi="Calibri" w:cs="Calibri"/>
                <w:color w:val="000000"/>
              </w:rPr>
              <w:t>Total</w:t>
            </w:r>
          </w:p>
        </w:tc>
        <w:tc>
          <w:tcPr>
            <w:tcW w:w="1300" w:type="dxa"/>
            <w:tcBorders>
              <w:top w:val="nil"/>
              <w:left w:val="nil"/>
              <w:bottom w:val="nil"/>
              <w:right w:val="nil"/>
            </w:tcBorders>
            <w:shd w:val="clear" w:color="000000" w:fill="BFBFBF"/>
            <w:noWrap/>
            <w:vAlign w:val="bottom"/>
            <w:hideMark/>
          </w:tcPr>
          <w:p w14:paraId="4C86F3BC" w14:textId="77777777" w:rsidR="00065E56" w:rsidRPr="009A481B" w:rsidRDefault="00065E56" w:rsidP="001C607A">
            <w:pPr>
              <w:jc w:val="center"/>
              <w:rPr>
                <w:rFonts w:ascii="Calibri" w:eastAsia="Times New Roman" w:hAnsi="Calibri" w:cs="Calibri"/>
                <w:color w:val="000000"/>
              </w:rPr>
            </w:pPr>
            <w:r w:rsidRPr="009A481B">
              <w:rPr>
                <w:rFonts w:ascii="Calibri" w:eastAsia="Times New Roman" w:hAnsi="Calibri" w:cs="Calibri"/>
                <w:color w:val="000000"/>
              </w:rPr>
              <w:t>16 (27%)</w:t>
            </w:r>
          </w:p>
        </w:tc>
        <w:tc>
          <w:tcPr>
            <w:tcW w:w="1300" w:type="dxa"/>
            <w:tcBorders>
              <w:top w:val="nil"/>
              <w:left w:val="nil"/>
              <w:bottom w:val="nil"/>
              <w:right w:val="nil"/>
            </w:tcBorders>
            <w:shd w:val="clear" w:color="000000" w:fill="BFBFBF"/>
            <w:noWrap/>
            <w:vAlign w:val="bottom"/>
            <w:hideMark/>
          </w:tcPr>
          <w:p w14:paraId="704146D7" w14:textId="77777777" w:rsidR="00065E56" w:rsidRPr="009A481B" w:rsidRDefault="00065E56" w:rsidP="001C607A">
            <w:pPr>
              <w:jc w:val="center"/>
              <w:rPr>
                <w:rFonts w:ascii="Calibri" w:eastAsia="Times New Roman" w:hAnsi="Calibri" w:cs="Calibri"/>
                <w:color w:val="000000"/>
              </w:rPr>
            </w:pPr>
            <w:r w:rsidRPr="009A481B">
              <w:rPr>
                <w:rFonts w:ascii="Calibri" w:eastAsia="Times New Roman" w:hAnsi="Calibri" w:cs="Calibri"/>
                <w:color w:val="000000"/>
              </w:rPr>
              <w:t>22 (37%)</w:t>
            </w:r>
          </w:p>
        </w:tc>
        <w:tc>
          <w:tcPr>
            <w:tcW w:w="1300" w:type="dxa"/>
            <w:tcBorders>
              <w:top w:val="nil"/>
              <w:left w:val="nil"/>
              <w:bottom w:val="nil"/>
              <w:right w:val="nil"/>
            </w:tcBorders>
            <w:shd w:val="clear" w:color="000000" w:fill="BFBFBF"/>
            <w:noWrap/>
            <w:vAlign w:val="bottom"/>
            <w:hideMark/>
          </w:tcPr>
          <w:p w14:paraId="13479441" w14:textId="77777777" w:rsidR="00065E56" w:rsidRPr="009A481B" w:rsidRDefault="00065E56" w:rsidP="001C607A">
            <w:pPr>
              <w:jc w:val="center"/>
              <w:rPr>
                <w:rFonts w:ascii="Calibri" w:eastAsia="Times New Roman" w:hAnsi="Calibri" w:cs="Calibri"/>
                <w:color w:val="000000"/>
              </w:rPr>
            </w:pPr>
            <w:r w:rsidRPr="009A481B">
              <w:rPr>
                <w:rFonts w:ascii="Calibri" w:eastAsia="Times New Roman" w:hAnsi="Calibri" w:cs="Calibri"/>
                <w:color w:val="000000"/>
              </w:rPr>
              <w:t>12 (20%)</w:t>
            </w:r>
          </w:p>
        </w:tc>
        <w:tc>
          <w:tcPr>
            <w:tcW w:w="1300" w:type="dxa"/>
            <w:tcBorders>
              <w:top w:val="nil"/>
              <w:left w:val="nil"/>
              <w:bottom w:val="nil"/>
              <w:right w:val="nil"/>
            </w:tcBorders>
            <w:shd w:val="clear" w:color="000000" w:fill="BFBFBF"/>
            <w:noWrap/>
            <w:vAlign w:val="bottom"/>
            <w:hideMark/>
          </w:tcPr>
          <w:p w14:paraId="3C0F35B0" w14:textId="77777777" w:rsidR="00065E56" w:rsidRPr="009A481B" w:rsidRDefault="00065E56" w:rsidP="001C607A">
            <w:pPr>
              <w:jc w:val="center"/>
              <w:rPr>
                <w:rFonts w:ascii="Calibri" w:eastAsia="Times New Roman" w:hAnsi="Calibri" w:cs="Calibri"/>
                <w:color w:val="000000"/>
              </w:rPr>
            </w:pPr>
            <w:r w:rsidRPr="009A481B">
              <w:rPr>
                <w:rFonts w:ascii="Calibri" w:eastAsia="Times New Roman" w:hAnsi="Calibri" w:cs="Calibri"/>
                <w:color w:val="000000"/>
              </w:rPr>
              <w:t>9 (15%)</w:t>
            </w:r>
          </w:p>
        </w:tc>
        <w:tc>
          <w:tcPr>
            <w:tcW w:w="1300" w:type="dxa"/>
            <w:tcBorders>
              <w:top w:val="nil"/>
              <w:left w:val="nil"/>
              <w:bottom w:val="nil"/>
              <w:right w:val="nil"/>
            </w:tcBorders>
            <w:shd w:val="clear" w:color="000000" w:fill="BFBFBF"/>
            <w:noWrap/>
            <w:vAlign w:val="bottom"/>
            <w:hideMark/>
          </w:tcPr>
          <w:p w14:paraId="2E8B83FE" w14:textId="77777777" w:rsidR="00065E56" w:rsidRPr="009A481B" w:rsidRDefault="00065E56" w:rsidP="001C607A">
            <w:pPr>
              <w:jc w:val="center"/>
              <w:rPr>
                <w:rFonts w:ascii="Calibri" w:eastAsia="Times New Roman" w:hAnsi="Calibri" w:cs="Calibri"/>
                <w:color w:val="000000"/>
              </w:rPr>
            </w:pPr>
            <w:r w:rsidRPr="009A481B">
              <w:rPr>
                <w:rFonts w:ascii="Calibri" w:eastAsia="Times New Roman" w:hAnsi="Calibri" w:cs="Calibri"/>
                <w:color w:val="000000"/>
              </w:rPr>
              <w:t>1 (2%)</w:t>
            </w:r>
          </w:p>
        </w:tc>
      </w:tr>
      <w:tr w:rsidR="00065E56" w:rsidRPr="009A481B" w14:paraId="602C4CB5" w14:textId="77777777" w:rsidTr="001C607A">
        <w:trPr>
          <w:trHeight w:val="340"/>
        </w:trPr>
        <w:tc>
          <w:tcPr>
            <w:tcW w:w="1300" w:type="dxa"/>
            <w:tcBorders>
              <w:top w:val="nil"/>
              <w:left w:val="nil"/>
              <w:bottom w:val="nil"/>
              <w:right w:val="nil"/>
            </w:tcBorders>
            <w:shd w:val="clear" w:color="000000" w:fill="F2F2F2"/>
            <w:vAlign w:val="bottom"/>
            <w:hideMark/>
          </w:tcPr>
          <w:p w14:paraId="544ABEAC" w14:textId="77777777" w:rsidR="00065E56" w:rsidRPr="009A481B" w:rsidRDefault="00065E56" w:rsidP="001C607A">
            <w:pPr>
              <w:rPr>
                <w:rFonts w:ascii="Calibri" w:eastAsia="Times New Roman" w:hAnsi="Calibri" w:cs="Calibri"/>
                <w:color w:val="000000"/>
              </w:rPr>
            </w:pPr>
            <w:r w:rsidRPr="009A481B">
              <w:rPr>
                <w:rFonts w:ascii="Calibri" w:eastAsia="Times New Roman" w:hAnsi="Calibri" w:cs="Calibri"/>
                <w:color w:val="000000"/>
              </w:rPr>
              <w:t>Dental</w:t>
            </w:r>
          </w:p>
        </w:tc>
        <w:tc>
          <w:tcPr>
            <w:tcW w:w="1300" w:type="dxa"/>
            <w:tcBorders>
              <w:top w:val="nil"/>
              <w:left w:val="nil"/>
              <w:bottom w:val="nil"/>
              <w:right w:val="nil"/>
            </w:tcBorders>
            <w:shd w:val="clear" w:color="000000" w:fill="F2F2F2"/>
            <w:noWrap/>
            <w:vAlign w:val="bottom"/>
            <w:hideMark/>
          </w:tcPr>
          <w:p w14:paraId="5281A26D" w14:textId="77777777" w:rsidR="00065E56" w:rsidRPr="009A481B" w:rsidRDefault="00065E56" w:rsidP="001C607A">
            <w:pPr>
              <w:jc w:val="center"/>
              <w:rPr>
                <w:rFonts w:ascii="Calibri" w:eastAsia="Times New Roman" w:hAnsi="Calibri" w:cs="Calibri"/>
                <w:color w:val="000000"/>
              </w:rPr>
            </w:pPr>
            <w:r w:rsidRPr="009A481B">
              <w:rPr>
                <w:rFonts w:ascii="Calibri" w:eastAsia="Times New Roman" w:hAnsi="Calibri" w:cs="Calibri"/>
                <w:color w:val="000000"/>
              </w:rPr>
              <w:t>4 (17%)</w:t>
            </w:r>
          </w:p>
        </w:tc>
        <w:tc>
          <w:tcPr>
            <w:tcW w:w="1300" w:type="dxa"/>
            <w:tcBorders>
              <w:top w:val="nil"/>
              <w:left w:val="nil"/>
              <w:bottom w:val="nil"/>
              <w:right w:val="nil"/>
            </w:tcBorders>
            <w:shd w:val="clear" w:color="000000" w:fill="F2F2F2"/>
            <w:noWrap/>
            <w:vAlign w:val="bottom"/>
            <w:hideMark/>
          </w:tcPr>
          <w:p w14:paraId="5241168C" w14:textId="77777777" w:rsidR="00065E56" w:rsidRPr="009A481B" w:rsidRDefault="00065E56" w:rsidP="001C607A">
            <w:pPr>
              <w:jc w:val="center"/>
              <w:rPr>
                <w:rFonts w:ascii="Calibri" w:eastAsia="Times New Roman" w:hAnsi="Calibri" w:cs="Calibri"/>
                <w:color w:val="000000"/>
              </w:rPr>
            </w:pPr>
            <w:r w:rsidRPr="009A481B">
              <w:rPr>
                <w:rFonts w:ascii="Calibri" w:eastAsia="Times New Roman" w:hAnsi="Calibri" w:cs="Calibri"/>
                <w:color w:val="000000"/>
              </w:rPr>
              <w:t>11 (46%)</w:t>
            </w:r>
          </w:p>
        </w:tc>
        <w:tc>
          <w:tcPr>
            <w:tcW w:w="1300" w:type="dxa"/>
            <w:tcBorders>
              <w:top w:val="nil"/>
              <w:left w:val="nil"/>
              <w:bottom w:val="nil"/>
              <w:right w:val="nil"/>
            </w:tcBorders>
            <w:shd w:val="clear" w:color="000000" w:fill="F2F2F2"/>
            <w:noWrap/>
            <w:vAlign w:val="bottom"/>
            <w:hideMark/>
          </w:tcPr>
          <w:p w14:paraId="260AE8BB" w14:textId="77777777" w:rsidR="00065E56" w:rsidRPr="009A481B" w:rsidRDefault="00065E56" w:rsidP="001C607A">
            <w:pPr>
              <w:jc w:val="center"/>
              <w:rPr>
                <w:rFonts w:ascii="Calibri" w:eastAsia="Times New Roman" w:hAnsi="Calibri" w:cs="Calibri"/>
                <w:color w:val="000000"/>
              </w:rPr>
            </w:pPr>
            <w:r w:rsidRPr="009A481B">
              <w:rPr>
                <w:rFonts w:ascii="Calibri" w:eastAsia="Times New Roman" w:hAnsi="Calibri" w:cs="Calibri"/>
                <w:color w:val="000000"/>
              </w:rPr>
              <w:t>5 (21%)</w:t>
            </w:r>
          </w:p>
        </w:tc>
        <w:tc>
          <w:tcPr>
            <w:tcW w:w="1300" w:type="dxa"/>
            <w:tcBorders>
              <w:top w:val="nil"/>
              <w:left w:val="nil"/>
              <w:bottom w:val="nil"/>
              <w:right w:val="nil"/>
            </w:tcBorders>
            <w:shd w:val="clear" w:color="000000" w:fill="F2F2F2"/>
            <w:noWrap/>
            <w:vAlign w:val="bottom"/>
            <w:hideMark/>
          </w:tcPr>
          <w:p w14:paraId="0B8F08AE" w14:textId="77777777" w:rsidR="00065E56" w:rsidRPr="009A481B" w:rsidRDefault="00065E56" w:rsidP="001C607A">
            <w:pPr>
              <w:jc w:val="center"/>
              <w:rPr>
                <w:rFonts w:ascii="Calibri" w:eastAsia="Times New Roman" w:hAnsi="Calibri" w:cs="Calibri"/>
                <w:color w:val="000000"/>
              </w:rPr>
            </w:pPr>
            <w:r w:rsidRPr="009A481B">
              <w:rPr>
                <w:rFonts w:ascii="Calibri" w:eastAsia="Times New Roman" w:hAnsi="Calibri" w:cs="Calibri"/>
                <w:color w:val="000000"/>
              </w:rPr>
              <w:t>3 (13%)</w:t>
            </w:r>
          </w:p>
        </w:tc>
        <w:tc>
          <w:tcPr>
            <w:tcW w:w="1300" w:type="dxa"/>
            <w:tcBorders>
              <w:top w:val="nil"/>
              <w:left w:val="nil"/>
              <w:bottom w:val="nil"/>
              <w:right w:val="nil"/>
            </w:tcBorders>
            <w:shd w:val="clear" w:color="000000" w:fill="F2F2F2"/>
            <w:noWrap/>
            <w:vAlign w:val="bottom"/>
            <w:hideMark/>
          </w:tcPr>
          <w:p w14:paraId="094CBE47" w14:textId="77777777" w:rsidR="00065E56" w:rsidRPr="009A481B" w:rsidRDefault="00065E56" w:rsidP="001C607A">
            <w:pPr>
              <w:jc w:val="center"/>
              <w:rPr>
                <w:rFonts w:ascii="Calibri" w:eastAsia="Times New Roman" w:hAnsi="Calibri" w:cs="Calibri"/>
                <w:color w:val="000000"/>
              </w:rPr>
            </w:pPr>
            <w:r w:rsidRPr="009A481B">
              <w:rPr>
                <w:rFonts w:ascii="Calibri" w:eastAsia="Times New Roman" w:hAnsi="Calibri" w:cs="Calibri"/>
                <w:color w:val="000000"/>
              </w:rPr>
              <w:t>1 (4%)</w:t>
            </w:r>
          </w:p>
        </w:tc>
      </w:tr>
      <w:tr w:rsidR="00065E56" w:rsidRPr="009A481B" w14:paraId="5153D70F" w14:textId="77777777" w:rsidTr="001C607A">
        <w:trPr>
          <w:trHeight w:val="1020"/>
        </w:trPr>
        <w:tc>
          <w:tcPr>
            <w:tcW w:w="1300" w:type="dxa"/>
            <w:tcBorders>
              <w:top w:val="nil"/>
              <w:left w:val="nil"/>
              <w:bottom w:val="nil"/>
              <w:right w:val="nil"/>
            </w:tcBorders>
            <w:shd w:val="clear" w:color="auto" w:fill="auto"/>
            <w:vAlign w:val="bottom"/>
            <w:hideMark/>
          </w:tcPr>
          <w:p w14:paraId="1E87AE52" w14:textId="77777777" w:rsidR="00065E56" w:rsidRPr="009A481B" w:rsidRDefault="00065E56" w:rsidP="001C607A">
            <w:pPr>
              <w:rPr>
                <w:rFonts w:ascii="Calibri" w:eastAsia="Times New Roman" w:hAnsi="Calibri" w:cs="Calibri"/>
                <w:color w:val="000000"/>
              </w:rPr>
            </w:pPr>
            <w:r w:rsidRPr="009A481B">
              <w:rPr>
                <w:rFonts w:ascii="Calibri" w:eastAsia="Times New Roman" w:hAnsi="Calibri" w:cs="Calibri"/>
                <w:color w:val="000000"/>
              </w:rPr>
              <w:t xml:space="preserve">Dental -no </w:t>
            </w:r>
            <w:proofErr w:type="spellStart"/>
            <w:r w:rsidRPr="009A481B">
              <w:rPr>
                <w:rFonts w:ascii="Calibri" w:eastAsia="Times New Roman" w:hAnsi="Calibri" w:cs="Calibri"/>
                <w:color w:val="000000"/>
              </w:rPr>
              <w:t>undgrad</w:t>
            </w:r>
            <w:proofErr w:type="spellEnd"/>
            <w:r w:rsidRPr="009A481B">
              <w:rPr>
                <w:rFonts w:ascii="Calibri" w:eastAsia="Times New Roman" w:hAnsi="Calibri" w:cs="Calibri"/>
                <w:color w:val="000000"/>
              </w:rPr>
              <w:t xml:space="preserve"> anatomy</w:t>
            </w:r>
          </w:p>
        </w:tc>
        <w:tc>
          <w:tcPr>
            <w:tcW w:w="1300" w:type="dxa"/>
            <w:tcBorders>
              <w:top w:val="nil"/>
              <w:left w:val="nil"/>
              <w:bottom w:val="nil"/>
              <w:right w:val="nil"/>
            </w:tcBorders>
            <w:shd w:val="clear" w:color="auto" w:fill="auto"/>
            <w:noWrap/>
            <w:vAlign w:val="bottom"/>
            <w:hideMark/>
          </w:tcPr>
          <w:p w14:paraId="56374F36" w14:textId="77777777" w:rsidR="00065E56" w:rsidRPr="009A481B" w:rsidRDefault="00065E56" w:rsidP="001C607A">
            <w:pPr>
              <w:jc w:val="center"/>
              <w:rPr>
                <w:rFonts w:ascii="Calibri" w:eastAsia="Times New Roman" w:hAnsi="Calibri" w:cs="Calibri"/>
                <w:color w:val="000000"/>
              </w:rPr>
            </w:pPr>
            <w:r w:rsidRPr="009A481B">
              <w:rPr>
                <w:rFonts w:ascii="Calibri" w:eastAsia="Times New Roman" w:hAnsi="Calibri" w:cs="Calibri"/>
                <w:color w:val="000000"/>
              </w:rPr>
              <w:t>1</w:t>
            </w:r>
          </w:p>
        </w:tc>
        <w:tc>
          <w:tcPr>
            <w:tcW w:w="1300" w:type="dxa"/>
            <w:tcBorders>
              <w:top w:val="nil"/>
              <w:left w:val="nil"/>
              <w:bottom w:val="nil"/>
              <w:right w:val="nil"/>
            </w:tcBorders>
            <w:shd w:val="clear" w:color="auto" w:fill="auto"/>
            <w:noWrap/>
            <w:vAlign w:val="bottom"/>
            <w:hideMark/>
          </w:tcPr>
          <w:p w14:paraId="22E6B923" w14:textId="77777777" w:rsidR="00065E56" w:rsidRPr="009A481B" w:rsidRDefault="00065E56" w:rsidP="001C607A">
            <w:pPr>
              <w:jc w:val="center"/>
              <w:rPr>
                <w:rFonts w:ascii="Calibri" w:eastAsia="Times New Roman" w:hAnsi="Calibri" w:cs="Calibri"/>
                <w:color w:val="000000"/>
              </w:rPr>
            </w:pPr>
            <w:r w:rsidRPr="009A481B">
              <w:rPr>
                <w:rFonts w:ascii="Calibri" w:eastAsia="Times New Roman" w:hAnsi="Calibri" w:cs="Calibri"/>
                <w:color w:val="000000"/>
              </w:rPr>
              <w:t>3</w:t>
            </w:r>
          </w:p>
        </w:tc>
        <w:tc>
          <w:tcPr>
            <w:tcW w:w="1300" w:type="dxa"/>
            <w:tcBorders>
              <w:top w:val="nil"/>
              <w:left w:val="nil"/>
              <w:bottom w:val="nil"/>
              <w:right w:val="nil"/>
            </w:tcBorders>
            <w:shd w:val="clear" w:color="auto" w:fill="auto"/>
            <w:noWrap/>
            <w:vAlign w:val="bottom"/>
            <w:hideMark/>
          </w:tcPr>
          <w:p w14:paraId="08594A7C" w14:textId="77777777" w:rsidR="00065E56" w:rsidRPr="009A481B" w:rsidRDefault="00065E56" w:rsidP="001C607A">
            <w:pPr>
              <w:jc w:val="center"/>
              <w:rPr>
                <w:rFonts w:ascii="Calibri" w:eastAsia="Times New Roman" w:hAnsi="Calibri" w:cs="Calibri"/>
                <w:color w:val="000000"/>
              </w:rPr>
            </w:pPr>
            <w:r w:rsidRPr="009A481B">
              <w:rPr>
                <w:rFonts w:ascii="Calibri" w:eastAsia="Times New Roman" w:hAnsi="Calibri" w:cs="Calibri"/>
                <w:color w:val="000000"/>
              </w:rPr>
              <w:t>2</w:t>
            </w:r>
          </w:p>
        </w:tc>
        <w:tc>
          <w:tcPr>
            <w:tcW w:w="1300" w:type="dxa"/>
            <w:tcBorders>
              <w:top w:val="nil"/>
              <w:left w:val="nil"/>
              <w:bottom w:val="nil"/>
              <w:right w:val="nil"/>
            </w:tcBorders>
            <w:shd w:val="clear" w:color="auto" w:fill="auto"/>
            <w:noWrap/>
            <w:vAlign w:val="bottom"/>
            <w:hideMark/>
          </w:tcPr>
          <w:p w14:paraId="648B378F" w14:textId="77777777" w:rsidR="00065E56" w:rsidRPr="009A481B" w:rsidRDefault="00065E56" w:rsidP="001C607A">
            <w:pPr>
              <w:jc w:val="center"/>
              <w:rPr>
                <w:rFonts w:ascii="Calibri" w:eastAsia="Times New Roman" w:hAnsi="Calibri" w:cs="Calibri"/>
                <w:color w:val="000000"/>
              </w:rPr>
            </w:pPr>
            <w:r w:rsidRPr="009A481B">
              <w:rPr>
                <w:rFonts w:ascii="Calibri" w:eastAsia="Times New Roman" w:hAnsi="Calibri" w:cs="Calibri"/>
                <w:color w:val="000000"/>
              </w:rPr>
              <w:t>0</w:t>
            </w:r>
          </w:p>
        </w:tc>
        <w:tc>
          <w:tcPr>
            <w:tcW w:w="1300" w:type="dxa"/>
            <w:tcBorders>
              <w:top w:val="nil"/>
              <w:left w:val="nil"/>
              <w:bottom w:val="nil"/>
              <w:right w:val="nil"/>
            </w:tcBorders>
            <w:shd w:val="clear" w:color="auto" w:fill="auto"/>
            <w:noWrap/>
            <w:vAlign w:val="bottom"/>
            <w:hideMark/>
          </w:tcPr>
          <w:p w14:paraId="4BDF51D9" w14:textId="77777777" w:rsidR="00065E56" w:rsidRPr="009A481B" w:rsidRDefault="00065E56" w:rsidP="001C607A">
            <w:pPr>
              <w:jc w:val="center"/>
              <w:rPr>
                <w:rFonts w:ascii="Calibri" w:eastAsia="Times New Roman" w:hAnsi="Calibri" w:cs="Calibri"/>
                <w:color w:val="000000"/>
              </w:rPr>
            </w:pPr>
            <w:r w:rsidRPr="009A481B">
              <w:rPr>
                <w:rFonts w:ascii="Calibri" w:eastAsia="Times New Roman" w:hAnsi="Calibri" w:cs="Calibri"/>
                <w:color w:val="000000"/>
              </w:rPr>
              <w:t>1</w:t>
            </w:r>
          </w:p>
        </w:tc>
      </w:tr>
      <w:tr w:rsidR="00065E56" w:rsidRPr="009A481B" w14:paraId="54F8A2D3" w14:textId="77777777" w:rsidTr="001C607A">
        <w:trPr>
          <w:trHeight w:val="1020"/>
        </w:trPr>
        <w:tc>
          <w:tcPr>
            <w:tcW w:w="1300" w:type="dxa"/>
            <w:tcBorders>
              <w:top w:val="nil"/>
              <w:left w:val="nil"/>
              <w:bottom w:val="nil"/>
              <w:right w:val="nil"/>
            </w:tcBorders>
            <w:shd w:val="clear" w:color="auto" w:fill="auto"/>
            <w:vAlign w:val="bottom"/>
            <w:hideMark/>
          </w:tcPr>
          <w:p w14:paraId="186E4380" w14:textId="77777777" w:rsidR="00065E56" w:rsidRPr="009A481B" w:rsidRDefault="00065E56" w:rsidP="001C607A">
            <w:pPr>
              <w:rPr>
                <w:rFonts w:ascii="Calibri" w:eastAsia="Times New Roman" w:hAnsi="Calibri" w:cs="Calibri"/>
                <w:color w:val="000000"/>
              </w:rPr>
            </w:pPr>
            <w:r w:rsidRPr="009A481B">
              <w:rPr>
                <w:rFonts w:ascii="Calibri" w:eastAsia="Times New Roman" w:hAnsi="Calibri" w:cs="Calibri"/>
                <w:color w:val="000000"/>
              </w:rPr>
              <w:t>Dental -yes undergrad anatomy</w:t>
            </w:r>
          </w:p>
        </w:tc>
        <w:tc>
          <w:tcPr>
            <w:tcW w:w="1300" w:type="dxa"/>
            <w:tcBorders>
              <w:top w:val="nil"/>
              <w:left w:val="nil"/>
              <w:bottom w:val="nil"/>
              <w:right w:val="nil"/>
            </w:tcBorders>
            <w:shd w:val="clear" w:color="auto" w:fill="auto"/>
            <w:noWrap/>
            <w:vAlign w:val="bottom"/>
            <w:hideMark/>
          </w:tcPr>
          <w:p w14:paraId="5920524D" w14:textId="77777777" w:rsidR="00065E56" w:rsidRPr="009A481B" w:rsidRDefault="00065E56" w:rsidP="001C607A">
            <w:pPr>
              <w:jc w:val="center"/>
              <w:rPr>
                <w:rFonts w:ascii="Calibri" w:eastAsia="Times New Roman" w:hAnsi="Calibri" w:cs="Calibri"/>
                <w:color w:val="000000"/>
              </w:rPr>
            </w:pPr>
            <w:r w:rsidRPr="009A481B">
              <w:rPr>
                <w:rFonts w:ascii="Calibri" w:eastAsia="Times New Roman" w:hAnsi="Calibri" w:cs="Calibri"/>
                <w:color w:val="000000"/>
              </w:rPr>
              <w:t>3</w:t>
            </w:r>
          </w:p>
        </w:tc>
        <w:tc>
          <w:tcPr>
            <w:tcW w:w="1300" w:type="dxa"/>
            <w:tcBorders>
              <w:top w:val="nil"/>
              <w:left w:val="nil"/>
              <w:bottom w:val="nil"/>
              <w:right w:val="nil"/>
            </w:tcBorders>
            <w:shd w:val="clear" w:color="auto" w:fill="auto"/>
            <w:noWrap/>
            <w:vAlign w:val="bottom"/>
            <w:hideMark/>
          </w:tcPr>
          <w:p w14:paraId="480234C8" w14:textId="77777777" w:rsidR="00065E56" w:rsidRPr="009A481B" w:rsidRDefault="00065E56" w:rsidP="001C607A">
            <w:pPr>
              <w:jc w:val="center"/>
              <w:rPr>
                <w:rFonts w:ascii="Calibri" w:eastAsia="Times New Roman" w:hAnsi="Calibri" w:cs="Calibri"/>
                <w:color w:val="000000"/>
              </w:rPr>
            </w:pPr>
            <w:r w:rsidRPr="009A481B">
              <w:rPr>
                <w:rFonts w:ascii="Calibri" w:eastAsia="Times New Roman" w:hAnsi="Calibri" w:cs="Calibri"/>
                <w:color w:val="000000"/>
              </w:rPr>
              <w:t>8</w:t>
            </w:r>
          </w:p>
        </w:tc>
        <w:tc>
          <w:tcPr>
            <w:tcW w:w="1300" w:type="dxa"/>
            <w:tcBorders>
              <w:top w:val="nil"/>
              <w:left w:val="nil"/>
              <w:bottom w:val="nil"/>
              <w:right w:val="nil"/>
            </w:tcBorders>
            <w:shd w:val="clear" w:color="auto" w:fill="auto"/>
            <w:noWrap/>
            <w:vAlign w:val="bottom"/>
            <w:hideMark/>
          </w:tcPr>
          <w:p w14:paraId="17AFAA36" w14:textId="77777777" w:rsidR="00065E56" w:rsidRPr="009A481B" w:rsidRDefault="00065E56" w:rsidP="001C607A">
            <w:pPr>
              <w:jc w:val="center"/>
              <w:rPr>
                <w:rFonts w:ascii="Calibri" w:eastAsia="Times New Roman" w:hAnsi="Calibri" w:cs="Calibri"/>
                <w:color w:val="000000"/>
              </w:rPr>
            </w:pPr>
            <w:r w:rsidRPr="009A481B">
              <w:rPr>
                <w:rFonts w:ascii="Calibri" w:eastAsia="Times New Roman" w:hAnsi="Calibri" w:cs="Calibri"/>
                <w:color w:val="000000"/>
              </w:rPr>
              <w:t>3</w:t>
            </w:r>
          </w:p>
        </w:tc>
        <w:tc>
          <w:tcPr>
            <w:tcW w:w="1300" w:type="dxa"/>
            <w:tcBorders>
              <w:top w:val="nil"/>
              <w:left w:val="nil"/>
              <w:bottom w:val="nil"/>
              <w:right w:val="nil"/>
            </w:tcBorders>
            <w:shd w:val="clear" w:color="auto" w:fill="auto"/>
            <w:noWrap/>
            <w:vAlign w:val="bottom"/>
            <w:hideMark/>
          </w:tcPr>
          <w:p w14:paraId="49218D05" w14:textId="77777777" w:rsidR="00065E56" w:rsidRPr="009A481B" w:rsidRDefault="00065E56" w:rsidP="001C607A">
            <w:pPr>
              <w:jc w:val="center"/>
              <w:rPr>
                <w:rFonts w:ascii="Calibri" w:eastAsia="Times New Roman" w:hAnsi="Calibri" w:cs="Calibri"/>
                <w:color w:val="000000"/>
              </w:rPr>
            </w:pPr>
            <w:r w:rsidRPr="009A481B">
              <w:rPr>
                <w:rFonts w:ascii="Calibri" w:eastAsia="Times New Roman" w:hAnsi="Calibri" w:cs="Calibri"/>
                <w:color w:val="000000"/>
              </w:rPr>
              <w:t>3</w:t>
            </w:r>
          </w:p>
        </w:tc>
        <w:tc>
          <w:tcPr>
            <w:tcW w:w="1300" w:type="dxa"/>
            <w:tcBorders>
              <w:top w:val="nil"/>
              <w:left w:val="nil"/>
              <w:bottom w:val="nil"/>
              <w:right w:val="nil"/>
            </w:tcBorders>
            <w:shd w:val="clear" w:color="auto" w:fill="auto"/>
            <w:noWrap/>
            <w:vAlign w:val="bottom"/>
            <w:hideMark/>
          </w:tcPr>
          <w:p w14:paraId="272BC386" w14:textId="77777777" w:rsidR="00065E56" w:rsidRPr="009A481B" w:rsidRDefault="00065E56" w:rsidP="001C607A">
            <w:pPr>
              <w:jc w:val="center"/>
              <w:rPr>
                <w:rFonts w:ascii="Calibri" w:eastAsia="Times New Roman" w:hAnsi="Calibri" w:cs="Calibri"/>
                <w:color w:val="000000"/>
              </w:rPr>
            </w:pPr>
            <w:r w:rsidRPr="009A481B">
              <w:rPr>
                <w:rFonts w:ascii="Calibri" w:eastAsia="Times New Roman" w:hAnsi="Calibri" w:cs="Calibri"/>
                <w:color w:val="000000"/>
              </w:rPr>
              <w:t>0</w:t>
            </w:r>
          </w:p>
        </w:tc>
      </w:tr>
      <w:tr w:rsidR="00065E56" w:rsidRPr="009A481B" w14:paraId="6572ACEB" w14:textId="77777777" w:rsidTr="001C607A">
        <w:trPr>
          <w:trHeight w:val="340"/>
        </w:trPr>
        <w:tc>
          <w:tcPr>
            <w:tcW w:w="1300" w:type="dxa"/>
            <w:tcBorders>
              <w:top w:val="nil"/>
              <w:left w:val="nil"/>
              <w:bottom w:val="nil"/>
              <w:right w:val="nil"/>
            </w:tcBorders>
            <w:shd w:val="clear" w:color="auto" w:fill="auto"/>
            <w:vAlign w:val="bottom"/>
            <w:hideMark/>
          </w:tcPr>
          <w:p w14:paraId="618B6CDD" w14:textId="77777777" w:rsidR="00065E56" w:rsidRPr="009A481B" w:rsidRDefault="00065E56" w:rsidP="001C607A">
            <w:pPr>
              <w:rPr>
                <w:rFonts w:ascii="Calibri" w:eastAsia="Times New Roman" w:hAnsi="Calibri" w:cs="Calibri"/>
                <w:color w:val="000000"/>
              </w:rPr>
            </w:pPr>
            <w:r w:rsidRPr="009A481B">
              <w:rPr>
                <w:rFonts w:ascii="Calibri" w:eastAsia="Times New Roman" w:hAnsi="Calibri" w:cs="Calibri"/>
                <w:color w:val="000000"/>
              </w:rPr>
              <w:t>PA</w:t>
            </w:r>
          </w:p>
        </w:tc>
        <w:tc>
          <w:tcPr>
            <w:tcW w:w="1300" w:type="dxa"/>
            <w:tcBorders>
              <w:top w:val="nil"/>
              <w:left w:val="nil"/>
              <w:bottom w:val="nil"/>
              <w:right w:val="nil"/>
            </w:tcBorders>
            <w:shd w:val="clear" w:color="auto" w:fill="auto"/>
            <w:noWrap/>
            <w:vAlign w:val="bottom"/>
            <w:hideMark/>
          </w:tcPr>
          <w:p w14:paraId="3CDC4FEC" w14:textId="77777777" w:rsidR="00065E56" w:rsidRPr="009A481B" w:rsidRDefault="00065E56" w:rsidP="001C607A">
            <w:pPr>
              <w:jc w:val="center"/>
              <w:rPr>
                <w:rFonts w:ascii="Calibri" w:eastAsia="Times New Roman" w:hAnsi="Calibri" w:cs="Calibri"/>
                <w:color w:val="000000"/>
              </w:rPr>
            </w:pPr>
            <w:r w:rsidRPr="009A481B">
              <w:rPr>
                <w:rFonts w:ascii="Calibri" w:eastAsia="Times New Roman" w:hAnsi="Calibri" w:cs="Calibri"/>
                <w:color w:val="000000"/>
              </w:rPr>
              <w:t>12 (33%)</w:t>
            </w:r>
          </w:p>
        </w:tc>
        <w:tc>
          <w:tcPr>
            <w:tcW w:w="1300" w:type="dxa"/>
            <w:tcBorders>
              <w:top w:val="nil"/>
              <w:left w:val="nil"/>
              <w:bottom w:val="nil"/>
              <w:right w:val="nil"/>
            </w:tcBorders>
            <w:shd w:val="clear" w:color="auto" w:fill="auto"/>
            <w:noWrap/>
            <w:vAlign w:val="bottom"/>
            <w:hideMark/>
          </w:tcPr>
          <w:p w14:paraId="6AF2F151" w14:textId="77777777" w:rsidR="00065E56" w:rsidRPr="009A481B" w:rsidRDefault="00065E56" w:rsidP="001C607A">
            <w:pPr>
              <w:jc w:val="center"/>
              <w:rPr>
                <w:rFonts w:ascii="Calibri" w:eastAsia="Times New Roman" w:hAnsi="Calibri" w:cs="Calibri"/>
                <w:color w:val="000000"/>
              </w:rPr>
            </w:pPr>
            <w:r w:rsidRPr="009A481B">
              <w:rPr>
                <w:rFonts w:ascii="Calibri" w:eastAsia="Times New Roman" w:hAnsi="Calibri" w:cs="Calibri"/>
                <w:color w:val="000000"/>
              </w:rPr>
              <w:t>11 (31%)</w:t>
            </w:r>
          </w:p>
        </w:tc>
        <w:tc>
          <w:tcPr>
            <w:tcW w:w="1300" w:type="dxa"/>
            <w:tcBorders>
              <w:top w:val="nil"/>
              <w:left w:val="nil"/>
              <w:bottom w:val="nil"/>
              <w:right w:val="nil"/>
            </w:tcBorders>
            <w:shd w:val="clear" w:color="auto" w:fill="auto"/>
            <w:noWrap/>
            <w:vAlign w:val="bottom"/>
            <w:hideMark/>
          </w:tcPr>
          <w:p w14:paraId="05208F70" w14:textId="77777777" w:rsidR="00065E56" w:rsidRPr="009A481B" w:rsidRDefault="00065E56" w:rsidP="001C607A">
            <w:pPr>
              <w:jc w:val="center"/>
              <w:rPr>
                <w:rFonts w:ascii="Calibri" w:eastAsia="Times New Roman" w:hAnsi="Calibri" w:cs="Calibri"/>
                <w:color w:val="000000"/>
              </w:rPr>
            </w:pPr>
            <w:r w:rsidRPr="009A481B">
              <w:rPr>
                <w:rFonts w:ascii="Calibri" w:eastAsia="Times New Roman" w:hAnsi="Calibri" w:cs="Calibri"/>
                <w:color w:val="000000"/>
              </w:rPr>
              <w:t>7 (19%)</w:t>
            </w:r>
          </w:p>
        </w:tc>
        <w:tc>
          <w:tcPr>
            <w:tcW w:w="1300" w:type="dxa"/>
            <w:tcBorders>
              <w:top w:val="nil"/>
              <w:left w:val="nil"/>
              <w:bottom w:val="nil"/>
              <w:right w:val="nil"/>
            </w:tcBorders>
            <w:shd w:val="clear" w:color="auto" w:fill="auto"/>
            <w:noWrap/>
            <w:vAlign w:val="bottom"/>
            <w:hideMark/>
          </w:tcPr>
          <w:p w14:paraId="4D2B7B73" w14:textId="77777777" w:rsidR="00065E56" w:rsidRPr="009A481B" w:rsidRDefault="00065E56" w:rsidP="001C607A">
            <w:pPr>
              <w:jc w:val="center"/>
              <w:rPr>
                <w:rFonts w:ascii="Calibri" w:eastAsia="Times New Roman" w:hAnsi="Calibri" w:cs="Calibri"/>
                <w:color w:val="000000"/>
              </w:rPr>
            </w:pPr>
            <w:r w:rsidRPr="009A481B">
              <w:rPr>
                <w:rFonts w:ascii="Calibri" w:eastAsia="Times New Roman" w:hAnsi="Calibri" w:cs="Calibri"/>
                <w:color w:val="000000"/>
              </w:rPr>
              <w:t>6 (17%)</w:t>
            </w:r>
          </w:p>
        </w:tc>
        <w:tc>
          <w:tcPr>
            <w:tcW w:w="1300" w:type="dxa"/>
            <w:tcBorders>
              <w:top w:val="nil"/>
              <w:left w:val="nil"/>
              <w:bottom w:val="nil"/>
              <w:right w:val="nil"/>
            </w:tcBorders>
            <w:shd w:val="clear" w:color="auto" w:fill="auto"/>
            <w:noWrap/>
            <w:vAlign w:val="bottom"/>
            <w:hideMark/>
          </w:tcPr>
          <w:p w14:paraId="182BDAB9" w14:textId="77777777" w:rsidR="00065E56" w:rsidRPr="009A481B" w:rsidRDefault="00065E56" w:rsidP="001C607A">
            <w:pPr>
              <w:jc w:val="center"/>
              <w:rPr>
                <w:rFonts w:ascii="Calibri" w:eastAsia="Times New Roman" w:hAnsi="Calibri" w:cs="Calibri"/>
                <w:color w:val="000000"/>
              </w:rPr>
            </w:pPr>
            <w:r w:rsidRPr="009A481B">
              <w:rPr>
                <w:rFonts w:ascii="Calibri" w:eastAsia="Times New Roman" w:hAnsi="Calibri" w:cs="Calibri"/>
                <w:color w:val="000000"/>
              </w:rPr>
              <w:t>0 (0%)</w:t>
            </w:r>
          </w:p>
        </w:tc>
      </w:tr>
      <w:tr w:rsidR="00065E56" w:rsidRPr="009A481B" w14:paraId="26126186" w14:textId="77777777" w:rsidTr="001C607A">
        <w:trPr>
          <w:trHeight w:val="680"/>
        </w:trPr>
        <w:tc>
          <w:tcPr>
            <w:tcW w:w="1300" w:type="dxa"/>
            <w:tcBorders>
              <w:top w:val="nil"/>
              <w:left w:val="nil"/>
              <w:bottom w:val="nil"/>
              <w:right w:val="nil"/>
            </w:tcBorders>
            <w:shd w:val="clear" w:color="auto" w:fill="auto"/>
            <w:vAlign w:val="bottom"/>
            <w:hideMark/>
          </w:tcPr>
          <w:p w14:paraId="7B6098AC" w14:textId="77777777" w:rsidR="00065E56" w:rsidRPr="009A481B" w:rsidRDefault="00065E56" w:rsidP="001C607A">
            <w:pPr>
              <w:rPr>
                <w:rFonts w:ascii="Calibri" w:eastAsia="Times New Roman" w:hAnsi="Calibri" w:cs="Calibri"/>
                <w:color w:val="000000"/>
              </w:rPr>
            </w:pPr>
            <w:r w:rsidRPr="009A481B">
              <w:rPr>
                <w:rFonts w:ascii="Calibri" w:eastAsia="Times New Roman" w:hAnsi="Calibri" w:cs="Calibri"/>
                <w:color w:val="000000"/>
              </w:rPr>
              <w:t>PA -no cadaver</w:t>
            </w:r>
          </w:p>
        </w:tc>
        <w:tc>
          <w:tcPr>
            <w:tcW w:w="1300" w:type="dxa"/>
            <w:tcBorders>
              <w:top w:val="nil"/>
              <w:left w:val="nil"/>
              <w:bottom w:val="nil"/>
              <w:right w:val="nil"/>
            </w:tcBorders>
            <w:shd w:val="clear" w:color="auto" w:fill="auto"/>
            <w:noWrap/>
            <w:vAlign w:val="bottom"/>
            <w:hideMark/>
          </w:tcPr>
          <w:p w14:paraId="43CDEE81" w14:textId="77777777" w:rsidR="00065E56" w:rsidRPr="009A481B" w:rsidRDefault="00065E56" w:rsidP="001C607A">
            <w:pPr>
              <w:jc w:val="center"/>
              <w:rPr>
                <w:rFonts w:ascii="Calibri" w:eastAsia="Times New Roman" w:hAnsi="Calibri" w:cs="Calibri"/>
                <w:color w:val="000000"/>
              </w:rPr>
            </w:pPr>
            <w:r w:rsidRPr="009A481B">
              <w:rPr>
                <w:rFonts w:ascii="Calibri" w:eastAsia="Times New Roman" w:hAnsi="Calibri" w:cs="Calibri"/>
                <w:color w:val="000000"/>
              </w:rPr>
              <w:t>5</w:t>
            </w:r>
          </w:p>
        </w:tc>
        <w:tc>
          <w:tcPr>
            <w:tcW w:w="1300" w:type="dxa"/>
            <w:tcBorders>
              <w:top w:val="nil"/>
              <w:left w:val="nil"/>
              <w:bottom w:val="nil"/>
              <w:right w:val="nil"/>
            </w:tcBorders>
            <w:shd w:val="clear" w:color="auto" w:fill="auto"/>
            <w:noWrap/>
            <w:vAlign w:val="bottom"/>
            <w:hideMark/>
          </w:tcPr>
          <w:p w14:paraId="4E43939E" w14:textId="77777777" w:rsidR="00065E56" w:rsidRPr="009A481B" w:rsidRDefault="00065E56" w:rsidP="001C607A">
            <w:pPr>
              <w:jc w:val="center"/>
              <w:rPr>
                <w:rFonts w:ascii="Calibri" w:eastAsia="Times New Roman" w:hAnsi="Calibri" w:cs="Calibri"/>
                <w:color w:val="000000"/>
              </w:rPr>
            </w:pPr>
            <w:r w:rsidRPr="009A481B">
              <w:rPr>
                <w:rFonts w:ascii="Calibri" w:eastAsia="Times New Roman" w:hAnsi="Calibri" w:cs="Calibri"/>
                <w:color w:val="000000"/>
              </w:rPr>
              <w:t>5</w:t>
            </w:r>
          </w:p>
        </w:tc>
        <w:tc>
          <w:tcPr>
            <w:tcW w:w="1300" w:type="dxa"/>
            <w:tcBorders>
              <w:top w:val="nil"/>
              <w:left w:val="nil"/>
              <w:bottom w:val="nil"/>
              <w:right w:val="nil"/>
            </w:tcBorders>
            <w:shd w:val="clear" w:color="auto" w:fill="auto"/>
            <w:noWrap/>
            <w:vAlign w:val="bottom"/>
            <w:hideMark/>
          </w:tcPr>
          <w:p w14:paraId="1182FC8D" w14:textId="77777777" w:rsidR="00065E56" w:rsidRPr="009A481B" w:rsidRDefault="00065E56" w:rsidP="001C607A">
            <w:pPr>
              <w:jc w:val="center"/>
              <w:rPr>
                <w:rFonts w:ascii="Calibri" w:eastAsia="Times New Roman" w:hAnsi="Calibri" w:cs="Calibri"/>
                <w:color w:val="000000"/>
              </w:rPr>
            </w:pPr>
            <w:r w:rsidRPr="009A481B">
              <w:rPr>
                <w:rFonts w:ascii="Calibri" w:eastAsia="Times New Roman" w:hAnsi="Calibri" w:cs="Calibri"/>
                <w:color w:val="000000"/>
              </w:rPr>
              <w:t>5</w:t>
            </w:r>
          </w:p>
        </w:tc>
        <w:tc>
          <w:tcPr>
            <w:tcW w:w="1300" w:type="dxa"/>
            <w:tcBorders>
              <w:top w:val="nil"/>
              <w:left w:val="nil"/>
              <w:bottom w:val="nil"/>
              <w:right w:val="nil"/>
            </w:tcBorders>
            <w:shd w:val="clear" w:color="auto" w:fill="auto"/>
            <w:noWrap/>
            <w:vAlign w:val="bottom"/>
            <w:hideMark/>
          </w:tcPr>
          <w:p w14:paraId="691F7321" w14:textId="77777777" w:rsidR="00065E56" w:rsidRPr="009A481B" w:rsidRDefault="00065E56" w:rsidP="001C607A">
            <w:pPr>
              <w:jc w:val="center"/>
              <w:rPr>
                <w:rFonts w:ascii="Calibri" w:eastAsia="Times New Roman" w:hAnsi="Calibri" w:cs="Calibri"/>
                <w:color w:val="000000"/>
              </w:rPr>
            </w:pPr>
            <w:r w:rsidRPr="009A481B">
              <w:rPr>
                <w:rFonts w:ascii="Calibri" w:eastAsia="Times New Roman" w:hAnsi="Calibri" w:cs="Calibri"/>
                <w:color w:val="000000"/>
              </w:rPr>
              <w:t>2</w:t>
            </w:r>
          </w:p>
        </w:tc>
        <w:tc>
          <w:tcPr>
            <w:tcW w:w="1300" w:type="dxa"/>
            <w:tcBorders>
              <w:top w:val="nil"/>
              <w:left w:val="nil"/>
              <w:bottom w:val="nil"/>
              <w:right w:val="nil"/>
            </w:tcBorders>
            <w:shd w:val="clear" w:color="auto" w:fill="auto"/>
            <w:noWrap/>
            <w:vAlign w:val="bottom"/>
            <w:hideMark/>
          </w:tcPr>
          <w:p w14:paraId="7690A4E2" w14:textId="77777777" w:rsidR="00065E56" w:rsidRPr="009A481B" w:rsidRDefault="00065E56" w:rsidP="001C607A">
            <w:pPr>
              <w:jc w:val="center"/>
              <w:rPr>
                <w:rFonts w:ascii="Calibri" w:eastAsia="Times New Roman" w:hAnsi="Calibri" w:cs="Calibri"/>
                <w:color w:val="000000"/>
              </w:rPr>
            </w:pPr>
            <w:r w:rsidRPr="009A481B">
              <w:rPr>
                <w:rFonts w:ascii="Calibri" w:eastAsia="Times New Roman" w:hAnsi="Calibri" w:cs="Calibri"/>
                <w:color w:val="000000"/>
              </w:rPr>
              <w:t>0</w:t>
            </w:r>
          </w:p>
        </w:tc>
      </w:tr>
      <w:tr w:rsidR="00065E56" w:rsidRPr="009A481B" w14:paraId="1D171130" w14:textId="77777777" w:rsidTr="001C607A">
        <w:trPr>
          <w:trHeight w:val="700"/>
        </w:trPr>
        <w:tc>
          <w:tcPr>
            <w:tcW w:w="1300" w:type="dxa"/>
            <w:tcBorders>
              <w:top w:val="nil"/>
              <w:left w:val="nil"/>
              <w:bottom w:val="nil"/>
              <w:right w:val="nil"/>
            </w:tcBorders>
            <w:shd w:val="clear" w:color="auto" w:fill="auto"/>
            <w:vAlign w:val="bottom"/>
            <w:hideMark/>
          </w:tcPr>
          <w:p w14:paraId="2A34090E" w14:textId="77777777" w:rsidR="00065E56" w:rsidRPr="009A481B" w:rsidRDefault="00065E56" w:rsidP="001C607A">
            <w:pPr>
              <w:rPr>
                <w:rFonts w:ascii="Calibri" w:eastAsia="Times New Roman" w:hAnsi="Calibri" w:cs="Calibri"/>
                <w:color w:val="000000"/>
              </w:rPr>
            </w:pPr>
            <w:r w:rsidRPr="009A481B">
              <w:rPr>
                <w:rFonts w:ascii="Calibri" w:eastAsia="Times New Roman" w:hAnsi="Calibri" w:cs="Calibri"/>
                <w:color w:val="000000"/>
              </w:rPr>
              <w:t>PA-yes cadaver</w:t>
            </w:r>
          </w:p>
        </w:tc>
        <w:tc>
          <w:tcPr>
            <w:tcW w:w="1300" w:type="dxa"/>
            <w:tcBorders>
              <w:top w:val="nil"/>
              <w:left w:val="nil"/>
              <w:bottom w:val="nil"/>
              <w:right w:val="nil"/>
            </w:tcBorders>
            <w:shd w:val="clear" w:color="auto" w:fill="auto"/>
            <w:noWrap/>
            <w:vAlign w:val="bottom"/>
            <w:hideMark/>
          </w:tcPr>
          <w:p w14:paraId="294C1A7B" w14:textId="77777777" w:rsidR="00065E56" w:rsidRPr="009A481B" w:rsidRDefault="00065E56" w:rsidP="001C607A">
            <w:pPr>
              <w:jc w:val="center"/>
              <w:rPr>
                <w:rFonts w:ascii="Calibri" w:eastAsia="Times New Roman" w:hAnsi="Calibri" w:cs="Calibri"/>
                <w:color w:val="000000"/>
              </w:rPr>
            </w:pPr>
            <w:r w:rsidRPr="009A481B">
              <w:rPr>
                <w:rFonts w:ascii="Calibri" w:eastAsia="Times New Roman" w:hAnsi="Calibri" w:cs="Calibri"/>
                <w:color w:val="000000"/>
              </w:rPr>
              <w:t>7</w:t>
            </w:r>
          </w:p>
        </w:tc>
        <w:tc>
          <w:tcPr>
            <w:tcW w:w="1300" w:type="dxa"/>
            <w:tcBorders>
              <w:top w:val="nil"/>
              <w:left w:val="nil"/>
              <w:bottom w:val="nil"/>
              <w:right w:val="nil"/>
            </w:tcBorders>
            <w:shd w:val="clear" w:color="auto" w:fill="auto"/>
            <w:noWrap/>
            <w:vAlign w:val="bottom"/>
            <w:hideMark/>
          </w:tcPr>
          <w:p w14:paraId="67A0A398" w14:textId="77777777" w:rsidR="00065E56" w:rsidRPr="009A481B" w:rsidRDefault="00065E56" w:rsidP="001C607A">
            <w:pPr>
              <w:jc w:val="center"/>
              <w:rPr>
                <w:rFonts w:ascii="Calibri" w:eastAsia="Times New Roman" w:hAnsi="Calibri" w:cs="Calibri"/>
                <w:color w:val="000000"/>
              </w:rPr>
            </w:pPr>
            <w:r w:rsidRPr="009A481B">
              <w:rPr>
                <w:rFonts w:ascii="Calibri" w:eastAsia="Times New Roman" w:hAnsi="Calibri" w:cs="Calibri"/>
                <w:color w:val="000000"/>
              </w:rPr>
              <w:t>6</w:t>
            </w:r>
          </w:p>
        </w:tc>
        <w:tc>
          <w:tcPr>
            <w:tcW w:w="1300" w:type="dxa"/>
            <w:tcBorders>
              <w:top w:val="nil"/>
              <w:left w:val="nil"/>
              <w:bottom w:val="nil"/>
              <w:right w:val="nil"/>
            </w:tcBorders>
            <w:shd w:val="clear" w:color="auto" w:fill="auto"/>
            <w:noWrap/>
            <w:vAlign w:val="bottom"/>
            <w:hideMark/>
          </w:tcPr>
          <w:p w14:paraId="18B0DFEE" w14:textId="77777777" w:rsidR="00065E56" w:rsidRPr="009A481B" w:rsidRDefault="00065E56" w:rsidP="001C607A">
            <w:pPr>
              <w:jc w:val="center"/>
              <w:rPr>
                <w:rFonts w:ascii="Calibri" w:eastAsia="Times New Roman" w:hAnsi="Calibri" w:cs="Calibri"/>
                <w:color w:val="000000"/>
              </w:rPr>
            </w:pPr>
            <w:r w:rsidRPr="009A481B">
              <w:rPr>
                <w:rFonts w:ascii="Calibri" w:eastAsia="Times New Roman" w:hAnsi="Calibri" w:cs="Calibri"/>
                <w:color w:val="000000"/>
              </w:rPr>
              <w:t>2</w:t>
            </w:r>
          </w:p>
        </w:tc>
        <w:tc>
          <w:tcPr>
            <w:tcW w:w="1300" w:type="dxa"/>
            <w:tcBorders>
              <w:top w:val="nil"/>
              <w:left w:val="nil"/>
              <w:bottom w:val="nil"/>
              <w:right w:val="nil"/>
            </w:tcBorders>
            <w:shd w:val="clear" w:color="auto" w:fill="auto"/>
            <w:noWrap/>
            <w:vAlign w:val="bottom"/>
            <w:hideMark/>
          </w:tcPr>
          <w:p w14:paraId="548B5B8A" w14:textId="77777777" w:rsidR="00065E56" w:rsidRPr="009A481B" w:rsidRDefault="00065E56" w:rsidP="001C607A">
            <w:pPr>
              <w:jc w:val="center"/>
              <w:rPr>
                <w:rFonts w:ascii="Calibri" w:eastAsia="Times New Roman" w:hAnsi="Calibri" w:cs="Calibri"/>
                <w:color w:val="000000"/>
              </w:rPr>
            </w:pPr>
            <w:r w:rsidRPr="009A481B">
              <w:rPr>
                <w:rFonts w:ascii="Calibri" w:eastAsia="Times New Roman" w:hAnsi="Calibri" w:cs="Calibri"/>
                <w:color w:val="000000"/>
              </w:rPr>
              <w:t>4</w:t>
            </w:r>
          </w:p>
        </w:tc>
        <w:tc>
          <w:tcPr>
            <w:tcW w:w="1300" w:type="dxa"/>
            <w:tcBorders>
              <w:top w:val="nil"/>
              <w:left w:val="nil"/>
              <w:bottom w:val="nil"/>
              <w:right w:val="nil"/>
            </w:tcBorders>
            <w:shd w:val="clear" w:color="auto" w:fill="auto"/>
            <w:noWrap/>
            <w:vAlign w:val="bottom"/>
            <w:hideMark/>
          </w:tcPr>
          <w:p w14:paraId="0143B22D" w14:textId="77777777" w:rsidR="00065E56" w:rsidRPr="009A481B" w:rsidRDefault="00065E56" w:rsidP="001C607A">
            <w:pPr>
              <w:jc w:val="center"/>
              <w:rPr>
                <w:rFonts w:ascii="Calibri" w:eastAsia="Times New Roman" w:hAnsi="Calibri" w:cs="Calibri"/>
                <w:color w:val="000000"/>
              </w:rPr>
            </w:pPr>
            <w:r w:rsidRPr="009A481B">
              <w:rPr>
                <w:rFonts w:ascii="Calibri" w:eastAsia="Times New Roman" w:hAnsi="Calibri" w:cs="Calibri"/>
                <w:color w:val="000000"/>
              </w:rPr>
              <w:t>0</w:t>
            </w:r>
          </w:p>
        </w:tc>
      </w:tr>
    </w:tbl>
    <w:p w14:paraId="18FB11B1" w14:textId="77777777" w:rsidR="00065E56" w:rsidRDefault="00065E56" w:rsidP="00065E56">
      <w:pPr>
        <w:rPr>
          <w:rFonts w:ascii="Times New Roman" w:hAnsi="Times New Roman" w:cs="Times New Roman"/>
        </w:rPr>
      </w:pPr>
    </w:p>
    <w:p w14:paraId="72E27B91" w14:textId="77777777" w:rsidR="00065E56" w:rsidRDefault="00065E56" w:rsidP="00065E56">
      <w:pPr>
        <w:rPr>
          <w:rFonts w:ascii="Times New Roman" w:hAnsi="Times New Roman" w:cs="Times New Roman"/>
        </w:rPr>
      </w:pPr>
    </w:p>
    <w:tbl>
      <w:tblPr>
        <w:tblW w:w="7800" w:type="dxa"/>
        <w:tblLook w:val="04A0" w:firstRow="1" w:lastRow="0" w:firstColumn="1" w:lastColumn="0" w:noHBand="0" w:noVBand="1"/>
      </w:tblPr>
      <w:tblGrid>
        <w:gridCol w:w="1300"/>
        <w:gridCol w:w="1300"/>
        <w:gridCol w:w="1300"/>
        <w:gridCol w:w="1300"/>
        <w:gridCol w:w="1300"/>
        <w:gridCol w:w="1300"/>
      </w:tblGrid>
      <w:tr w:rsidR="00065E56" w:rsidRPr="009A481B" w14:paraId="426EC86E" w14:textId="77777777" w:rsidTr="001C607A">
        <w:trPr>
          <w:trHeight w:val="320"/>
        </w:trPr>
        <w:tc>
          <w:tcPr>
            <w:tcW w:w="2600" w:type="dxa"/>
            <w:gridSpan w:val="2"/>
            <w:tcBorders>
              <w:top w:val="single" w:sz="8" w:space="0" w:color="auto"/>
              <w:left w:val="single" w:sz="8" w:space="0" w:color="auto"/>
              <w:bottom w:val="nil"/>
              <w:right w:val="nil"/>
            </w:tcBorders>
            <w:shd w:val="clear" w:color="000000" w:fill="D9D9D9"/>
            <w:noWrap/>
            <w:vAlign w:val="bottom"/>
            <w:hideMark/>
          </w:tcPr>
          <w:p w14:paraId="75AB5E13" w14:textId="77777777" w:rsidR="00065E56" w:rsidRPr="009A481B" w:rsidRDefault="00065E56" w:rsidP="001C607A">
            <w:pPr>
              <w:rPr>
                <w:rFonts w:ascii="Calibri" w:eastAsia="Times New Roman" w:hAnsi="Calibri" w:cs="Calibri"/>
                <w:color w:val="000000"/>
              </w:rPr>
            </w:pPr>
            <w:r w:rsidRPr="009A481B">
              <w:rPr>
                <w:rFonts w:ascii="Calibri" w:eastAsia="Times New Roman" w:hAnsi="Calibri" w:cs="Calibri"/>
                <w:color w:val="000000"/>
              </w:rPr>
              <w:lastRenderedPageBreak/>
              <w:t>Q10 Statement 5</w:t>
            </w:r>
          </w:p>
        </w:tc>
        <w:tc>
          <w:tcPr>
            <w:tcW w:w="1300" w:type="dxa"/>
            <w:tcBorders>
              <w:top w:val="single" w:sz="8" w:space="0" w:color="auto"/>
              <w:left w:val="nil"/>
              <w:bottom w:val="nil"/>
              <w:right w:val="nil"/>
            </w:tcBorders>
            <w:shd w:val="clear" w:color="000000" w:fill="D9D9D9"/>
            <w:noWrap/>
            <w:vAlign w:val="bottom"/>
            <w:hideMark/>
          </w:tcPr>
          <w:p w14:paraId="4A44F2D1" w14:textId="77777777" w:rsidR="00065E56" w:rsidRPr="009A481B" w:rsidRDefault="00065E56" w:rsidP="001C607A">
            <w:pPr>
              <w:rPr>
                <w:rFonts w:ascii="Calibri" w:eastAsia="Times New Roman" w:hAnsi="Calibri" w:cs="Calibri"/>
                <w:color w:val="000000"/>
              </w:rPr>
            </w:pPr>
            <w:r w:rsidRPr="009A481B">
              <w:rPr>
                <w:rFonts w:ascii="Calibri" w:eastAsia="Times New Roman" w:hAnsi="Calibri" w:cs="Calibri"/>
                <w:color w:val="000000"/>
              </w:rPr>
              <w:t> </w:t>
            </w:r>
          </w:p>
        </w:tc>
        <w:tc>
          <w:tcPr>
            <w:tcW w:w="1300" w:type="dxa"/>
            <w:tcBorders>
              <w:top w:val="single" w:sz="8" w:space="0" w:color="auto"/>
              <w:left w:val="nil"/>
              <w:bottom w:val="nil"/>
              <w:right w:val="nil"/>
            </w:tcBorders>
            <w:shd w:val="clear" w:color="000000" w:fill="D9D9D9"/>
            <w:noWrap/>
            <w:vAlign w:val="bottom"/>
            <w:hideMark/>
          </w:tcPr>
          <w:p w14:paraId="522415C4" w14:textId="77777777" w:rsidR="00065E56" w:rsidRPr="009A481B" w:rsidRDefault="00065E56" w:rsidP="001C607A">
            <w:pPr>
              <w:rPr>
                <w:rFonts w:ascii="Calibri" w:eastAsia="Times New Roman" w:hAnsi="Calibri" w:cs="Calibri"/>
                <w:color w:val="000000"/>
              </w:rPr>
            </w:pPr>
            <w:r w:rsidRPr="009A481B">
              <w:rPr>
                <w:rFonts w:ascii="Calibri" w:eastAsia="Times New Roman" w:hAnsi="Calibri" w:cs="Calibri"/>
                <w:color w:val="000000"/>
              </w:rPr>
              <w:t> </w:t>
            </w:r>
          </w:p>
        </w:tc>
        <w:tc>
          <w:tcPr>
            <w:tcW w:w="1300" w:type="dxa"/>
            <w:tcBorders>
              <w:top w:val="single" w:sz="8" w:space="0" w:color="auto"/>
              <w:left w:val="nil"/>
              <w:bottom w:val="nil"/>
              <w:right w:val="nil"/>
            </w:tcBorders>
            <w:shd w:val="clear" w:color="000000" w:fill="D9D9D9"/>
            <w:noWrap/>
            <w:vAlign w:val="bottom"/>
            <w:hideMark/>
          </w:tcPr>
          <w:p w14:paraId="4D63D1E0" w14:textId="77777777" w:rsidR="00065E56" w:rsidRPr="009A481B" w:rsidRDefault="00065E56" w:rsidP="001C607A">
            <w:pPr>
              <w:rPr>
                <w:rFonts w:ascii="Calibri" w:eastAsia="Times New Roman" w:hAnsi="Calibri" w:cs="Calibri"/>
                <w:color w:val="000000"/>
              </w:rPr>
            </w:pPr>
            <w:r w:rsidRPr="009A481B">
              <w:rPr>
                <w:rFonts w:ascii="Calibri" w:eastAsia="Times New Roman" w:hAnsi="Calibri" w:cs="Calibri"/>
                <w:color w:val="000000"/>
              </w:rPr>
              <w:t> </w:t>
            </w:r>
          </w:p>
        </w:tc>
        <w:tc>
          <w:tcPr>
            <w:tcW w:w="1300" w:type="dxa"/>
            <w:tcBorders>
              <w:top w:val="single" w:sz="8" w:space="0" w:color="auto"/>
              <w:left w:val="nil"/>
              <w:bottom w:val="nil"/>
              <w:right w:val="single" w:sz="8" w:space="0" w:color="auto"/>
            </w:tcBorders>
            <w:shd w:val="clear" w:color="000000" w:fill="D9D9D9"/>
            <w:noWrap/>
            <w:vAlign w:val="bottom"/>
            <w:hideMark/>
          </w:tcPr>
          <w:p w14:paraId="097757C5" w14:textId="77777777" w:rsidR="00065E56" w:rsidRPr="009A481B" w:rsidRDefault="00065E56" w:rsidP="001C607A">
            <w:pPr>
              <w:rPr>
                <w:rFonts w:ascii="Calibri" w:eastAsia="Times New Roman" w:hAnsi="Calibri" w:cs="Calibri"/>
                <w:color w:val="000000"/>
              </w:rPr>
            </w:pPr>
            <w:r w:rsidRPr="009A481B">
              <w:rPr>
                <w:rFonts w:ascii="Calibri" w:eastAsia="Times New Roman" w:hAnsi="Calibri" w:cs="Calibri"/>
                <w:color w:val="000000"/>
              </w:rPr>
              <w:t> </w:t>
            </w:r>
          </w:p>
        </w:tc>
      </w:tr>
      <w:tr w:rsidR="00065E56" w:rsidRPr="009A481B" w14:paraId="77F80B74" w14:textId="77777777" w:rsidTr="001C607A">
        <w:trPr>
          <w:trHeight w:val="700"/>
        </w:trPr>
        <w:tc>
          <w:tcPr>
            <w:tcW w:w="7800" w:type="dxa"/>
            <w:gridSpan w:val="6"/>
            <w:tcBorders>
              <w:top w:val="nil"/>
              <w:left w:val="single" w:sz="8" w:space="0" w:color="auto"/>
              <w:bottom w:val="single" w:sz="8" w:space="0" w:color="auto"/>
              <w:right w:val="single" w:sz="8" w:space="0" w:color="000000"/>
            </w:tcBorders>
            <w:shd w:val="clear" w:color="000000" w:fill="D9D9D9"/>
            <w:vAlign w:val="bottom"/>
            <w:hideMark/>
          </w:tcPr>
          <w:p w14:paraId="2F0BEFB7" w14:textId="77777777" w:rsidR="00065E56" w:rsidRPr="009A481B" w:rsidRDefault="00065E56" w:rsidP="001C607A">
            <w:pPr>
              <w:rPr>
                <w:rFonts w:ascii="Calibri" w:eastAsia="Times New Roman" w:hAnsi="Calibri" w:cs="Calibri"/>
                <w:color w:val="000000"/>
              </w:rPr>
            </w:pPr>
            <w:r w:rsidRPr="009A481B">
              <w:rPr>
                <w:rFonts w:ascii="Calibri" w:eastAsia="Times New Roman" w:hAnsi="Calibri" w:cs="Calibri"/>
                <w:color w:val="000000"/>
              </w:rPr>
              <w:t>Reviewing relevant anatomy on a cadaver in future classes would help me visualize anatomical relationships for the whole body.</w:t>
            </w:r>
          </w:p>
        </w:tc>
      </w:tr>
      <w:tr w:rsidR="00065E56" w:rsidRPr="009A481B" w14:paraId="0DFD59B8" w14:textId="77777777" w:rsidTr="001C607A">
        <w:trPr>
          <w:trHeight w:val="680"/>
        </w:trPr>
        <w:tc>
          <w:tcPr>
            <w:tcW w:w="1300" w:type="dxa"/>
            <w:tcBorders>
              <w:top w:val="nil"/>
              <w:left w:val="nil"/>
              <w:bottom w:val="nil"/>
              <w:right w:val="nil"/>
            </w:tcBorders>
            <w:shd w:val="clear" w:color="000000" w:fill="D9D9D9"/>
            <w:vAlign w:val="bottom"/>
            <w:hideMark/>
          </w:tcPr>
          <w:p w14:paraId="01DC6864" w14:textId="77777777" w:rsidR="00065E56" w:rsidRPr="009A481B" w:rsidRDefault="00065E56" w:rsidP="001C607A">
            <w:pPr>
              <w:rPr>
                <w:rFonts w:ascii="Calibri" w:eastAsia="Times New Roman" w:hAnsi="Calibri" w:cs="Calibri"/>
                <w:color w:val="000000"/>
              </w:rPr>
            </w:pPr>
            <w:r w:rsidRPr="009A481B">
              <w:rPr>
                <w:rFonts w:ascii="Calibri" w:eastAsia="Times New Roman" w:hAnsi="Calibri" w:cs="Calibri"/>
                <w:color w:val="000000"/>
              </w:rPr>
              <w:t>Program</w:t>
            </w:r>
          </w:p>
        </w:tc>
        <w:tc>
          <w:tcPr>
            <w:tcW w:w="1300" w:type="dxa"/>
            <w:tcBorders>
              <w:top w:val="nil"/>
              <w:left w:val="nil"/>
              <w:bottom w:val="nil"/>
              <w:right w:val="nil"/>
            </w:tcBorders>
            <w:shd w:val="clear" w:color="000000" w:fill="D9D9D9"/>
            <w:vAlign w:val="bottom"/>
            <w:hideMark/>
          </w:tcPr>
          <w:p w14:paraId="7F9D728E" w14:textId="77777777" w:rsidR="00065E56" w:rsidRPr="009A481B" w:rsidRDefault="00065E56" w:rsidP="001C607A">
            <w:pPr>
              <w:jc w:val="center"/>
              <w:rPr>
                <w:rFonts w:ascii="Calibri" w:eastAsia="Times New Roman" w:hAnsi="Calibri" w:cs="Calibri"/>
                <w:color w:val="000000"/>
              </w:rPr>
            </w:pPr>
            <w:r w:rsidRPr="009A481B">
              <w:rPr>
                <w:rFonts w:ascii="Calibri" w:eastAsia="Times New Roman" w:hAnsi="Calibri" w:cs="Calibri"/>
                <w:color w:val="000000"/>
              </w:rPr>
              <w:t>Very true for me</w:t>
            </w:r>
          </w:p>
        </w:tc>
        <w:tc>
          <w:tcPr>
            <w:tcW w:w="1300" w:type="dxa"/>
            <w:tcBorders>
              <w:top w:val="nil"/>
              <w:left w:val="nil"/>
              <w:bottom w:val="nil"/>
              <w:right w:val="nil"/>
            </w:tcBorders>
            <w:shd w:val="clear" w:color="000000" w:fill="D9D9D9"/>
            <w:vAlign w:val="bottom"/>
            <w:hideMark/>
          </w:tcPr>
          <w:p w14:paraId="5640B490" w14:textId="77777777" w:rsidR="00065E56" w:rsidRPr="009A481B" w:rsidRDefault="00065E56" w:rsidP="001C607A">
            <w:pPr>
              <w:jc w:val="center"/>
              <w:rPr>
                <w:rFonts w:ascii="Calibri" w:eastAsia="Times New Roman" w:hAnsi="Calibri" w:cs="Calibri"/>
                <w:color w:val="000000"/>
              </w:rPr>
            </w:pPr>
            <w:r w:rsidRPr="009A481B">
              <w:rPr>
                <w:rFonts w:ascii="Calibri" w:eastAsia="Times New Roman" w:hAnsi="Calibri" w:cs="Calibri"/>
                <w:color w:val="000000"/>
              </w:rPr>
              <w:t>fairly true for me</w:t>
            </w:r>
          </w:p>
        </w:tc>
        <w:tc>
          <w:tcPr>
            <w:tcW w:w="1300" w:type="dxa"/>
            <w:tcBorders>
              <w:top w:val="nil"/>
              <w:left w:val="nil"/>
              <w:bottom w:val="nil"/>
              <w:right w:val="nil"/>
            </w:tcBorders>
            <w:shd w:val="clear" w:color="000000" w:fill="D9D9D9"/>
            <w:vAlign w:val="bottom"/>
            <w:hideMark/>
          </w:tcPr>
          <w:p w14:paraId="0B5BD65A" w14:textId="77777777" w:rsidR="00065E56" w:rsidRPr="009A481B" w:rsidRDefault="00065E56" w:rsidP="001C607A">
            <w:pPr>
              <w:jc w:val="center"/>
              <w:rPr>
                <w:rFonts w:ascii="Calibri" w:eastAsia="Times New Roman" w:hAnsi="Calibri" w:cs="Calibri"/>
                <w:color w:val="000000"/>
              </w:rPr>
            </w:pPr>
            <w:r w:rsidRPr="009A481B">
              <w:rPr>
                <w:rFonts w:ascii="Calibri" w:eastAsia="Times New Roman" w:hAnsi="Calibri" w:cs="Calibri"/>
                <w:color w:val="000000"/>
              </w:rPr>
              <w:t>somewhat true for me</w:t>
            </w:r>
          </w:p>
        </w:tc>
        <w:tc>
          <w:tcPr>
            <w:tcW w:w="1300" w:type="dxa"/>
            <w:tcBorders>
              <w:top w:val="nil"/>
              <w:left w:val="nil"/>
              <w:bottom w:val="nil"/>
              <w:right w:val="nil"/>
            </w:tcBorders>
            <w:shd w:val="clear" w:color="000000" w:fill="D9D9D9"/>
            <w:vAlign w:val="bottom"/>
            <w:hideMark/>
          </w:tcPr>
          <w:p w14:paraId="5D3AEC99" w14:textId="77777777" w:rsidR="00065E56" w:rsidRPr="009A481B" w:rsidRDefault="00065E56" w:rsidP="001C607A">
            <w:pPr>
              <w:jc w:val="center"/>
              <w:rPr>
                <w:rFonts w:ascii="Calibri" w:eastAsia="Times New Roman" w:hAnsi="Calibri" w:cs="Calibri"/>
                <w:color w:val="000000"/>
              </w:rPr>
            </w:pPr>
            <w:r w:rsidRPr="009A481B">
              <w:rPr>
                <w:rFonts w:ascii="Calibri" w:eastAsia="Times New Roman" w:hAnsi="Calibri" w:cs="Calibri"/>
                <w:color w:val="000000"/>
              </w:rPr>
              <w:t>not very true for me</w:t>
            </w:r>
          </w:p>
        </w:tc>
        <w:tc>
          <w:tcPr>
            <w:tcW w:w="1300" w:type="dxa"/>
            <w:tcBorders>
              <w:top w:val="nil"/>
              <w:left w:val="nil"/>
              <w:bottom w:val="nil"/>
              <w:right w:val="nil"/>
            </w:tcBorders>
            <w:shd w:val="clear" w:color="000000" w:fill="D9D9D9"/>
            <w:vAlign w:val="bottom"/>
            <w:hideMark/>
          </w:tcPr>
          <w:p w14:paraId="3893825F" w14:textId="77777777" w:rsidR="00065E56" w:rsidRPr="009A481B" w:rsidRDefault="00065E56" w:rsidP="001C607A">
            <w:pPr>
              <w:jc w:val="center"/>
              <w:rPr>
                <w:rFonts w:ascii="Calibri" w:eastAsia="Times New Roman" w:hAnsi="Calibri" w:cs="Calibri"/>
                <w:color w:val="000000"/>
              </w:rPr>
            </w:pPr>
            <w:r w:rsidRPr="009A481B">
              <w:rPr>
                <w:rFonts w:ascii="Calibri" w:eastAsia="Times New Roman" w:hAnsi="Calibri" w:cs="Calibri"/>
                <w:color w:val="000000"/>
              </w:rPr>
              <w:t>not at all true for me</w:t>
            </w:r>
          </w:p>
        </w:tc>
      </w:tr>
      <w:tr w:rsidR="00065E56" w:rsidRPr="009A481B" w14:paraId="692AFA2D" w14:textId="77777777" w:rsidTr="001C607A">
        <w:trPr>
          <w:trHeight w:val="340"/>
        </w:trPr>
        <w:tc>
          <w:tcPr>
            <w:tcW w:w="1300" w:type="dxa"/>
            <w:tcBorders>
              <w:top w:val="nil"/>
              <w:left w:val="nil"/>
              <w:bottom w:val="nil"/>
              <w:right w:val="nil"/>
            </w:tcBorders>
            <w:shd w:val="clear" w:color="000000" w:fill="BFBFBF"/>
            <w:vAlign w:val="bottom"/>
            <w:hideMark/>
          </w:tcPr>
          <w:p w14:paraId="4B67AE33" w14:textId="77777777" w:rsidR="00065E56" w:rsidRPr="009A481B" w:rsidRDefault="00065E56" w:rsidP="001C607A">
            <w:pPr>
              <w:rPr>
                <w:rFonts w:ascii="Calibri" w:eastAsia="Times New Roman" w:hAnsi="Calibri" w:cs="Calibri"/>
                <w:color w:val="000000"/>
              </w:rPr>
            </w:pPr>
            <w:r w:rsidRPr="009A481B">
              <w:rPr>
                <w:rFonts w:ascii="Calibri" w:eastAsia="Times New Roman" w:hAnsi="Calibri" w:cs="Calibri"/>
                <w:color w:val="000000"/>
              </w:rPr>
              <w:t>Total</w:t>
            </w:r>
          </w:p>
        </w:tc>
        <w:tc>
          <w:tcPr>
            <w:tcW w:w="1300" w:type="dxa"/>
            <w:tcBorders>
              <w:top w:val="nil"/>
              <w:left w:val="nil"/>
              <w:bottom w:val="nil"/>
              <w:right w:val="nil"/>
            </w:tcBorders>
            <w:shd w:val="clear" w:color="000000" w:fill="BFBFBF"/>
            <w:noWrap/>
            <w:vAlign w:val="bottom"/>
            <w:hideMark/>
          </w:tcPr>
          <w:p w14:paraId="6392C9DE" w14:textId="77777777" w:rsidR="00065E56" w:rsidRPr="009A481B" w:rsidRDefault="00065E56" w:rsidP="001C607A">
            <w:pPr>
              <w:jc w:val="center"/>
              <w:rPr>
                <w:rFonts w:ascii="Calibri" w:eastAsia="Times New Roman" w:hAnsi="Calibri" w:cs="Calibri"/>
                <w:color w:val="000000"/>
              </w:rPr>
            </w:pPr>
            <w:r w:rsidRPr="009A481B">
              <w:rPr>
                <w:rFonts w:ascii="Calibri" w:eastAsia="Times New Roman" w:hAnsi="Calibri" w:cs="Calibri"/>
                <w:color w:val="000000"/>
              </w:rPr>
              <w:t>23 (38%)</w:t>
            </w:r>
          </w:p>
        </w:tc>
        <w:tc>
          <w:tcPr>
            <w:tcW w:w="1300" w:type="dxa"/>
            <w:tcBorders>
              <w:top w:val="nil"/>
              <w:left w:val="nil"/>
              <w:bottom w:val="nil"/>
              <w:right w:val="nil"/>
            </w:tcBorders>
            <w:shd w:val="clear" w:color="000000" w:fill="BFBFBF"/>
            <w:noWrap/>
            <w:vAlign w:val="bottom"/>
            <w:hideMark/>
          </w:tcPr>
          <w:p w14:paraId="115746B5" w14:textId="77777777" w:rsidR="00065E56" w:rsidRPr="009A481B" w:rsidRDefault="00065E56" w:rsidP="001C607A">
            <w:pPr>
              <w:jc w:val="center"/>
              <w:rPr>
                <w:rFonts w:ascii="Calibri" w:eastAsia="Times New Roman" w:hAnsi="Calibri" w:cs="Calibri"/>
                <w:color w:val="000000"/>
              </w:rPr>
            </w:pPr>
            <w:r w:rsidRPr="009A481B">
              <w:rPr>
                <w:rFonts w:ascii="Calibri" w:eastAsia="Times New Roman" w:hAnsi="Calibri" w:cs="Calibri"/>
                <w:color w:val="000000"/>
              </w:rPr>
              <w:t>22 (37%)</w:t>
            </w:r>
          </w:p>
        </w:tc>
        <w:tc>
          <w:tcPr>
            <w:tcW w:w="1300" w:type="dxa"/>
            <w:tcBorders>
              <w:top w:val="nil"/>
              <w:left w:val="nil"/>
              <w:bottom w:val="nil"/>
              <w:right w:val="nil"/>
            </w:tcBorders>
            <w:shd w:val="clear" w:color="000000" w:fill="BFBFBF"/>
            <w:noWrap/>
            <w:vAlign w:val="bottom"/>
            <w:hideMark/>
          </w:tcPr>
          <w:p w14:paraId="5C40474C" w14:textId="77777777" w:rsidR="00065E56" w:rsidRPr="009A481B" w:rsidRDefault="00065E56" w:rsidP="001C607A">
            <w:pPr>
              <w:jc w:val="center"/>
              <w:rPr>
                <w:rFonts w:ascii="Calibri" w:eastAsia="Times New Roman" w:hAnsi="Calibri" w:cs="Calibri"/>
                <w:color w:val="000000"/>
              </w:rPr>
            </w:pPr>
            <w:r w:rsidRPr="009A481B">
              <w:rPr>
                <w:rFonts w:ascii="Calibri" w:eastAsia="Times New Roman" w:hAnsi="Calibri" w:cs="Calibri"/>
                <w:color w:val="000000"/>
              </w:rPr>
              <w:t>14 (23%)</w:t>
            </w:r>
          </w:p>
        </w:tc>
        <w:tc>
          <w:tcPr>
            <w:tcW w:w="1300" w:type="dxa"/>
            <w:tcBorders>
              <w:top w:val="nil"/>
              <w:left w:val="nil"/>
              <w:bottom w:val="nil"/>
              <w:right w:val="nil"/>
            </w:tcBorders>
            <w:shd w:val="clear" w:color="000000" w:fill="BFBFBF"/>
            <w:noWrap/>
            <w:vAlign w:val="bottom"/>
            <w:hideMark/>
          </w:tcPr>
          <w:p w14:paraId="28FC1BA2" w14:textId="77777777" w:rsidR="00065E56" w:rsidRPr="009A481B" w:rsidRDefault="00065E56" w:rsidP="001C607A">
            <w:pPr>
              <w:jc w:val="center"/>
              <w:rPr>
                <w:rFonts w:ascii="Calibri" w:eastAsia="Times New Roman" w:hAnsi="Calibri" w:cs="Calibri"/>
                <w:color w:val="000000"/>
              </w:rPr>
            </w:pPr>
            <w:r w:rsidRPr="009A481B">
              <w:rPr>
                <w:rFonts w:ascii="Calibri" w:eastAsia="Times New Roman" w:hAnsi="Calibri" w:cs="Calibri"/>
                <w:color w:val="000000"/>
              </w:rPr>
              <w:t>0 (0%)</w:t>
            </w:r>
          </w:p>
        </w:tc>
        <w:tc>
          <w:tcPr>
            <w:tcW w:w="1300" w:type="dxa"/>
            <w:tcBorders>
              <w:top w:val="nil"/>
              <w:left w:val="nil"/>
              <w:bottom w:val="nil"/>
              <w:right w:val="nil"/>
            </w:tcBorders>
            <w:shd w:val="clear" w:color="000000" w:fill="BFBFBF"/>
            <w:noWrap/>
            <w:vAlign w:val="bottom"/>
            <w:hideMark/>
          </w:tcPr>
          <w:p w14:paraId="6ABCD457" w14:textId="77777777" w:rsidR="00065E56" w:rsidRPr="009A481B" w:rsidRDefault="00065E56" w:rsidP="001C607A">
            <w:pPr>
              <w:jc w:val="center"/>
              <w:rPr>
                <w:rFonts w:ascii="Calibri" w:eastAsia="Times New Roman" w:hAnsi="Calibri" w:cs="Calibri"/>
                <w:color w:val="000000"/>
              </w:rPr>
            </w:pPr>
            <w:r w:rsidRPr="009A481B">
              <w:rPr>
                <w:rFonts w:ascii="Calibri" w:eastAsia="Times New Roman" w:hAnsi="Calibri" w:cs="Calibri"/>
                <w:color w:val="000000"/>
              </w:rPr>
              <w:t>1 (2%)</w:t>
            </w:r>
          </w:p>
        </w:tc>
      </w:tr>
      <w:tr w:rsidR="00065E56" w:rsidRPr="009A481B" w14:paraId="0030368A" w14:textId="77777777" w:rsidTr="001C607A">
        <w:trPr>
          <w:trHeight w:val="340"/>
        </w:trPr>
        <w:tc>
          <w:tcPr>
            <w:tcW w:w="1300" w:type="dxa"/>
            <w:tcBorders>
              <w:top w:val="nil"/>
              <w:left w:val="nil"/>
              <w:bottom w:val="nil"/>
              <w:right w:val="nil"/>
            </w:tcBorders>
            <w:shd w:val="clear" w:color="000000" w:fill="F2F2F2"/>
            <w:vAlign w:val="bottom"/>
            <w:hideMark/>
          </w:tcPr>
          <w:p w14:paraId="30CC71C1" w14:textId="77777777" w:rsidR="00065E56" w:rsidRPr="009A481B" w:rsidRDefault="00065E56" w:rsidP="001C607A">
            <w:pPr>
              <w:rPr>
                <w:rFonts w:ascii="Calibri" w:eastAsia="Times New Roman" w:hAnsi="Calibri" w:cs="Calibri"/>
                <w:color w:val="000000"/>
              </w:rPr>
            </w:pPr>
            <w:r w:rsidRPr="009A481B">
              <w:rPr>
                <w:rFonts w:ascii="Calibri" w:eastAsia="Times New Roman" w:hAnsi="Calibri" w:cs="Calibri"/>
                <w:color w:val="000000"/>
              </w:rPr>
              <w:t>Dental</w:t>
            </w:r>
          </w:p>
        </w:tc>
        <w:tc>
          <w:tcPr>
            <w:tcW w:w="1300" w:type="dxa"/>
            <w:tcBorders>
              <w:top w:val="nil"/>
              <w:left w:val="nil"/>
              <w:bottom w:val="nil"/>
              <w:right w:val="nil"/>
            </w:tcBorders>
            <w:shd w:val="clear" w:color="000000" w:fill="F2F2F2"/>
            <w:noWrap/>
            <w:vAlign w:val="bottom"/>
            <w:hideMark/>
          </w:tcPr>
          <w:p w14:paraId="2E34D80D" w14:textId="77777777" w:rsidR="00065E56" w:rsidRPr="009A481B" w:rsidRDefault="00065E56" w:rsidP="001C607A">
            <w:pPr>
              <w:jc w:val="center"/>
              <w:rPr>
                <w:rFonts w:ascii="Calibri" w:eastAsia="Times New Roman" w:hAnsi="Calibri" w:cs="Calibri"/>
                <w:color w:val="000000"/>
              </w:rPr>
            </w:pPr>
            <w:r w:rsidRPr="009A481B">
              <w:rPr>
                <w:rFonts w:ascii="Calibri" w:eastAsia="Times New Roman" w:hAnsi="Calibri" w:cs="Calibri"/>
                <w:color w:val="000000"/>
              </w:rPr>
              <w:t>9 (37%)</w:t>
            </w:r>
          </w:p>
        </w:tc>
        <w:tc>
          <w:tcPr>
            <w:tcW w:w="1300" w:type="dxa"/>
            <w:tcBorders>
              <w:top w:val="nil"/>
              <w:left w:val="nil"/>
              <w:bottom w:val="nil"/>
              <w:right w:val="nil"/>
            </w:tcBorders>
            <w:shd w:val="clear" w:color="000000" w:fill="F2F2F2"/>
            <w:noWrap/>
            <w:vAlign w:val="bottom"/>
            <w:hideMark/>
          </w:tcPr>
          <w:p w14:paraId="3C512385" w14:textId="77777777" w:rsidR="00065E56" w:rsidRPr="009A481B" w:rsidRDefault="00065E56" w:rsidP="001C607A">
            <w:pPr>
              <w:jc w:val="center"/>
              <w:rPr>
                <w:rFonts w:ascii="Calibri" w:eastAsia="Times New Roman" w:hAnsi="Calibri" w:cs="Calibri"/>
                <w:color w:val="000000"/>
              </w:rPr>
            </w:pPr>
            <w:r w:rsidRPr="009A481B">
              <w:rPr>
                <w:rFonts w:ascii="Calibri" w:eastAsia="Times New Roman" w:hAnsi="Calibri" w:cs="Calibri"/>
                <w:color w:val="000000"/>
              </w:rPr>
              <w:t>11 (46%)</w:t>
            </w:r>
          </w:p>
        </w:tc>
        <w:tc>
          <w:tcPr>
            <w:tcW w:w="1300" w:type="dxa"/>
            <w:tcBorders>
              <w:top w:val="nil"/>
              <w:left w:val="nil"/>
              <w:bottom w:val="nil"/>
              <w:right w:val="nil"/>
            </w:tcBorders>
            <w:shd w:val="clear" w:color="000000" w:fill="F2F2F2"/>
            <w:noWrap/>
            <w:vAlign w:val="bottom"/>
            <w:hideMark/>
          </w:tcPr>
          <w:p w14:paraId="0FCC7305" w14:textId="77777777" w:rsidR="00065E56" w:rsidRPr="009A481B" w:rsidRDefault="00065E56" w:rsidP="001C607A">
            <w:pPr>
              <w:jc w:val="center"/>
              <w:rPr>
                <w:rFonts w:ascii="Calibri" w:eastAsia="Times New Roman" w:hAnsi="Calibri" w:cs="Calibri"/>
                <w:color w:val="000000"/>
              </w:rPr>
            </w:pPr>
            <w:r w:rsidRPr="009A481B">
              <w:rPr>
                <w:rFonts w:ascii="Calibri" w:eastAsia="Times New Roman" w:hAnsi="Calibri" w:cs="Calibri"/>
                <w:color w:val="000000"/>
              </w:rPr>
              <w:t>3 (13%)</w:t>
            </w:r>
          </w:p>
        </w:tc>
        <w:tc>
          <w:tcPr>
            <w:tcW w:w="1300" w:type="dxa"/>
            <w:tcBorders>
              <w:top w:val="nil"/>
              <w:left w:val="nil"/>
              <w:bottom w:val="nil"/>
              <w:right w:val="nil"/>
            </w:tcBorders>
            <w:shd w:val="clear" w:color="000000" w:fill="F2F2F2"/>
            <w:noWrap/>
            <w:vAlign w:val="bottom"/>
            <w:hideMark/>
          </w:tcPr>
          <w:p w14:paraId="31654828" w14:textId="77777777" w:rsidR="00065E56" w:rsidRPr="009A481B" w:rsidRDefault="00065E56" w:rsidP="001C607A">
            <w:pPr>
              <w:jc w:val="center"/>
              <w:rPr>
                <w:rFonts w:ascii="Calibri" w:eastAsia="Times New Roman" w:hAnsi="Calibri" w:cs="Calibri"/>
                <w:color w:val="000000"/>
              </w:rPr>
            </w:pPr>
            <w:r w:rsidRPr="009A481B">
              <w:rPr>
                <w:rFonts w:ascii="Calibri" w:eastAsia="Times New Roman" w:hAnsi="Calibri" w:cs="Calibri"/>
                <w:color w:val="000000"/>
              </w:rPr>
              <w:t>0 (0%)</w:t>
            </w:r>
          </w:p>
        </w:tc>
        <w:tc>
          <w:tcPr>
            <w:tcW w:w="1300" w:type="dxa"/>
            <w:tcBorders>
              <w:top w:val="nil"/>
              <w:left w:val="nil"/>
              <w:bottom w:val="nil"/>
              <w:right w:val="nil"/>
            </w:tcBorders>
            <w:shd w:val="clear" w:color="000000" w:fill="F2F2F2"/>
            <w:noWrap/>
            <w:vAlign w:val="bottom"/>
            <w:hideMark/>
          </w:tcPr>
          <w:p w14:paraId="158DE8FF" w14:textId="77777777" w:rsidR="00065E56" w:rsidRPr="009A481B" w:rsidRDefault="00065E56" w:rsidP="001C607A">
            <w:pPr>
              <w:jc w:val="center"/>
              <w:rPr>
                <w:rFonts w:ascii="Calibri" w:eastAsia="Times New Roman" w:hAnsi="Calibri" w:cs="Calibri"/>
                <w:color w:val="000000"/>
              </w:rPr>
            </w:pPr>
            <w:r w:rsidRPr="009A481B">
              <w:rPr>
                <w:rFonts w:ascii="Calibri" w:eastAsia="Times New Roman" w:hAnsi="Calibri" w:cs="Calibri"/>
                <w:color w:val="000000"/>
              </w:rPr>
              <w:t>1 (4%)</w:t>
            </w:r>
          </w:p>
        </w:tc>
      </w:tr>
      <w:tr w:rsidR="00065E56" w:rsidRPr="009A481B" w14:paraId="3965EE4C" w14:textId="77777777" w:rsidTr="001C607A">
        <w:trPr>
          <w:trHeight w:val="1020"/>
        </w:trPr>
        <w:tc>
          <w:tcPr>
            <w:tcW w:w="1300" w:type="dxa"/>
            <w:tcBorders>
              <w:top w:val="nil"/>
              <w:left w:val="nil"/>
              <w:bottom w:val="nil"/>
              <w:right w:val="nil"/>
            </w:tcBorders>
            <w:shd w:val="clear" w:color="auto" w:fill="auto"/>
            <w:vAlign w:val="bottom"/>
            <w:hideMark/>
          </w:tcPr>
          <w:p w14:paraId="54A8EC93" w14:textId="77777777" w:rsidR="00065E56" w:rsidRPr="009A481B" w:rsidRDefault="00065E56" w:rsidP="001C607A">
            <w:pPr>
              <w:rPr>
                <w:rFonts w:ascii="Calibri" w:eastAsia="Times New Roman" w:hAnsi="Calibri" w:cs="Calibri"/>
                <w:color w:val="000000"/>
              </w:rPr>
            </w:pPr>
            <w:r w:rsidRPr="009A481B">
              <w:rPr>
                <w:rFonts w:ascii="Calibri" w:eastAsia="Times New Roman" w:hAnsi="Calibri" w:cs="Calibri"/>
                <w:color w:val="000000"/>
              </w:rPr>
              <w:t xml:space="preserve">Dental -no </w:t>
            </w:r>
            <w:proofErr w:type="spellStart"/>
            <w:r w:rsidRPr="009A481B">
              <w:rPr>
                <w:rFonts w:ascii="Calibri" w:eastAsia="Times New Roman" w:hAnsi="Calibri" w:cs="Calibri"/>
                <w:color w:val="000000"/>
              </w:rPr>
              <w:t>undgrad</w:t>
            </w:r>
            <w:proofErr w:type="spellEnd"/>
            <w:r w:rsidRPr="009A481B">
              <w:rPr>
                <w:rFonts w:ascii="Calibri" w:eastAsia="Times New Roman" w:hAnsi="Calibri" w:cs="Calibri"/>
                <w:color w:val="000000"/>
              </w:rPr>
              <w:t xml:space="preserve"> anatomy</w:t>
            </w:r>
          </w:p>
        </w:tc>
        <w:tc>
          <w:tcPr>
            <w:tcW w:w="1300" w:type="dxa"/>
            <w:tcBorders>
              <w:top w:val="nil"/>
              <w:left w:val="nil"/>
              <w:bottom w:val="nil"/>
              <w:right w:val="nil"/>
            </w:tcBorders>
            <w:shd w:val="clear" w:color="auto" w:fill="auto"/>
            <w:noWrap/>
            <w:vAlign w:val="bottom"/>
            <w:hideMark/>
          </w:tcPr>
          <w:p w14:paraId="6F88B631" w14:textId="77777777" w:rsidR="00065E56" w:rsidRPr="009A481B" w:rsidRDefault="00065E56" w:rsidP="001C607A">
            <w:pPr>
              <w:jc w:val="center"/>
              <w:rPr>
                <w:rFonts w:ascii="Calibri" w:eastAsia="Times New Roman" w:hAnsi="Calibri" w:cs="Calibri"/>
                <w:color w:val="000000"/>
              </w:rPr>
            </w:pPr>
            <w:r w:rsidRPr="009A481B">
              <w:rPr>
                <w:rFonts w:ascii="Calibri" w:eastAsia="Times New Roman" w:hAnsi="Calibri" w:cs="Calibri"/>
                <w:color w:val="000000"/>
              </w:rPr>
              <w:t>1</w:t>
            </w:r>
          </w:p>
        </w:tc>
        <w:tc>
          <w:tcPr>
            <w:tcW w:w="1300" w:type="dxa"/>
            <w:tcBorders>
              <w:top w:val="nil"/>
              <w:left w:val="nil"/>
              <w:bottom w:val="nil"/>
              <w:right w:val="nil"/>
            </w:tcBorders>
            <w:shd w:val="clear" w:color="auto" w:fill="auto"/>
            <w:noWrap/>
            <w:vAlign w:val="bottom"/>
            <w:hideMark/>
          </w:tcPr>
          <w:p w14:paraId="6AC26884" w14:textId="77777777" w:rsidR="00065E56" w:rsidRPr="009A481B" w:rsidRDefault="00065E56" w:rsidP="001C607A">
            <w:pPr>
              <w:jc w:val="center"/>
              <w:rPr>
                <w:rFonts w:ascii="Calibri" w:eastAsia="Times New Roman" w:hAnsi="Calibri" w:cs="Calibri"/>
                <w:color w:val="000000"/>
              </w:rPr>
            </w:pPr>
            <w:r w:rsidRPr="009A481B">
              <w:rPr>
                <w:rFonts w:ascii="Calibri" w:eastAsia="Times New Roman" w:hAnsi="Calibri" w:cs="Calibri"/>
                <w:color w:val="000000"/>
              </w:rPr>
              <w:t>4</w:t>
            </w:r>
          </w:p>
        </w:tc>
        <w:tc>
          <w:tcPr>
            <w:tcW w:w="1300" w:type="dxa"/>
            <w:tcBorders>
              <w:top w:val="nil"/>
              <w:left w:val="nil"/>
              <w:bottom w:val="nil"/>
              <w:right w:val="nil"/>
            </w:tcBorders>
            <w:shd w:val="clear" w:color="auto" w:fill="auto"/>
            <w:noWrap/>
            <w:vAlign w:val="bottom"/>
            <w:hideMark/>
          </w:tcPr>
          <w:p w14:paraId="3F306D64" w14:textId="77777777" w:rsidR="00065E56" w:rsidRPr="009A481B" w:rsidRDefault="00065E56" w:rsidP="001C607A">
            <w:pPr>
              <w:jc w:val="center"/>
              <w:rPr>
                <w:rFonts w:ascii="Calibri" w:eastAsia="Times New Roman" w:hAnsi="Calibri" w:cs="Calibri"/>
                <w:color w:val="000000"/>
              </w:rPr>
            </w:pPr>
            <w:r w:rsidRPr="009A481B">
              <w:rPr>
                <w:rFonts w:ascii="Calibri" w:eastAsia="Times New Roman" w:hAnsi="Calibri" w:cs="Calibri"/>
                <w:color w:val="000000"/>
              </w:rPr>
              <w:t>1</w:t>
            </w:r>
          </w:p>
        </w:tc>
        <w:tc>
          <w:tcPr>
            <w:tcW w:w="1300" w:type="dxa"/>
            <w:tcBorders>
              <w:top w:val="nil"/>
              <w:left w:val="nil"/>
              <w:bottom w:val="nil"/>
              <w:right w:val="nil"/>
            </w:tcBorders>
            <w:shd w:val="clear" w:color="auto" w:fill="auto"/>
            <w:noWrap/>
            <w:vAlign w:val="bottom"/>
            <w:hideMark/>
          </w:tcPr>
          <w:p w14:paraId="3FE15C36" w14:textId="77777777" w:rsidR="00065E56" w:rsidRPr="009A481B" w:rsidRDefault="00065E56" w:rsidP="001C607A">
            <w:pPr>
              <w:jc w:val="center"/>
              <w:rPr>
                <w:rFonts w:ascii="Calibri" w:eastAsia="Times New Roman" w:hAnsi="Calibri" w:cs="Calibri"/>
                <w:color w:val="000000"/>
              </w:rPr>
            </w:pPr>
            <w:r w:rsidRPr="009A481B">
              <w:rPr>
                <w:rFonts w:ascii="Calibri" w:eastAsia="Times New Roman" w:hAnsi="Calibri" w:cs="Calibri"/>
                <w:color w:val="000000"/>
              </w:rPr>
              <w:t>0</w:t>
            </w:r>
          </w:p>
        </w:tc>
        <w:tc>
          <w:tcPr>
            <w:tcW w:w="1300" w:type="dxa"/>
            <w:tcBorders>
              <w:top w:val="nil"/>
              <w:left w:val="nil"/>
              <w:bottom w:val="nil"/>
              <w:right w:val="nil"/>
            </w:tcBorders>
            <w:shd w:val="clear" w:color="auto" w:fill="auto"/>
            <w:noWrap/>
            <w:vAlign w:val="bottom"/>
            <w:hideMark/>
          </w:tcPr>
          <w:p w14:paraId="439B5703" w14:textId="77777777" w:rsidR="00065E56" w:rsidRPr="009A481B" w:rsidRDefault="00065E56" w:rsidP="001C607A">
            <w:pPr>
              <w:jc w:val="center"/>
              <w:rPr>
                <w:rFonts w:ascii="Calibri" w:eastAsia="Times New Roman" w:hAnsi="Calibri" w:cs="Calibri"/>
                <w:color w:val="000000"/>
              </w:rPr>
            </w:pPr>
            <w:r w:rsidRPr="009A481B">
              <w:rPr>
                <w:rFonts w:ascii="Calibri" w:eastAsia="Times New Roman" w:hAnsi="Calibri" w:cs="Calibri"/>
                <w:color w:val="000000"/>
              </w:rPr>
              <w:t>1</w:t>
            </w:r>
          </w:p>
        </w:tc>
      </w:tr>
      <w:tr w:rsidR="00065E56" w:rsidRPr="009A481B" w14:paraId="74A8AA6E" w14:textId="77777777" w:rsidTr="001C607A">
        <w:trPr>
          <w:trHeight w:val="1020"/>
        </w:trPr>
        <w:tc>
          <w:tcPr>
            <w:tcW w:w="1300" w:type="dxa"/>
            <w:tcBorders>
              <w:top w:val="nil"/>
              <w:left w:val="nil"/>
              <w:bottom w:val="nil"/>
              <w:right w:val="nil"/>
            </w:tcBorders>
            <w:shd w:val="clear" w:color="auto" w:fill="auto"/>
            <w:vAlign w:val="bottom"/>
            <w:hideMark/>
          </w:tcPr>
          <w:p w14:paraId="1673BC25" w14:textId="77777777" w:rsidR="00065E56" w:rsidRPr="009A481B" w:rsidRDefault="00065E56" w:rsidP="001C607A">
            <w:pPr>
              <w:rPr>
                <w:rFonts w:ascii="Calibri" w:eastAsia="Times New Roman" w:hAnsi="Calibri" w:cs="Calibri"/>
                <w:color w:val="000000"/>
              </w:rPr>
            </w:pPr>
            <w:r w:rsidRPr="009A481B">
              <w:rPr>
                <w:rFonts w:ascii="Calibri" w:eastAsia="Times New Roman" w:hAnsi="Calibri" w:cs="Calibri"/>
                <w:color w:val="000000"/>
              </w:rPr>
              <w:t>Dental -yes undergrad anatomy</w:t>
            </w:r>
          </w:p>
        </w:tc>
        <w:tc>
          <w:tcPr>
            <w:tcW w:w="1300" w:type="dxa"/>
            <w:tcBorders>
              <w:top w:val="nil"/>
              <w:left w:val="nil"/>
              <w:bottom w:val="nil"/>
              <w:right w:val="nil"/>
            </w:tcBorders>
            <w:shd w:val="clear" w:color="auto" w:fill="auto"/>
            <w:noWrap/>
            <w:vAlign w:val="bottom"/>
            <w:hideMark/>
          </w:tcPr>
          <w:p w14:paraId="71058572" w14:textId="77777777" w:rsidR="00065E56" w:rsidRPr="009A481B" w:rsidRDefault="00065E56" w:rsidP="001C607A">
            <w:pPr>
              <w:jc w:val="center"/>
              <w:rPr>
                <w:rFonts w:ascii="Calibri" w:eastAsia="Times New Roman" w:hAnsi="Calibri" w:cs="Calibri"/>
                <w:color w:val="000000"/>
              </w:rPr>
            </w:pPr>
            <w:r w:rsidRPr="009A481B">
              <w:rPr>
                <w:rFonts w:ascii="Calibri" w:eastAsia="Times New Roman" w:hAnsi="Calibri" w:cs="Calibri"/>
                <w:color w:val="000000"/>
              </w:rPr>
              <w:t>8</w:t>
            </w:r>
          </w:p>
        </w:tc>
        <w:tc>
          <w:tcPr>
            <w:tcW w:w="1300" w:type="dxa"/>
            <w:tcBorders>
              <w:top w:val="nil"/>
              <w:left w:val="nil"/>
              <w:bottom w:val="nil"/>
              <w:right w:val="nil"/>
            </w:tcBorders>
            <w:shd w:val="clear" w:color="auto" w:fill="auto"/>
            <w:noWrap/>
            <w:vAlign w:val="bottom"/>
            <w:hideMark/>
          </w:tcPr>
          <w:p w14:paraId="7BDD547B" w14:textId="77777777" w:rsidR="00065E56" w:rsidRPr="009A481B" w:rsidRDefault="00065E56" w:rsidP="001C607A">
            <w:pPr>
              <w:jc w:val="center"/>
              <w:rPr>
                <w:rFonts w:ascii="Calibri" w:eastAsia="Times New Roman" w:hAnsi="Calibri" w:cs="Calibri"/>
                <w:color w:val="000000"/>
              </w:rPr>
            </w:pPr>
            <w:r w:rsidRPr="009A481B">
              <w:rPr>
                <w:rFonts w:ascii="Calibri" w:eastAsia="Times New Roman" w:hAnsi="Calibri" w:cs="Calibri"/>
                <w:color w:val="000000"/>
              </w:rPr>
              <w:t>7</w:t>
            </w:r>
          </w:p>
        </w:tc>
        <w:tc>
          <w:tcPr>
            <w:tcW w:w="1300" w:type="dxa"/>
            <w:tcBorders>
              <w:top w:val="nil"/>
              <w:left w:val="nil"/>
              <w:bottom w:val="nil"/>
              <w:right w:val="nil"/>
            </w:tcBorders>
            <w:shd w:val="clear" w:color="auto" w:fill="auto"/>
            <w:noWrap/>
            <w:vAlign w:val="bottom"/>
            <w:hideMark/>
          </w:tcPr>
          <w:p w14:paraId="74FEEC70" w14:textId="77777777" w:rsidR="00065E56" w:rsidRPr="009A481B" w:rsidRDefault="00065E56" w:rsidP="001C607A">
            <w:pPr>
              <w:jc w:val="center"/>
              <w:rPr>
                <w:rFonts w:ascii="Calibri" w:eastAsia="Times New Roman" w:hAnsi="Calibri" w:cs="Calibri"/>
                <w:color w:val="000000"/>
              </w:rPr>
            </w:pPr>
            <w:r w:rsidRPr="009A481B">
              <w:rPr>
                <w:rFonts w:ascii="Calibri" w:eastAsia="Times New Roman" w:hAnsi="Calibri" w:cs="Calibri"/>
                <w:color w:val="000000"/>
              </w:rPr>
              <w:t>2</w:t>
            </w:r>
          </w:p>
        </w:tc>
        <w:tc>
          <w:tcPr>
            <w:tcW w:w="1300" w:type="dxa"/>
            <w:tcBorders>
              <w:top w:val="nil"/>
              <w:left w:val="nil"/>
              <w:bottom w:val="nil"/>
              <w:right w:val="nil"/>
            </w:tcBorders>
            <w:shd w:val="clear" w:color="auto" w:fill="auto"/>
            <w:noWrap/>
            <w:vAlign w:val="bottom"/>
            <w:hideMark/>
          </w:tcPr>
          <w:p w14:paraId="72C18B55" w14:textId="77777777" w:rsidR="00065E56" w:rsidRPr="009A481B" w:rsidRDefault="00065E56" w:rsidP="001C607A">
            <w:pPr>
              <w:jc w:val="center"/>
              <w:rPr>
                <w:rFonts w:ascii="Calibri" w:eastAsia="Times New Roman" w:hAnsi="Calibri" w:cs="Calibri"/>
                <w:color w:val="000000"/>
              </w:rPr>
            </w:pPr>
            <w:r w:rsidRPr="009A481B">
              <w:rPr>
                <w:rFonts w:ascii="Calibri" w:eastAsia="Times New Roman" w:hAnsi="Calibri" w:cs="Calibri"/>
                <w:color w:val="000000"/>
              </w:rPr>
              <w:t>0</w:t>
            </w:r>
          </w:p>
        </w:tc>
        <w:tc>
          <w:tcPr>
            <w:tcW w:w="1300" w:type="dxa"/>
            <w:tcBorders>
              <w:top w:val="nil"/>
              <w:left w:val="nil"/>
              <w:bottom w:val="nil"/>
              <w:right w:val="nil"/>
            </w:tcBorders>
            <w:shd w:val="clear" w:color="auto" w:fill="auto"/>
            <w:noWrap/>
            <w:vAlign w:val="bottom"/>
            <w:hideMark/>
          </w:tcPr>
          <w:p w14:paraId="060B2575" w14:textId="77777777" w:rsidR="00065E56" w:rsidRPr="009A481B" w:rsidRDefault="00065E56" w:rsidP="001C607A">
            <w:pPr>
              <w:jc w:val="center"/>
              <w:rPr>
                <w:rFonts w:ascii="Calibri" w:eastAsia="Times New Roman" w:hAnsi="Calibri" w:cs="Calibri"/>
                <w:color w:val="000000"/>
              </w:rPr>
            </w:pPr>
            <w:r w:rsidRPr="009A481B">
              <w:rPr>
                <w:rFonts w:ascii="Calibri" w:eastAsia="Times New Roman" w:hAnsi="Calibri" w:cs="Calibri"/>
                <w:color w:val="000000"/>
              </w:rPr>
              <w:t>0</w:t>
            </w:r>
          </w:p>
        </w:tc>
      </w:tr>
      <w:tr w:rsidR="00065E56" w:rsidRPr="009A481B" w14:paraId="3192DBB0" w14:textId="77777777" w:rsidTr="001C607A">
        <w:trPr>
          <w:trHeight w:val="340"/>
        </w:trPr>
        <w:tc>
          <w:tcPr>
            <w:tcW w:w="1300" w:type="dxa"/>
            <w:tcBorders>
              <w:top w:val="nil"/>
              <w:left w:val="nil"/>
              <w:bottom w:val="nil"/>
              <w:right w:val="nil"/>
            </w:tcBorders>
            <w:shd w:val="clear" w:color="000000" w:fill="F2F2F2"/>
            <w:vAlign w:val="bottom"/>
            <w:hideMark/>
          </w:tcPr>
          <w:p w14:paraId="059F2F42" w14:textId="77777777" w:rsidR="00065E56" w:rsidRPr="009A481B" w:rsidRDefault="00065E56" w:rsidP="001C607A">
            <w:pPr>
              <w:rPr>
                <w:rFonts w:ascii="Calibri" w:eastAsia="Times New Roman" w:hAnsi="Calibri" w:cs="Calibri"/>
                <w:color w:val="000000"/>
              </w:rPr>
            </w:pPr>
            <w:r w:rsidRPr="009A481B">
              <w:rPr>
                <w:rFonts w:ascii="Calibri" w:eastAsia="Times New Roman" w:hAnsi="Calibri" w:cs="Calibri"/>
                <w:color w:val="000000"/>
              </w:rPr>
              <w:t>PA</w:t>
            </w:r>
          </w:p>
        </w:tc>
        <w:tc>
          <w:tcPr>
            <w:tcW w:w="1300" w:type="dxa"/>
            <w:tcBorders>
              <w:top w:val="nil"/>
              <w:left w:val="nil"/>
              <w:bottom w:val="nil"/>
              <w:right w:val="nil"/>
            </w:tcBorders>
            <w:shd w:val="clear" w:color="000000" w:fill="F2F2F2"/>
            <w:noWrap/>
            <w:vAlign w:val="bottom"/>
            <w:hideMark/>
          </w:tcPr>
          <w:p w14:paraId="46E49CAA" w14:textId="77777777" w:rsidR="00065E56" w:rsidRPr="009A481B" w:rsidRDefault="00065E56" w:rsidP="001C607A">
            <w:pPr>
              <w:jc w:val="center"/>
              <w:rPr>
                <w:rFonts w:ascii="Calibri" w:eastAsia="Times New Roman" w:hAnsi="Calibri" w:cs="Calibri"/>
                <w:color w:val="000000"/>
              </w:rPr>
            </w:pPr>
            <w:r w:rsidRPr="009A481B">
              <w:rPr>
                <w:rFonts w:ascii="Calibri" w:eastAsia="Times New Roman" w:hAnsi="Calibri" w:cs="Calibri"/>
                <w:color w:val="000000"/>
              </w:rPr>
              <w:t>14 (39%)</w:t>
            </w:r>
          </w:p>
        </w:tc>
        <w:tc>
          <w:tcPr>
            <w:tcW w:w="1300" w:type="dxa"/>
            <w:tcBorders>
              <w:top w:val="nil"/>
              <w:left w:val="nil"/>
              <w:bottom w:val="nil"/>
              <w:right w:val="nil"/>
            </w:tcBorders>
            <w:shd w:val="clear" w:color="000000" w:fill="F2F2F2"/>
            <w:noWrap/>
            <w:vAlign w:val="bottom"/>
            <w:hideMark/>
          </w:tcPr>
          <w:p w14:paraId="4B5B0D9C" w14:textId="77777777" w:rsidR="00065E56" w:rsidRPr="009A481B" w:rsidRDefault="00065E56" w:rsidP="001C607A">
            <w:pPr>
              <w:jc w:val="center"/>
              <w:rPr>
                <w:rFonts w:ascii="Calibri" w:eastAsia="Times New Roman" w:hAnsi="Calibri" w:cs="Calibri"/>
                <w:color w:val="000000"/>
              </w:rPr>
            </w:pPr>
            <w:r w:rsidRPr="009A481B">
              <w:rPr>
                <w:rFonts w:ascii="Calibri" w:eastAsia="Times New Roman" w:hAnsi="Calibri" w:cs="Calibri"/>
                <w:color w:val="000000"/>
              </w:rPr>
              <w:t>11 (31%)</w:t>
            </w:r>
          </w:p>
        </w:tc>
        <w:tc>
          <w:tcPr>
            <w:tcW w:w="1300" w:type="dxa"/>
            <w:tcBorders>
              <w:top w:val="nil"/>
              <w:left w:val="nil"/>
              <w:bottom w:val="nil"/>
              <w:right w:val="nil"/>
            </w:tcBorders>
            <w:shd w:val="clear" w:color="000000" w:fill="F2F2F2"/>
            <w:noWrap/>
            <w:vAlign w:val="bottom"/>
            <w:hideMark/>
          </w:tcPr>
          <w:p w14:paraId="7F25EA11" w14:textId="77777777" w:rsidR="00065E56" w:rsidRPr="009A481B" w:rsidRDefault="00065E56" w:rsidP="001C607A">
            <w:pPr>
              <w:jc w:val="center"/>
              <w:rPr>
                <w:rFonts w:ascii="Calibri" w:eastAsia="Times New Roman" w:hAnsi="Calibri" w:cs="Calibri"/>
                <w:color w:val="000000"/>
              </w:rPr>
            </w:pPr>
            <w:r w:rsidRPr="009A481B">
              <w:rPr>
                <w:rFonts w:ascii="Calibri" w:eastAsia="Times New Roman" w:hAnsi="Calibri" w:cs="Calibri"/>
                <w:color w:val="000000"/>
              </w:rPr>
              <w:t>11 (31%)</w:t>
            </w:r>
          </w:p>
        </w:tc>
        <w:tc>
          <w:tcPr>
            <w:tcW w:w="1300" w:type="dxa"/>
            <w:tcBorders>
              <w:top w:val="nil"/>
              <w:left w:val="nil"/>
              <w:bottom w:val="nil"/>
              <w:right w:val="nil"/>
            </w:tcBorders>
            <w:shd w:val="clear" w:color="000000" w:fill="F2F2F2"/>
            <w:noWrap/>
            <w:vAlign w:val="bottom"/>
            <w:hideMark/>
          </w:tcPr>
          <w:p w14:paraId="6C918A8E" w14:textId="77777777" w:rsidR="00065E56" w:rsidRPr="009A481B" w:rsidRDefault="00065E56" w:rsidP="001C607A">
            <w:pPr>
              <w:jc w:val="center"/>
              <w:rPr>
                <w:rFonts w:ascii="Calibri" w:eastAsia="Times New Roman" w:hAnsi="Calibri" w:cs="Calibri"/>
                <w:color w:val="000000"/>
              </w:rPr>
            </w:pPr>
            <w:r w:rsidRPr="009A481B">
              <w:rPr>
                <w:rFonts w:ascii="Calibri" w:eastAsia="Times New Roman" w:hAnsi="Calibri" w:cs="Calibri"/>
                <w:color w:val="000000"/>
              </w:rPr>
              <w:t>0 (0%)</w:t>
            </w:r>
          </w:p>
        </w:tc>
        <w:tc>
          <w:tcPr>
            <w:tcW w:w="1300" w:type="dxa"/>
            <w:tcBorders>
              <w:top w:val="nil"/>
              <w:left w:val="nil"/>
              <w:bottom w:val="nil"/>
              <w:right w:val="nil"/>
            </w:tcBorders>
            <w:shd w:val="clear" w:color="000000" w:fill="F2F2F2"/>
            <w:noWrap/>
            <w:vAlign w:val="bottom"/>
            <w:hideMark/>
          </w:tcPr>
          <w:p w14:paraId="267D5782" w14:textId="77777777" w:rsidR="00065E56" w:rsidRPr="009A481B" w:rsidRDefault="00065E56" w:rsidP="001C607A">
            <w:pPr>
              <w:jc w:val="center"/>
              <w:rPr>
                <w:rFonts w:ascii="Calibri" w:eastAsia="Times New Roman" w:hAnsi="Calibri" w:cs="Calibri"/>
                <w:color w:val="000000"/>
              </w:rPr>
            </w:pPr>
            <w:r w:rsidRPr="009A481B">
              <w:rPr>
                <w:rFonts w:ascii="Calibri" w:eastAsia="Times New Roman" w:hAnsi="Calibri" w:cs="Calibri"/>
                <w:color w:val="000000"/>
              </w:rPr>
              <w:t>0 (0%)</w:t>
            </w:r>
          </w:p>
        </w:tc>
      </w:tr>
      <w:tr w:rsidR="00065E56" w:rsidRPr="009A481B" w14:paraId="43EB62B7" w14:textId="77777777" w:rsidTr="001C607A">
        <w:trPr>
          <w:trHeight w:val="680"/>
        </w:trPr>
        <w:tc>
          <w:tcPr>
            <w:tcW w:w="1300" w:type="dxa"/>
            <w:tcBorders>
              <w:top w:val="nil"/>
              <w:left w:val="nil"/>
              <w:bottom w:val="nil"/>
              <w:right w:val="nil"/>
            </w:tcBorders>
            <w:shd w:val="clear" w:color="auto" w:fill="auto"/>
            <w:vAlign w:val="bottom"/>
            <w:hideMark/>
          </w:tcPr>
          <w:p w14:paraId="6A02B106" w14:textId="77777777" w:rsidR="00065E56" w:rsidRPr="009A481B" w:rsidRDefault="00065E56" w:rsidP="001C607A">
            <w:pPr>
              <w:rPr>
                <w:rFonts w:ascii="Calibri" w:eastAsia="Times New Roman" w:hAnsi="Calibri" w:cs="Calibri"/>
                <w:color w:val="000000"/>
              </w:rPr>
            </w:pPr>
            <w:r w:rsidRPr="009A481B">
              <w:rPr>
                <w:rFonts w:ascii="Calibri" w:eastAsia="Times New Roman" w:hAnsi="Calibri" w:cs="Calibri"/>
                <w:color w:val="000000"/>
              </w:rPr>
              <w:t>PA -no cadaver</w:t>
            </w:r>
          </w:p>
        </w:tc>
        <w:tc>
          <w:tcPr>
            <w:tcW w:w="1300" w:type="dxa"/>
            <w:tcBorders>
              <w:top w:val="nil"/>
              <w:left w:val="nil"/>
              <w:bottom w:val="nil"/>
              <w:right w:val="nil"/>
            </w:tcBorders>
            <w:shd w:val="clear" w:color="auto" w:fill="auto"/>
            <w:noWrap/>
            <w:vAlign w:val="bottom"/>
            <w:hideMark/>
          </w:tcPr>
          <w:p w14:paraId="044E14F7" w14:textId="77777777" w:rsidR="00065E56" w:rsidRPr="009A481B" w:rsidRDefault="00065E56" w:rsidP="001C607A">
            <w:pPr>
              <w:jc w:val="center"/>
              <w:rPr>
                <w:rFonts w:ascii="Calibri" w:eastAsia="Times New Roman" w:hAnsi="Calibri" w:cs="Calibri"/>
                <w:color w:val="000000"/>
              </w:rPr>
            </w:pPr>
            <w:r w:rsidRPr="009A481B">
              <w:rPr>
                <w:rFonts w:ascii="Calibri" w:eastAsia="Times New Roman" w:hAnsi="Calibri" w:cs="Calibri"/>
                <w:color w:val="000000"/>
              </w:rPr>
              <w:t>5</w:t>
            </w:r>
          </w:p>
        </w:tc>
        <w:tc>
          <w:tcPr>
            <w:tcW w:w="1300" w:type="dxa"/>
            <w:tcBorders>
              <w:top w:val="nil"/>
              <w:left w:val="nil"/>
              <w:bottom w:val="nil"/>
              <w:right w:val="nil"/>
            </w:tcBorders>
            <w:shd w:val="clear" w:color="auto" w:fill="auto"/>
            <w:noWrap/>
            <w:vAlign w:val="bottom"/>
            <w:hideMark/>
          </w:tcPr>
          <w:p w14:paraId="4286FCC8" w14:textId="77777777" w:rsidR="00065E56" w:rsidRPr="009A481B" w:rsidRDefault="00065E56" w:rsidP="001C607A">
            <w:pPr>
              <w:jc w:val="center"/>
              <w:rPr>
                <w:rFonts w:ascii="Calibri" w:eastAsia="Times New Roman" w:hAnsi="Calibri" w:cs="Calibri"/>
                <w:color w:val="000000"/>
              </w:rPr>
            </w:pPr>
            <w:r w:rsidRPr="009A481B">
              <w:rPr>
                <w:rFonts w:ascii="Calibri" w:eastAsia="Times New Roman" w:hAnsi="Calibri" w:cs="Calibri"/>
                <w:color w:val="000000"/>
              </w:rPr>
              <w:t>6</w:t>
            </w:r>
          </w:p>
        </w:tc>
        <w:tc>
          <w:tcPr>
            <w:tcW w:w="1300" w:type="dxa"/>
            <w:tcBorders>
              <w:top w:val="nil"/>
              <w:left w:val="nil"/>
              <w:bottom w:val="nil"/>
              <w:right w:val="nil"/>
            </w:tcBorders>
            <w:shd w:val="clear" w:color="auto" w:fill="auto"/>
            <w:noWrap/>
            <w:vAlign w:val="bottom"/>
            <w:hideMark/>
          </w:tcPr>
          <w:p w14:paraId="4F9C4F36" w14:textId="77777777" w:rsidR="00065E56" w:rsidRPr="009A481B" w:rsidRDefault="00065E56" w:rsidP="001C607A">
            <w:pPr>
              <w:jc w:val="center"/>
              <w:rPr>
                <w:rFonts w:ascii="Calibri" w:eastAsia="Times New Roman" w:hAnsi="Calibri" w:cs="Calibri"/>
                <w:color w:val="000000"/>
              </w:rPr>
            </w:pPr>
            <w:r w:rsidRPr="009A481B">
              <w:rPr>
                <w:rFonts w:ascii="Calibri" w:eastAsia="Times New Roman" w:hAnsi="Calibri" w:cs="Calibri"/>
                <w:color w:val="000000"/>
              </w:rPr>
              <w:t>6</w:t>
            </w:r>
          </w:p>
        </w:tc>
        <w:tc>
          <w:tcPr>
            <w:tcW w:w="1300" w:type="dxa"/>
            <w:tcBorders>
              <w:top w:val="nil"/>
              <w:left w:val="nil"/>
              <w:bottom w:val="nil"/>
              <w:right w:val="nil"/>
            </w:tcBorders>
            <w:shd w:val="clear" w:color="auto" w:fill="auto"/>
            <w:noWrap/>
            <w:vAlign w:val="bottom"/>
            <w:hideMark/>
          </w:tcPr>
          <w:p w14:paraId="3A979A31" w14:textId="77777777" w:rsidR="00065E56" w:rsidRPr="009A481B" w:rsidRDefault="00065E56" w:rsidP="001C607A">
            <w:pPr>
              <w:jc w:val="center"/>
              <w:rPr>
                <w:rFonts w:ascii="Calibri" w:eastAsia="Times New Roman" w:hAnsi="Calibri" w:cs="Calibri"/>
                <w:color w:val="000000"/>
              </w:rPr>
            </w:pPr>
            <w:r w:rsidRPr="009A481B">
              <w:rPr>
                <w:rFonts w:ascii="Calibri" w:eastAsia="Times New Roman" w:hAnsi="Calibri" w:cs="Calibri"/>
                <w:color w:val="000000"/>
              </w:rPr>
              <w:t>0</w:t>
            </w:r>
          </w:p>
        </w:tc>
        <w:tc>
          <w:tcPr>
            <w:tcW w:w="1300" w:type="dxa"/>
            <w:tcBorders>
              <w:top w:val="nil"/>
              <w:left w:val="nil"/>
              <w:bottom w:val="nil"/>
              <w:right w:val="nil"/>
            </w:tcBorders>
            <w:shd w:val="clear" w:color="auto" w:fill="auto"/>
            <w:noWrap/>
            <w:vAlign w:val="bottom"/>
            <w:hideMark/>
          </w:tcPr>
          <w:p w14:paraId="65031FE4" w14:textId="77777777" w:rsidR="00065E56" w:rsidRPr="009A481B" w:rsidRDefault="00065E56" w:rsidP="001C607A">
            <w:pPr>
              <w:jc w:val="center"/>
              <w:rPr>
                <w:rFonts w:ascii="Calibri" w:eastAsia="Times New Roman" w:hAnsi="Calibri" w:cs="Calibri"/>
                <w:color w:val="000000"/>
              </w:rPr>
            </w:pPr>
            <w:r w:rsidRPr="009A481B">
              <w:rPr>
                <w:rFonts w:ascii="Calibri" w:eastAsia="Times New Roman" w:hAnsi="Calibri" w:cs="Calibri"/>
                <w:color w:val="000000"/>
              </w:rPr>
              <w:t>0</w:t>
            </w:r>
          </w:p>
        </w:tc>
      </w:tr>
      <w:tr w:rsidR="00065E56" w:rsidRPr="009A481B" w14:paraId="18F5ACAD" w14:textId="77777777" w:rsidTr="001C607A">
        <w:trPr>
          <w:trHeight w:val="680"/>
        </w:trPr>
        <w:tc>
          <w:tcPr>
            <w:tcW w:w="1300" w:type="dxa"/>
            <w:tcBorders>
              <w:top w:val="nil"/>
              <w:left w:val="nil"/>
              <w:bottom w:val="nil"/>
              <w:right w:val="nil"/>
            </w:tcBorders>
            <w:shd w:val="clear" w:color="auto" w:fill="auto"/>
            <w:vAlign w:val="bottom"/>
            <w:hideMark/>
          </w:tcPr>
          <w:p w14:paraId="3836EE1B" w14:textId="77777777" w:rsidR="00065E56" w:rsidRPr="009A481B" w:rsidRDefault="00065E56" w:rsidP="001C607A">
            <w:pPr>
              <w:rPr>
                <w:rFonts w:ascii="Calibri" w:eastAsia="Times New Roman" w:hAnsi="Calibri" w:cs="Calibri"/>
                <w:color w:val="000000"/>
              </w:rPr>
            </w:pPr>
            <w:r w:rsidRPr="009A481B">
              <w:rPr>
                <w:rFonts w:ascii="Calibri" w:eastAsia="Times New Roman" w:hAnsi="Calibri" w:cs="Calibri"/>
                <w:color w:val="000000"/>
              </w:rPr>
              <w:t>PA-yes cadaver</w:t>
            </w:r>
          </w:p>
        </w:tc>
        <w:tc>
          <w:tcPr>
            <w:tcW w:w="1300" w:type="dxa"/>
            <w:tcBorders>
              <w:top w:val="nil"/>
              <w:left w:val="nil"/>
              <w:bottom w:val="nil"/>
              <w:right w:val="nil"/>
            </w:tcBorders>
            <w:shd w:val="clear" w:color="auto" w:fill="auto"/>
            <w:noWrap/>
            <w:vAlign w:val="bottom"/>
            <w:hideMark/>
          </w:tcPr>
          <w:p w14:paraId="2E5963AB" w14:textId="77777777" w:rsidR="00065E56" w:rsidRPr="009A481B" w:rsidRDefault="00065E56" w:rsidP="001C607A">
            <w:pPr>
              <w:jc w:val="center"/>
              <w:rPr>
                <w:rFonts w:ascii="Calibri" w:eastAsia="Times New Roman" w:hAnsi="Calibri" w:cs="Calibri"/>
                <w:color w:val="000000"/>
              </w:rPr>
            </w:pPr>
            <w:r w:rsidRPr="009A481B">
              <w:rPr>
                <w:rFonts w:ascii="Calibri" w:eastAsia="Times New Roman" w:hAnsi="Calibri" w:cs="Calibri"/>
                <w:color w:val="000000"/>
              </w:rPr>
              <w:t>9</w:t>
            </w:r>
          </w:p>
        </w:tc>
        <w:tc>
          <w:tcPr>
            <w:tcW w:w="1300" w:type="dxa"/>
            <w:tcBorders>
              <w:top w:val="nil"/>
              <w:left w:val="nil"/>
              <w:bottom w:val="nil"/>
              <w:right w:val="nil"/>
            </w:tcBorders>
            <w:shd w:val="clear" w:color="auto" w:fill="auto"/>
            <w:noWrap/>
            <w:vAlign w:val="bottom"/>
            <w:hideMark/>
          </w:tcPr>
          <w:p w14:paraId="36515324" w14:textId="77777777" w:rsidR="00065E56" w:rsidRPr="009A481B" w:rsidRDefault="00065E56" w:rsidP="001C607A">
            <w:pPr>
              <w:jc w:val="center"/>
              <w:rPr>
                <w:rFonts w:ascii="Calibri" w:eastAsia="Times New Roman" w:hAnsi="Calibri" w:cs="Calibri"/>
                <w:color w:val="000000"/>
              </w:rPr>
            </w:pPr>
            <w:r w:rsidRPr="009A481B">
              <w:rPr>
                <w:rFonts w:ascii="Calibri" w:eastAsia="Times New Roman" w:hAnsi="Calibri" w:cs="Calibri"/>
                <w:color w:val="000000"/>
              </w:rPr>
              <w:t>5</w:t>
            </w:r>
          </w:p>
        </w:tc>
        <w:tc>
          <w:tcPr>
            <w:tcW w:w="1300" w:type="dxa"/>
            <w:tcBorders>
              <w:top w:val="nil"/>
              <w:left w:val="nil"/>
              <w:bottom w:val="nil"/>
              <w:right w:val="nil"/>
            </w:tcBorders>
            <w:shd w:val="clear" w:color="auto" w:fill="auto"/>
            <w:noWrap/>
            <w:vAlign w:val="bottom"/>
            <w:hideMark/>
          </w:tcPr>
          <w:p w14:paraId="68EF5282" w14:textId="77777777" w:rsidR="00065E56" w:rsidRPr="009A481B" w:rsidRDefault="00065E56" w:rsidP="001C607A">
            <w:pPr>
              <w:jc w:val="center"/>
              <w:rPr>
                <w:rFonts w:ascii="Calibri" w:eastAsia="Times New Roman" w:hAnsi="Calibri" w:cs="Calibri"/>
                <w:color w:val="000000"/>
              </w:rPr>
            </w:pPr>
            <w:r w:rsidRPr="009A481B">
              <w:rPr>
                <w:rFonts w:ascii="Calibri" w:eastAsia="Times New Roman" w:hAnsi="Calibri" w:cs="Calibri"/>
                <w:color w:val="000000"/>
              </w:rPr>
              <w:t>5</w:t>
            </w:r>
          </w:p>
        </w:tc>
        <w:tc>
          <w:tcPr>
            <w:tcW w:w="1300" w:type="dxa"/>
            <w:tcBorders>
              <w:top w:val="nil"/>
              <w:left w:val="nil"/>
              <w:bottom w:val="nil"/>
              <w:right w:val="nil"/>
            </w:tcBorders>
            <w:shd w:val="clear" w:color="auto" w:fill="auto"/>
            <w:noWrap/>
            <w:vAlign w:val="bottom"/>
            <w:hideMark/>
          </w:tcPr>
          <w:p w14:paraId="403D3B8A" w14:textId="77777777" w:rsidR="00065E56" w:rsidRPr="009A481B" w:rsidRDefault="00065E56" w:rsidP="001C607A">
            <w:pPr>
              <w:jc w:val="center"/>
              <w:rPr>
                <w:rFonts w:ascii="Calibri" w:eastAsia="Times New Roman" w:hAnsi="Calibri" w:cs="Calibri"/>
                <w:color w:val="000000"/>
              </w:rPr>
            </w:pPr>
            <w:r w:rsidRPr="009A481B">
              <w:rPr>
                <w:rFonts w:ascii="Calibri" w:eastAsia="Times New Roman" w:hAnsi="Calibri" w:cs="Calibri"/>
                <w:color w:val="000000"/>
              </w:rPr>
              <w:t>0</w:t>
            </w:r>
          </w:p>
        </w:tc>
        <w:tc>
          <w:tcPr>
            <w:tcW w:w="1300" w:type="dxa"/>
            <w:tcBorders>
              <w:top w:val="nil"/>
              <w:left w:val="nil"/>
              <w:bottom w:val="nil"/>
              <w:right w:val="nil"/>
            </w:tcBorders>
            <w:shd w:val="clear" w:color="auto" w:fill="auto"/>
            <w:noWrap/>
            <w:vAlign w:val="bottom"/>
            <w:hideMark/>
          </w:tcPr>
          <w:p w14:paraId="0821EFB5" w14:textId="77777777" w:rsidR="00065E56" w:rsidRPr="009A481B" w:rsidRDefault="00065E56" w:rsidP="001C607A">
            <w:pPr>
              <w:jc w:val="center"/>
              <w:rPr>
                <w:rFonts w:ascii="Calibri" w:eastAsia="Times New Roman" w:hAnsi="Calibri" w:cs="Calibri"/>
                <w:color w:val="000000"/>
              </w:rPr>
            </w:pPr>
            <w:r w:rsidRPr="009A481B">
              <w:rPr>
                <w:rFonts w:ascii="Calibri" w:eastAsia="Times New Roman" w:hAnsi="Calibri" w:cs="Calibri"/>
                <w:color w:val="000000"/>
              </w:rPr>
              <w:t>0</w:t>
            </w:r>
          </w:p>
        </w:tc>
      </w:tr>
    </w:tbl>
    <w:p w14:paraId="23EE2BFC" w14:textId="77777777" w:rsidR="00065E56" w:rsidRDefault="00065E56" w:rsidP="00065E56">
      <w:pPr>
        <w:rPr>
          <w:rFonts w:ascii="Times New Roman" w:hAnsi="Times New Roman" w:cs="Times New Roman"/>
        </w:rPr>
      </w:pPr>
    </w:p>
    <w:p w14:paraId="031A32CD" w14:textId="77777777" w:rsidR="00065E56" w:rsidRDefault="00065E56" w:rsidP="00065E56">
      <w:pPr>
        <w:rPr>
          <w:rFonts w:ascii="Times New Roman" w:hAnsi="Times New Roman" w:cs="Times New Roman"/>
        </w:rPr>
      </w:pPr>
    </w:p>
    <w:p w14:paraId="1F1B8431" w14:textId="77777777" w:rsidR="00065E56" w:rsidRDefault="00065E56" w:rsidP="00065E56">
      <w:pPr>
        <w:rPr>
          <w:rFonts w:ascii="Times New Roman" w:hAnsi="Times New Roman" w:cs="Times New Roman"/>
        </w:rPr>
      </w:pPr>
    </w:p>
    <w:p w14:paraId="7DAB1B99" w14:textId="77777777" w:rsidR="00065E56" w:rsidRDefault="00065E56" w:rsidP="00065E56">
      <w:pPr>
        <w:rPr>
          <w:rFonts w:ascii="Times New Roman" w:hAnsi="Times New Roman" w:cs="Times New Roman"/>
        </w:rPr>
      </w:pPr>
    </w:p>
    <w:p w14:paraId="284EBE96" w14:textId="77777777" w:rsidR="00065E56" w:rsidRDefault="00065E56" w:rsidP="00065E56">
      <w:pPr>
        <w:rPr>
          <w:rFonts w:ascii="Times New Roman" w:hAnsi="Times New Roman" w:cs="Times New Roman"/>
        </w:rPr>
      </w:pPr>
    </w:p>
    <w:p w14:paraId="6FF239A9" w14:textId="77777777" w:rsidR="00065E56" w:rsidRDefault="00065E56" w:rsidP="00065E56">
      <w:pPr>
        <w:rPr>
          <w:rFonts w:ascii="Times New Roman" w:hAnsi="Times New Roman" w:cs="Times New Roman"/>
        </w:rPr>
      </w:pPr>
    </w:p>
    <w:p w14:paraId="3A9AF8F0" w14:textId="77777777" w:rsidR="00065E56" w:rsidRDefault="00065E56" w:rsidP="00065E56">
      <w:pPr>
        <w:rPr>
          <w:rFonts w:ascii="Times New Roman" w:hAnsi="Times New Roman" w:cs="Times New Roman"/>
        </w:rPr>
      </w:pPr>
    </w:p>
    <w:p w14:paraId="664CE26E" w14:textId="77777777" w:rsidR="00065E56" w:rsidRDefault="00065E56" w:rsidP="00065E56">
      <w:pPr>
        <w:rPr>
          <w:rFonts w:ascii="Times New Roman" w:hAnsi="Times New Roman" w:cs="Times New Roman"/>
        </w:rPr>
      </w:pPr>
    </w:p>
    <w:p w14:paraId="2E978E99" w14:textId="77777777" w:rsidR="00065E56" w:rsidRDefault="00065E56" w:rsidP="00065E56">
      <w:pPr>
        <w:rPr>
          <w:rFonts w:ascii="Times New Roman" w:hAnsi="Times New Roman" w:cs="Times New Roman"/>
        </w:rPr>
      </w:pPr>
    </w:p>
    <w:p w14:paraId="074647FF" w14:textId="77777777" w:rsidR="00065E56" w:rsidRDefault="00065E56" w:rsidP="00065E56">
      <w:pPr>
        <w:rPr>
          <w:rFonts w:ascii="Times New Roman" w:hAnsi="Times New Roman" w:cs="Times New Roman"/>
        </w:rPr>
      </w:pPr>
    </w:p>
    <w:p w14:paraId="2E44AEE5" w14:textId="77777777" w:rsidR="00065E56" w:rsidRDefault="00065E56" w:rsidP="00065E56">
      <w:pPr>
        <w:rPr>
          <w:rFonts w:ascii="Times New Roman" w:hAnsi="Times New Roman" w:cs="Times New Roman"/>
        </w:rPr>
      </w:pPr>
    </w:p>
    <w:p w14:paraId="1BF655F2" w14:textId="77777777" w:rsidR="00065E56" w:rsidRDefault="00065E56" w:rsidP="00065E56">
      <w:pPr>
        <w:rPr>
          <w:rFonts w:ascii="Times New Roman" w:hAnsi="Times New Roman" w:cs="Times New Roman"/>
        </w:rPr>
      </w:pPr>
    </w:p>
    <w:p w14:paraId="32224640" w14:textId="77777777" w:rsidR="00065E56" w:rsidRDefault="00065E56" w:rsidP="00E179E4">
      <w:pPr>
        <w:spacing w:line="480" w:lineRule="auto"/>
        <w:rPr>
          <w:rFonts w:ascii="Times New Roman" w:hAnsi="Times New Roman" w:cs="Times New Roman"/>
        </w:rPr>
      </w:pPr>
    </w:p>
    <w:p w14:paraId="679BBD0B" w14:textId="5CB046CE" w:rsidR="000400EC" w:rsidRDefault="000400EC" w:rsidP="00E179E4">
      <w:pPr>
        <w:spacing w:line="480" w:lineRule="auto"/>
        <w:rPr>
          <w:rFonts w:ascii="Times New Roman" w:hAnsi="Times New Roman" w:cs="Times New Roman"/>
        </w:rPr>
      </w:pPr>
    </w:p>
    <w:p w14:paraId="719937AE" w14:textId="77777777" w:rsidR="000400EC" w:rsidRDefault="000400EC" w:rsidP="00E179E4">
      <w:pPr>
        <w:spacing w:line="480" w:lineRule="auto"/>
        <w:rPr>
          <w:rFonts w:ascii="Times New Roman" w:hAnsi="Times New Roman" w:cs="Times New Roman"/>
        </w:rPr>
      </w:pPr>
    </w:p>
    <w:p w14:paraId="33378542" w14:textId="77777777" w:rsidR="00F66F4E" w:rsidRPr="00401D5A" w:rsidRDefault="00F66F4E" w:rsidP="00E179E4">
      <w:pPr>
        <w:spacing w:line="480" w:lineRule="auto"/>
        <w:rPr>
          <w:rFonts w:ascii="Times New Roman" w:hAnsi="Times New Roman" w:cs="Times New Roman"/>
        </w:rPr>
      </w:pPr>
    </w:p>
    <w:sectPr w:rsidR="00F66F4E" w:rsidRPr="00401D5A" w:rsidSect="00790A81">
      <w:headerReference w:type="default" r:id="rId46"/>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1780EB" w14:textId="77777777" w:rsidR="00695F3E" w:rsidRDefault="00695F3E" w:rsidP="00790A81">
      <w:r>
        <w:separator/>
      </w:r>
    </w:p>
  </w:endnote>
  <w:endnote w:type="continuationSeparator" w:id="0">
    <w:p w14:paraId="6E7DA7E0" w14:textId="77777777" w:rsidR="00695F3E" w:rsidRDefault="00695F3E" w:rsidP="00790A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NewRomanPSMT">
    <w:altName w:val="Times New Roman"/>
    <w:panose1 w:val="02020603050405020304"/>
    <w:charset w:val="00"/>
    <w:family w:val="roman"/>
    <w:notTrueType/>
    <w:pitch w:val="default"/>
  </w:font>
  <w:font w:name="TimesNewRomanPS">
    <w:altName w:val="Times New Roman"/>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83953802"/>
      <w:docPartObj>
        <w:docPartGallery w:val="Page Numbers (Bottom of Page)"/>
        <w:docPartUnique/>
      </w:docPartObj>
    </w:sdtPr>
    <w:sdtEndPr>
      <w:rPr>
        <w:rStyle w:val="PageNumber"/>
      </w:rPr>
    </w:sdtEndPr>
    <w:sdtContent>
      <w:p w14:paraId="1EEB3713" w14:textId="35FD83F9" w:rsidR="00790A81" w:rsidRDefault="00790A81" w:rsidP="0015331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C234FA6" w14:textId="77777777" w:rsidR="00790A81" w:rsidRDefault="00790A81" w:rsidP="00790A8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F69291" w14:textId="77777777" w:rsidR="00790A81" w:rsidRDefault="00790A81" w:rsidP="00790A81">
    <w:pPr>
      <w:pStyle w:val="Footer"/>
      <w:ind w:right="360"/>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049946617"/>
      <w:docPartObj>
        <w:docPartGallery w:val="Page Numbers (Bottom of Page)"/>
        <w:docPartUnique/>
      </w:docPartObj>
    </w:sdtPr>
    <w:sdtEndPr>
      <w:rPr>
        <w:rStyle w:val="PageNumber"/>
      </w:rPr>
    </w:sdtEndPr>
    <w:sdtContent>
      <w:p w14:paraId="4320184C" w14:textId="2F685B2B" w:rsidR="00153314" w:rsidRDefault="00153314" w:rsidP="006A2A5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iv</w:t>
        </w:r>
        <w:r>
          <w:rPr>
            <w:rStyle w:val="PageNumber"/>
          </w:rPr>
          <w:fldChar w:fldCharType="end"/>
        </w:r>
      </w:p>
    </w:sdtContent>
  </w:sdt>
  <w:p w14:paraId="57088B5E" w14:textId="77777777" w:rsidR="00153314" w:rsidRDefault="00153314" w:rsidP="00790A81">
    <w:pPr>
      <w:pStyle w:val="Footer"/>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8022AC" w14:textId="77777777" w:rsidR="00695F3E" w:rsidRDefault="00695F3E" w:rsidP="00790A81">
      <w:r>
        <w:separator/>
      </w:r>
    </w:p>
  </w:footnote>
  <w:footnote w:type="continuationSeparator" w:id="0">
    <w:p w14:paraId="2D59E20D" w14:textId="77777777" w:rsidR="00695F3E" w:rsidRDefault="00695F3E" w:rsidP="00790A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ACB0D1" w14:textId="77777777" w:rsidR="00790A81" w:rsidRDefault="00790A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7CE0D63"/>
    <w:multiLevelType w:val="hybridMultilevel"/>
    <w:tmpl w:val="80ACB1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774F5C83"/>
    <w:multiLevelType w:val="hybridMultilevel"/>
    <w:tmpl w:val="A51213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8"/>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1D5A"/>
    <w:rsid w:val="00001861"/>
    <w:rsid w:val="000400EC"/>
    <w:rsid w:val="00063D9A"/>
    <w:rsid w:val="00065E56"/>
    <w:rsid w:val="00067B76"/>
    <w:rsid w:val="000C2777"/>
    <w:rsid w:val="000C2B46"/>
    <w:rsid w:val="0012333B"/>
    <w:rsid w:val="00127965"/>
    <w:rsid w:val="00153314"/>
    <w:rsid w:val="0019586C"/>
    <w:rsid w:val="001A6BF2"/>
    <w:rsid w:val="001A6C0B"/>
    <w:rsid w:val="001C607A"/>
    <w:rsid w:val="00215973"/>
    <w:rsid w:val="00253B08"/>
    <w:rsid w:val="002A432B"/>
    <w:rsid w:val="002B07C7"/>
    <w:rsid w:val="00346D80"/>
    <w:rsid w:val="00351193"/>
    <w:rsid w:val="00377FE7"/>
    <w:rsid w:val="0038379A"/>
    <w:rsid w:val="003B52AB"/>
    <w:rsid w:val="003C3F21"/>
    <w:rsid w:val="003C4A71"/>
    <w:rsid w:val="00401D5A"/>
    <w:rsid w:val="00414640"/>
    <w:rsid w:val="00436846"/>
    <w:rsid w:val="004745A3"/>
    <w:rsid w:val="004800C1"/>
    <w:rsid w:val="00480362"/>
    <w:rsid w:val="00481076"/>
    <w:rsid w:val="00484EE2"/>
    <w:rsid w:val="004B7312"/>
    <w:rsid w:val="004C22E2"/>
    <w:rsid w:val="004D034F"/>
    <w:rsid w:val="004D1429"/>
    <w:rsid w:val="00514DE5"/>
    <w:rsid w:val="005163F8"/>
    <w:rsid w:val="00583A08"/>
    <w:rsid w:val="005D001F"/>
    <w:rsid w:val="005D1B26"/>
    <w:rsid w:val="005D6960"/>
    <w:rsid w:val="005E38DF"/>
    <w:rsid w:val="0069216D"/>
    <w:rsid w:val="006948C2"/>
    <w:rsid w:val="00695F3E"/>
    <w:rsid w:val="006D6BDD"/>
    <w:rsid w:val="006E1CB0"/>
    <w:rsid w:val="006F52E9"/>
    <w:rsid w:val="006F7F22"/>
    <w:rsid w:val="00704DAA"/>
    <w:rsid w:val="00731A8D"/>
    <w:rsid w:val="00790A81"/>
    <w:rsid w:val="007F34AC"/>
    <w:rsid w:val="008263C6"/>
    <w:rsid w:val="00867921"/>
    <w:rsid w:val="0087350E"/>
    <w:rsid w:val="00875529"/>
    <w:rsid w:val="00896954"/>
    <w:rsid w:val="009369AD"/>
    <w:rsid w:val="0095010C"/>
    <w:rsid w:val="009851EB"/>
    <w:rsid w:val="00991447"/>
    <w:rsid w:val="009F1830"/>
    <w:rsid w:val="00A62390"/>
    <w:rsid w:val="00A66131"/>
    <w:rsid w:val="00A7686A"/>
    <w:rsid w:val="00A851A5"/>
    <w:rsid w:val="00A94ACD"/>
    <w:rsid w:val="00B009F3"/>
    <w:rsid w:val="00B16BE5"/>
    <w:rsid w:val="00B2248F"/>
    <w:rsid w:val="00B270A9"/>
    <w:rsid w:val="00B47E71"/>
    <w:rsid w:val="00B76985"/>
    <w:rsid w:val="00BF63A6"/>
    <w:rsid w:val="00C33548"/>
    <w:rsid w:val="00C817E1"/>
    <w:rsid w:val="00C82B2F"/>
    <w:rsid w:val="00CA2238"/>
    <w:rsid w:val="00CA7BFD"/>
    <w:rsid w:val="00CB4E26"/>
    <w:rsid w:val="00CC1AAB"/>
    <w:rsid w:val="00D20CD3"/>
    <w:rsid w:val="00D80C67"/>
    <w:rsid w:val="00D81E54"/>
    <w:rsid w:val="00D87429"/>
    <w:rsid w:val="00D90199"/>
    <w:rsid w:val="00DD273F"/>
    <w:rsid w:val="00E179E4"/>
    <w:rsid w:val="00E507A3"/>
    <w:rsid w:val="00E71E5D"/>
    <w:rsid w:val="00EE615A"/>
    <w:rsid w:val="00EE7990"/>
    <w:rsid w:val="00EF0F15"/>
    <w:rsid w:val="00F038FF"/>
    <w:rsid w:val="00F37C50"/>
    <w:rsid w:val="00F66F4E"/>
    <w:rsid w:val="00FA2ADC"/>
    <w:rsid w:val="00FC39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6FE77F"/>
  <w14:defaultImageDpi w14:val="32767"/>
  <w15:chartTrackingRefBased/>
  <w15:docId w15:val="{12FA753E-C67E-AC42-B84A-495D96ACF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401D5A"/>
  </w:style>
  <w:style w:type="paragraph" w:styleId="Heading1">
    <w:name w:val="heading 1"/>
    <w:basedOn w:val="Normal"/>
    <w:next w:val="Normal"/>
    <w:link w:val="Heading1Char"/>
    <w:uiPriority w:val="9"/>
    <w:qFormat/>
    <w:rsid w:val="00EE7990"/>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400EC"/>
    <w:pPr>
      <w:spacing w:before="100" w:beforeAutospacing="1" w:after="100" w:afterAutospacing="1"/>
    </w:pPr>
    <w:rPr>
      <w:rFonts w:ascii="Times New Roman" w:eastAsia="Times New Roman" w:hAnsi="Times New Roman" w:cs="Times New Roman"/>
    </w:rPr>
  </w:style>
  <w:style w:type="paragraph" w:styleId="Bibliography">
    <w:name w:val="Bibliography"/>
    <w:basedOn w:val="Normal"/>
    <w:next w:val="Normal"/>
    <w:uiPriority w:val="37"/>
    <w:unhideWhenUsed/>
    <w:rsid w:val="000400EC"/>
    <w:pPr>
      <w:spacing w:line="480" w:lineRule="auto"/>
      <w:ind w:left="720" w:hanging="720"/>
    </w:pPr>
  </w:style>
  <w:style w:type="character" w:styleId="CommentReference">
    <w:name w:val="annotation reference"/>
    <w:basedOn w:val="DefaultParagraphFont"/>
    <w:uiPriority w:val="99"/>
    <w:semiHidden/>
    <w:unhideWhenUsed/>
    <w:rsid w:val="000400EC"/>
    <w:rPr>
      <w:sz w:val="16"/>
      <w:szCs w:val="16"/>
    </w:rPr>
  </w:style>
  <w:style w:type="paragraph" w:styleId="CommentText">
    <w:name w:val="annotation text"/>
    <w:basedOn w:val="Normal"/>
    <w:link w:val="CommentTextChar"/>
    <w:uiPriority w:val="99"/>
    <w:semiHidden/>
    <w:unhideWhenUsed/>
    <w:rsid w:val="000400EC"/>
    <w:rPr>
      <w:sz w:val="20"/>
      <w:szCs w:val="20"/>
    </w:rPr>
  </w:style>
  <w:style w:type="character" w:customStyle="1" w:styleId="CommentTextChar">
    <w:name w:val="Comment Text Char"/>
    <w:basedOn w:val="DefaultParagraphFont"/>
    <w:link w:val="CommentText"/>
    <w:uiPriority w:val="99"/>
    <w:semiHidden/>
    <w:rsid w:val="000400EC"/>
    <w:rPr>
      <w:sz w:val="20"/>
      <w:szCs w:val="20"/>
    </w:rPr>
  </w:style>
  <w:style w:type="table" w:styleId="TableGrid">
    <w:name w:val="Table Grid"/>
    <w:basedOn w:val="TableNormal"/>
    <w:uiPriority w:val="39"/>
    <w:rsid w:val="00D81E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79E4"/>
    <w:pPr>
      <w:ind w:left="720"/>
      <w:contextualSpacing/>
    </w:pPr>
  </w:style>
  <w:style w:type="table" w:customStyle="1" w:styleId="QQuestionTable">
    <w:name w:val="QQuestionTable"/>
    <w:uiPriority w:val="99"/>
    <w:qFormat/>
    <w:rsid w:val="00065E56"/>
    <w:pPr>
      <w:jc w:val="center"/>
    </w:pPr>
    <w:rPr>
      <w:rFonts w:eastAsiaTheme="minorEastAsia"/>
      <w:sz w:val="22"/>
      <w:szCs w:val="22"/>
    </w:r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paragraph" w:customStyle="1" w:styleId="H2">
    <w:name w:val="H2"/>
    <w:next w:val="Normal"/>
    <w:rsid w:val="00065E56"/>
    <w:pPr>
      <w:spacing w:after="240"/>
    </w:pPr>
    <w:rPr>
      <w:rFonts w:eastAsiaTheme="minorEastAsia"/>
      <w:b/>
      <w:color w:val="000000"/>
      <w:sz w:val="48"/>
      <w:szCs w:val="48"/>
    </w:rPr>
  </w:style>
  <w:style w:type="paragraph" w:customStyle="1" w:styleId="BlockStartLabel">
    <w:name w:val="BlockStartLabel"/>
    <w:basedOn w:val="Normal"/>
    <w:qFormat/>
    <w:rsid w:val="00065E56"/>
    <w:pPr>
      <w:spacing w:before="120" w:after="120"/>
    </w:pPr>
    <w:rPr>
      <w:rFonts w:eastAsiaTheme="minorEastAsia"/>
      <w:b/>
      <w:color w:val="CCCCCC"/>
      <w:sz w:val="22"/>
      <w:szCs w:val="22"/>
    </w:rPr>
  </w:style>
  <w:style w:type="paragraph" w:customStyle="1" w:styleId="BlockSeparator">
    <w:name w:val="BlockSeparator"/>
    <w:basedOn w:val="Normal"/>
    <w:qFormat/>
    <w:rsid w:val="00065E56"/>
    <w:pPr>
      <w:pBdr>
        <w:bottom w:val="single" w:sz="8" w:space="0" w:color="CCCCCC"/>
      </w:pBdr>
      <w:spacing w:line="120" w:lineRule="auto"/>
      <w:jc w:val="center"/>
    </w:pPr>
    <w:rPr>
      <w:rFonts w:eastAsiaTheme="minorEastAsia"/>
      <w:b/>
      <w:color w:val="CCCCCC"/>
      <w:sz w:val="22"/>
      <w:szCs w:val="22"/>
    </w:rPr>
  </w:style>
  <w:style w:type="paragraph" w:customStyle="1" w:styleId="QuestionSeparator">
    <w:name w:val="QuestionSeparator"/>
    <w:basedOn w:val="Normal"/>
    <w:qFormat/>
    <w:rsid w:val="00065E56"/>
    <w:pPr>
      <w:pBdr>
        <w:top w:val="dashed" w:sz="8" w:space="0" w:color="CCCCCC"/>
      </w:pBdr>
      <w:spacing w:before="120" w:after="120" w:line="120" w:lineRule="auto"/>
    </w:pPr>
    <w:rPr>
      <w:rFonts w:eastAsiaTheme="minorEastAsia"/>
      <w:sz w:val="22"/>
      <w:szCs w:val="22"/>
    </w:rPr>
  </w:style>
  <w:style w:type="paragraph" w:customStyle="1" w:styleId="TextEntryLine">
    <w:name w:val="TextEntryLine"/>
    <w:basedOn w:val="Normal"/>
    <w:qFormat/>
    <w:rsid w:val="00065E56"/>
    <w:pPr>
      <w:spacing w:before="240"/>
    </w:pPr>
    <w:rPr>
      <w:rFonts w:eastAsiaTheme="minorEastAsia"/>
      <w:sz w:val="22"/>
      <w:szCs w:val="22"/>
    </w:rPr>
  </w:style>
  <w:style w:type="character" w:customStyle="1" w:styleId="Heading1Char">
    <w:name w:val="Heading 1 Char"/>
    <w:basedOn w:val="DefaultParagraphFont"/>
    <w:link w:val="Heading1"/>
    <w:uiPriority w:val="9"/>
    <w:rsid w:val="00EE7990"/>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EE7990"/>
    <w:pPr>
      <w:spacing w:before="480" w:line="276" w:lineRule="auto"/>
      <w:outlineLvl w:val="9"/>
    </w:pPr>
    <w:rPr>
      <w:b/>
      <w:bCs/>
      <w:sz w:val="28"/>
      <w:szCs w:val="28"/>
    </w:rPr>
  </w:style>
  <w:style w:type="paragraph" w:styleId="TOC1">
    <w:name w:val="toc 1"/>
    <w:basedOn w:val="Normal"/>
    <w:next w:val="Normal"/>
    <w:autoRedefine/>
    <w:uiPriority w:val="39"/>
    <w:semiHidden/>
    <w:unhideWhenUsed/>
    <w:rsid w:val="00EE7990"/>
    <w:pPr>
      <w:spacing w:before="120"/>
    </w:pPr>
    <w:rPr>
      <w:rFonts w:cstheme="minorHAnsi"/>
      <w:b/>
      <w:bCs/>
      <w:i/>
      <w:iCs/>
    </w:rPr>
  </w:style>
  <w:style w:type="paragraph" w:styleId="TOC2">
    <w:name w:val="toc 2"/>
    <w:basedOn w:val="Normal"/>
    <w:next w:val="Normal"/>
    <w:autoRedefine/>
    <w:uiPriority w:val="39"/>
    <w:semiHidden/>
    <w:unhideWhenUsed/>
    <w:rsid w:val="00EE7990"/>
    <w:pPr>
      <w:spacing w:before="120"/>
      <w:ind w:left="240"/>
    </w:pPr>
    <w:rPr>
      <w:rFonts w:cstheme="minorHAnsi"/>
      <w:b/>
      <w:bCs/>
      <w:sz w:val="22"/>
      <w:szCs w:val="22"/>
    </w:rPr>
  </w:style>
  <w:style w:type="paragraph" w:styleId="TOC3">
    <w:name w:val="toc 3"/>
    <w:basedOn w:val="Normal"/>
    <w:next w:val="Normal"/>
    <w:autoRedefine/>
    <w:uiPriority w:val="39"/>
    <w:semiHidden/>
    <w:unhideWhenUsed/>
    <w:rsid w:val="00EE7990"/>
    <w:pPr>
      <w:ind w:left="480"/>
    </w:pPr>
    <w:rPr>
      <w:rFonts w:cstheme="minorHAnsi"/>
      <w:sz w:val="20"/>
      <w:szCs w:val="20"/>
    </w:rPr>
  </w:style>
  <w:style w:type="paragraph" w:styleId="TOC4">
    <w:name w:val="toc 4"/>
    <w:basedOn w:val="Normal"/>
    <w:next w:val="Normal"/>
    <w:autoRedefine/>
    <w:uiPriority w:val="39"/>
    <w:semiHidden/>
    <w:unhideWhenUsed/>
    <w:rsid w:val="00EE7990"/>
    <w:pPr>
      <w:ind w:left="720"/>
    </w:pPr>
    <w:rPr>
      <w:rFonts w:cstheme="minorHAnsi"/>
      <w:sz w:val="20"/>
      <w:szCs w:val="20"/>
    </w:rPr>
  </w:style>
  <w:style w:type="paragraph" w:styleId="TOC5">
    <w:name w:val="toc 5"/>
    <w:basedOn w:val="Normal"/>
    <w:next w:val="Normal"/>
    <w:autoRedefine/>
    <w:uiPriority w:val="39"/>
    <w:semiHidden/>
    <w:unhideWhenUsed/>
    <w:rsid w:val="00EE7990"/>
    <w:pPr>
      <w:ind w:left="960"/>
    </w:pPr>
    <w:rPr>
      <w:rFonts w:cstheme="minorHAnsi"/>
      <w:sz w:val="20"/>
      <w:szCs w:val="20"/>
    </w:rPr>
  </w:style>
  <w:style w:type="paragraph" w:styleId="TOC6">
    <w:name w:val="toc 6"/>
    <w:basedOn w:val="Normal"/>
    <w:next w:val="Normal"/>
    <w:autoRedefine/>
    <w:uiPriority w:val="39"/>
    <w:semiHidden/>
    <w:unhideWhenUsed/>
    <w:rsid w:val="00EE7990"/>
    <w:pPr>
      <w:ind w:left="1200"/>
    </w:pPr>
    <w:rPr>
      <w:rFonts w:cstheme="minorHAnsi"/>
      <w:sz w:val="20"/>
      <w:szCs w:val="20"/>
    </w:rPr>
  </w:style>
  <w:style w:type="paragraph" w:styleId="TOC7">
    <w:name w:val="toc 7"/>
    <w:basedOn w:val="Normal"/>
    <w:next w:val="Normal"/>
    <w:autoRedefine/>
    <w:uiPriority w:val="39"/>
    <w:semiHidden/>
    <w:unhideWhenUsed/>
    <w:rsid w:val="00EE7990"/>
    <w:pPr>
      <w:ind w:left="1440"/>
    </w:pPr>
    <w:rPr>
      <w:rFonts w:cstheme="minorHAnsi"/>
      <w:sz w:val="20"/>
      <w:szCs w:val="20"/>
    </w:rPr>
  </w:style>
  <w:style w:type="paragraph" w:styleId="TOC8">
    <w:name w:val="toc 8"/>
    <w:basedOn w:val="Normal"/>
    <w:next w:val="Normal"/>
    <w:autoRedefine/>
    <w:uiPriority w:val="39"/>
    <w:semiHidden/>
    <w:unhideWhenUsed/>
    <w:rsid w:val="00EE7990"/>
    <w:pPr>
      <w:ind w:left="1680"/>
    </w:pPr>
    <w:rPr>
      <w:rFonts w:cstheme="minorHAnsi"/>
      <w:sz w:val="20"/>
      <w:szCs w:val="20"/>
    </w:rPr>
  </w:style>
  <w:style w:type="paragraph" w:styleId="TOC9">
    <w:name w:val="toc 9"/>
    <w:basedOn w:val="Normal"/>
    <w:next w:val="Normal"/>
    <w:autoRedefine/>
    <w:uiPriority w:val="39"/>
    <w:semiHidden/>
    <w:unhideWhenUsed/>
    <w:rsid w:val="00EE7990"/>
    <w:pPr>
      <w:ind w:left="1920"/>
    </w:pPr>
    <w:rPr>
      <w:rFonts w:cstheme="minorHAnsi"/>
      <w:sz w:val="20"/>
      <w:szCs w:val="20"/>
    </w:rPr>
  </w:style>
  <w:style w:type="paragraph" w:styleId="Header">
    <w:name w:val="header"/>
    <w:basedOn w:val="Normal"/>
    <w:link w:val="HeaderChar"/>
    <w:uiPriority w:val="99"/>
    <w:unhideWhenUsed/>
    <w:rsid w:val="00790A81"/>
    <w:pPr>
      <w:tabs>
        <w:tab w:val="center" w:pos="4680"/>
        <w:tab w:val="right" w:pos="9360"/>
      </w:tabs>
    </w:pPr>
  </w:style>
  <w:style w:type="character" w:customStyle="1" w:styleId="HeaderChar">
    <w:name w:val="Header Char"/>
    <w:basedOn w:val="DefaultParagraphFont"/>
    <w:link w:val="Header"/>
    <w:uiPriority w:val="99"/>
    <w:rsid w:val="00790A81"/>
  </w:style>
  <w:style w:type="paragraph" w:styleId="Footer">
    <w:name w:val="footer"/>
    <w:basedOn w:val="Normal"/>
    <w:link w:val="FooterChar"/>
    <w:uiPriority w:val="99"/>
    <w:unhideWhenUsed/>
    <w:rsid w:val="00790A81"/>
    <w:pPr>
      <w:tabs>
        <w:tab w:val="center" w:pos="4680"/>
        <w:tab w:val="right" w:pos="9360"/>
      </w:tabs>
    </w:pPr>
  </w:style>
  <w:style w:type="character" w:customStyle="1" w:styleId="FooterChar">
    <w:name w:val="Footer Char"/>
    <w:basedOn w:val="DefaultParagraphFont"/>
    <w:link w:val="Footer"/>
    <w:uiPriority w:val="99"/>
    <w:rsid w:val="00790A81"/>
  </w:style>
  <w:style w:type="character" w:styleId="PageNumber">
    <w:name w:val="page number"/>
    <w:basedOn w:val="DefaultParagraphFont"/>
    <w:uiPriority w:val="99"/>
    <w:semiHidden/>
    <w:unhideWhenUsed/>
    <w:rsid w:val="00790A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8180660">
      <w:bodyDiv w:val="1"/>
      <w:marLeft w:val="0"/>
      <w:marRight w:val="0"/>
      <w:marTop w:val="0"/>
      <w:marBottom w:val="0"/>
      <w:divBdr>
        <w:top w:val="none" w:sz="0" w:space="0" w:color="auto"/>
        <w:left w:val="none" w:sz="0" w:space="0" w:color="auto"/>
        <w:bottom w:val="none" w:sz="0" w:space="0" w:color="auto"/>
        <w:right w:val="none" w:sz="0" w:space="0" w:color="auto"/>
      </w:divBdr>
      <w:divsChild>
        <w:div w:id="1290471702">
          <w:marLeft w:val="0"/>
          <w:marRight w:val="0"/>
          <w:marTop w:val="0"/>
          <w:marBottom w:val="0"/>
          <w:divBdr>
            <w:top w:val="none" w:sz="0" w:space="0" w:color="auto"/>
            <w:left w:val="none" w:sz="0" w:space="0" w:color="auto"/>
            <w:bottom w:val="none" w:sz="0" w:space="0" w:color="auto"/>
            <w:right w:val="none" w:sz="0" w:space="0" w:color="auto"/>
          </w:divBdr>
          <w:divsChild>
            <w:div w:id="1173566274">
              <w:marLeft w:val="0"/>
              <w:marRight w:val="0"/>
              <w:marTop w:val="0"/>
              <w:marBottom w:val="0"/>
              <w:divBdr>
                <w:top w:val="none" w:sz="0" w:space="0" w:color="auto"/>
                <w:left w:val="none" w:sz="0" w:space="0" w:color="auto"/>
                <w:bottom w:val="none" w:sz="0" w:space="0" w:color="auto"/>
                <w:right w:val="none" w:sz="0" w:space="0" w:color="auto"/>
              </w:divBdr>
              <w:divsChild>
                <w:div w:id="765422925">
                  <w:marLeft w:val="0"/>
                  <w:marRight w:val="0"/>
                  <w:marTop w:val="0"/>
                  <w:marBottom w:val="0"/>
                  <w:divBdr>
                    <w:top w:val="none" w:sz="0" w:space="0" w:color="auto"/>
                    <w:left w:val="none" w:sz="0" w:space="0" w:color="auto"/>
                    <w:bottom w:val="none" w:sz="0" w:space="0" w:color="auto"/>
                    <w:right w:val="none" w:sz="0" w:space="0" w:color="auto"/>
                  </w:divBdr>
                </w:div>
              </w:divsChild>
            </w:div>
            <w:div w:id="870996376">
              <w:marLeft w:val="0"/>
              <w:marRight w:val="0"/>
              <w:marTop w:val="0"/>
              <w:marBottom w:val="0"/>
              <w:divBdr>
                <w:top w:val="none" w:sz="0" w:space="0" w:color="auto"/>
                <w:left w:val="none" w:sz="0" w:space="0" w:color="auto"/>
                <w:bottom w:val="none" w:sz="0" w:space="0" w:color="auto"/>
                <w:right w:val="none" w:sz="0" w:space="0" w:color="auto"/>
              </w:divBdr>
              <w:divsChild>
                <w:div w:id="272983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341490">
          <w:marLeft w:val="0"/>
          <w:marRight w:val="0"/>
          <w:marTop w:val="0"/>
          <w:marBottom w:val="0"/>
          <w:divBdr>
            <w:top w:val="none" w:sz="0" w:space="0" w:color="auto"/>
            <w:left w:val="none" w:sz="0" w:space="0" w:color="auto"/>
            <w:bottom w:val="none" w:sz="0" w:space="0" w:color="auto"/>
            <w:right w:val="none" w:sz="0" w:space="0" w:color="auto"/>
          </w:divBdr>
          <w:divsChild>
            <w:div w:id="1640376313">
              <w:marLeft w:val="0"/>
              <w:marRight w:val="0"/>
              <w:marTop w:val="0"/>
              <w:marBottom w:val="0"/>
              <w:divBdr>
                <w:top w:val="none" w:sz="0" w:space="0" w:color="auto"/>
                <w:left w:val="none" w:sz="0" w:space="0" w:color="auto"/>
                <w:bottom w:val="none" w:sz="0" w:space="0" w:color="auto"/>
                <w:right w:val="none" w:sz="0" w:space="0" w:color="auto"/>
              </w:divBdr>
              <w:divsChild>
                <w:div w:id="463618672">
                  <w:marLeft w:val="0"/>
                  <w:marRight w:val="0"/>
                  <w:marTop w:val="0"/>
                  <w:marBottom w:val="0"/>
                  <w:divBdr>
                    <w:top w:val="none" w:sz="0" w:space="0" w:color="auto"/>
                    <w:left w:val="none" w:sz="0" w:space="0" w:color="auto"/>
                    <w:bottom w:val="none" w:sz="0" w:space="0" w:color="auto"/>
                    <w:right w:val="none" w:sz="0" w:space="0" w:color="auto"/>
                  </w:divBdr>
                </w:div>
              </w:divsChild>
            </w:div>
            <w:div w:id="444621833">
              <w:marLeft w:val="0"/>
              <w:marRight w:val="0"/>
              <w:marTop w:val="0"/>
              <w:marBottom w:val="0"/>
              <w:divBdr>
                <w:top w:val="none" w:sz="0" w:space="0" w:color="auto"/>
                <w:left w:val="none" w:sz="0" w:space="0" w:color="auto"/>
                <w:bottom w:val="none" w:sz="0" w:space="0" w:color="auto"/>
                <w:right w:val="none" w:sz="0" w:space="0" w:color="auto"/>
              </w:divBdr>
              <w:divsChild>
                <w:div w:id="484080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874694">
          <w:marLeft w:val="0"/>
          <w:marRight w:val="0"/>
          <w:marTop w:val="0"/>
          <w:marBottom w:val="0"/>
          <w:divBdr>
            <w:top w:val="none" w:sz="0" w:space="0" w:color="auto"/>
            <w:left w:val="none" w:sz="0" w:space="0" w:color="auto"/>
            <w:bottom w:val="none" w:sz="0" w:space="0" w:color="auto"/>
            <w:right w:val="none" w:sz="0" w:space="0" w:color="auto"/>
          </w:divBdr>
          <w:divsChild>
            <w:div w:id="1729110814">
              <w:marLeft w:val="0"/>
              <w:marRight w:val="0"/>
              <w:marTop w:val="0"/>
              <w:marBottom w:val="0"/>
              <w:divBdr>
                <w:top w:val="none" w:sz="0" w:space="0" w:color="auto"/>
                <w:left w:val="none" w:sz="0" w:space="0" w:color="auto"/>
                <w:bottom w:val="none" w:sz="0" w:space="0" w:color="auto"/>
                <w:right w:val="none" w:sz="0" w:space="0" w:color="auto"/>
              </w:divBdr>
              <w:divsChild>
                <w:div w:id="1341004731">
                  <w:marLeft w:val="0"/>
                  <w:marRight w:val="0"/>
                  <w:marTop w:val="0"/>
                  <w:marBottom w:val="0"/>
                  <w:divBdr>
                    <w:top w:val="none" w:sz="0" w:space="0" w:color="auto"/>
                    <w:left w:val="none" w:sz="0" w:space="0" w:color="auto"/>
                    <w:bottom w:val="none" w:sz="0" w:space="0" w:color="auto"/>
                    <w:right w:val="none" w:sz="0" w:space="0" w:color="auto"/>
                  </w:divBdr>
                </w:div>
              </w:divsChild>
            </w:div>
            <w:div w:id="741947899">
              <w:marLeft w:val="0"/>
              <w:marRight w:val="0"/>
              <w:marTop w:val="0"/>
              <w:marBottom w:val="0"/>
              <w:divBdr>
                <w:top w:val="none" w:sz="0" w:space="0" w:color="auto"/>
                <w:left w:val="none" w:sz="0" w:space="0" w:color="auto"/>
                <w:bottom w:val="none" w:sz="0" w:space="0" w:color="auto"/>
                <w:right w:val="none" w:sz="0" w:space="0" w:color="auto"/>
              </w:divBdr>
              <w:divsChild>
                <w:div w:id="130994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328034">
          <w:marLeft w:val="0"/>
          <w:marRight w:val="0"/>
          <w:marTop w:val="0"/>
          <w:marBottom w:val="0"/>
          <w:divBdr>
            <w:top w:val="none" w:sz="0" w:space="0" w:color="auto"/>
            <w:left w:val="none" w:sz="0" w:space="0" w:color="auto"/>
            <w:bottom w:val="none" w:sz="0" w:space="0" w:color="auto"/>
            <w:right w:val="none" w:sz="0" w:space="0" w:color="auto"/>
          </w:divBdr>
          <w:divsChild>
            <w:div w:id="2065517428">
              <w:marLeft w:val="0"/>
              <w:marRight w:val="0"/>
              <w:marTop w:val="0"/>
              <w:marBottom w:val="0"/>
              <w:divBdr>
                <w:top w:val="none" w:sz="0" w:space="0" w:color="auto"/>
                <w:left w:val="none" w:sz="0" w:space="0" w:color="auto"/>
                <w:bottom w:val="none" w:sz="0" w:space="0" w:color="auto"/>
                <w:right w:val="none" w:sz="0" w:space="0" w:color="auto"/>
              </w:divBdr>
              <w:divsChild>
                <w:div w:id="1404067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336805">
      <w:bodyDiv w:val="1"/>
      <w:marLeft w:val="0"/>
      <w:marRight w:val="0"/>
      <w:marTop w:val="0"/>
      <w:marBottom w:val="0"/>
      <w:divBdr>
        <w:top w:val="none" w:sz="0" w:space="0" w:color="auto"/>
        <w:left w:val="none" w:sz="0" w:space="0" w:color="auto"/>
        <w:bottom w:val="none" w:sz="0" w:space="0" w:color="auto"/>
        <w:right w:val="none" w:sz="0" w:space="0" w:color="auto"/>
      </w:divBdr>
    </w:div>
    <w:div w:id="688871763">
      <w:bodyDiv w:val="1"/>
      <w:marLeft w:val="0"/>
      <w:marRight w:val="0"/>
      <w:marTop w:val="0"/>
      <w:marBottom w:val="0"/>
      <w:divBdr>
        <w:top w:val="none" w:sz="0" w:space="0" w:color="auto"/>
        <w:left w:val="none" w:sz="0" w:space="0" w:color="auto"/>
        <w:bottom w:val="none" w:sz="0" w:space="0" w:color="auto"/>
        <w:right w:val="none" w:sz="0" w:space="0" w:color="auto"/>
      </w:divBdr>
      <w:divsChild>
        <w:div w:id="472529278">
          <w:marLeft w:val="0"/>
          <w:marRight w:val="0"/>
          <w:marTop w:val="0"/>
          <w:marBottom w:val="0"/>
          <w:divBdr>
            <w:top w:val="none" w:sz="0" w:space="0" w:color="auto"/>
            <w:left w:val="none" w:sz="0" w:space="0" w:color="auto"/>
            <w:bottom w:val="none" w:sz="0" w:space="0" w:color="auto"/>
            <w:right w:val="none" w:sz="0" w:space="0" w:color="auto"/>
          </w:divBdr>
          <w:divsChild>
            <w:div w:id="723722980">
              <w:marLeft w:val="0"/>
              <w:marRight w:val="0"/>
              <w:marTop w:val="0"/>
              <w:marBottom w:val="0"/>
              <w:divBdr>
                <w:top w:val="none" w:sz="0" w:space="0" w:color="auto"/>
                <w:left w:val="none" w:sz="0" w:space="0" w:color="auto"/>
                <w:bottom w:val="none" w:sz="0" w:space="0" w:color="auto"/>
                <w:right w:val="none" w:sz="0" w:space="0" w:color="auto"/>
              </w:divBdr>
              <w:divsChild>
                <w:div w:id="1516962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Microsoft_Excel_Worksheet.xlsx"/><Relationship Id="rId18" Type="http://schemas.openxmlformats.org/officeDocument/2006/relationships/image" Target="media/image5.emf"/><Relationship Id="rId26" Type="http://schemas.openxmlformats.org/officeDocument/2006/relationships/chart" Target="charts/chart3.xml"/><Relationship Id="rId39" Type="http://schemas.openxmlformats.org/officeDocument/2006/relationships/package" Target="embeddings/Microsoft_Excel_Worksheet10.xlsx"/><Relationship Id="rId21" Type="http://schemas.openxmlformats.org/officeDocument/2006/relationships/package" Target="embeddings/Microsoft_Excel_Worksheet4.xlsx"/><Relationship Id="rId34" Type="http://schemas.openxmlformats.org/officeDocument/2006/relationships/image" Target="media/image12.emf"/><Relationship Id="rId42" Type="http://schemas.openxmlformats.org/officeDocument/2006/relationships/image" Target="media/image16.emf"/><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emf"/><Relationship Id="rId29" Type="http://schemas.openxmlformats.org/officeDocument/2006/relationships/image" Target="media/image9.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g"/><Relationship Id="rId24" Type="http://schemas.openxmlformats.org/officeDocument/2006/relationships/package" Target="embeddings/Microsoft_Excel_Worksheet5.xlsx"/><Relationship Id="rId32" Type="http://schemas.openxmlformats.org/officeDocument/2006/relationships/image" Target="media/image11.emf"/><Relationship Id="rId37" Type="http://schemas.openxmlformats.org/officeDocument/2006/relationships/package" Target="embeddings/Microsoft_Excel_Worksheet9.xlsx"/><Relationship Id="rId40" Type="http://schemas.openxmlformats.org/officeDocument/2006/relationships/image" Target="media/image15.emf"/><Relationship Id="rId45" Type="http://schemas.openxmlformats.org/officeDocument/2006/relationships/package" Target="embeddings/Microsoft_Excel_Worksheet13.xlsx"/><Relationship Id="rId5" Type="http://schemas.openxmlformats.org/officeDocument/2006/relationships/webSettings" Target="webSettings.xml"/><Relationship Id="rId15" Type="http://schemas.openxmlformats.org/officeDocument/2006/relationships/package" Target="embeddings/Microsoft_Excel_Worksheet1.xlsx"/><Relationship Id="rId23" Type="http://schemas.openxmlformats.org/officeDocument/2006/relationships/image" Target="media/image7.emf"/><Relationship Id="rId28" Type="http://schemas.openxmlformats.org/officeDocument/2006/relationships/image" Target="media/image8.emf"/><Relationship Id="rId36" Type="http://schemas.openxmlformats.org/officeDocument/2006/relationships/image" Target="media/image13.emf"/><Relationship Id="rId10" Type="http://schemas.openxmlformats.org/officeDocument/2006/relationships/footer" Target="footer3.xml"/><Relationship Id="rId19" Type="http://schemas.openxmlformats.org/officeDocument/2006/relationships/package" Target="embeddings/Microsoft_Excel_Worksheet3.xlsx"/><Relationship Id="rId31" Type="http://schemas.openxmlformats.org/officeDocument/2006/relationships/package" Target="embeddings/Microsoft_Excel_Worksheet6.xlsx"/><Relationship Id="rId44" Type="http://schemas.openxmlformats.org/officeDocument/2006/relationships/image" Target="media/image17.emf"/><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3.emf"/><Relationship Id="rId22" Type="http://schemas.openxmlformats.org/officeDocument/2006/relationships/chart" Target="charts/chart1.xml"/><Relationship Id="rId27" Type="http://schemas.openxmlformats.org/officeDocument/2006/relationships/chart" Target="charts/chart4.xml"/><Relationship Id="rId30" Type="http://schemas.openxmlformats.org/officeDocument/2006/relationships/image" Target="media/image10.emf"/><Relationship Id="rId35" Type="http://schemas.openxmlformats.org/officeDocument/2006/relationships/package" Target="embeddings/Microsoft_Excel_Worksheet8.xlsx"/><Relationship Id="rId43" Type="http://schemas.openxmlformats.org/officeDocument/2006/relationships/package" Target="embeddings/Microsoft_Excel_Worksheet12.xlsx"/><Relationship Id="rId48" Type="http://schemas.openxmlformats.org/officeDocument/2006/relationships/theme" Target="theme/theme1.xml"/><Relationship Id="rId8"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2.emf"/><Relationship Id="rId17" Type="http://schemas.openxmlformats.org/officeDocument/2006/relationships/package" Target="embeddings/Microsoft_Excel_Worksheet2.xlsx"/><Relationship Id="rId25" Type="http://schemas.openxmlformats.org/officeDocument/2006/relationships/chart" Target="charts/chart2.xml"/><Relationship Id="rId33" Type="http://schemas.openxmlformats.org/officeDocument/2006/relationships/package" Target="embeddings/Microsoft_Excel_Worksheet7.xlsx"/><Relationship Id="rId38" Type="http://schemas.openxmlformats.org/officeDocument/2006/relationships/image" Target="media/image14.emf"/><Relationship Id="rId46" Type="http://schemas.openxmlformats.org/officeDocument/2006/relationships/header" Target="header1.xml"/><Relationship Id="rId20" Type="http://schemas.openxmlformats.org/officeDocument/2006/relationships/image" Target="media/image6.emf"/><Relationship Id="rId41" Type="http://schemas.openxmlformats.org/officeDocument/2006/relationships/package" Target="embeddings/Microsoft_Excel_Worksheet11.xlsx"/></Relationships>
</file>

<file path=word/charts/_rels/chart1.xml.rels><?xml version="1.0" encoding="UTF-8" standalone="yes"?>
<Relationships xmlns="http://schemas.openxmlformats.org/package/2006/relationships"><Relationship Id="rId3" Type="http://schemas.openxmlformats.org/officeDocument/2006/relationships/oleObject" Target="file:////Users/Shelley/Desktop/Remote%20Learning%20Data%20Table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Users/Shelley/Desktop/Remote%20Learning%20Data%20Table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Users/Shelley/Desktop/Remote%20Learning%20Data%20Tables.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Users/Shelley/Desktop/Remote%20Learning%20Data%20Tables.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Undergraduate Anatomy</a:t>
            </a:r>
            <a:r>
              <a:rPr lang="en-US" baseline="0"/>
              <a:t> Influence on 3D Understanding Dichotomy for PA Students</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stacked"/>
        <c:varyColors val="0"/>
        <c:ser>
          <c:idx val="0"/>
          <c:order val="0"/>
          <c:tx>
            <c:strRef>
              <c:f>'Cognitive Domain'!$C$64</c:f>
              <c:strCache>
                <c:ptCount val="1"/>
                <c:pt idx="0">
                  <c:v>Very true for me</c:v>
                </c:pt>
              </c:strCache>
            </c:strRef>
          </c:tx>
          <c:spPr>
            <a:solidFill>
              <a:schemeClr val="accent1"/>
            </a:solidFill>
            <a:ln>
              <a:noFill/>
            </a:ln>
            <a:effectLst/>
          </c:spPr>
          <c:invertIfNegative val="0"/>
          <c:cat>
            <c:strRef>
              <c:f>'Cognitive Domain'!$B$65:$B$66</c:f>
              <c:strCache>
                <c:ptCount val="2"/>
                <c:pt idx="0">
                  <c:v>PA -no cadaveric dissection</c:v>
                </c:pt>
                <c:pt idx="1">
                  <c:v>PA-with cadaveric dissection</c:v>
                </c:pt>
              </c:strCache>
            </c:strRef>
          </c:cat>
          <c:val>
            <c:numRef>
              <c:f>'Cognitive Domain'!$C$65:$C$66</c:f>
              <c:numCache>
                <c:formatCode>General</c:formatCode>
                <c:ptCount val="2"/>
                <c:pt idx="0">
                  <c:v>2</c:v>
                </c:pt>
                <c:pt idx="1">
                  <c:v>12</c:v>
                </c:pt>
              </c:numCache>
            </c:numRef>
          </c:val>
          <c:extLst>
            <c:ext xmlns:c16="http://schemas.microsoft.com/office/drawing/2014/chart" uri="{C3380CC4-5D6E-409C-BE32-E72D297353CC}">
              <c16:uniqueId val="{00000000-BAF6-C847-84C5-ADEEC0500414}"/>
            </c:ext>
          </c:extLst>
        </c:ser>
        <c:ser>
          <c:idx val="1"/>
          <c:order val="1"/>
          <c:tx>
            <c:strRef>
              <c:f>'Cognitive Domain'!$D$64</c:f>
              <c:strCache>
                <c:ptCount val="1"/>
                <c:pt idx="0">
                  <c:v>fairly true for me</c:v>
                </c:pt>
              </c:strCache>
            </c:strRef>
          </c:tx>
          <c:spPr>
            <a:solidFill>
              <a:schemeClr val="accent2"/>
            </a:solidFill>
            <a:ln>
              <a:noFill/>
            </a:ln>
            <a:effectLst/>
          </c:spPr>
          <c:invertIfNegative val="0"/>
          <c:cat>
            <c:strRef>
              <c:f>'Cognitive Domain'!$B$65:$B$66</c:f>
              <c:strCache>
                <c:ptCount val="2"/>
                <c:pt idx="0">
                  <c:v>PA -no cadaveric dissection</c:v>
                </c:pt>
                <c:pt idx="1">
                  <c:v>PA-with cadaveric dissection</c:v>
                </c:pt>
              </c:strCache>
            </c:strRef>
          </c:cat>
          <c:val>
            <c:numRef>
              <c:f>'Cognitive Domain'!$D$65:$D$66</c:f>
              <c:numCache>
                <c:formatCode>General</c:formatCode>
                <c:ptCount val="2"/>
                <c:pt idx="0">
                  <c:v>1</c:v>
                </c:pt>
                <c:pt idx="1">
                  <c:v>5</c:v>
                </c:pt>
              </c:numCache>
            </c:numRef>
          </c:val>
          <c:extLst>
            <c:ext xmlns:c16="http://schemas.microsoft.com/office/drawing/2014/chart" uri="{C3380CC4-5D6E-409C-BE32-E72D297353CC}">
              <c16:uniqueId val="{00000001-BAF6-C847-84C5-ADEEC0500414}"/>
            </c:ext>
          </c:extLst>
        </c:ser>
        <c:ser>
          <c:idx val="2"/>
          <c:order val="2"/>
          <c:tx>
            <c:strRef>
              <c:f>'Cognitive Domain'!$E$64</c:f>
              <c:strCache>
                <c:ptCount val="1"/>
                <c:pt idx="0">
                  <c:v>somewhat true for me</c:v>
                </c:pt>
              </c:strCache>
            </c:strRef>
          </c:tx>
          <c:spPr>
            <a:solidFill>
              <a:schemeClr val="accent3"/>
            </a:solidFill>
            <a:ln>
              <a:noFill/>
            </a:ln>
            <a:effectLst/>
          </c:spPr>
          <c:invertIfNegative val="0"/>
          <c:cat>
            <c:strRef>
              <c:f>'Cognitive Domain'!$B$65:$B$66</c:f>
              <c:strCache>
                <c:ptCount val="2"/>
                <c:pt idx="0">
                  <c:v>PA -no cadaveric dissection</c:v>
                </c:pt>
                <c:pt idx="1">
                  <c:v>PA-with cadaveric dissection</c:v>
                </c:pt>
              </c:strCache>
            </c:strRef>
          </c:cat>
          <c:val>
            <c:numRef>
              <c:f>'Cognitive Domain'!$E$65:$E$66</c:f>
              <c:numCache>
                <c:formatCode>General</c:formatCode>
                <c:ptCount val="2"/>
                <c:pt idx="0">
                  <c:v>4</c:v>
                </c:pt>
                <c:pt idx="1">
                  <c:v>2</c:v>
                </c:pt>
              </c:numCache>
            </c:numRef>
          </c:val>
          <c:extLst>
            <c:ext xmlns:c16="http://schemas.microsoft.com/office/drawing/2014/chart" uri="{C3380CC4-5D6E-409C-BE32-E72D297353CC}">
              <c16:uniqueId val="{00000002-BAF6-C847-84C5-ADEEC0500414}"/>
            </c:ext>
          </c:extLst>
        </c:ser>
        <c:ser>
          <c:idx val="3"/>
          <c:order val="3"/>
          <c:tx>
            <c:strRef>
              <c:f>'Cognitive Domain'!$F$64</c:f>
              <c:strCache>
                <c:ptCount val="1"/>
                <c:pt idx="0">
                  <c:v>not very true for me</c:v>
                </c:pt>
              </c:strCache>
            </c:strRef>
          </c:tx>
          <c:spPr>
            <a:solidFill>
              <a:schemeClr val="accent4"/>
            </a:solidFill>
            <a:ln>
              <a:noFill/>
            </a:ln>
            <a:effectLst/>
          </c:spPr>
          <c:invertIfNegative val="0"/>
          <c:cat>
            <c:strRef>
              <c:f>'Cognitive Domain'!$B$65:$B$66</c:f>
              <c:strCache>
                <c:ptCount val="2"/>
                <c:pt idx="0">
                  <c:v>PA -no cadaveric dissection</c:v>
                </c:pt>
                <c:pt idx="1">
                  <c:v>PA-with cadaveric dissection</c:v>
                </c:pt>
              </c:strCache>
            </c:strRef>
          </c:cat>
          <c:val>
            <c:numRef>
              <c:f>'Cognitive Domain'!$F$65:$F$66</c:f>
              <c:numCache>
                <c:formatCode>General</c:formatCode>
                <c:ptCount val="2"/>
                <c:pt idx="0">
                  <c:v>1</c:v>
                </c:pt>
                <c:pt idx="1">
                  <c:v>0</c:v>
                </c:pt>
              </c:numCache>
            </c:numRef>
          </c:val>
          <c:extLst>
            <c:ext xmlns:c16="http://schemas.microsoft.com/office/drawing/2014/chart" uri="{C3380CC4-5D6E-409C-BE32-E72D297353CC}">
              <c16:uniqueId val="{00000003-BAF6-C847-84C5-ADEEC0500414}"/>
            </c:ext>
          </c:extLst>
        </c:ser>
        <c:ser>
          <c:idx val="4"/>
          <c:order val="4"/>
          <c:tx>
            <c:strRef>
              <c:f>'Cognitive Domain'!$G$64</c:f>
              <c:strCache>
                <c:ptCount val="1"/>
                <c:pt idx="0">
                  <c:v>not at all true for me</c:v>
                </c:pt>
              </c:strCache>
            </c:strRef>
          </c:tx>
          <c:spPr>
            <a:solidFill>
              <a:schemeClr val="accent5"/>
            </a:solidFill>
            <a:ln>
              <a:noFill/>
            </a:ln>
            <a:effectLst/>
          </c:spPr>
          <c:invertIfNegative val="0"/>
          <c:cat>
            <c:strRef>
              <c:f>'Cognitive Domain'!$B$65:$B$66</c:f>
              <c:strCache>
                <c:ptCount val="2"/>
                <c:pt idx="0">
                  <c:v>PA -no cadaveric dissection</c:v>
                </c:pt>
                <c:pt idx="1">
                  <c:v>PA-with cadaveric dissection</c:v>
                </c:pt>
              </c:strCache>
            </c:strRef>
          </c:cat>
          <c:val>
            <c:numRef>
              <c:f>'Cognitive Domain'!$G$65:$G$66</c:f>
              <c:numCache>
                <c:formatCode>General</c:formatCode>
                <c:ptCount val="2"/>
                <c:pt idx="0">
                  <c:v>9</c:v>
                </c:pt>
                <c:pt idx="1">
                  <c:v>0</c:v>
                </c:pt>
              </c:numCache>
            </c:numRef>
          </c:val>
          <c:extLst>
            <c:ext xmlns:c16="http://schemas.microsoft.com/office/drawing/2014/chart" uri="{C3380CC4-5D6E-409C-BE32-E72D297353CC}">
              <c16:uniqueId val="{00000004-BAF6-C847-84C5-ADEEC0500414}"/>
            </c:ext>
          </c:extLst>
        </c:ser>
        <c:dLbls>
          <c:showLegendKey val="0"/>
          <c:showVal val="0"/>
          <c:showCatName val="0"/>
          <c:showSerName val="0"/>
          <c:showPercent val="0"/>
          <c:showBubbleSize val="0"/>
        </c:dLbls>
        <c:gapWidth val="150"/>
        <c:overlap val="100"/>
        <c:axId val="1021183471"/>
        <c:axId val="1085911727"/>
      </c:barChart>
      <c:catAx>
        <c:axId val="1021183471"/>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85911727"/>
        <c:crosses val="autoZero"/>
        <c:auto val="1"/>
        <c:lblAlgn val="ctr"/>
        <c:lblOffset val="100"/>
        <c:noMultiLvlLbl val="0"/>
      </c:catAx>
      <c:valAx>
        <c:axId val="1085911727"/>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Number</a:t>
                </a:r>
                <a:r>
                  <a:rPr lang="en-US" baseline="0"/>
                  <a:t> of students</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2118347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Cognitive</a:t>
            </a:r>
            <a:r>
              <a:rPr lang="en-US" baseline="0"/>
              <a:t> Domain Response Totals </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percentStacked"/>
        <c:varyColors val="0"/>
        <c:ser>
          <c:idx val="0"/>
          <c:order val="0"/>
          <c:tx>
            <c:strRef>
              <c:f>'Cognitive Domain'!$B$43</c:f>
              <c:strCache>
                <c:ptCount val="1"/>
                <c:pt idx="0">
                  <c:v>Very true for me</c:v>
                </c:pt>
              </c:strCache>
            </c:strRef>
          </c:tx>
          <c:spPr>
            <a:solidFill>
              <a:schemeClr val="accent1"/>
            </a:solidFill>
            <a:ln>
              <a:noFill/>
            </a:ln>
            <a:effectLst/>
          </c:spPr>
          <c:invertIfNegative val="0"/>
          <c:cat>
            <c:strRef>
              <c:f>'Cognitive Domain'!$A$44:$A$47</c:f>
              <c:strCache>
                <c:ptCount val="4"/>
                <c:pt idx="0">
                  <c:v>Activities that integrate lab and lecture knowledge would have contributed to my learning.</c:v>
                </c:pt>
                <c:pt idx="1">
                  <c:v>Undergraduate cadaveric anatomy contributed to my three-dimensional understanding of a human body in this course.</c:v>
                </c:pt>
                <c:pt idx="2">
                  <c:v>I am able to picture a muscle or organ as part of a group or system.</c:v>
                </c:pt>
                <c:pt idx="3">
                  <c:v> My anatomical knowledge is adequate for where I am in my program.</c:v>
                </c:pt>
              </c:strCache>
            </c:strRef>
          </c:cat>
          <c:val>
            <c:numRef>
              <c:f>'Cognitive Domain'!$B$44:$B$47</c:f>
              <c:numCache>
                <c:formatCode>General</c:formatCode>
                <c:ptCount val="4"/>
                <c:pt idx="0">
                  <c:v>35</c:v>
                </c:pt>
                <c:pt idx="1">
                  <c:v>32</c:v>
                </c:pt>
                <c:pt idx="2">
                  <c:v>38</c:v>
                </c:pt>
                <c:pt idx="3">
                  <c:v>34</c:v>
                </c:pt>
              </c:numCache>
            </c:numRef>
          </c:val>
          <c:extLst>
            <c:ext xmlns:c16="http://schemas.microsoft.com/office/drawing/2014/chart" uri="{C3380CC4-5D6E-409C-BE32-E72D297353CC}">
              <c16:uniqueId val="{00000000-8206-3947-B248-65D3F3DCE315}"/>
            </c:ext>
          </c:extLst>
        </c:ser>
        <c:ser>
          <c:idx val="1"/>
          <c:order val="1"/>
          <c:tx>
            <c:strRef>
              <c:f>'Cognitive Domain'!$C$43</c:f>
              <c:strCache>
                <c:ptCount val="1"/>
                <c:pt idx="0">
                  <c:v>fairly true for me</c:v>
                </c:pt>
              </c:strCache>
            </c:strRef>
          </c:tx>
          <c:spPr>
            <a:solidFill>
              <a:schemeClr val="accent2"/>
            </a:solidFill>
            <a:ln>
              <a:noFill/>
            </a:ln>
            <a:effectLst/>
          </c:spPr>
          <c:invertIfNegative val="0"/>
          <c:cat>
            <c:strRef>
              <c:f>'Cognitive Domain'!$A$44:$A$47</c:f>
              <c:strCache>
                <c:ptCount val="4"/>
                <c:pt idx="0">
                  <c:v>Activities that integrate lab and lecture knowledge would have contributed to my learning.</c:v>
                </c:pt>
                <c:pt idx="1">
                  <c:v>Undergraduate cadaveric anatomy contributed to my three-dimensional understanding of a human body in this course.</c:v>
                </c:pt>
                <c:pt idx="2">
                  <c:v>I am able to picture a muscle or organ as part of a group or system.</c:v>
                </c:pt>
                <c:pt idx="3">
                  <c:v> My anatomical knowledge is adequate for where I am in my program.</c:v>
                </c:pt>
              </c:strCache>
            </c:strRef>
          </c:cat>
          <c:val>
            <c:numRef>
              <c:f>'Cognitive Domain'!$C$44:$C$47</c:f>
              <c:numCache>
                <c:formatCode>General</c:formatCode>
                <c:ptCount val="4"/>
                <c:pt idx="0">
                  <c:v>37</c:v>
                </c:pt>
                <c:pt idx="1">
                  <c:v>17</c:v>
                </c:pt>
                <c:pt idx="2">
                  <c:v>42</c:v>
                </c:pt>
                <c:pt idx="3">
                  <c:v>38</c:v>
                </c:pt>
              </c:numCache>
            </c:numRef>
          </c:val>
          <c:extLst>
            <c:ext xmlns:c16="http://schemas.microsoft.com/office/drawing/2014/chart" uri="{C3380CC4-5D6E-409C-BE32-E72D297353CC}">
              <c16:uniqueId val="{00000001-8206-3947-B248-65D3F3DCE315}"/>
            </c:ext>
          </c:extLst>
        </c:ser>
        <c:ser>
          <c:idx val="2"/>
          <c:order val="2"/>
          <c:tx>
            <c:strRef>
              <c:f>'Cognitive Domain'!$D$43</c:f>
              <c:strCache>
                <c:ptCount val="1"/>
                <c:pt idx="0">
                  <c:v>somewhat true for me</c:v>
                </c:pt>
              </c:strCache>
            </c:strRef>
          </c:tx>
          <c:spPr>
            <a:solidFill>
              <a:schemeClr val="accent3"/>
            </a:solidFill>
            <a:ln>
              <a:noFill/>
            </a:ln>
            <a:effectLst/>
          </c:spPr>
          <c:invertIfNegative val="0"/>
          <c:cat>
            <c:strRef>
              <c:f>'Cognitive Domain'!$A$44:$A$47</c:f>
              <c:strCache>
                <c:ptCount val="4"/>
                <c:pt idx="0">
                  <c:v>Activities that integrate lab and lecture knowledge would have contributed to my learning.</c:v>
                </c:pt>
                <c:pt idx="1">
                  <c:v>Undergraduate cadaveric anatomy contributed to my three-dimensional understanding of a human body in this course.</c:v>
                </c:pt>
                <c:pt idx="2">
                  <c:v>I am able to picture a muscle or organ as part of a group or system.</c:v>
                </c:pt>
                <c:pt idx="3">
                  <c:v> My anatomical knowledge is adequate for where I am in my program.</c:v>
                </c:pt>
              </c:strCache>
            </c:strRef>
          </c:cat>
          <c:val>
            <c:numRef>
              <c:f>'Cognitive Domain'!$D$44:$D$47</c:f>
              <c:numCache>
                <c:formatCode>General</c:formatCode>
                <c:ptCount val="4"/>
                <c:pt idx="0">
                  <c:v>21</c:v>
                </c:pt>
                <c:pt idx="1">
                  <c:v>15</c:v>
                </c:pt>
                <c:pt idx="2">
                  <c:v>13</c:v>
                </c:pt>
                <c:pt idx="3">
                  <c:v>20</c:v>
                </c:pt>
              </c:numCache>
            </c:numRef>
          </c:val>
          <c:extLst>
            <c:ext xmlns:c16="http://schemas.microsoft.com/office/drawing/2014/chart" uri="{C3380CC4-5D6E-409C-BE32-E72D297353CC}">
              <c16:uniqueId val="{00000002-8206-3947-B248-65D3F3DCE315}"/>
            </c:ext>
          </c:extLst>
        </c:ser>
        <c:ser>
          <c:idx val="3"/>
          <c:order val="3"/>
          <c:tx>
            <c:strRef>
              <c:f>'Cognitive Domain'!$E$43</c:f>
              <c:strCache>
                <c:ptCount val="1"/>
                <c:pt idx="0">
                  <c:v>not very true for me</c:v>
                </c:pt>
              </c:strCache>
            </c:strRef>
          </c:tx>
          <c:spPr>
            <a:solidFill>
              <a:schemeClr val="accent4"/>
            </a:solidFill>
            <a:ln>
              <a:noFill/>
            </a:ln>
            <a:effectLst/>
          </c:spPr>
          <c:invertIfNegative val="0"/>
          <c:cat>
            <c:strRef>
              <c:f>'Cognitive Domain'!$A$44:$A$47</c:f>
              <c:strCache>
                <c:ptCount val="4"/>
                <c:pt idx="0">
                  <c:v>Activities that integrate lab and lecture knowledge would have contributed to my learning.</c:v>
                </c:pt>
                <c:pt idx="1">
                  <c:v>Undergraduate cadaveric anatomy contributed to my three-dimensional understanding of a human body in this course.</c:v>
                </c:pt>
                <c:pt idx="2">
                  <c:v>I am able to picture a muscle or organ as part of a group or system.</c:v>
                </c:pt>
                <c:pt idx="3">
                  <c:v> My anatomical knowledge is adequate for where I am in my program.</c:v>
                </c:pt>
              </c:strCache>
            </c:strRef>
          </c:cat>
          <c:val>
            <c:numRef>
              <c:f>'Cognitive Domain'!$E$44:$E$47</c:f>
              <c:numCache>
                <c:formatCode>General</c:formatCode>
                <c:ptCount val="4"/>
                <c:pt idx="0">
                  <c:v>7</c:v>
                </c:pt>
                <c:pt idx="1">
                  <c:v>3</c:v>
                </c:pt>
                <c:pt idx="2">
                  <c:v>5</c:v>
                </c:pt>
                <c:pt idx="3">
                  <c:v>8</c:v>
                </c:pt>
              </c:numCache>
            </c:numRef>
          </c:val>
          <c:extLst>
            <c:ext xmlns:c16="http://schemas.microsoft.com/office/drawing/2014/chart" uri="{C3380CC4-5D6E-409C-BE32-E72D297353CC}">
              <c16:uniqueId val="{00000003-8206-3947-B248-65D3F3DCE315}"/>
            </c:ext>
          </c:extLst>
        </c:ser>
        <c:ser>
          <c:idx val="4"/>
          <c:order val="4"/>
          <c:tx>
            <c:strRef>
              <c:f>'Cognitive Domain'!$F$43</c:f>
              <c:strCache>
                <c:ptCount val="1"/>
                <c:pt idx="0">
                  <c:v>not at all true for me</c:v>
                </c:pt>
              </c:strCache>
            </c:strRef>
          </c:tx>
          <c:spPr>
            <a:solidFill>
              <a:schemeClr val="accent5"/>
            </a:solidFill>
            <a:ln>
              <a:noFill/>
            </a:ln>
            <a:effectLst/>
          </c:spPr>
          <c:invertIfNegative val="0"/>
          <c:cat>
            <c:strRef>
              <c:f>'Cognitive Domain'!$A$44:$A$47</c:f>
              <c:strCache>
                <c:ptCount val="4"/>
                <c:pt idx="0">
                  <c:v>Activities that integrate lab and lecture knowledge would have contributed to my learning.</c:v>
                </c:pt>
                <c:pt idx="1">
                  <c:v>Undergraduate cadaveric anatomy contributed to my three-dimensional understanding of a human body in this course.</c:v>
                </c:pt>
                <c:pt idx="2">
                  <c:v>I am able to picture a muscle or organ as part of a group or system.</c:v>
                </c:pt>
                <c:pt idx="3">
                  <c:v> My anatomical knowledge is adequate for where I am in my program.</c:v>
                </c:pt>
              </c:strCache>
            </c:strRef>
          </c:cat>
          <c:val>
            <c:numRef>
              <c:f>'Cognitive Domain'!$F$44:$F$47</c:f>
              <c:numCache>
                <c:formatCode>General</c:formatCode>
                <c:ptCount val="4"/>
                <c:pt idx="0">
                  <c:v>0</c:v>
                </c:pt>
                <c:pt idx="1">
                  <c:v>33</c:v>
                </c:pt>
                <c:pt idx="2">
                  <c:v>2</c:v>
                </c:pt>
                <c:pt idx="3">
                  <c:v>0</c:v>
                </c:pt>
              </c:numCache>
            </c:numRef>
          </c:val>
          <c:extLst>
            <c:ext xmlns:c16="http://schemas.microsoft.com/office/drawing/2014/chart" uri="{C3380CC4-5D6E-409C-BE32-E72D297353CC}">
              <c16:uniqueId val="{00000004-8206-3947-B248-65D3F3DCE315}"/>
            </c:ext>
          </c:extLst>
        </c:ser>
        <c:dLbls>
          <c:showLegendKey val="0"/>
          <c:showVal val="0"/>
          <c:showCatName val="0"/>
          <c:showSerName val="0"/>
          <c:showPercent val="0"/>
          <c:showBubbleSize val="0"/>
        </c:dLbls>
        <c:gapWidth val="150"/>
        <c:overlap val="100"/>
        <c:axId val="1021265023"/>
        <c:axId val="1083824431"/>
      </c:barChart>
      <c:catAx>
        <c:axId val="1021265023"/>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83824431"/>
        <c:crosses val="autoZero"/>
        <c:auto val="1"/>
        <c:lblAlgn val="ctr"/>
        <c:lblOffset val="100"/>
        <c:noMultiLvlLbl val="0"/>
      </c:catAx>
      <c:valAx>
        <c:axId val="1083824431"/>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Percentage</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2126502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Psychomotor Domain Response Totals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percentStacked"/>
        <c:varyColors val="0"/>
        <c:ser>
          <c:idx val="0"/>
          <c:order val="0"/>
          <c:tx>
            <c:strRef>
              <c:f>'Psychomotor Domain'!$N$75</c:f>
              <c:strCache>
                <c:ptCount val="1"/>
                <c:pt idx="0">
                  <c:v>Very true for me</c:v>
                </c:pt>
              </c:strCache>
            </c:strRef>
          </c:tx>
          <c:spPr>
            <a:solidFill>
              <a:schemeClr val="accent1"/>
            </a:solidFill>
            <a:ln>
              <a:noFill/>
            </a:ln>
            <a:effectLst/>
          </c:spPr>
          <c:invertIfNegative val="0"/>
          <c:cat>
            <c:strRef>
              <c:f>'Psychomotor Domain'!$M$76:$M$81</c:f>
              <c:strCache>
                <c:ptCount val="6"/>
                <c:pt idx="0">
                  <c:v>Reviewing relevant anatomy on a cadaver in future classes would help me visualize anatomical relationships for the whole body.</c:v>
                </c:pt>
                <c:pt idx="1">
                  <c:v> I would like cadaveric review lab time in future classes.</c:v>
                </c:pt>
                <c:pt idx="2">
                  <c:v> Studying from a three-dimensional online atlas is just as good as studying from physical models.</c:v>
                </c:pt>
                <c:pt idx="3">
                  <c:v> Studying from physical models would have contributed to my anatomical knowledge.</c:v>
                </c:pt>
                <c:pt idx="4">
                  <c:v> I can tell tissue textures apart.</c:v>
                </c:pt>
                <c:pt idx="5">
                  <c:v>I perceive different tissue depths accurately.</c:v>
                </c:pt>
              </c:strCache>
            </c:strRef>
          </c:cat>
          <c:val>
            <c:numRef>
              <c:f>'Psychomotor Domain'!$N$76:$N$81</c:f>
              <c:numCache>
                <c:formatCode>General</c:formatCode>
                <c:ptCount val="6"/>
                <c:pt idx="0">
                  <c:v>38</c:v>
                </c:pt>
                <c:pt idx="1">
                  <c:v>27</c:v>
                </c:pt>
                <c:pt idx="2">
                  <c:v>7</c:v>
                </c:pt>
                <c:pt idx="3">
                  <c:v>67</c:v>
                </c:pt>
                <c:pt idx="4">
                  <c:v>15</c:v>
                </c:pt>
                <c:pt idx="5">
                  <c:v>27</c:v>
                </c:pt>
              </c:numCache>
            </c:numRef>
          </c:val>
          <c:extLst>
            <c:ext xmlns:c16="http://schemas.microsoft.com/office/drawing/2014/chart" uri="{C3380CC4-5D6E-409C-BE32-E72D297353CC}">
              <c16:uniqueId val="{00000000-2ECE-604E-8397-DFB4748DC449}"/>
            </c:ext>
          </c:extLst>
        </c:ser>
        <c:ser>
          <c:idx val="1"/>
          <c:order val="1"/>
          <c:tx>
            <c:strRef>
              <c:f>'Psychomotor Domain'!$O$75</c:f>
              <c:strCache>
                <c:ptCount val="1"/>
                <c:pt idx="0">
                  <c:v>fairly true for me</c:v>
                </c:pt>
              </c:strCache>
            </c:strRef>
          </c:tx>
          <c:spPr>
            <a:solidFill>
              <a:schemeClr val="accent2"/>
            </a:solidFill>
            <a:ln>
              <a:noFill/>
            </a:ln>
            <a:effectLst/>
          </c:spPr>
          <c:invertIfNegative val="0"/>
          <c:cat>
            <c:strRef>
              <c:f>'Psychomotor Domain'!$M$76:$M$81</c:f>
              <c:strCache>
                <c:ptCount val="6"/>
                <c:pt idx="0">
                  <c:v>Reviewing relevant anatomy on a cadaver in future classes would help me visualize anatomical relationships for the whole body.</c:v>
                </c:pt>
                <c:pt idx="1">
                  <c:v> I would like cadaveric review lab time in future classes.</c:v>
                </c:pt>
                <c:pt idx="2">
                  <c:v> Studying from a three-dimensional online atlas is just as good as studying from physical models.</c:v>
                </c:pt>
                <c:pt idx="3">
                  <c:v> Studying from physical models would have contributed to my anatomical knowledge.</c:v>
                </c:pt>
                <c:pt idx="4">
                  <c:v> I can tell tissue textures apart.</c:v>
                </c:pt>
                <c:pt idx="5">
                  <c:v>I perceive different tissue depths accurately.</c:v>
                </c:pt>
              </c:strCache>
            </c:strRef>
          </c:cat>
          <c:val>
            <c:numRef>
              <c:f>'Psychomotor Domain'!$O$76:$O$81</c:f>
              <c:numCache>
                <c:formatCode>General</c:formatCode>
                <c:ptCount val="6"/>
                <c:pt idx="0">
                  <c:v>37</c:v>
                </c:pt>
                <c:pt idx="1">
                  <c:v>37</c:v>
                </c:pt>
                <c:pt idx="2">
                  <c:v>7</c:v>
                </c:pt>
                <c:pt idx="3">
                  <c:v>19</c:v>
                </c:pt>
                <c:pt idx="4">
                  <c:v>45</c:v>
                </c:pt>
                <c:pt idx="5">
                  <c:v>28</c:v>
                </c:pt>
              </c:numCache>
            </c:numRef>
          </c:val>
          <c:extLst>
            <c:ext xmlns:c16="http://schemas.microsoft.com/office/drawing/2014/chart" uri="{C3380CC4-5D6E-409C-BE32-E72D297353CC}">
              <c16:uniqueId val="{00000001-2ECE-604E-8397-DFB4748DC449}"/>
            </c:ext>
          </c:extLst>
        </c:ser>
        <c:ser>
          <c:idx val="2"/>
          <c:order val="2"/>
          <c:tx>
            <c:strRef>
              <c:f>'Psychomotor Domain'!$P$75</c:f>
              <c:strCache>
                <c:ptCount val="1"/>
                <c:pt idx="0">
                  <c:v>somewhat true for me</c:v>
                </c:pt>
              </c:strCache>
            </c:strRef>
          </c:tx>
          <c:spPr>
            <a:solidFill>
              <a:schemeClr val="accent3"/>
            </a:solidFill>
            <a:ln>
              <a:noFill/>
            </a:ln>
            <a:effectLst/>
          </c:spPr>
          <c:invertIfNegative val="0"/>
          <c:cat>
            <c:strRef>
              <c:f>'Psychomotor Domain'!$M$76:$M$81</c:f>
              <c:strCache>
                <c:ptCount val="6"/>
                <c:pt idx="0">
                  <c:v>Reviewing relevant anatomy on a cadaver in future classes would help me visualize anatomical relationships for the whole body.</c:v>
                </c:pt>
                <c:pt idx="1">
                  <c:v> I would like cadaveric review lab time in future classes.</c:v>
                </c:pt>
                <c:pt idx="2">
                  <c:v> Studying from a three-dimensional online atlas is just as good as studying from physical models.</c:v>
                </c:pt>
                <c:pt idx="3">
                  <c:v> Studying from physical models would have contributed to my anatomical knowledge.</c:v>
                </c:pt>
                <c:pt idx="4">
                  <c:v> I can tell tissue textures apart.</c:v>
                </c:pt>
                <c:pt idx="5">
                  <c:v>I perceive different tissue depths accurately.</c:v>
                </c:pt>
              </c:strCache>
            </c:strRef>
          </c:cat>
          <c:val>
            <c:numRef>
              <c:f>'Psychomotor Domain'!$P$76:$P$81</c:f>
              <c:numCache>
                <c:formatCode>General</c:formatCode>
                <c:ptCount val="6"/>
                <c:pt idx="0">
                  <c:v>23</c:v>
                </c:pt>
                <c:pt idx="1">
                  <c:v>20</c:v>
                </c:pt>
                <c:pt idx="2">
                  <c:v>28</c:v>
                </c:pt>
                <c:pt idx="3">
                  <c:v>12</c:v>
                </c:pt>
                <c:pt idx="4">
                  <c:v>28</c:v>
                </c:pt>
                <c:pt idx="5">
                  <c:v>30</c:v>
                </c:pt>
              </c:numCache>
            </c:numRef>
          </c:val>
          <c:extLst>
            <c:ext xmlns:c16="http://schemas.microsoft.com/office/drawing/2014/chart" uri="{C3380CC4-5D6E-409C-BE32-E72D297353CC}">
              <c16:uniqueId val="{00000002-2ECE-604E-8397-DFB4748DC449}"/>
            </c:ext>
          </c:extLst>
        </c:ser>
        <c:ser>
          <c:idx val="3"/>
          <c:order val="3"/>
          <c:tx>
            <c:strRef>
              <c:f>'Psychomotor Domain'!$Q$75</c:f>
              <c:strCache>
                <c:ptCount val="1"/>
                <c:pt idx="0">
                  <c:v>not very true for me</c:v>
                </c:pt>
              </c:strCache>
            </c:strRef>
          </c:tx>
          <c:spPr>
            <a:solidFill>
              <a:schemeClr val="accent4"/>
            </a:solidFill>
            <a:ln>
              <a:noFill/>
            </a:ln>
            <a:effectLst/>
          </c:spPr>
          <c:invertIfNegative val="0"/>
          <c:cat>
            <c:strRef>
              <c:f>'Psychomotor Domain'!$M$76:$M$81</c:f>
              <c:strCache>
                <c:ptCount val="6"/>
                <c:pt idx="0">
                  <c:v>Reviewing relevant anatomy on a cadaver in future classes would help me visualize anatomical relationships for the whole body.</c:v>
                </c:pt>
                <c:pt idx="1">
                  <c:v> I would like cadaveric review lab time in future classes.</c:v>
                </c:pt>
                <c:pt idx="2">
                  <c:v> Studying from a three-dimensional online atlas is just as good as studying from physical models.</c:v>
                </c:pt>
                <c:pt idx="3">
                  <c:v> Studying from physical models would have contributed to my anatomical knowledge.</c:v>
                </c:pt>
                <c:pt idx="4">
                  <c:v> I can tell tissue textures apart.</c:v>
                </c:pt>
                <c:pt idx="5">
                  <c:v>I perceive different tissue depths accurately.</c:v>
                </c:pt>
              </c:strCache>
            </c:strRef>
          </c:cat>
          <c:val>
            <c:numRef>
              <c:f>'Psychomotor Domain'!$Q$76:$Q$81</c:f>
              <c:numCache>
                <c:formatCode>General</c:formatCode>
                <c:ptCount val="6"/>
                <c:pt idx="0">
                  <c:v>0</c:v>
                </c:pt>
                <c:pt idx="1">
                  <c:v>15</c:v>
                </c:pt>
                <c:pt idx="2">
                  <c:v>41</c:v>
                </c:pt>
                <c:pt idx="3">
                  <c:v>2</c:v>
                </c:pt>
                <c:pt idx="4">
                  <c:v>12</c:v>
                </c:pt>
                <c:pt idx="5">
                  <c:v>15</c:v>
                </c:pt>
              </c:numCache>
            </c:numRef>
          </c:val>
          <c:extLst>
            <c:ext xmlns:c16="http://schemas.microsoft.com/office/drawing/2014/chart" uri="{C3380CC4-5D6E-409C-BE32-E72D297353CC}">
              <c16:uniqueId val="{00000003-2ECE-604E-8397-DFB4748DC449}"/>
            </c:ext>
          </c:extLst>
        </c:ser>
        <c:ser>
          <c:idx val="4"/>
          <c:order val="4"/>
          <c:tx>
            <c:strRef>
              <c:f>'Psychomotor Domain'!$R$75</c:f>
              <c:strCache>
                <c:ptCount val="1"/>
                <c:pt idx="0">
                  <c:v>not at all true for me</c:v>
                </c:pt>
              </c:strCache>
            </c:strRef>
          </c:tx>
          <c:spPr>
            <a:solidFill>
              <a:schemeClr val="accent5"/>
            </a:solidFill>
            <a:ln>
              <a:noFill/>
            </a:ln>
            <a:effectLst/>
          </c:spPr>
          <c:invertIfNegative val="0"/>
          <c:cat>
            <c:strRef>
              <c:f>'Psychomotor Domain'!$M$76:$M$81</c:f>
              <c:strCache>
                <c:ptCount val="6"/>
                <c:pt idx="0">
                  <c:v>Reviewing relevant anatomy on a cadaver in future classes would help me visualize anatomical relationships for the whole body.</c:v>
                </c:pt>
                <c:pt idx="1">
                  <c:v> I would like cadaveric review lab time in future classes.</c:v>
                </c:pt>
                <c:pt idx="2">
                  <c:v> Studying from a three-dimensional online atlas is just as good as studying from physical models.</c:v>
                </c:pt>
                <c:pt idx="3">
                  <c:v> Studying from physical models would have contributed to my anatomical knowledge.</c:v>
                </c:pt>
                <c:pt idx="4">
                  <c:v> I can tell tissue textures apart.</c:v>
                </c:pt>
                <c:pt idx="5">
                  <c:v>I perceive different tissue depths accurately.</c:v>
                </c:pt>
              </c:strCache>
            </c:strRef>
          </c:cat>
          <c:val>
            <c:numRef>
              <c:f>'Psychomotor Domain'!$R$76:$R$81</c:f>
              <c:numCache>
                <c:formatCode>General</c:formatCode>
                <c:ptCount val="6"/>
                <c:pt idx="0">
                  <c:v>2</c:v>
                </c:pt>
                <c:pt idx="1">
                  <c:v>2</c:v>
                </c:pt>
                <c:pt idx="2">
                  <c:v>17</c:v>
                </c:pt>
                <c:pt idx="3">
                  <c:v>0</c:v>
                </c:pt>
                <c:pt idx="4">
                  <c:v>0</c:v>
                </c:pt>
                <c:pt idx="5">
                  <c:v>0</c:v>
                </c:pt>
              </c:numCache>
            </c:numRef>
          </c:val>
          <c:extLst>
            <c:ext xmlns:c16="http://schemas.microsoft.com/office/drawing/2014/chart" uri="{C3380CC4-5D6E-409C-BE32-E72D297353CC}">
              <c16:uniqueId val="{00000004-2ECE-604E-8397-DFB4748DC449}"/>
            </c:ext>
          </c:extLst>
        </c:ser>
        <c:dLbls>
          <c:showLegendKey val="0"/>
          <c:showVal val="0"/>
          <c:showCatName val="0"/>
          <c:showSerName val="0"/>
          <c:showPercent val="0"/>
          <c:showBubbleSize val="0"/>
        </c:dLbls>
        <c:gapWidth val="150"/>
        <c:overlap val="100"/>
        <c:axId val="999351439"/>
        <c:axId val="1084771535"/>
      </c:barChart>
      <c:catAx>
        <c:axId val="999351439"/>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84771535"/>
        <c:crosses val="autoZero"/>
        <c:auto val="1"/>
        <c:lblAlgn val="ctr"/>
        <c:lblOffset val="100"/>
        <c:noMultiLvlLbl val="0"/>
      </c:catAx>
      <c:valAx>
        <c:axId val="1084771535"/>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Percentage</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9935143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Affective</a:t>
            </a:r>
            <a:r>
              <a:rPr lang="en-US" baseline="0"/>
              <a:t> Domain Response Totals</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stacked"/>
        <c:varyColors val="0"/>
        <c:ser>
          <c:idx val="0"/>
          <c:order val="0"/>
          <c:tx>
            <c:strRef>
              <c:f>'Affective Domain'!$B$43</c:f>
              <c:strCache>
                <c:ptCount val="1"/>
                <c:pt idx="0">
                  <c:v>Very true for me</c:v>
                </c:pt>
              </c:strCache>
            </c:strRef>
          </c:tx>
          <c:spPr>
            <a:solidFill>
              <a:schemeClr val="accent1"/>
            </a:solidFill>
            <a:ln>
              <a:noFill/>
            </a:ln>
            <a:effectLst/>
          </c:spPr>
          <c:invertIfNegative val="0"/>
          <c:cat>
            <c:strRef>
              <c:f>'Affective Domain'!$A$44:$A$47</c:f>
              <c:strCache>
                <c:ptCount val="4"/>
                <c:pt idx="0">
                  <c:v> Regardless of my grade, I’m not sure how well I understand anatomy.</c:v>
                </c:pt>
                <c:pt idx="1">
                  <c:v> I feel behind on surgery skills because I could not dissect.</c:v>
                </c:pt>
                <c:pt idx="2">
                  <c:v>I wanted to dissect a cadaver.</c:v>
                </c:pt>
                <c:pt idx="3">
                  <c:v>My anatomical knowledge feels fragmented: I cannot see whole body connections.</c:v>
                </c:pt>
              </c:strCache>
            </c:strRef>
          </c:cat>
          <c:val>
            <c:numRef>
              <c:f>'Affective Domain'!$B$44:$B$47</c:f>
              <c:numCache>
                <c:formatCode>General</c:formatCode>
                <c:ptCount val="4"/>
                <c:pt idx="0">
                  <c:v>3</c:v>
                </c:pt>
                <c:pt idx="1">
                  <c:v>31</c:v>
                </c:pt>
                <c:pt idx="2">
                  <c:v>54</c:v>
                </c:pt>
                <c:pt idx="3">
                  <c:v>3</c:v>
                </c:pt>
              </c:numCache>
            </c:numRef>
          </c:val>
          <c:extLst>
            <c:ext xmlns:c16="http://schemas.microsoft.com/office/drawing/2014/chart" uri="{C3380CC4-5D6E-409C-BE32-E72D297353CC}">
              <c16:uniqueId val="{00000000-C784-A04D-8940-DCE0EBF119D2}"/>
            </c:ext>
          </c:extLst>
        </c:ser>
        <c:ser>
          <c:idx val="1"/>
          <c:order val="1"/>
          <c:tx>
            <c:strRef>
              <c:f>'Affective Domain'!$C$43</c:f>
              <c:strCache>
                <c:ptCount val="1"/>
                <c:pt idx="0">
                  <c:v>fairly true for me</c:v>
                </c:pt>
              </c:strCache>
            </c:strRef>
          </c:tx>
          <c:spPr>
            <a:solidFill>
              <a:schemeClr val="accent2"/>
            </a:solidFill>
            <a:ln>
              <a:noFill/>
            </a:ln>
            <a:effectLst/>
          </c:spPr>
          <c:invertIfNegative val="0"/>
          <c:cat>
            <c:strRef>
              <c:f>'Affective Domain'!$A$44:$A$47</c:f>
              <c:strCache>
                <c:ptCount val="4"/>
                <c:pt idx="0">
                  <c:v> Regardless of my grade, I’m not sure how well I understand anatomy.</c:v>
                </c:pt>
                <c:pt idx="1">
                  <c:v> I feel behind on surgery skills because I could not dissect.</c:v>
                </c:pt>
                <c:pt idx="2">
                  <c:v>I wanted to dissect a cadaver.</c:v>
                </c:pt>
                <c:pt idx="3">
                  <c:v>My anatomical knowledge feels fragmented: I cannot see whole body connections.</c:v>
                </c:pt>
              </c:strCache>
            </c:strRef>
          </c:cat>
          <c:val>
            <c:numRef>
              <c:f>'Affective Domain'!$C$44:$C$47</c:f>
              <c:numCache>
                <c:formatCode>General</c:formatCode>
                <c:ptCount val="4"/>
                <c:pt idx="0">
                  <c:v>8</c:v>
                </c:pt>
                <c:pt idx="1">
                  <c:v>14</c:v>
                </c:pt>
                <c:pt idx="2">
                  <c:v>26</c:v>
                </c:pt>
                <c:pt idx="3">
                  <c:v>13</c:v>
                </c:pt>
              </c:numCache>
            </c:numRef>
          </c:val>
          <c:extLst>
            <c:ext xmlns:c16="http://schemas.microsoft.com/office/drawing/2014/chart" uri="{C3380CC4-5D6E-409C-BE32-E72D297353CC}">
              <c16:uniqueId val="{00000001-C784-A04D-8940-DCE0EBF119D2}"/>
            </c:ext>
          </c:extLst>
        </c:ser>
        <c:ser>
          <c:idx val="2"/>
          <c:order val="2"/>
          <c:tx>
            <c:strRef>
              <c:f>'Affective Domain'!$D$43</c:f>
              <c:strCache>
                <c:ptCount val="1"/>
                <c:pt idx="0">
                  <c:v>somewhat true for me</c:v>
                </c:pt>
              </c:strCache>
            </c:strRef>
          </c:tx>
          <c:spPr>
            <a:solidFill>
              <a:schemeClr val="accent3"/>
            </a:solidFill>
            <a:ln>
              <a:noFill/>
            </a:ln>
            <a:effectLst/>
          </c:spPr>
          <c:invertIfNegative val="0"/>
          <c:cat>
            <c:strRef>
              <c:f>'Affective Domain'!$A$44:$A$47</c:f>
              <c:strCache>
                <c:ptCount val="4"/>
                <c:pt idx="0">
                  <c:v> Regardless of my grade, I’m not sure how well I understand anatomy.</c:v>
                </c:pt>
                <c:pt idx="1">
                  <c:v> I feel behind on surgery skills because I could not dissect.</c:v>
                </c:pt>
                <c:pt idx="2">
                  <c:v>I wanted to dissect a cadaver.</c:v>
                </c:pt>
                <c:pt idx="3">
                  <c:v>My anatomical knowledge feels fragmented: I cannot see whole body connections.</c:v>
                </c:pt>
              </c:strCache>
            </c:strRef>
          </c:cat>
          <c:val>
            <c:numRef>
              <c:f>'Affective Domain'!$D$44:$D$47</c:f>
              <c:numCache>
                <c:formatCode>General</c:formatCode>
                <c:ptCount val="4"/>
                <c:pt idx="0">
                  <c:v>19</c:v>
                </c:pt>
                <c:pt idx="1">
                  <c:v>22</c:v>
                </c:pt>
                <c:pt idx="2">
                  <c:v>15</c:v>
                </c:pt>
                <c:pt idx="3">
                  <c:v>34</c:v>
                </c:pt>
              </c:numCache>
            </c:numRef>
          </c:val>
          <c:extLst>
            <c:ext xmlns:c16="http://schemas.microsoft.com/office/drawing/2014/chart" uri="{C3380CC4-5D6E-409C-BE32-E72D297353CC}">
              <c16:uniqueId val="{00000002-C784-A04D-8940-DCE0EBF119D2}"/>
            </c:ext>
          </c:extLst>
        </c:ser>
        <c:ser>
          <c:idx val="3"/>
          <c:order val="3"/>
          <c:tx>
            <c:strRef>
              <c:f>'Affective Domain'!$E$43</c:f>
              <c:strCache>
                <c:ptCount val="1"/>
                <c:pt idx="0">
                  <c:v>not very true for me</c:v>
                </c:pt>
              </c:strCache>
            </c:strRef>
          </c:tx>
          <c:spPr>
            <a:solidFill>
              <a:schemeClr val="accent4"/>
            </a:solidFill>
            <a:ln>
              <a:noFill/>
            </a:ln>
            <a:effectLst/>
          </c:spPr>
          <c:invertIfNegative val="0"/>
          <c:cat>
            <c:strRef>
              <c:f>'Affective Domain'!$A$44:$A$47</c:f>
              <c:strCache>
                <c:ptCount val="4"/>
                <c:pt idx="0">
                  <c:v> Regardless of my grade, I’m not sure how well I understand anatomy.</c:v>
                </c:pt>
                <c:pt idx="1">
                  <c:v> I feel behind on surgery skills because I could not dissect.</c:v>
                </c:pt>
                <c:pt idx="2">
                  <c:v>I wanted to dissect a cadaver.</c:v>
                </c:pt>
                <c:pt idx="3">
                  <c:v>My anatomical knowledge feels fragmented: I cannot see whole body connections.</c:v>
                </c:pt>
              </c:strCache>
            </c:strRef>
          </c:cat>
          <c:val>
            <c:numRef>
              <c:f>'Affective Domain'!$E$44:$E$47</c:f>
              <c:numCache>
                <c:formatCode>General</c:formatCode>
                <c:ptCount val="4"/>
                <c:pt idx="0">
                  <c:v>53</c:v>
                </c:pt>
                <c:pt idx="1">
                  <c:v>20</c:v>
                </c:pt>
                <c:pt idx="2">
                  <c:v>2</c:v>
                </c:pt>
                <c:pt idx="3">
                  <c:v>40</c:v>
                </c:pt>
              </c:numCache>
            </c:numRef>
          </c:val>
          <c:extLst>
            <c:ext xmlns:c16="http://schemas.microsoft.com/office/drawing/2014/chart" uri="{C3380CC4-5D6E-409C-BE32-E72D297353CC}">
              <c16:uniqueId val="{00000003-C784-A04D-8940-DCE0EBF119D2}"/>
            </c:ext>
          </c:extLst>
        </c:ser>
        <c:ser>
          <c:idx val="4"/>
          <c:order val="4"/>
          <c:tx>
            <c:strRef>
              <c:f>'Affective Domain'!$F$43</c:f>
              <c:strCache>
                <c:ptCount val="1"/>
                <c:pt idx="0">
                  <c:v>not at all true for me</c:v>
                </c:pt>
              </c:strCache>
            </c:strRef>
          </c:tx>
          <c:spPr>
            <a:solidFill>
              <a:schemeClr val="accent5"/>
            </a:solidFill>
            <a:ln>
              <a:noFill/>
            </a:ln>
            <a:effectLst/>
          </c:spPr>
          <c:invertIfNegative val="0"/>
          <c:cat>
            <c:strRef>
              <c:f>'Affective Domain'!$A$44:$A$47</c:f>
              <c:strCache>
                <c:ptCount val="4"/>
                <c:pt idx="0">
                  <c:v> Regardless of my grade, I’m not sure how well I understand anatomy.</c:v>
                </c:pt>
                <c:pt idx="1">
                  <c:v> I feel behind on surgery skills because I could not dissect.</c:v>
                </c:pt>
                <c:pt idx="2">
                  <c:v>I wanted to dissect a cadaver.</c:v>
                </c:pt>
                <c:pt idx="3">
                  <c:v>My anatomical knowledge feels fragmented: I cannot see whole body connections.</c:v>
                </c:pt>
              </c:strCache>
            </c:strRef>
          </c:cat>
          <c:val>
            <c:numRef>
              <c:f>'Affective Domain'!$F$44:$F$47</c:f>
              <c:numCache>
                <c:formatCode>General</c:formatCode>
                <c:ptCount val="4"/>
                <c:pt idx="0">
                  <c:v>17</c:v>
                </c:pt>
                <c:pt idx="1">
                  <c:v>13</c:v>
                </c:pt>
                <c:pt idx="2">
                  <c:v>3</c:v>
                </c:pt>
                <c:pt idx="3">
                  <c:v>10</c:v>
                </c:pt>
              </c:numCache>
            </c:numRef>
          </c:val>
          <c:extLst>
            <c:ext xmlns:c16="http://schemas.microsoft.com/office/drawing/2014/chart" uri="{C3380CC4-5D6E-409C-BE32-E72D297353CC}">
              <c16:uniqueId val="{00000004-C784-A04D-8940-DCE0EBF119D2}"/>
            </c:ext>
          </c:extLst>
        </c:ser>
        <c:dLbls>
          <c:showLegendKey val="0"/>
          <c:showVal val="0"/>
          <c:showCatName val="0"/>
          <c:showSerName val="0"/>
          <c:showPercent val="0"/>
          <c:showBubbleSize val="0"/>
        </c:dLbls>
        <c:gapWidth val="150"/>
        <c:overlap val="100"/>
        <c:axId val="1088989695"/>
        <c:axId val="1087049407"/>
      </c:barChart>
      <c:catAx>
        <c:axId val="108898969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87049407"/>
        <c:crosses val="autoZero"/>
        <c:auto val="1"/>
        <c:lblAlgn val="ctr"/>
        <c:lblOffset val="100"/>
        <c:noMultiLvlLbl val="0"/>
      </c:catAx>
      <c:valAx>
        <c:axId val="1087049407"/>
        <c:scaling>
          <c:orientation val="minMax"/>
          <c:max val="1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Percentage</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8898969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FD14CD-BFEC-2D45-BCC9-A1B11C4163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158</Pages>
  <Words>94534</Words>
  <Characters>538848</Characters>
  <Application>Microsoft Office Word</Application>
  <DocSecurity>0</DocSecurity>
  <Lines>4490</Lines>
  <Paragraphs>1264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632118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Shelley Hunter</dc:creator>
  <cp:keywords/>
  <dc:description/>
  <cp:lastModifiedBy>Shelley Hunter</cp:lastModifiedBy>
  <cp:revision>2</cp:revision>
  <cp:lastPrinted>2021-04-29T01:44:00Z</cp:lastPrinted>
  <dcterms:created xsi:type="dcterms:W3CDTF">2021-05-06T18:42:00Z</dcterms:created>
  <dcterms:modified xsi:type="dcterms:W3CDTF">2021-05-06T18:42:00Z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zotero-version="5.0.96.1"&gt;&lt;session id="BT7cXnZw"/&gt;&lt;style id="http://www.zotero.org/styles/apa" locale="en-US" hasBibliography="1" bibliographyStyleHasBeenSet="1"/&gt;&lt;prefs&gt;&lt;pref name="fieldType" value="Field"/&gt;&lt;pref name="automaticJou</vt:lpwstr>
  </property>
  <property fmtid="{D5CDD505-2E9C-101B-9397-08002B2CF9AE}" pid="3" name="ZOTERO_PREF_2">
    <vt:lpwstr>rnalAbbreviations" value="true"/&gt;&lt;/prefs&gt;&lt;/data&gt;</vt:lpwstr>
  </property>
</Properties>
</file>